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bookmarkStart w:id="1" w:name="_Hlk209788157"/>
      <w:r w:rsidRPr="005D1A47">
        <w:rPr>
          <w:noProof/>
        </w:rPr>
        <w:drawing>
          <wp:inline distT="0" distB="0" distL="0" distR="0" wp14:anchorId="404176CA" wp14:editId="0901F44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56FAF7" w:rsidR="00193533" w:rsidRPr="00193533" w:rsidRDefault="00DE07CF" w:rsidP="002F4591">
      <w:pPr>
        <w:pStyle w:val="CoverTitle"/>
        <w:spacing w:before="2640"/>
        <w:jc w:val="center"/>
      </w:pPr>
      <w:r>
        <w:t>Anticoagulant Rodenticides</w:t>
      </w:r>
    </w:p>
    <w:p w14:paraId="0F125B7E" w14:textId="2CA89FDA" w:rsidR="003C0891" w:rsidRDefault="00DE07CF" w:rsidP="00193533">
      <w:pPr>
        <w:pStyle w:val="CoverSubtitle"/>
        <w:jc w:val="center"/>
      </w:pPr>
      <w:r>
        <w:t>Review Technical Report</w:t>
      </w:r>
    </w:p>
    <w:p w14:paraId="4E4C9BC9" w14:textId="41D6B696" w:rsidR="00193533" w:rsidRPr="00E41FED" w:rsidRDefault="00D56D5A"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 xml:space="preserve">December </w:t>
      </w:r>
      <w:r w:rsidR="00DE07CF">
        <w:t>2025</w:t>
      </w:r>
    </w:p>
    <w:bookmarkEnd w:id="0"/>
    <w:p w14:paraId="0FBD14B9" w14:textId="12A8B1E5" w:rsidR="00173C61" w:rsidRPr="00173C61" w:rsidRDefault="00173C61" w:rsidP="00173C6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173C61">
        <w:rPr>
          <w:rFonts w:ascii="Arial" w:eastAsia="Times New Roman" w:hAnsi="Arial" w:cs="Times New Roman"/>
          <w:color w:val="1A1B1A" w:themeColor="text1" w:themeShade="80"/>
          <w:kern w:val="0"/>
          <w:sz w:val="16"/>
          <w:lang w:eastAsia="en-AU"/>
          <w14:ligatures w14:val="none"/>
        </w:rPr>
        <w:lastRenderedPageBreak/>
        <w:t>© Australian Pesticides and Veterinary Medicines A</w:t>
      </w:r>
      <w:r w:rsidRPr="00173C61">
        <w:rPr>
          <w:rFonts w:ascii="Arial" w:eastAsia="Times New Roman" w:hAnsi="Arial" w:cs="Times New Roman"/>
          <w:kern w:val="0"/>
          <w:sz w:val="16"/>
          <w:lang w:eastAsia="en-AU"/>
          <w14:ligatures w14:val="none"/>
        </w:rPr>
        <w:t xml:space="preserve">uthority </w:t>
      </w:r>
      <w:r w:rsidRPr="00173C61">
        <w:rPr>
          <w:rFonts w:ascii="Arial" w:eastAsia="Times New Roman" w:hAnsi="Arial" w:cs="Arial"/>
          <w:kern w:val="0"/>
          <w:sz w:val="16"/>
          <w:szCs w:val="16"/>
          <w:lang w:eastAsia="en-AU"/>
          <w14:ligatures w14:val="none"/>
        </w:rPr>
        <w:t>2025</w:t>
      </w:r>
    </w:p>
    <w:p w14:paraId="434192D1" w14:textId="77777777" w:rsidR="00173C61" w:rsidRPr="00173C61" w:rsidRDefault="00173C61" w:rsidP="00173C61">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173C61">
        <w:rPr>
          <w:rFonts w:ascii="Arial" w:eastAsia="Times New Roman" w:hAnsi="Arial" w:cs="Times New Roman"/>
          <w:b/>
          <w:bCs/>
          <w:color w:val="1A1B1A" w:themeColor="text1" w:themeShade="80"/>
          <w:kern w:val="0"/>
          <w:sz w:val="16"/>
          <w:lang w:eastAsia="en-AU"/>
          <w14:ligatures w14:val="none"/>
        </w:rPr>
        <w:t>Ownership of intellectual property rights in this publication</w:t>
      </w:r>
    </w:p>
    <w:p w14:paraId="45AA3816" w14:textId="77777777" w:rsidR="00173C61" w:rsidRPr="00173C61" w:rsidRDefault="00173C61" w:rsidP="00173C6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173C61">
        <w:rPr>
          <w:rFonts w:ascii="Arial" w:eastAsia="Times New Roman" w:hAnsi="Arial" w:cs="Times New Roman"/>
          <w:color w:val="1A1B1A" w:themeColor="text1" w:themeShade="80"/>
          <w:kern w:val="0"/>
          <w:sz w:val="16"/>
          <w:lang w:eastAsia="en-AU"/>
          <w14:ligatures w14:val="none"/>
        </w:rPr>
        <w:t>Unless otherwise noted, copyright (and any other intellectual property rights, if any) in this publication is owned by the Australian Pesticides and Veterinary Medicines Authority (APVMA).</w:t>
      </w:r>
    </w:p>
    <w:p w14:paraId="2E368DDE" w14:textId="77777777" w:rsidR="00173C61" w:rsidRPr="00173C61" w:rsidRDefault="00173C61" w:rsidP="00173C61">
      <w:pPr>
        <w:spacing w:before="100" w:after="100" w:line="240" w:lineRule="atLeast"/>
        <w:rPr>
          <w:rFonts w:ascii="Arial" w:eastAsia="Times New Roman" w:hAnsi="Arial" w:cs="Times New Roman"/>
          <w:b/>
          <w:bCs/>
          <w:color w:val="1A1B1A" w:themeColor="text1" w:themeShade="80"/>
          <w:kern w:val="0"/>
          <w:sz w:val="16"/>
          <w:lang w:eastAsia="en-AU"/>
          <w14:ligatures w14:val="none"/>
        </w:rPr>
      </w:pPr>
      <w:r w:rsidRPr="00173C61">
        <w:rPr>
          <w:rFonts w:ascii="Arial" w:eastAsia="Times New Roman" w:hAnsi="Arial" w:cs="Times New Roman"/>
          <w:b/>
          <w:bCs/>
          <w:color w:val="1A1B1A" w:themeColor="text1" w:themeShade="80"/>
          <w:kern w:val="0"/>
          <w:sz w:val="16"/>
          <w:lang w:eastAsia="en-AU"/>
          <w14:ligatures w14:val="none"/>
        </w:rPr>
        <w:t>Creative Commons licence</w:t>
      </w:r>
    </w:p>
    <w:p w14:paraId="7DED4A5F" w14:textId="77777777" w:rsidR="00173C61" w:rsidRPr="00173C61" w:rsidRDefault="00173C61" w:rsidP="00173C6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173C61">
        <w:rPr>
          <w:rFonts w:ascii="Arial" w:eastAsia="Times New Roman" w:hAnsi="Arial" w:cs="Times New Roman"/>
          <w:color w:val="1A1B1A" w:themeColor="text1" w:themeShade="80"/>
          <w:kern w:val="0"/>
          <w:sz w:val="16"/>
          <w:lang w:eastAsia="en-AU"/>
          <w14:ligatures w14:val="none"/>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134B1EB8" w14:textId="77777777" w:rsidR="00173C61" w:rsidRPr="00173C61" w:rsidRDefault="00173C61" w:rsidP="00173C61">
      <w:pPr>
        <w:autoSpaceDE w:val="0"/>
        <w:autoSpaceDN w:val="0"/>
        <w:adjustRightInd w:val="0"/>
        <w:spacing w:before="100" w:after="240" w:line="240" w:lineRule="atLeast"/>
        <w:ind w:left="-284" w:right="-329" w:firstLine="284"/>
        <w:rPr>
          <w:rFonts w:ascii="Arial" w:eastAsia="Times New Roman" w:hAnsi="Arial" w:cs="Arial"/>
          <w:color w:val="1A1B1A" w:themeColor="text1" w:themeShade="80"/>
          <w:kern w:val="0"/>
          <w:sz w:val="16"/>
          <w:szCs w:val="16"/>
          <w:lang w:eastAsia="en-AU"/>
          <w14:ligatures w14:val="none"/>
        </w:rPr>
      </w:pPr>
      <w:r w:rsidRPr="00173C61">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4D5BEC70" wp14:editId="5A8A5F59">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173C61">
        <w:rPr>
          <w:rFonts w:ascii="Times New Roman" w:eastAsia="Times New Roman" w:hAnsi="Times New Roman" w:cs="Times New Roman"/>
          <w:noProof/>
          <w:color w:val="1A1B1A" w:themeColor="text1" w:themeShade="80"/>
          <w:kern w:val="0"/>
          <w:sz w:val="16"/>
          <w:szCs w:val="16"/>
          <w:lang w:eastAsia="en-AU"/>
          <w14:ligatures w14:val="none"/>
        </w:rPr>
        <w:drawing>
          <wp:inline distT="0" distB="0" distL="0" distR="0" wp14:anchorId="0978D14C" wp14:editId="7B01FCA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3E6243A" w14:textId="02BE9645" w:rsidR="00173C61" w:rsidRPr="00173C61" w:rsidRDefault="00173C61" w:rsidP="00173C6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 xml:space="preserve">A </w:t>
      </w:r>
      <w:hyperlink r:id="rId13" w:history="1">
        <w:r w:rsidRPr="00173C61">
          <w:rPr>
            <w:rFonts w:ascii="Arial" w:eastAsia="Times New Roman" w:hAnsi="Arial" w:cs="Arial"/>
            <w:color w:val="0000FF"/>
            <w:kern w:val="0"/>
            <w:sz w:val="16"/>
            <w:szCs w:val="16"/>
            <w:u w:val="single"/>
            <w:lang w:eastAsia="en-AU"/>
            <w14:ligatures w14:val="none"/>
          </w:rPr>
          <w:t>summary of the licence terms</w:t>
        </w:r>
      </w:hyperlink>
      <w:r w:rsidRPr="00173C61">
        <w:rPr>
          <w:rFonts w:ascii="Arial" w:eastAsia="Times New Roman" w:hAnsi="Arial" w:cs="Arial"/>
          <w:color w:val="1A1B1A" w:themeColor="text1" w:themeShade="80"/>
          <w:kern w:val="0"/>
          <w:sz w:val="16"/>
          <w:szCs w:val="16"/>
          <w:lang w:eastAsia="en-AU"/>
          <w14:ligatures w14:val="none"/>
        </w:rPr>
        <w:t xml:space="preserve"> and </w:t>
      </w:r>
      <w:hyperlink r:id="rId14" w:history="1">
        <w:r w:rsidRPr="00173C61">
          <w:rPr>
            <w:rFonts w:ascii="Arial" w:eastAsia="Times New Roman" w:hAnsi="Arial" w:cs="Arial"/>
            <w:color w:val="0000FF"/>
            <w:kern w:val="0"/>
            <w:sz w:val="16"/>
            <w:szCs w:val="16"/>
            <w:u w:val="single"/>
            <w:lang w:eastAsia="en-AU"/>
            <w14:ligatures w14:val="none"/>
          </w:rPr>
          <w:t>full licence terms</w:t>
        </w:r>
      </w:hyperlink>
      <w:r w:rsidRPr="00173C61">
        <w:rPr>
          <w:rFonts w:ascii="Arial" w:eastAsia="Times New Roman" w:hAnsi="Arial" w:cs="Arial"/>
          <w:color w:val="1A1B1A" w:themeColor="text1" w:themeShade="80"/>
          <w:kern w:val="0"/>
          <w:sz w:val="16"/>
          <w:szCs w:val="16"/>
          <w:lang w:eastAsia="en-AU"/>
          <w14:ligatures w14:val="none"/>
        </w:rPr>
        <w:t xml:space="preserve"> are available from Creative Commons. </w:t>
      </w:r>
    </w:p>
    <w:p w14:paraId="6F08A56D" w14:textId="77777777" w:rsidR="00173C61" w:rsidRPr="00173C61" w:rsidRDefault="00173C61" w:rsidP="00173C61">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The APVMA’s preference is that you attribute this publication (and any approved material sourced from it) using the following wording:</w:t>
      </w:r>
    </w:p>
    <w:p w14:paraId="39BF3711" w14:textId="77777777" w:rsidR="00173C61" w:rsidRPr="00173C61" w:rsidRDefault="00173C61" w:rsidP="00173C61">
      <w:pPr>
        <w:spacing w:before="100" w:after="100" w:line="240" w:lineRule="atLeast"/>
        <w:rPr>
          <w:rFonts w:ascii="Arial" w:eastAsia="Times New Roman" w:hAnsi="Arial" w:cs="Arial"/>
          <w:i/>
          <w:iCs/>
          <w:color w:val="1A1B1A" w:themeColor="text1" w:themeShade="80"/>
          <w:kern w:val="0"/>
          <w:sz w:val="16"/>
          <w:szCs w:val="16"/>
          <w:lang w:eastAsia="en-AU"/>
          <w14:ligatures w14:val="none"/>
        </w:rPr>
      </w:pPr>
      <w:r w:rsidRPr="00173C61">
        <w:rPr>
          <w:rFonts w:ascii="Arial" w:eastAsia="Times New Roman" w:hAnsi="Arial" w:cs="Arial"/>
          <w:i/>
          <w:iCs/>
          <w:color w:val="1A1B1A" w:themeColor="text1" w:themeShade="80"/>
          <w:kern w:val="0"/>
          <w:sz w:val="16"/>
          <w:szCs w:val="16"/>
          <w:lang w:eastAsia="en-AU"/>
          <w14:ligatures w14:val="none"/>
        </w:rPr>
        <w:t xml:space="preserve">Source: Licensed from the Australian Pesticides and Veterinary Medicines Authority (APVMA) under a Creative Commons Attribution 4.0 Australia Licence. The APVMA does not necessarily endorse the content of this publication. </w:t>
      </w:r>
    </w:p>
    <w:p w14:paraId="77B05360" w14:textId="77777777" w:rsidR="00173C61" w:rsidRPr="00173C61" w:rsidRDefault="00173C61" w:rsidP="00173C6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In referencing this document the Australian Pesticides and Veterinary Medicines Authority should be cited as the author, publisher and copyright owner.</w:t>
      </w:r>
    </w:p>
    <w:p w14:paraId="41332586" w14:textId="77777777" w:rsidR="00173C61" w:rsidRPr="00173C61" w:rsidRDefault="00173C61" w:rsidP="00173C61">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173C61">
        <w:rPr>
          <w:rFonts w:ascii="Arial" w:eastAsia="Times New Roman" w:hAnsi="Arial" w:cs="Arial"/>
          <w:bCs/>
          <w:color w:val="1A1B1A" w:themeColor="text1" w:themeShade="80"/>
          <w:kern w:val="0"/>
          <w:sz w:val="16"/>
          <w:szCs w:val="16"/>
          <w:lang w:eastAsia="en-AU"/>
          <w14:ligatures w14:val="none"/>
        </w:rPr>
        <w:t>Cover image: iStockphoto (istockphoto.com)</w:t>
      </w:r>
    </w:p>
    <w:p w14:paraId="62336EBA" w14:textId="77777777" w:rsidR="00173C61" w:rsidRPr="00173C61" w:rsidRDefault="00173C61" w:rsidP="00173C61">
      <w:pPr>
        <w:spacing w:before="100" w:after="100" w:line="240" w:lineRule="atLeast"/>
        <w:rPr>
          <w:rFonts w:ascii="Arial" w:eastAsia="Times New Roman" w:hAnsi="Arial" w:cs="Arial"/>
          <w:bCs/>
          <w:color w:val="1A1B1A" w:themeColor="text1" w:themeShade="80"/>
          <w:kern w:val="0"/>
          <w:sz w:val="16"/>
          <w:szCs w:val="16"/>
          <w:lang w:eastAsia="en-AU"/>
          <w14:ligatures w14:val="none"/>
        </w:rPr>
      </w:pPr>
      <w:r w:rsidRPr="00173C61">
        <w:rPr>
          <w:rFonts w:ascii="Arial" w:eastAsia="Times New Roman" w:hAnsi="Arial" w:cs="Arial"/>
          <w:bCs/>
          <w:color w:val="1A1B1A" w:themeColor="text1" w:themeShade="80"/>
          <w:kern w:val="0"/>
          <w:sz w:val="16"/>
          <w:szCs w:val="16"/>
          <w:lang w:eastAsia="en-AU"/>
          <w14:ligatures w14:val="none"/>
        </w:rPr>
        <w:t xml:space="preserve">iStockphoto images are not covered by this Creative Commons licence. </w:t>
      </w:r>
    </w:p>
    <w:p w14:paraId="6A2BC8BC" w14:textId="77777777" w:rsidR="00173C61" w:rsidRPr="00173C61" w:rsidRDefault="00173C61" w:rsidP="00173C6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173C61">
        <w:rPr>
          <w:rFonts w:ascii="Arial" w:eastAsia="Times New Roman" w:hAnsi="Arial" w:cs="Arial"/>
          <w:b/>
          <w:bCs/>
          <w:color w:val="1A1B1A" w:themeColor="text1" w:themeShade="80"/>
          <w:kern w:val="0"/>
          <w:sz w:val="16"/>
          <w:szCs w:val="16"/>
          <w:lang w:eastAsia="en-AU"/>
          <w14:ligatures w14:val="none"/>
        </w:rPr>
        <w:t>Use of the Coat of Arms</w:t>
      </w:r>
    </w:p>
    <w:p w14:paraId="2CC0B51B" w14:textId="216FCFED" w:rsidR="00173C61" w:rsidRPr="00173C61" w:rsidRDefault="00173C61" w:rsidP="00173C6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 xml:space="preserve">The terms under which the Coat of Arms can be used are set out on the </w:t>
      </w:r>
      <w:hyperlink r:id="rId15" w:history="1">
        <w:r w:rsidRPr="00173C61">
          <w:rPr>
            <w:rFonts w:ascii="Arial" w:eastAsia="Times New Roman" w:hAnsi="Arial" w:cs="Arial"/>
            <w:color w:val="0000FF"/>
            <w:kern w:val="0"/>
            <w:sz w:val="16"/>
            <w:szCs w:val="16"/>
            <w:u w:val="single"/>
            <w:lang w:eastAsia="en-AU"/>
            <w14:ligatures w14:val="none"/>
          </w:rPr>
          <w:t>Department of the Prime Minister and Cabinet website</w:t>
        </w:r>
      </w:hyperlink>
      <w:r w:rsidRPr="00173C61">
        <w:rPr>
          <w:rFonts w:ascii="Arial" w:eastAsia="Times New Roman" w:hAnsi="Arial" w:cs="Arial"/>
          <w:color w:val="1A1B1A" w:themeColor="text1" w:themeShade="80"/>
          <w:kern w:val="0"/>
          <w:sz w:val="16"/>
          <w:szCs w:val="16"/>
          <w:lang w:eastAsia="en-AU"/>
          <w14:ligatures w14:val="none"/>
        </w:rPr>
        <w:t>.</w:t>
      </w:r>
    </w:p>
    <w:p w14:paraId="645E952F" w14:textId="77777777" w:rsidR="00173C61" w:rsidRPr="00173C61" w:rsidRDefault="00173C61" w:rsidP="00173C6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173C61">
        <w:rPr>
          <w:rFonts w:ascii="Arial" w:eastAsia="Times New Roman" w:hAnsi="Arial" w:cs="Arial"/>
          <w:b/>
          <w:bCs/>
          <w:color w:val="1A1B1A" w:themeColor="text1" w:themeShade="80"/>
          <w:kern w:val="0"/>
          <w:sz w:val="16"/>
          <w:szCs w:val="16"/>
          <w:lang w:eastAsia="en-AU"/>
          <w14:ligatures w14:val="none"/>
        </w:rPr>
        <w:t>Disclaimer</w:t>
      </w:r>
    </w:p>
    <w:p w14:paraId="1B8E1D4B" w14:textId="77777777" w:rsidR="00173C61" w:rsidRPr="00173C61" w:rsidRDefault="00173C61" w:rsidP="00173C61">
      <w:pPr>
        <w:spacing w:before="100" w:after="100" w:line="240" w:lineRule="atLeast"/>
        <w:rPr>
          <w:rFonts w:ascii="Arial" w:eastAsia="Times New Roman" w:hAnsi="Arial" w:cs="Times New Roman"/>
          <w:color w:val="1A1B1A" w:themeColor="text1" w:themeShade="80"/>
          <w:kern w:val="0"/>
          <w:sz w:val="16"/>
          <w:lang w:eastAsia="en-AU"/>
          <w14:ligatures w14:val="none"/>
        </w:rPr>
      </w:pPr>
      <w:r w:rsidRPr="00173C61">
        <w:rPr>
          <w:rFonts w:ascii="Arial" w:eastAsia="Times New Roman" w:hAnsi="Arial" w:cs="Times New Roman"/>
          <w:color w:val="1A1B1A" w:themeColor="text1" w:themeShade="80"/>
          <w:kern w:val="0"/>
          <w:sz w:val="16"/>
          <w:lang w:eastAsia="en-AU"/>
          <w14:ligatures w14:val="none"/>
        </w:rPr>
        <w:t xml:space="preserve">The material in or linking from this report may contain the views or recommendations of third parties. Third party material does not necessarily reflect the views of the APVMA, or indicate a commitment to a particular course of action. </w:t>
      </w:r>
      <w:r w:rsidRPr="00173C61">
        <w:rPr>
          <w:rFonts w:ascii="Arial" w:eastAsia="Times New Roman" w:hAnsi="Arial" w:cs="Times New Roman"/>
          <w:bCs/>
          <w:color w:val="1A1B1A" w:themeColor="text1" w:themeShade="80"/>
          <w:kern w:val="0"/>
          <w:sz w:val="16"/>
          <w:lang w:eastAsia="en-AU"/>
          <w14:ligatures w14:val="none"/>
        </w:rPr>
        <w:t>There may be links in this document that will transfer you to external websites. The APVMA does not have responsibility for these websites, nor does linking to or from this document constitute any form of endorsement.</w:t>
      </w:r>
      <w:r w:rsidRPr="00173C61">
        <w:rPr>
          <w:rFonts w:ascii="Arial" w:eastAsia="Times New Roman" w:hAnsi="Arial" w:cs="Times New Roman"/>
          <w:color w:val="1A1B1A" w:themeColor="text1" w:themeShade="80"/>
          <w:kern w:val="0"/>
          <w:sz w:val="16"/>
          <w:lang w:eastAsia="en-AU"/>
          <w14:ligatures w14:val="none"/>
        </w:rPr>
        <w:t xml:space="preserve"> </w:t>
      </w:r>
      <w:r w:rsidRPr="00173C61">
        <w:rPr>
          <w:rFonts w:ascii="Arial" w:eastAsia="Times New Roman" w:hAnsi="Arial" w:cs="Times New Roman"/>
          <w:bCs/>
          <w:color w:val="1A1B1A" w:themeColor="text1" w:themeShade="80"/>
          <w:kern w:val="0"/>
          <w:sz w:val="16"/>
          <w:lang w:eastAsia="en-AU"/>
          <w14:ligatures w14:val="none"/>
        </w:rPr>
        <w:t>The APVMA is not responsible for any errors, omissions or matters of interpretation in any third-party information contained within this document.</w:t>
      </w:r>
    </w:p>
    <w:p w14:paraId="36068B55" w14:textId="77777777" w:rsidR="00173C61" w:rsidRPr="00173C61" w:rsidRDefault="00173C61" w:rsidP="00173C61">
      <w:pPr>
        <w:spacing w:before="100" w:after="100" w:line="240" w:lineRule="atLeast"/>
        <w:rPr>
          <w:rFonts w:ascii="Arial" w:eastAsia="Times New Roman" w:hAnsi="Arial" w:cs="Arial"/>
          <w:b/>
          <w:bCs/>
          <w:color w:val="1A1B1A" w:themeColor="text1" w:themeShade="80"/>
          <w:kern w:val="0"/>
          <w:sz w:val="16"/>
          <w:szCs w:val="16"/>
          <w:lang w:eastAsia="en-AU"/>
          <w14:ligatures w14:val="none"/>
        </w:rPr>
      </w:pPr>
      <w:r w:rsidRPr="00173C61">
        <w:rPr>
          <w:rFonts w:ascii="Arial" w:eastAsia="Times New Roman" w:hAnsi="Arial" w:cs="Arial"/>
          <w:b/>
          <w:bCs/>
          <w:color w:val="1A1B1A" w:themeColor="text1" w:themeShade="80"/>
          <w:kern w:val="0"/>
          <w:sz w:val="16"/>
          <w:szCs w:val="16"/>
          <w:lang w:eastAsia="en-AU"/>
          <w14:ligatures w14:val="none"/>
        </w:rPr>
        <w:t>Comments and enquiries regarding copyright:</w:t>
      </w:r>
    </w:p>
    <w:p w14:paraId="341C017D" w14:textId="15176E36" w:rsidR="00173C61" w:rsidRPr="00173C61" w:rsidRDefault="00173C61" w:rsidP="00173C61">
      <w:pPr>
        <w:spacing w:before="100" w:after="100" w:line="240" w:lineRule="atLeast"/>
        <w:rPr>
          <w:rFonts w:ascii="Arial" w:eastAsia="Times New Roman" w:hAnsi="Arial" w:cs="Arial"/>
          <w:color w:val="1A1B1A" w:themeColor="text1" w:themeShade="80"/>
          <w:kern w:val="0"/>
          <w:sz w:val="16"/>
          <w:szCs w:val="16"/>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Assistant Director, Communications</w:t>
      </w:r>
      <w:r w:rsidRPr="00173C61">
        <w:rPr>
          <w:rFonts w:ascii="Arial" w:eastAsia="Times New Roman" w:hAnsi="Arial" w:cs="Arial"/>
          <w:color w:val="1A1B1A" w:themeColor="text1" w:themeShade="80"/>
          <w:kern w:val="0"/>
          <w:sz w:val="16"/>
          <w:szCs w:val="16"/>
          <w:lang w:eastAsia="en-AU"/>
          <w14:ligatures w14:val="none"/>
        </w:rPr>
        <w:br/>
        <w:t>Australian Pesticides and Veterinary Medicines Authority</w:t>
      </w:r>
      <w:r w:rsidRPr="00173C61">
        <w:rPr>
          <w:rFonts w:ascii="Arial" w:eastAsia="Times New Roman" w:hAnsi="Arial" w:cs="Arial"/>
          <w:color w:val="1A1B1A" w:themeColor="text1" w:themeShade="80"/>
          <w:kern w:val="0"/>
          <w:sz w:val="16"/>
          <w:szCs w:val="16"/>
          <w:lang w:eastAsia="en-AU"/>
          <w14:ligatures w14:val="none"/>
        </w:rPr>
        <w:br/>
        <w:t xml:space="preserve">GPO </w:t>
      </w:r>
      <w:r w:rsidR="0017134F" w:rsidRPr="0017134F">
        <w:rPr>
          <w:rFonts w:ascii="Arial" w:eastAsia="Times New Roman" w:hAnsi="Arial" w:cs="Arial"/>
          <w:color w:val="1A1B1A" w:themeColor="text1" w:themeShade="80"/>
          <w:kern w:val="0"/>
          <w:sz w:val="16"/>
          <w:szCs w:val="16"/>
          <w:lang w:eastAsia="en-AU"/>
          <w14:ligatures w14:val="none"/>
        </w:rPr>
        <w:t xml:space="preserve">Box 574 </w:t>
      </w:r>
      <w:r w:rsidRPr="00173C61">
        <w:rPr>
          <w:rFonts w:ascii="Arial" w:eastAsia="Times New Roman" w:hAnsi="Arial" w:cs="Arial"/>
          <w:color w:val="1A1B1A" w:themeColor="text1" w:themeShade="80"/>
          <w:kern w:val="0"/>
          <w:sz w:val="16"/>
          <w:szCs w:val="16"/>
          <w:lang w:eastAsia="en-AU"/>
          <w14:ligatures w14:val="none"/>
        </w:rPr>
        <w:br/>
      </w:r>
      <w:r w:rsidR="0017134F" w:rsidRPr="0017134F">
        <w:rPr>
          <w:rFonts w:ascii="Arial" w:eastAsia="Times New Roman" w:hAnsi="Arial" w:cs="Arial"/>
          <w:color w:val="1A1B1A" w:themeColor="text1" w:themeShade="80"/>
          <w:kern w:val="0"/>
          <w:sz w:val="16"/>
          <w:szCs w:val="16"/>
          <w:lang w:eastAsia="en-AU"/>
          <w14:ligatures w14:val="none"/>
        </w:rPr>
        <w:t>Canberra ACT 2601, Australia</w:t>
      </w:r>
    </w:p>
    <w:p w14:paraId="79EEC3DC" w14:textId="650531B0" w:rsidR="00173C61" w:rsidRPr="00173C61" w:rsidRDefault="00173C61" w:rsidP="00173C61">
      <w:pPr>
        <w:spacing w:before="100" w:after="100" w:line="240" w:lineRule="atLeast"/>
        <w:rPr>
          <w:rFonts w:ascii="Arial" w:eastAsia="Times New Roman" w:hAnsi="Arial" w:cs="Arial"/>
          <w:color w:val="0000FF"/>
          <w:kern w:val="0"/>
          <w:sz w:val="16"/>
          <w:szCs w:val="16"/>
          <w:u w:val="single"/>
          <w:lang w:eastAsia="en-AU"/>
          <w14:ligatures w14:val="none"/>
        </w:rPr>
      </w:pPr>
      <w:r w:rsidRPr="00173C61">
        <w:rPr>
          <w:rFonts w:ascii="Arial" w:eastAsia="Times New Roman" w:hAnsi="Arial" w:cs="Arial"/>
          <w:color w:val="1A1B1A" w:themeColor="text1" w:themeShade="80"/>
          <w:kern w:val="0"/>
          <w:sz w:val="16"/>
          <w:szCs w:val="16"/>
          <w:lang w:eastAsia="en-AU"/>
          <w14:ligatures w14:val="none"/>
        </w:rPr>
        <w:t>Telephone: +61 2 6770 2300</w:t>
      </w:r>
      <w:r>
        <w:rPr>
          <w:rFonts w:ascii="Arial" w:eastAsia="Times New Roman" w:hAnsi="Arial" w:cs="Arial"/>
          <w:color w:val="1A1B1A" w:themeColor="text1" w:themeShade="80"/>
          <w:kern w:val="0"/>
          <w:sz w:val="16"/>
          <w:szCs w:val="16"/>
          <w:lang w:eastAsia="en-AU"/>
          <w14:ligatures w14:val="none"/>
        </w:rPr>
        <w:br/>
      </w:r>
      <w:r w:rsidRPr="00173C61">
        <w:rPr>
          <w:rFonts w:ascii="Arial" w:eastAsia="Times New Roman" w:hAnsi="Arial" w:cs="Arial"/>
          <w:color w:val="1A1B1A" w:themeColor="text1" w:themeShade="80"/>
          <w:kern w:val="0"/>
          <w:sz w:val="16"/>
          <w:szCs w:val="16"/>
          <w:lang w:eastAsia="en-AU"/>
          <w14:ligatures w14:val="none"/>
        </w:rPr>
        <w:t xml:space="preserve">Email: </w:t>
      </w:r>
      <w:hyperlink r:id="rId16" w:history="1">
        <w:r w:rsidRPr="00173C61">
          <w:rPr>
            <w:rFonts w:ascii="Arial" w:eastAsia="Times New Roman" w:hAnsi="Arial" w:cs="Arial"/>
            <w:color w:val="0000FF"/>
            <w:kern w:val="0"/>
            <w:sz w:val="16"/>
            <w:szCs w:val="16"/>
            <w:u w:val="single"/>
            <w:lang w:eastAsia="en-AU"/>
            <w14:ligatures w14:val="none"/>
          </w:rPr>
          <w:t>communications@apvma.gov.au</w:t>
        </w:r>
      </w:hyperlink>
      <w:r w:rsidRPr="00173C61">
        <w:rPr>
          <w:rFonts w:ascii="Arial" w:eastAsia="Times New Roman" w:hAnsi="Arial" w:cs="Arial"/>
          <w:color w:val="0000FF"/>
          <w:kern w:val="0"/>
          <w:sz w:val="16"/>
          <w:szCs w:val="16"/>
          <w:u w:val="single"/>
          <w:lang w:eastAsia="en-AU"/>
          <w14:ligatures w14:val="none"/>
        </w:rPr>
        <w:t>.</w:t>
      </w:r>
    </w:p>
    <w:p w14:paraId="57DCD172" w14:textId="03A7695C" w:rsidR="00173C61" w:rsidRPr="00173C61" w:rsidRDefault="00173C61" w:rsidP="00173C61">
      <w:pPr>
        <w:spacing w:before="100" w:after="100" w:line="240" w:lineRule="atLeast"/>
        <w:rPr>
          <w:rFonts w:ascii="Arial" w:eastAsia="Times New Roman" w:hAnsi="Arial" w:cs="Times New Roman"/>
          <w:color w:val="1A1B1A" w:themeColor="text1" w:themeShade="80"/>
          <w:kern w:val="0"/>
          <w:sz w:val="16"/>
          <w:szCs w:val="16"/>
          <w14:ligatures w14:val="none"/>
        </w:rPr>
        <w:sectPr w:rsidR="00173C61" w:rsidRPr="00173C61" w:rsidSect="00173C61">
          <w:pgSz w:w="11906" w:h="16838" w:code="9"/>
          <w:pgMar w:top="2127" w:right="1134" w:bottom="1134" w:left="1134" w:header="1701" w:footer="450" w:gutter="0"/>
          <w:pgNumType w:fmt="lowerRoman"/>
          <w:cols w:space="708"/>
          <w:docGrid w:linePitch="360"/>
        </w:sectPr>
      </w:pPr>
      <w:r w:rsidRPr="00173C61">
        <w:rPr>
          <w:rFonts w:ascii="Arial" w:eastAsia="Times New Roman" w:hAnsi="Arial" w:cs="Times New Roman"/>
          <w:color w:val="1A1B1A" w:themeColor="text1" w:themeShade="80"/>
          <w:kern w:val="0"/>
          <w:sz w:val="16"/>
          <w:szCs w:val="16"/>
          <w:lang w:eastAsia="en-AU"/>
          <w14:ligatures w14:val="none"/>
        </w:rPr>
        <w:t xml:space="preserve">This publication is available from the </w:t>
      </w:r>
      <w:hyperlink r:id="rId17" w:history="1">
        <w:r w:rsidRPr="00173C61">
          <w:rPr>
            <w:rFonts w:ascii="Arial" w:eastAsia="Times New Roman" w:hAnsi="Arial" w:cs="Times New Roman"/>
            <w:color w:val="0000FF"/>
            <w:kern w:val="0"/>
            <w:sz w:val="16"/>
            <w:szCs w:val="16"/>
            <w:u w:val="single"/>
            <w:lang w:eastAsia="en-AU"/>
            <w14:ligatures w14:val="none"/>
          </w:rPr>
          <w:t>APVMA website</w:t>
        </w:r>
      </w:hyperlink>
      <w:r w:rsidRPr="00173C61">
        <w:rPr>
          <w:rFonts w:ascii="Arial" w:eastAsia="Times New Roman" w:hAnsi="Arial" w:cs="Times New Roman"/>
          <w:color w:val="1A1B1A" w:themeColor="text1" w:themeShade="80"/>
          <w:kern w:val="0"/>
          <w:sz w:val="16"/>
          <w:szCs w:val="16"/>
          <w:lang w:eastAsia="en-AU"/>
          <w14:ligatures w14:val="none"/>
        </w:rPr>
        <w:t>.</w:t>
      </w:r>
    </w:p>
    <w:p w14:paraId="0E9E7E2A" w14:textId="77777777" w:rsidR="00B05454" w:rsidRPr="002A3239" w:rsidRDefault="00B05454" w:rsidP="00173C61">
      <w:pPr>
        <w:pStyle w:val="TOCH1"/>
        <w:numPr>
          <w:ilvl w:val="0"/>
          <w:numId w:val="0"/>
        </w:numPr>
        <w:rPr>
          <w:rFonts w:ascii="Arial" w:hAnsi="Arial"/>
          <w:sz w:val="18"/>
        </w:rPr>
      </w:pPr>
      <w:r w:rsidRPr="00DC0950">
        <w:lastRenderedPageBreak/>
        <w:t>Content</w:t>
      </w:r>
      <w:r w:rsidRPr="00FB0015">
        <w:t>s</w:t>
      </w:r>
    </w:p>
    <w:p w14:paraId="20D0B8FA" w14:textId="14ABB07F" w:rsidR="008B1ACD" w:rsidRDefault="00B05454">
      <w:pPr>
        <w:pStyle w:val="TOC1"/>
        <w:rPr>
          <w:rFonts w:asciiTheme="minorHAnsi" w:eastAsiaTheme="minorEastAsia" w:hAnsiTheme="minorHAnsi" w:cstheme="minorBidi"/>
          <w:bCs w:val="0"/>
          <w:color w:val="auto"/>
          <w:kern w:val="2"/>
          <w:sz w:val="24"/>
          <w:szCs w:val="24"/>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216695527" w:history="1">
        <w:r w:rsidR="008B1ACD" w:rsidRPr="00491FE3">
          <w:rPr>
            <w:rStyle w:val="Hyperlink"/>
          </w:rPr>
          <w:t>Preface</w:t>
        </w:r>
        <w:r w:rsidR="008B1ACD">
          <w:rPr>
            <w:webHidden/>
          </w:rPr>
          <w:tab/>
        </w:r>
        <w:r w:rsidR="008B1ACD">
          <w:rPr>
            <w:webHidden/>
          </w:rPr>
          <w:fldChar w:fldCharType="begin"/>
        </w:r>
        <w:r w:rsidR="008B1ACD">
          <w:rPr>
            <w:webHidden/>
          </w:rPr>
          <w:instrText xml:space="preserve"> PAGEREF _Toc216695527 \h </w:instrText>
        </w:r>
        <w:r w:rsidR="008B1ACD">
          <w:rPr>
            <w:webHidden/>
          </w:rPr>
        </w:r>
        <w:r w:rsidR="008B1ACD">
          <w:rPr>
            <w:webHidden/>
          </w:rPr>
          <w:fldChar w:fldCharType="separate"/>
        </w:r>
        <w:r w:rsidR="003861AC">
          <w:rPr>
            <w:webHidden/>
          </w:rPr>
          <w:t>1</w:t>
        </w:r>
        <w:r w:rsidR="008B1ACD">
          <w:rPr>
            <w:webHidden/>
          </w:rPr>
          <w:fldChar w:fldCharType="end"/>
        </w:r>
      </w:hyperlink>
    </w:p>
    <w:p w14:paraId="0255254B" w14:textId="18B0AD7D" w:rsidR="008B1ACD" w:rsidRDefault="008B1ACD">
      <w:pPr>
        <w:pStyle w:val="TOC2"/>
        <w:rPr>
          <w:rFonts w:eastAsiaTheme="minorEastAsia"/>
          <w:b w:val="0"/>
          <w:color w:val="auto"/>
          <w:sz w:val="24"/>
          <w:lang w:eastAsia="en-AU"/>
        </w:rPr>
      </w:pPr>
      <w:hyperlink w:anchor="_Toc216695528" w:history="1">
        <w:r w:rsidRPr="00491FE3">
          <w:rPr>
            <w:rStyle w:val="Hyperlink"/>
          </w:rPr>
          <w:t>About this document</w:t>
        </w:r>
        <w:r>
          <w:rPr>
            <w:webHidden/>
          </w:rPr>
          <w:tab/>
        </w:r>
        <w:r>
          <w:rPr>
            <w:webHidden/>
          </w:rPr>
          <w:fldChar w:fldCharType="begin"/>
        </w:r>
        <w:r>
          <w:rPr>
            <w:webHidden/>
          </w:rPr>
          <w:instrText xml:space="preserve"> PAGEREF _Toc216695528 \h </w:instrText>
        </w:r>
        <w:r>
          <w:rPr>
            <w:webHidden/>
          </w:rPr>
        </w:r>
        <w:r>
          <w:rPr>
            <w:webHidden/>
          </w:rPr>
          <w:fldChar w:fldCharType="separate"/>
        </w:r>
        <w:r w:rsidR="003861AC">
          <w:rPr>
            <w:webHidden/>
          </w:rPr>
          <w:t>1</w:t>
        </w:r>
        <w:r>
          <w:rPr>
            <w:webHidden/>
          </w:rPr>
          <w:fldChar w:fldCharType="end"/>
        </w:r>
      </w:hyperlink>
    </w:p>
    <w:p w14:paraId="178452E4" w14:textId="067B3456"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529" w:history="1">
        <w:r w:rsidRPr="00491FE3">
          <w:rPr>
            <w:rStyle w:val="Hyperlink"/>
          </w:rPr>
          <w:t>Executive Summary</w:t>
        </w:r>
        <w:r>
          <w:rPr>
            <w:webHidden/>
          </w:rPr>
          <w:tab/>
        </w:r>
        <w:r>
          <w:rPr>
            <w:webHidden/>
          </w:rPr>
          <w:fldChar w:fldCharType="begin"/>
        </w:r>
        <w:r>
          <w:rPr>
            <w:webHidden/>
          </w:rPr>
          <w:instrText xml:space="preserve"> PAGEREF _Toc216695529 \h </w:instrText>
        </w:r>
        <w:r>
          <w:rPr>
            <w:webHidden/>
          </w:rPr>
        </w:r>
        <w:r>
          <w:rPr>
            <w:webHidden/>
          </w:rPr>
          <w:fldChar w:fldCharType="separate"/>
        </w:r>
        <w:r w:rsidR="003861AC">
          <w:rPr>
            <w:webHidden/>
          </w:rPr>
          <w:t>2</w:t>
        </w:r>
        <w:r>
          <w:rPr>
            <w:webHidden/>
          </w:rPr>
          <w:fldChar w:fldCharType="end"/>
        </w:r>
      </w:hyperlink>
    </w:p>
    <w:p w14:paraId="4A6CA17D" w14:textId="19DFFF1C" w:rsidR="008B1ACD" w:rsidRDefault="008B1ACD">
      <w:pPr>
        <w:pStyle w:val="TOC2"/>
        <w:rPr>
          <w:rFonts w:eastAsiaTheme="minorEastAsia"/>
          <w:b w:val="0"/>
          <w:color w:val="auto"/>
          <w:sz w:val="24"/>
          <w:lang w:eastAsia="en-AU"/>
        </w:rPr>
      </w:pPr>
      <w:hyperlink w:anchor="_Toc216695530" w:history="1">
        <w:r w:rsidRPr="00491FE3">
          <w:rPr>
            <w:rStyle w:val="Hyperlink"/>
          </w:rPr>
          <w:t>History of Anticoagulant Rodenticides in Australia</w:t>
        </w:r>
        <w:r>
          <w:rPr>
            <w:webHidden/>
          </w:rPr>
          <w:tab/>
        </w:r>
        <w:r>
          <w:rPr>
            <w:webHidden/>
          </w:rPr>
          <w:fldChar w:fldCharType="begin"/>
        </w:r>
        <w:r>
          <w:rPr>
            <w:webHidden/>
          </w:rPr>
          <w:instrText xml:space="preserve"> PAGEREF _Toc216695530 \h </w:instrText>
        </w:r>
        <w:r>
          <w:rPr>
            <w:webHidden/>
          </w:rPr>
        </w:r>
        <w:r>
          <w:rPr>
            <w:webHidden/>
          </w:rPr>
          <w:fldChar w:fldCharType="separate"/>
        </w:r>
        <w:r w:rsidR="003861AC">
          <w:rPr>
            <w:webHidden/>
          </w:rPr>
          <w:t>2</w:t>
        </w:r>
        <w:r>
          <w:rPr>
            <w:webHidden/>
          </w:rPr>
          <w:fldChar w:fldCharType="end"/>
        </w:r>
      </w:hyperlink>
    </w:p>
    <w:p w14:paraId="447C0CC8" w14:textId="668B15E5" w:rsidR="008B1ACD" w:rsidRDefault="008B1ACD">
      <w:pPr>
        <w:pStyle w:val="TOC3"/>
        <w:rPr>
          <w:rFonts w:eastAsiaTheme="minorEastAsia"/>
          <w:sz w:val="24"/>
          <w:lang w:eastAsia="en-AU"/>
        </w:rPr>
      </w:pPr>
      <w:hyperlink w:anchor="_Toc216695531" w:history="1">
        <w:r w:rsidRPr="00491FE3">
          <w:rPr>
            <w:rStyle w:val="Hyperlink"/>
          </w:rPr>
          <w:t>What are anticoagulant rodenticides and how do they work?</w:t>
        </w:r>
        <w:r>
          <w:rPr>
            <w:webHidden/>
          </w:rPr>
          <w:tab/>
        </w:r>
        <w:r>
          <w:rPr>
            <w:webHidden/>
          </w:rPr>
          <w:fldChar w:fldCharType="begin"/>
        </w:r>
        <w:r>
          <w:rPr>
            <w:webHidden/>
          </w:rPr>
          <w:instrText xml:space="preserve"> PAGEREF _Toc216695531 \h </w:instrText>
        </w:r>
        <w:r>
          <w:rPr>
            <w:webHidden/>
          </w:rPr>
        </w:r>
        <w:r>
          <w:rPr>
            <w:webHidden/>
          </w:rPr>
          <w:fldChar w:fldCharType="separate"/>
        </w:r>
        <w:r w:rsidR="003861AC">
          <w:rPr>
            <w:webHidden/>
          </w:rPr>
          <w:t>2</w:t>
        </w:r>
        <w:r>
          <w:rPr>
            <w:webHidden/>
          </w:rPr>
          <w:fldChar w:fldCharType="end"/>
        </w:r>
      </w:hyperlink>
    </w:p>
    <w:p w14:paraId="66031C5C" w14:textId="5860FF6A" w:rsidR="008B1ACD" w:rsidRDefault="008B1ACD">
      <w:pPr>
        <w:pStyle w:val="TOC3"/>
        <w:rPr>
          <w:rFonts w:eastAsiaTheme="minorEastAsia"/>
          <w:sz w:val="24"/>
          <w:lang w:eastAsia="en-AU"/>
        </w:rPr>
      </w:pPr>
      <w:hyperlink w:anchor="_Toc216695532" w:history="1">
        <w:r w:rsidRPr="00491FE3">
          <w:rPr>
            <w:rStyle w:val="Hyperlink"/>
          </w:rPr>
          <w:t>Where and how are anticoagulant rodenticides currently used in Australia?</w:t>
        </w:r>
        <w:r>
          <w:rPr>
            <w:webHidden/>
          </w:rPr>
          <w:tab/>
        </w:r>
        <w:r>
          <w:rPr>
            <w:webHidden/>
          </w:rPr>
          <w:fldChar w:fldCharType="begin"/>
        </w:r>
        <w:r>
          <w:rPr>
            <w:webHidden/>
          </w:rPr>
          <w:instrText xml:space="preserve"> PAGEREF _Toc216695532 \h </w:instrText>
        </w:r>
        <w:r>
          <w:rPr>
            <w:webHidden/>
          </w:rPr>
        </w:r>
        <w:r>
          <w:rPr>
            <w:webHidden/>
          </w:rPr>
          <w:fldChar w:fldCharType="separate"/>
        </w:r>
        <w:r w:rsidR="003861AC">
          <w:rPr>
            <w:webHidden/>
          </w:rPr>
          <w:t>3</w:t>
        </w:r>
        <w:r>
          <w:rPr>
            <w:webHidden/>
          </w:rPr>
          <w:fldChar w:fldCharType="end"/>
        </w:r>
      </w:hyperlink>
    </w:p>
    <w:p w14:paraId="2063EF1C" w14:textId="79FD550B" w:rsidR="008B1ACD" w:rsidRDefault="008B1ACD">
      <w:pPr>
        <w:pStyle w:val="TOC3"/>
        <w:rPr>
          <w:rFonts w:eastAsiaTheme="minorEastAsia"/>
          <w:sz w:val="24"/>
          <w:lang w:eastAsia="en-AU"/>
        </w:rPr>
      </w:pPr>
      <w:hyperlink w:anchor="_Toc216695533" w:history="1">
        <w:r w:rsidRPr="00491FE3">
          <w:rPr>
            <w:rStyle w:val="Hyperlink"/>
          </w:rPr>
          <w:t>How are anticoagulant rodenticides used around the world?</w:t>
        </w:r>
        <w:r>
          <w:rPr>
            <w:webHidden/>
          </w:rPr>
          <w:tab/>
        </w:r>
        <w:r>
          <w:rPr>
            <w:webHidden/>
          </w:rPr>
          <w:fldChar w:fldCharType="begin"/>
        </w:r>
        <w:r>
          <w:rPr>
            <w:webHidden/>
          </w:rPr>
          <w:instrText xml:space="preserve"> PAGEREF _Toc216695533 \h </w:instrText>
        </w:r>
        <w:r>
          <w:rPr>
            <w:webHidden/>
          </w:rPr>
        </w:r>
        <w:r>
          <w:rPr>
            <w:webHidden/>
          </w:rPr>
          <w:fldChar w:fldCharType="separate"/>
        </w:r>
        <w:r w:rsidR="003861AC">
          <w:rPr>
            <w:webHidden/>
          </w:rPr>
          <w:t>4</w:t>
        </w:r>
        <w:r>
          <w:rPr>
            <w:webHidden/>
          </w:rPr>
          <w:fldChar w:fldCharType="end"/>
        </w:r>
      </w:hyperlink>
    </w:p>
    <w:p w14:paraId="34D8B80D" w14:textId="54635BEA" w:rsidR="008B1ACD" w:rsidRDefault="008B1ACD">
      <w:pPr>
        <w:pStyle w:val="TOC2"/>
        <w:rPr>
          <w:rFonts w:eastAsiaTheme="minorEastAsia"/>
          <w:b w:val="0"/>
          <w:color w:val="auto"/>
          <w:sz w:val="24"/>
          <w:lang w:eastAsia="en-AU"/>
        </w:rPr>
      </w:pPr>
      <w:hyperlink w:anchor="_Toc216695534" w:history="1">
        <w:r w:rsidRPr="00491FE3">
          <w:rPr>
            <w:rStyle w:val="Hyperlink"/>
          </w:rPr>
          <w:t>Timeline of the reconsideration</w:t>
        </w:r>
        <w:r>
          <w:rPr>
            <w:webHidden/>
          </w:rPr>
          <w:tab/>
        </w:r>
        <w:r>
          <w:rPr>
            <w:webHidden/>
          </w:rPr>
          <w:fldChar w:fldCharType="begin"/>
        </w:r>
        <w:r>
          <w:rPr>
            <w:webHidden/>
          </w:rPr>
          <w:instrText xml:space="preserve"> PAGEREF _Toc216695534 \h </w:instrText>
        </w:r>
        <w:r>
          <w:rPr>
            <w:webHidden/>
          </w:rPr>
        </w:r>
        <w:r>
          <w:rPr>
            <w:webHidden/>
          </w:rPr>
          <w:fldChar w:fldCharType="separate"/>
        </w:r>
        <w:r w:rsidR="003861AC">
          <w:rPr>
            <w:webHidden/>
          </w:rPr>
          <w:t>4</w:t>
        </w:r>
        <w:r>
          <w:rPr>
            <w:webHidden/>
          </w:rPr>
          <w:fldChar w:fldCharType="end"/>
        </w:r>
      </w:hyperlink>
    </w:p>
    <w:p w14:paraId="79198B02" w14:textId="1B3A97B8" w:rsidR="008B1ACD" w:rsidRDefault="008B1ACD">
      <w:pPr>
        <w:pStyle w:val="TOC2"/>
        <w:rPr>
          <w:rFonts w:eastAsiaTheme="minorEastAsia"/>
          <w:b w:val="0"/>
          <w:color w:val="auto"/>
          <w:sz w:val="24"/>
          <w:lang w:eastAsia="en-AU"/>
        </w:rPr>
      </w:pPr>
      <w:hyperlink w:anchor="_Toc216695535" w:history="1">
        <w:r w:rsidRPr="00491FE3">
          <w:rPr>
            <w:rStyle w:val="Hyperlink"/>
          </w:rPr>
          <w:t>Risk assessments completed, information considered and key findings</w:t>
        </w:r>
        <w:r>
          <w:rPr>
            <w:webHidden/>
          </w:rPr>
          <w:tab/>
        </w:r>
        <w:r>
          <w:rPr>
            <w:webHidden/>
          </w:rPr>
          <w:fldChar w:fldCharType="begin"/>
        </w:r>
        <w:r>
          <w:rPr>
            <w:webHidden/>
          </w:rPr>
          <w:instrText xml:space="preserve"> PAGEREF _Toc216695535 \h </w:instrText>
        </w:r>
        <w:r>
          <w:rPr>
            <w:webHidden/>
          </w:rPr>
        </w:r>
        <w:r>
          <w:rPr>
            <w:webHidden/>
          </w:rPr>
          <w:fldChar w:fldCharType="separate"/>
        </w:r>
        <w:r w:rsidR="003861AC">
          <w:rPr>
            <w:webHidden/>
          </w:rPr>
          <w:t>4</w:t>
        </w:r>
        <w:r>
          <w:rPr>
            <w:webHidden/>
          </w:rPr>
          <w:fldChar w:fldCharType="end"/>
        </w:r>
      </w:hyperlink>
    </w:p>
    <w:p w14:paraId="63F6C615" w14:textId="41C7AADD" w:rsidR="008B1ACD" w:rsidRDefault="008B1ACD">
      <w:pPr>
        <w:pStyle w:val="TOC3"/>
        <w:rPr>
          <w:rFonts w:eastAsiaTheme="minorEastAsia"/>
          <w:sz w:val="24"/>
          <w:lang w:eastAsia="en-AU"/>
        </w:rPr>
      </w:pPr>
      <w:hyperlink w:anchor="_Toc216695536" w:history="1">
        <w:r w:rsidRPr="00491FE3">
          <w:rPr>
            <w:rStyle w:val="Hyperlink"/>
          </w:rPr>
          <w:t>Chemistry and Manufacture</w:t>
        </w:r>
        <w:r>
          <w:rPr>
            <w:webHidden/>
          </w:rPr>
          <w:tab/>
        </w:r>
        <w:r>
          <w:rPr>
            <w:webHidden/>
          </w:rPr>
          <w:fldChar w:fldCharType="begin"/>
        </w:r>
        <w:r>
          <w:rPr>
            <w:webHidden/>
          </w:rPr>
          <w:instrText xml:space="preserve"> PAGEREF _Toc216695536 \h </w:instrText>
        </w:r>
        <w:r>
          <w:rPr>
            <w:webHidden/>
          </w:rPr>
        </w:r>
        <w:r>
          <w:rPr>
            <w:webHidden/>
          </w:rPr>
          <w:fldChar w:fldCharType="separate"/>
        </w:r>
        <w:r w:rsidR="003861AC">
          <w:rPr>
            <w:webHidden/>
          </w:rPr>
          <w:t>5</w:t>
        </w:r>
        <w:r>
          <w:rPr>
            <w:webHidden/>
          </w:rPr>
          <w:fldChar w:fldCharType="end"/>
        </w:r>
      </w:hyperlink>
    </w:p>
    <w:p w14:paraId="0D1A054C" w14:textId="33E09805" w:rsidR="008B1ACD" w:rsidRDefault="008B1ACD">
      <w:pPr>
        <w:pStyle w:val="TOC3"/>
        <w:rPr>
          <w:rFonts w:eastAsiaTheme="minorEastAsia"/>
          <w:sz w:val="24"/>
          <w:lang w:eastAsia="en-AU"/>
        </w:rPr>
      </w:pPr>
      <w:hyperlink w:anchor="_Toc216695537" w:history="1">
        <w:r w:rsidRPr="00491FE3">
          <w:rPr>
            <w:rStyle w:val="Hyperlink"/>
          </w:rPr>
          <w:t>Environment</w:t>
        </w:r>
        <w:r>
          <w:rPr>
            <w:webHidden/>
          </w:rPr>
          <w:tab/>
        </w:r>
        <w:r>
          <w:rPr>
            <w:webHidden/>
          </w:rPr>
          <w:fldChar w:fldCharType="begin"/>
        </w:r>
        <w:r>
          <w:rPr>
            <w:webHidden/>
          </w:rPr>
          <w:instrText xml:space="preserve"> PAGEREF _Toc216695537 \h </w:instrText>
        </w:r>
        <w:r>
          <w:rPr>
            <w:webHidden/>
          </w:rPr>
        </w:r>
        <w:r>
          <w:rPr>
            <w:webHidden/>
          </w:rPr>
          <w:fldChar w:fldCharType="separate"/>
        </w:r>
        <w:r w:rsidR="003861AC">
          <w:rPr>
            <w:webHidden/>
          </w:rPr>
          <w:t>5</w:t>
        </w:r>
        <w:r>
          <w:rPr>
            <w:webHidden/>
          </w:rPr>
          <w:fldChar w:fldCharType="end"/>
        </w:r>
      </w:hyperlink>
    </w:p>
    <w:p w14:paraId="3A49FD24" w14:textId="655C42B9" w:rsidR="008B1ACD" w:rsidRDefault="008B1ACD">
      <w:pPr>
        <w:pStyle w:val="TOC3"/>
        <w:rPr>
          <w:rFonts w:eastAsiaTheme="minorEastAsia"/>
          <w:sz w:val="24"/>
          <w:lang w:eastAsia="en-AU"/>
        </w:rPr>
      </w:pPr>
      <w:hyperlink w:anchor="_Toc216695538" w:history="1">
        <w:r w:rsidRPr="00491FE3">
          <w:rPr>
            <w:rStyle w:val="Hyperlink"/>
          </w:rPr>
          <w:t>Toxicology and Human Health</w:t>
        </w:r>
        <w:r>
          <w:rPr>
            <w:webHidden/>
          </w:rPr>
          <w:tab/>
        </w:r>
        <w:r>
          <w:rPr>
            <w:webHidden/>
          </w:rPr>
          <w:fldChar w:fldCharType="begin"/>
        </w:r>
        <w:r>
          <w:rPr>
            <w:webHidden/>
          </w:rPr>
          <w:instrText xml:space="preserve"> PAGEREF _Toc216695538 \h </w:instrText>
        </w:r>
        <w:r>
          <w:rPr>
            <w:webHidden/>
          </w:rPr>
        </w:r>
        <w:r>
          <w:rPr>
            <w:webHidden/>
          </w:rPr>
          <w:fldChar w:fldCharType="separate"/>
        </w:r>
        <w:r w:rsidR="003861AC">
          <w:rPr>
            <w:webHidden/>
          </w:rPr>
          <w:t>7</w:t>
        </w:r>
        <w:r>
          <w:rPr>
            <w:webHidden/>
          </w:rPr>
          <w:fldChar w:fldCharType="end"/>
        </w:r>
      </w:hyperlink>
    </w:p>
    <w:p w14:paraId="43812153" w14:textId="6F68CFC9" w:rsidR="008B1ACD" w:rsidRDefault="008B1ACD">
      <w:pPr>
        <w:pStyle w:val="TOC3"/>
        <w:rPr>
          <w:rFonts w:eastAsiaTheme="minorEastAsia"/>
          <w:sz w:val="24"/>
          <w:lang w:eastAsia="en-AU"/>
        </w:rPr>
      </w:pPr>
      <w:hyperlink w:anchor="_Toc216695539" w:history="1">
        <w:r w:rsidRPr="00491FE3">
          <w:rPr>
            <w:rStyle w:val="Hyperlink"/>
          </w:rPr>
          <w:t>Residues and Trade</w:t>
        </w:r>
        <w:r>
          <w:rPr>
            <w:webHidden/>
          </w:rPr>
          <w:tab/>
        </w:r>
        <w:r>
          <w:rPr>
            <w:webHidden/>
          </w:rPr>
          <w:fldChar w:fldCharType="begin"/>
        </w:r>
        <w:r>
          <w:rPr>
            <w:webHidden/>
          </w:rPr>
          <w:instrText xml:space="preserve"> PAGEREF _Toc216695539 \h </w:instrText>
        </w:r>
        <w:r>
          <w:rPr>
            <w:webHidden/>
          </w:rPr>
        </w:r>
        <w:r>
          <w:rPr>
            <w:webHidden/>
          </w:rPr>
          <w:fldChar w:fldCharType="separate"/>
        </w:r>
        <w:r w:rsidR="003861AC">
          <w:rPr>
            <w:webHidden/>
          </w:rPr>
          <w:t>8</w:t>
        </w:r>
        <w:r>
          <w:rPr>
            <w:webHidden/>
          </w:rPr>
          <w:fldChar w:fldCharType="end"/>
        </w:r>
      </w:hyperlink>
    </w:p>
    <w:p w14:paraId="4BE83F6C" w14:textId="2B4EE844"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540" w:history="1">
        <w:r w:rsidRPr="00491FE3">
          <w:rPr>
            <w:rStyle w:val="Hyperlink"/>
          </w:rPr>
          <w:t>1</w:t>
        </w:r>
        <w:r>
          <w:rPr>
            <w:rFonts w:asciiTheme="minorHAnsi" w:eastAsiaTheme="minorEastAsia" w:hAnsiTheme="minorHAnsi" w:cstheme="minorBidi"/>
            <w:bCs w:val="0"/>
            <w:color w:val="auto"/>
            <w:kern w:val="2"/>
            <w:sz w:val="24"/>
            <w:szCs w:val="24"/>
            <w:lang w:eastAsia="en-AU"/>
          </w:rPr>
          <w:tab/>
        </w:r>
        <w:r w:rsidRPr="00491FE3">
          <w:rPr>
            <w:rStyle w:val="Hyperlink"/>
          </w:rPr>
          <w:t>Introduction</w:t>
        </w:r>
        <w:r>
          <w:rPr>
            <w:webHidden/>
          </w:rPr>
          <w:tab/>
        </w:r>
        <w:r>
          <w:rPr>
            <w:webHidden/>
          </w:rPr>
          <w:fldChar w:fldCharType="begin"/>
        </w:r>
        <w:r>
          <w:rPr>
            <w:webHidden/>
          </w:rPr>
          <w:instrText xml:space="preserve"> PAGEREF _Toc216695540 \h </w:instrText>
        </w:r>
        <w:r>
          <w:rPr>
            <w:webHidden/>
          </w:rPr>
        </w:r>
        <w:r>
          <w:rPr>
            <w:webHidden/>
          </w:rPr>
          <w:fldChar w:fldCharType="separate"/>
        </w:r>
        <w:r w:rsidR="003861AC">
          <w:rPr>
            <w:webHidden/>
          </w:rPr>
          <w:t>10</w:t>
        </w:r>
        <w:r>
          <w:rPr>
            <w:webHidden/>
          </w:rPr>
          <w:fldChar w:fldCharType="end"/>
        </w:r>
      </w:hyperlink>
    </w:p>
    <w:p w14:paraId="27D5FD02" w14:textId="365865C4" w:rsidR="008B1ACD" w:rsidRDefault="008B1ACD">
      <w:pPr>
        <w:pStyle w:val="TOC2"/>
        <w:rPr>
          <w:rFonts w:eastAsiaTheme="minorEastAsia"/>
          <w:b w:val="0"/>
          <w:color w:val="auto"/>
          <w:sz w:val="24"/>
          <w:lang w:eastAsia="en-AU"/>
        </w:rPr>
      </w:pPr>
      <w:hyperlink w:anchor="_Toc216695541" w:history="1">
        <w:r w:rsidRPr="00491FE3">
          <w:rPr>
            <w:rStyle w:val="Hyperlink"/>
          </w:rPr>
          <w:t>1.1</w:t>
        </w:r>
        <w:r>
          <w:rPr>
            <w:rFonts w:eastAsiaTheme="minorEastAsia"/>
            <w:b w:val="0"/>
            <w:color w:val="auto"/>
            <w:sz w:val="24"/>
            <w:lang w:eastAsia="en-AU"/>
          </w:rPr>
          <w:tab/>
        </w:r>
        <w:r w:rsidRPr="00491FE3">
          <w:rPr>
            <w:rStyle w:val="Hyperlink"/>
          </w:rPr>
          <w:t>Purpose of review</w:t>
        </w:r>
        <w:r>
          <w:rPr>
            <w:webHidden/>
          </w:rPr>
          <w:tab/>
        </w:r>
        <w:r>
          <w:rPr>
            <w:webHidden/>
          </w:rPr>
          <w:fldChar w:fldCharType="begin"/>
        </w:r>
        <w:r>
          <w:rPr>
            <w:webHidden/>
          </w:rPr>
          <w:instrText xml:space="preserve"> PAGEREF _Toc216695541 \h </w:instrText>
        </w:r>
        <w:r>
          <w:rPr>
            <w:webHidden/>
          </w:rPr>
        </w:r>
        <w:r>
          <w:rPr>
            <w:webHidden/>
          </w:rPr>
          <w:fldChar w:fldCharType="separate"/>
        </w:r>
        <w:r w:rsidR="003861AC">
          <w:rPr>
            <w:webHidden/>
          </w:rPr>
          <w:t>10</w:t>
        </w:r>
        <w:r>
          <w:rPr>
            <w:webHidden/>
          </w:rPr>
          <w:fldChar w:fldCharType="end"/>
        </w:r>
      </w:hyperlink>
    </w:p>
    <w:p w14:paraId="57580958" w14:textId="06691E75"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542" w:history="1">
        <w:r w:rsidRPr="00491FE3">
          <w:rPr>
            <w:rStyle w:val="Hyperlink"/>
          </w:rPr>
          <w:t>2</w:t>
        </w:r>
        <w:r>
          <w:rPr>
            <w:rFonts w:asciiTheme="minorHAnsi" w:eastAsiaTheme="minorEastAsia" w:hAnsiTheme="minorHAnsi" w:cstheme="minorBidi"/>
            <w:bCs w:val="0"/>
            <w:color w:val="auto"/>
            <w:kern w:val="2"/>
            <w:sz w:val="24"/>
            <w:szCs w:val="24"/>
            <w:lang w:eastAsia="en-AU"/>
          </w:rPr>
          <w:tab/>
        </w:r>
        <w:r w:rsidRPr="00491FE3">
          <w:rPr>
            <w:rStyle w:val="Hyperlink"/>
          </w:rPr>
          <w:t>Chemistry and Manufacture</w:t>
        </w:r>
        <w:r>
          <w:rPr>
            <w:webHidden/>
          </w:rPr>
          <w:tab/>
        </w:r>
        <w:r>
          <w:rPr>
            <w:webHidden/>
          </w:rPr>
          <w:fldChar w:fldCharType="begin"/>
        </w:r>
        <w:r>
          <w:rPr>
            <w:webHidden/>
          </w:rPr>
          <w:instrText xml:space="preserve"> PAGEREF _Toc216695542 \h </w:instrText>
        </w:r>
        <w:r>
          <w:rPr>
            <w:webHidden/>
          </w:rPr>
        </w:r>
        <w:r>
          <w:rPr>
            <w:webHidden/>
          </w:rPr>
          <w:fldChar w:fldCharType="separate"/>
        </w:r>
        <w:r w:rsidR="003861AC">
          <w:rPr>
            <w:webHidden/>
          </w:rPr>
          <w:t>12</w:t>
        </w:r>
        <w:r>
          <w:rPr>
            <w:webHidden/>
          </w:rPr>
          <w:fldChar w:fldCharType="end"/>
        </w:r>
      </w:hyperlink>
    </w:p>
    <w:p w14:paraId="676B6A14" w14:textId="776AAE2E" w:rsidR="008B1ACD" w:rsidRDefault="008B1ACD">
      <w:pPr>
        <w:pStyle w:val="TOC2"/>
        <w:rPr>
          <w:rFonts w:eastAsiaTheme="minorEastAsia"/>
          <w:b w:val="0"/>
          <w:color w:val="auto"/>
          <w:sz w:val="24"/>
          <w:lang w:eastAsia="en-AU"/>
        </w:rPr>
      </w:pPr>
      <w:hyperlink w:anchor="_Toc216695543" w:history="1">
        <w:r w:rsidRPr="00491FE3">
          <w:rPr>
            <w:rStyle w:val="Hyperlink"/>
          </w:rPr>
          <w:t>2.1</w:t>
        </w:r>
        <w:r>
          <w:rPr>
            <w:rFonts w:eastAsiaTheme="minorEastAsia"/>
            <w:b w:val="0"/>
            <w:color w:val="auto"/>
            <w:sz w:val="24"/>
            <w:lang w:eastAsia="en-AU"/>
          </w:rPr>
          <w:tab/>
        </w:r>
        <w:r w:rsidRPr="00491FE3">
          <w:rPr>
            <w:rStyle w:val="Hyperlink"/>
          </w:rPr>
          <w:t>Chemistry and Manufacture – Active Constituents</w:t>
        </w:r>
        <w:r>
          <w:rPr>
            <w:webHidden/>
          </w:rPr>
          <w:tab/>
        </w:r>
        <w:r>
          <w:rPr>
            <w:webHidden/>
          </w:rPr>
          <w:fldChar w:fldCharType="begin"/>
        </w:r>
        <w:r>
          <w:rPr>
            <w:webHidden/>
          </w:rPr>
          <w:instrText xml:space="preserve"> PAGEREF _Toc216695543 \h </w:instrText>
        </w:r>
        <w:r>
          <w:rPr>
            <w:webHidden/>
          </w:rPr>
        </w:r>
        <w:r>
          <w:rPr>
            <w:webHidden/>
          </w:rPr>
          <w:fldChar w:fldCharType="separate"/>
        </w:r>
        <w:r w:rsidR="003861AC">
          <w:rPr>
            <w:webHidden/>
          </w:rPr>
          <w:t>12</w:t>
        </w:r>
        <w:r>
          <w:rPr>
            <w:webHidden/>
          </w:rPr>
          <w:fldChar w:fldCharType="end"/>
        </w:r>
      </w:hyperlink>
    </w:p>
    <w:p w14:paraId="1ED17DCC" w14:textId="3C0759EE" w:rsidR="008B1ACD" w:rsidRDefault="008B1ACD">
      <w:pPr>
        <w:pStyle w:val="TOC3"/>
        <w:tabs>
          <w:tab w:val="left" w:pos="1200"/>
        </w:tabs>
        <w:rPr>
          <w:rFonts w:eastAsiaTheme="minorEastAsia"/>
          <w:sz w:val="24"/>
          <w:lang w:eastAsia="en-AU"/>
        </w:rPr>
      </w:pPr>
      <w:hyperlink w:anchor="_Toc216695544" w:history="1">
        <w:r w:rsidRPr="00491FE3">
          <w:rPr>
            <w:rStyle w:val="Hyperlink"/>
          </w:rPr>
          <w:t>2.1.1</w:t>
        </w:r>
        <w:r>
          <w:rPr>
            <w:rFonts w:eastAsiaTheme="minorEastAsia"/>
            <w:sz w:val="24"/>
            <w:lang w:eastAsia="en-AU"/>
          </w:rPr>
          <w:tab/>
        </w:r>
        <w:r w:rsidRPr="00491FE3">
          <w:rPr>
            <w:rStyle w:val="Hyperlink"/>
          </w:rPr>
          <w:t>Active constituent - Brodifacoum</w:t>
        </w:r>
        <w:r>
          <w:rPr>
            <w:webHidden/>
          </w:rPr>
          <w:tab/>
        </w:r>
        <w:r>
          <w:rPr>
            <w:webHidden/>
          </w:rPr>
          <w:fldChar w:fldCharType="begin"/>
        </w:r>
        <w:r>
          <w:rPr>
            <w:webHidden/>
          </w:rPr>
          <w:instrText xml:space="preserve"> PAGEREF _Toc216695544 \h </w:instrText>
        </w:r>
        <w:r>
          <w:rPr>
            <w:webHidden/>
          </w:rPr>
        </w:r>
        <w:r>
          <w:rPr>
            <w:webHidden/>
          </w:rPr>
          <w:fldChar w:fldCharType="separate"/>
        </w:r>
        <w:r w:rsidR="003861AC">
          <w:rPr>
            <w:webHidden/>
          </w:rPr>
          <w:t>12</w:t>
        </w:r>
        <w:r>
          <w:rPr>
            <w:webHidden/>
          </w:rPr>
          <w:fldChar w:fldCharType="end"/>
        </w:r>
      </w:hyperlink>
    </w:p>
    <w:p w14:paraId="65D3D09A" w14:textId="21B973F4" w:rsidR="008B1ACD" w:rsidRDefault="008B1ACD">
      <w:pPr>
        <w:pStyle w:val="TOC3"/>
        <w:tabs>
          <w:tab w:val="left" w:pos="1200"/>
        </w:tabs>
        <w:rPr>
          <w:rFonts w:eastAsiaTheme="minorEastAsia"/>
          <w:sz w:val="24"/>
          <w:lang w:eastAsia="en-AU"/>
        </w:rPr>
      </w:pPr>
      <w:hyperlink w:anchor="_Toc216695545" w:history="1">
        <w:r w:rsidRPr="00491FE3">
          <w:rPr>
            <w:rStyle w:val="Hyperlink"/>
          </w:rPr>
          <w:t>2.1.2</w:t>
        </w:r>
        <w:r>
          <w:rPr>
            <w:rFonts w:eastAsiaTheme="minorEastAsia"/>
            <w:sz w:val="24"/>
            <w:lang w:eastAsia="en-AU"/>
          </w:rPr>
          <w:tab/>
        </w:r>
        <w:r w:rsidRPr="00491FE3">
          <w:rPr>
            <w:rStyle w:val="Hyperlink"/>
          </w:rPr>
          <w:t>Active constituent - Bromadiolone</w:t>
        </w:r>
        <w:r>
          <w:rPr>
            <w:webHidden/>
          </w:rPr>
          <w:tab/>
        </w:r>
        <w:r>
          <w:rPr>
            <w:webHidden/>
          </w:rPr>
          <w:fldChar w:fldCharType="begin"/>
        </w:r>
        <w:r>
          <w:rPr>
            <w:webHidden/>
          </w:rPr>
          <w:instrText xml:space="preserve"> PAGEREF _Toc216695545 \h </w:instrText>
        </w:r>
        <w:r>
          <w:rPr>
            <w:webHidden/>
          </w:rPr>
        </w:r>
        <w:r>
          <w:rPr>
            <w:webHidden/>
          </w:rPr>
          <w:fldChar w:fldCharType="separate"/>
        </w:r>
        <w:r w:rsidR="003861AC">
          <w:rPr>
            <w:webHidden/>
          </w:rPr>
          <w:t>16</w:t>
        </w:r>
        <w:r>
          <w:rPr>
            <w:webHidden/>
          </w:rPr>
          <w:fldChar w:fldCharType="end"/>
        </w:r>
      </w:hyperlink>
    </w:p>
    <w:p w14:paraId="09F68774" w14:textId="7F60263F" w:rsidR="008B1ACD" w:rsidRDefault="008B1ACD">
      <w:pPr>
        <w:pStyle w:val="TOC3"/>
        <w:tabs>
          <w:tab w:val="left" w:pos="1200"/>
        </w:tabs>
        <w:rPr>
          <w:rFonts w:eastAsiaTheme="minorEastAsia"/>
          <w:sz w:val="24"/>
          <w:lang w:eastAsia="en-AU"/>
        </w:rPr>
      </w:pPr>
      <w:hyperlink w:anchor="_Toc216695546" w:history="1">
        <w:r w:rsidRPr="00491FE3">
          <w:rPr>
            <w:rStyle w:val="Hyperlink"/>
          </w:rPr>
          <w:t>2.1.3</w:t>
        </w:r>
        <w:r>
          <w:rPr>
            <w:rFonts w:eastAsiaTheme="minorEastAsia"/>
            <w:sz w:val="24"/>
            <w:lang w:eastAsia="en-AU"/>
          </w:rPr>
          <w:tab/>
        </w:r>
        <w:r w:rsidRPr="00491FE3">
          <w:rPr>
            <w:rStyle w:val="Hyperlink"/>
          </w:rPr>
          <w:t>Active constituent - Coumatetralyl</w:t>
        </w:r>
        <w:r>
          <w:rPr>
            <w:webHidden/>
          </w:rPr>
          <w:tab/>
        </w:r>
        <w:r>
          <w:rPr>
            <w:webHidden/>
          </w:rPr>
          <w:fldChar w:fldCharType="begin"/>
        </w:r>
        <w:r>
          <w:rPr>
            <w:webHidden/>
          </w:rPr>
          <w:instrText xml:space="preserve"> PAGEREF _Toc216695546 \h </w:instrText>
        </w:r>
        <w:r>
          <w:rPr>
            <w:webHidden/>
          </w:rPr>
        </w:r>
        <w:r>
          <w:rPr>
            <w:webHidden/>
          </w:rPr>
          <w:fldChar w:fldCharType="separate"/>
        </w:r>
        <w:r w:rsidR="003861AC">
          <w:rPr>
            <w:webHidden/>
          </w:rPr>
          <w:t>21</w:t>
        </w:r>
        <w:r>
          <w:rPr>
            <w:webHidden/>
          </w:rPr>
          <w:fldChar w:fldCharType="end"/>
        </w:r>
      </w:hyperlink>
    </w:p>
    <w:p w14:paraId="51B72902" w14:textId="1FF94223" w:rsidR="008B1ACD" w:rsidRDefault="008B1ACD">
      <w:pPr>
        <w:pStyle w:val="TOC3"/>
        <w:tabs>
          <w:tab w:val="left" w:pos="1200"/>
        </w:tabs>
        <w:rPr>
          <w:rFonts w:eastAsiaTheme="minorEastAsia"/>
          <w:sz w:val="24"/>
          <w:lang w:eastAsia="en-AU"/>
        </w:rPr>
      </w:pPr>
      <w:hyperlink w:anchor="_Toc216695547" w:history="1">
        <w:r w:rsidRPr="00491FE3">
          <w:rPr>
            <w:rStyle w:val="Hyperlink"/>
          </w:rPr>
          <w:t>2.1.4</w:t>
        </w:r>
        <w:r>
          <w:rPr>
            <w:rFonts w:eastAsiaTheme="minorEastAsia"/>
            <w:sz w:val="24"/>
            <w:lang w:eastAsia="en-AU"/>
          </w:rPr>
          <w:tab/>
        </w:r>
        <w:r w:rsidRPr="00491FE3">
          <w:rPr>
            <w:rStyle w:val="Hyperlink"/>
          </w:rPr>
          <w:t>Active constituent - Difenacoum</w:t>
        </w:r>
        <w:r>
          <w:rPr>
            <w:webHidden/>
          </w:rPr>
          <w:tab/>
        </w:r>
        <w:r>
          <w:rPr>
            <w:webHidden/>
          </w:rPr>
          <w:fldChar w:fldCharType="begin"/>
        </w:r>
        <w:r>
          <w:rPr>
            <w:webHidden/>
          </w:rPr>
          <w:instrText xml:space="preserve"> PAGEREF _Toc216695547 \h </w:instrText>
        </w:r>
        <w:r>
          <w:rPr>
            <w:webHidden/>
          </w:rPr>
        </w:r>
        <w:r>
          <w:rPr>
            <w:webHidden/>
          </w:rPr>
          <w:fldChar w:fldCharType="separate"/>
        </w:r>
        <w:r w:rsidR="003861AC">
          <w:rPr>
            <w:webHidden/>
          </w:rPr>
          <w:t>24</w:t>
        </w:r>
        <w:r>
          <w:rPr>
            <w:webHidden/>
          </w:rPr>
          <w:fldChar w:fldCharType="end"/>
        </w:r>
      </w:hyperlink>
    </w:p>
    <w:p w14:paraId="7AAD1095" w14:textId="79E27ABC" w:rsidR="008B1ACD" w:rsidRDefault="008B1ACD">
      <w:pPr>
        <w:pStyle w:val="TOC3"/>
        <w:tabs>
          <w:tab w:val="left" w:pos="1200"/>
        </w:tabs>
        <w:rPr>
          <w:rFonts w:eastAsiaTheme="minorEastAsia"/>
          <w:sz w:val="24"/>
          <w:lang w:eastAsia="en-AU"/>
        </w:rPr>
      </w:pPr>
      <w:hyperlink w:anchor="_Toc216695548" w:history="1">
        <w:r w:rsidRPr="00491FE3">
          <w:rPr>
            <w:rStyle w:val="Hyperlink"/>
          </w:rPr>
          <w:t>2.1.5</w:t>
        </w:r>
        <w:r>
          <w:rPr>
            <w:rFonts w:eastAsiaTheme="minorEastAsia"/>
            <w:sz w:val="24"/>
            <w:lang w:eastAsia="en-AU"/>
          </w:rPr>
          <w:tab/>
        </w:r>
        <w:r w:rsidRPr="00491FE3">
          <w:rPr>
            <w:rStyle w:val="Hyperlink"/>
          </w:rPr>
          <w:t>Active constituent - Difethialone</w:t>
        </w:r>
        <w:r>
          <w:rPr>
            <w:webHidden/>
          </w:rPr>
          <w:tab/>
        </w:r>
        <w:r>
          <w:rPr>
            <w:webHidden/>
          </w:rPr>
          <w:fldChar w:fldCharType="begin"/>
        </w:r>
        <w:r>
          <w:rPr>
            <w:webHidden/>
          </w:rPr>
          <w:instrText xml:space="preserve"> PAGEREF _Toc216695548 \h </w:instrText>
        </w:r>
        <w:r>
          <w:rPr>
            <w:webHidden/>
          </w:rPr>
        </w:r>
        <w:r>
          <w:rPr>
            <w:webHidden/>
          </w:rPr>
          <w:fldChar w:fldCharType="separate"/>
        </w:r>
        <w:r w:rsidR="003861AC">
          <w:rPr>
            <w:webHidden/>
          </w:rPr>
          <w:t>27</w:t>
        </w:r>
        <w:r>
          <w:rPr>
            <w:webHidden/>
          </w:rPr>
          <w:fldChar w:fldCharType="end"/>
        </w:r>
      </w:hyperlink>
    </w:p>
    <w:p w14:paraId="5C6222AE" w14:textId="02EB2164" w:rsidR="008B1ACD" w:rsidRDefault="008B1ACD">
      <w:pPr>
        <w:pStyle w:val="TOC3"/>
        <w:tabs>
          <w:tab w:val="left" w:pos="1200"/>
        </w:tabs>
        <w:rPr>
          <w:rFonts w:eastAsiaTheme="minorEastAsia"/>
          <w:sz w:val="24"/>
          <w:lang w:eastAsia="en-AU"/>
        </w:rPr>
      </w:pPr>
      <w:hyperlink w:anchor="_Toc216695549" w:history="1">
        <w:r w:rsidRPr="00491FE3">
          <w:rPr>
            <w:rStyle w:val="Hyperlink"/>
          </w:rPr>
          <w:t>2.1.6</w:t>
        </w:r>
        <w:r>
          <w:rPr>
            <w:rFonts w:eastAsiaTheme="minorEastAsia"/>
            <w:sz w:val="24"/>
            <w:lang w:eastAsia="en-AU"/>
          </w:rPr>
          <w:tab/>
        </w:r>
        <w:r w:rsidRPr="00491FE3">
          <w:rPr>
            <w:rStyle w:val="Hyperlink"/>
          </w:rPr>
          <w:t>Active constituent - Diphacinone</w:t>
        </w:r>
        <w:r>
          <w:rPr>
            <w:webHidden/>
          </w:rPr>
          <w:tab/>
        </w:r>
        <w:r>
          <w:rPr>
            <w:webHidden/>
          </w:rPr>
          <w:fldChar w:fldCharType="begin"/>
        </w:r>
        <w:r>
          <w:rPr>
            <w:webHidden/>
          </w:rPr>
          <w:instrText xml:space="preserve"> PAGEREF _Toc216695549 \h </w:instrText>
        </w:r>
        <w:r>
          <w:rPr>
            <w:webHidden/>
          </w:rPr>
        </w:r>
        <w:r>
          <w:rPr>
            <w:webHidden/>
          </w:rPr>
          <w:fldChar w:fldCharType="separate"/>
        </w:r>
        <w:r w:rsidR="003861AC">
          <w:rPr>
            <w:webHidden/>
          </w:rPr>
          <w:t>29</w:t>
        </w:r>
        <w:r>
          <w:rPr>
            <w:webHidden/>
          </w:rPr>
          <w:fldChar w:fldCharType="end"/>
        </w:r>
      </w:hyperlink>
    </w:p>
    <w:p w14:paraId="3BD96579" w14:textId="1142571B" w:rsidR="008B1ACD" w:rsidRDefault="008B1ACD">
      <w:pPr>
        <w:pStyle w:val="TOC3"/>
        <w:tabs>
          <w:tab w:val="left" w:pos="1200"/>
        </w:tabs>
        <w:rPr>
          <w:rFonts w:eastAsiaTheme="minorEastAsia"/>
          <w:sz w:val="24"/>
          <w:lang w:eastAsia="en-AU"/>
        </w:rPr>
      </w:pPr>
      <w:hyperlink w:anchor="_Toc216695550" w:history="1">
        <w:r w:rsidRPr="00491FE3">
          <w:rPr>
            <w:rStyle w:val="Hyperlink"/>
          </w:rPr>
          <w:t>2.1.7</w:t>
        </w:r>
        <w:r>
          <w:rPr>
            <w:rFonts w:eastAsiaTheme="minorEastAsia"/>
            <w:sz w:val="24"/>
            <w:lang w:eastAsia="en-AU"/>
          </w:rPr>
          <w:tab/>
        </w:r>
        <w:r w:rsidRPr="00491FE3">
          <w:rPr>
            <w:rStyle w:val="Hyperlink"/>
          </w:rPr>
          <w:t>Active constituent - Flocoumafen</w:t>
        </w:r>
        <w:r>
          <w:rPr>
            <w:webHidden/>
          </w:rPr>
          <w:tab/>
        </w:r>
        <w:r>
          <w:rPr>
            <w:webHidden/>
          </w:rPr>
          <w:fldChar w:fldCharType="begin"/>
        </w:r>
        <w:r>
          <w:rPr>
            <w:webHidden/>
          </w:rPr>
          <w:instrText xml:space="preserve"> PAGEREF _Toc216695550 \h </w:instrText>
        </w:r>
        <w:r>
          <w:rPr>
            <w:webHidden/>
          </w:rPr>
        </w:r>
        <w:r>
          <w:rPr>
            <w:webHidden/>
          </w:rPr>
          <w:fldChar w:fldCharType="separate"/>
        </w:r>
        <w:r w:rsidR="003861AC">
          <w:rPr>
            <w:webHidden/>
          </w:rPr>
          <w:t>31</w:t>
        </w:r>
        <w:r>
          <w:rPr>
            <w:webHidden/>
          </w:rPr>
          <w:fldChar w:fldCharType="end"/>
        </w:r>
      </w:hyperlink>
    </w:p>
    <w:p w14:paraId="1E169AE4" w14:textId="5CF3C2F6" w:rsidR="008B1ACD" w:rsidRDefault="008B1ACD">
      <w:pPr>
        <w:pStyle w:val="TOC3"/>
        <w:tabs>
          <w:tab w:val="left" w:pos="1200"/>
        </w:tabs>
        <w:rPr>
          <w:rFonts w:eastAsiaTheme="minorEastAsia"/>
          <w:sz w:val="24"/>
          <w:lang w:eastAsia="en-AU"/>
        </w:rPr>
      </w:pPr>
      <w:hyperlink w:anchor="_Toc216695551" w:history="1">
        <w:r w:rsidRPr="00491FE3">
          <w:rPr>
            <w:rStyle w:val="Hyperlink"/>
          </w:rPr>
          <w:t>2.1.8</w:t>
        </w:r>
        <w:r>
          <w:rPr>
            <w:rFonts w:eastAsiaTheme="minorEastAsia"/>
            <w:sz w:val="24"/>
            <w:lang w:eastAsia="en-AU"/>
          </w:rPr>
          <w:tab/>
        </w:r>
        <w:r w:rsidRPr="00491FE3">
          <w:rPr>
            <w:rStyle w:val="Hyperlink"/>
          </w:rPr>
          <w:t>Active constituent - Warfarin</w:t>
        </w:r>
        <w:r>
          <w:rPr>
            <w:webHidden/>
          </w:rPr>
          <w:tab/>
        </w:r>
        <w:r>
          <w:rPr>
            <w:webHidden/>
          </w:rPr>
          <w:fldChar w:fldCharType="begin"/>
        </w:r>
        <w:r>
          <w:rPr>
            <w:webHidden/>
          </w:rPr>
          <w:instrText xml:space="preserve"> PAGEREF _Toc216695551 \h </w:instrText>
        </w:r>
        <w:r>
          <w:rPr>
            <w:webHidden/>
          </w:rPr>
        </w:r>
        <w:r>
          <w:rPr>
            <w:webHidden/>
          </w:rPr>
          <w:fldChar w:fldCharType="separate"/>
        </w:r>
        <w:r w:rsidR="003861AC">
          <w:rPr>
            <w:webHidden/>
          </w:rPr>
          <w:t>34</w:t>
        </w:r>
        <w:r>
          <w:rPr>
            <w:webHidden/>
          </w:rPr>
          <w:fldChar w:fldCharType="end"/>
        </w:r>
      </w:hyperlink>
    </w:p>
    <w:p w14:paraId="6440DEB0" w14:textId="0F9A9105" w:rsidR="008B1ACD" w:rsidRDefault="008B1ACD">
      <w:pPr>
        <w:pStyle w:val="TOC2"/>
        <w:rPr>
          <w:rFonts w:eastAsiaTheme="minorEastAsia"/>
          <w:b w:val="0"/>
          <w:color w:val="auto"/>
          <w:sz w:val="24"/>
          <w:lang w:eastAsia="en-AU"/>
        </w:rPr>
      </w:pPr>
      <w:hyperlink w:anchor="_Toc216695552" w:history="1">
        <w:r w:rsidRPr="00491FE3">
          <w:rPr>
            <w:rStyle w:val="Hyperlink"/>
          </w:rPr>
          <w:t>2.2</w:t>
        </w:r>
        <w:r>
          <w:rPr>
            <w:rFonts w:eastAsiaTheme="minorEastAsia"/>
            <w:b w:val="0"/>
            <w:color w:val="auto"/>
            <w:sz w:val="24"/>
            <w:lang w:eastAsia="en-AU"/>
          </w:rPr>
          <w:tab/>
        </w:r>
        <w:r w:rsidRPr="00491FE3">
          <w:rPr>
            <w:rStyle w:val="Hyperlink"/>
          </w:rPr>
          <w:t>Chemistry and Manufacture – Chemical Products</w:t>
        </w:r>
        <w:r>
          <w:rPr>
            <w:webHidden/>
          </w:rPr>
          <w:tab/>
        </w:r>
        <w:r>
          <w:rPr>
            <w:webHidden/>
          </w:rPr>
          <w:fldChar w:fldCharType="begin"/>
        </w:r>
        <w:r>
          <w:rPr>
            <w:webHidden/>
          </w:rPr>
          <w:instrText xml:space="preserve"> PAGEREF _Toc216695552 \h </w:instrText>
        </w:r>
        <w:r>
          <w:rPr>
            <w:webHidden/>
          </w:rPr>
        </w:r>
        <w:r>
          <w:rPr>
            <w:webHidden/>
          </w:rPr>
          <w:fldChar w:fldCharType="separate"/>
        </w:r>
        <w:r w:rsidR="003861AC">
          <w:rPr>
            <w:webHidden/>
          </w:rPr>
          <w:t>36</w:t>
        </w:r>
        <w:r>
          <w:rPr>
            <w:webHidden/>
          </w:rPr>
          <w:fldChar w:fldCharType="end"/>
        </w:r>
      </w:hyperlink>
    </w:p>
    <w:p w14:paraId="27ABF92E" w14:textId="7C447A18" w:rsidR="008B1ACD" w:rsidRDefault="008B1ACD">
      <w:pPr>
        <w:pStyle w:val="TOC3"/>
        <w:tabs>
          <w:tab w:val="left" w:pos="1200"/>
        </w:tabs>
        <w:rPr>
          <w:rFonts w:eastAsiaTheme="minorEastAsia"/>
          <w:sz w:val="24"/>
          <w:lang w:eastAsia="en-AU"/>
        </w:rPr>
      </w:pPr>
      <w:hyperlink w:anchor="_Toc216695553" w:history="1">
        <w:r w:rsidRPr="00491FE3">
          <w:rPr>
            <w:rStyle w:val="Hyperlink"/>
          </w:rPr>
          <w:t>2.2.1</w:t>
        </w:r>
        <w:r>
          <w:rPr>
            <w:rFonts w:eastAsiaTheme="minorEastAsia"/>
            <w:sz w:val="24"/>
            <w:lang w:eastAsia="en-AU"/>
          </w:rPr>
          <w:tab/>
        </w:r>
        <w:r w:rsidRPr="00491FE3">
          <w:rPr>
            <w:rStyle w:val="Hyperlink"/>
          </w:rPr>
          <w:t>Formulated products - Brodifacoum</w:t>
        </w:r>
        <w:r>
          <w:rPr>
            <w:webHidden/>
          </w:rPr>
          <w:tab/>
        </w:r>
        <w:r>
          <w:rPr>
            <w:webHidden/>
          </w:rPr>
          <w:fldChar w:fldCharType="begin"/>
        </w:r>
        <w:r>
          <w:rPr>
            <w:webHidden/>
          </w:rPr>
          <w:instrText xml:space="preserve"> PAGEREF _Toc216695553 \h </w:instrText>
        </w:r>
        <w:r>
          <w:rPr>
            <w:webHidden/>
          </w:rPr>
        </w:r>
        <w:r>
          <w:rPr>
            <w:webHidden/>
          </w:rPr>
          <w:fldChar w:fldCharType="separate"/>
        </w:r>
        <w:r w:rsidR="003861AC">
          <w:rPr>
            <w:webHidden/>
          </w:rPr>
          <w:t>36</w:t>
        </w:r>
        <w:r>
          <w:rPr>
            <w:webHidden/>
          </w:rPr>
          <w:fldChar w:fldCharType="end"/>
        </w:r>
      </w:hyperlink>
    </w:p>
    <w:p w14:paraId="0B831B20" w14:textId="0AD9E5DD" w:rsidR="008B1ACD" w:rsidRDefault="008B1ACD">
      <w:pPr>
        <w:pStyle w:val="TOC3"/>
        <w:tabs>
          <w:tab w:val="left" w:pos="1200"/>
        </w:tabs>
        <w:rPr>
          <w:rFonts w:eastAsiaTheme="minorEastAsia"/>
          <w:sz w:val="24"/>
          <w:lang w:eastAsia="en-AU"/>
        </w:rPr>
      </w:pPr>
      <w:hyperlink w:anchor="_Toc216695554" w:history="1">
        <w:r w:rsidRPr="00491FE3">
          <w:rPr>
            <w:rStyle w:val="Hyperlink"/>
          </w:rPr>
          <w:t>2.2.2</w:t>
        </w:r>
        <w:r>
          <w:rPr>
            <w:rFonts w:eastAsiaTheme="minorEastAsia"/>
            <w:sz w:val="24"/>
            <w:lang w:eastAsia="en-AU"/>
          </w:rPr>
          <w:tab/>
        </w:r>
        <w:r w:rsidRPr="00491FE3">
          <w:rPr>
            <w:rStyle w:val="Hyperlink"/>
          </w:rPr>
          <w:t>Formulated products - Bromadiolone</w:t>
        </w:r>
        <w:r>
          <w:rPr>
            <w:webHidden/>
          </w:rPr>
          <w:tab/>
        </w:r>
        <w:r>
          <w:rPr>
            <w:webHidden/>
          </w:rPr>
          <w:fldChar w:fldCharType="begin"/>
        </w:r>
        <w:r>
          <w:rPr>
            <w:webHidden/>
          </w:rPr>
          <w:instrText xml:space="preserve"> PAGEREF _Toc216695554 \h </w:instrText>
        </w:r>
        <w:r>
          <w:rPr>
            <w:webHidden/>
          </w:rPr>
        </w:r>
        <w:r>
          <w:rPr>
            <w:webHidden/>
          </w:rPr>
          <w:fldChar w:fldCharType="separate"/>
        </w:r>
        <w:r w:rsidR="003861AC">
          <w:rPr>
            <w:webHidden/>
          </w:rPr>
          <w:t>43</w:t>
        </w:r>
        <w:r>
          <w:rPr>
            <w:webHidden/>
          </w:rPr>
          <w:fldChar w:fldCharType="end"/>
        </w:r>
      </w:hyperlink>
    </w:p>
    <w:p w14:paraId="3FB4640E" w14:textId="0739D629" w:rsidR="008B1ACD" w:rsidRDefault="008B1ACD">
      <w:pPr>
        <w:pStyle w:val="TOC3"/>
        <w:tabs>
          <w:tab w:val="left" w:pos="1200"/>
        </w:tabs>
        <w:rPr>
          <w:rFonts w:eastAsiaTheme="minorEastAsia"/>
          <w:sz w:val="24"/>
          <w:lang w:eastAsia="en-AU"/>
        </w:rPr>
      </w:pPr>
      <w:hyperlink w:anchor="_Toc216695555" w:history="1">
        <w:r w:rsidRPr="00491FE3">
          <w:rPr>
            <w:rStyle w:val="Hyperlink"/>
          </w:rPr>
          <w:t>2.2.3</w:t>
        </w:r>
        <w:r>
          <w:rPr>
            <w:rFonts w:eastAsiaTheme="minorEastAsia"/>
            <w:sz w:val="24"/>
            <w:lang w:eastAsia="en-AU"/>
          </w:rPr>
          <w:tab/>
        </w:r>
        <w:r w:rsidRPr="00491FE3">
          <w:rPr>
            <w:rStyle w:val="Hyperlink"/>
          </w:rPr>
          <w:t>Formulated products - Coumatetralyl</w:t>
        </w:r>
        <w:r>
          <w:rPr>
            <w:webHidden/>
          </w:rPr>
          <w:tab/>
        </w:r>
        <w:r>
          <w:rPr>
            <w:webHidden/>
          </w:rPr>
          <w:fldChar w:fldCharType="begin"/>
        </w:r>
        <w:r>
          <w:rPr>
            <w:webHidden/>
          </w:rPr>
          <w:instrText xml:space="preserve"> PAGEREF _Toc216695555 \h </w:instrText>
        </w:r>
        <w:r>
          <w:rPr>
            <w:webHidden/>
          </w:rPr>
        </w:r>
        <w:r>
          <w:rPr>
            <w:webHidden/>
          </w:rPr>
          <w:fldChar w:fldCharType="separate"/>
        </w:r>
        <w:r w:rsidR="003861AC">
          <w:rPr>
            <w:webHidden/>
          </w:rPr>
          <w:t>46</w:t>
        </w:r>
        <w:r>
          <w:rPr>
            <w:webHidden/>
          </w:rPr>
          <w:fldChar w:fldCharType="end"/>
        </w:r>
      </w:hyperlink>
    </w:p>
    <w:p w14:paraId="066F473A" w14:textId="46C967EA" w:rsidR="008B1ACD" w:rsidRDefault="008B1ACD">
      <w:pPr>
        <w:pStyle w:val="TOC3"/>
        <w:tabs>
          <w:tab w:val="left" w:pos="1200"/>
        </w:tabs>
        <w:rPr>
          <w:rFonts w:eastAsiaTheme="minorEastAsia"/>
          <w:sz w:val="24"/>
          <w:lang w:eastAsia="en-AU"/>
        </w:rPr>
      </w:pPr>
      <w:hyperlink w:anchor="_Toc216695556" w:history="1">
        <w:r w:rsidRPr="00491FE3">
          <w:rPr>
            <w:rStyle w:val="Hyperlink"/>
          </w:rPr>
          <w:t>2.2.4</w:t>
        </w:r>
        <w:r>
          <w:rPr>
            <w:rFonts w:eastAsiaTheme="minorEastAsia"/>
            <w:sz w:val="24"/>
            <w:lang w:eastAsia="en-AU"/>
          </w:rPr>
          <w:tab/>
        </w:r>
        <w:r w:rsidRPr="00491FE3">
          <w:rPr>
            <w:rStyle w:val="Hyperlink"/>
          </w:rPr>
          <w:t>Formulated products - Difenacoum</w:t>
        </w:r>
        <w:r>
          <w:rPr>
            <w:webHidden/>
          </w:rPr>
          <w:tab/>
        </w:r>
        <w:r>
          <w:rPr>
            <w:webHidden/>
          </w:rPr>
          <w:fldChar w:fldCharType="begin"/>
        </w:r>
        <w:r>
          <w:rPr>
            <w:webHidden/>
          </w:rPr>
          <w:instrText xml:space="preserve"> PAGEREF _Toc216695556 \h </w:instrText>
        </w:r>
        <w:r>
          <w:rPr>
            <w:webHidden/>
          </w:rPr>
        </w:r>
        <w:r>
          <w:rPr>
            <w:webHidden/>
          </w:rPr>
          <w:fldChar w:fldCharType="separate"/>
        </w:r>
        <w:r w:rsidR="003861AC">
          <w:rPr>
            <w:webHidden/>
          </w:rPr>
          <w:t>48</w:t>
        </w:r>
        <w:r>
          <w:rPr>
            <w:webHidden/>
          </w:rPr>
          <w:fldChar w:fldCharType="end"/>
        </w:r>
      </w:hyperlink>
    </w:p>
    <w:p w14:paraId="760C4340" w14:textId="390ABA26" w:rsidR="008B1ACD" w:rsidRDefault="008B1ACD">
      <w:pPr>
        <w:pStyle w:val="TOC3"/>
        <w:tabs>
          <w:tab w:val="left" w:pos="1200"/>
        </w:tabs>
        <w:rPr>
          <w:rFonts w:eastAsiaTheme="minorEastAsia"/>
          <w:sz w:val="24"/>
          <w:lang w:eastAsia="en-AU"/>
        </w:rPr>
      </w:pPr>
      <w:hyperlink w:anchor="_Toc216695557" w:history="1">
        <w:r w:rsidRPr="00491FE3">
          <w:rPr>
            <w:rStyle w:val="Hyperlink"/>
          </w:rPr>
          <w:t>2.2.5</w:t>
        </w:r>
        <w:r>
          <w:rPr>
            <w:rFonts w:eastAsiaTheme="minorEastAsia"/>
            <w:sz w:val="24"/>
            <w:lang w:eastAsia="en-AU"/>
          </w:rPr>
          <w:tab/>
        </w:r>
        <w:r w:rsidRPr="00491FE3">
          <w:rPr>
            <w:rStyle w:val="Hyperlink"/>
          </w:rPr>
          <w:t>Formulated products - Difethialone</w:t>
        </w:r>
        <w:r>
          <w:rPr>
            <w:webHidden/>
          </w:rPr>
          <w:tab/>
        </w:r>
        <w:r>
          <w:rPr>
            <w:webHidden/>
          </w:rPr>
          <w:fldChar w:fldCharType="begin"/>
        </w:r>
        <w:r>
          <w:rPr>
            <w:webHidden/>
          </w:rPr>
          <w:instrText xml:space="preserve"> PAGEREF _Toc216695557 \h </w:instrText>
        </w:r>
        <w:r>
          <w:rPr>
            <w:webHidden/>
          </w:rPr>
        </w:r>
        <w:r>
          <w:rPr>
            <w:webHidden/>
          </w:rPr>
          <w:fldChar w:fldCharType="separate"/>
        </w:r>
        <w:r w:rsidR="003861AC">
          <w:rPr>
            <w:webHidden/>
          </w:rPr>
          <w:t>51</w:t>
        </w:r>
        <w:r>
          <w:rPr>
            <w:webHidden/>
          </w:rPr>
          <w:fldChar w:fldCharType="end"/>
        </w:r>
      </w:hyperlink>
    </w:p>
    <w:p w14:paraId="4F7CDD85" w14:textId="29FA8EDE" w:rsidR="008B1ACD" w:rsidRDefault="008B1ACD">
      <w:pPr>
        <w:pStyle w:val="TOC3"/>
        <w:tabs>
          <w:tab w:val="left" w:pos="1200"/>
        </w:tabs>
        <w:rPr>
          <w:rFonts w:eastAsiaTheme="minorEastAsia"/>
          <w:sz w:val="24"/>
          <w:lang w:eastAsia="en-AU"/>
        </w:rPr>
      </w:pPr>
      <w:hyperlink w:anchor="_Toc216695558" w:history="1">
        <w:r w:rsidRPr="00491FE3">
          <w:rPr>
            <w:rStyle w:val="Hyperlink"/>
          </w:rPr>
          <w:t>2.2.6</w:t>
        </w:r>
        <w:r>
          <w:rPr>
            <w:rFonts w:eastAsiaTheme="minorEastAsia"/>
            <w:sz w:val="24"/>
            <w:lang w:eastAsia="en-AU"/>
          </w:rPr>
          <w:tab/>
        </w:r>
        <w:r w:rsidRPr="00491FE3">
          <w:rPr>
            <w:rStyle w:val="Hyperlink"/>
          </w:rPr>
          <w:t>Formulated products - Diphacinone</w:t>
        </w:r>
        <w:r>
          <w:rPr>
            <w:webHidden/>
          </w:rPr>
          <w:tab/>
        </w:r>
        <w:r>
          <w:rPr>
            <w:webHidden/>
          </w:rPr>
          <w:fldChar w:fldCharType="begin"/>
        </w:r>
        <w:r>
          <w:rPr>
            <w:webHidden/>
          </w:rPr>
          <w:instrText xml:space="preserve"> PAGEREF _Toc216695558 \h </w:instrText>
        </w:r>
        <w:r>
          <w:rPr>
            <w:webHidden/>
          </w:rPr>
        </w:r>
        <w:r>
          <w:rPr>
            <w:webHidden/>
          </w:rPr>
          <w:fldChar w:fldCharType="separate"/>
        </w:r>
        <w:r w:rsidR="003861AC">
          <w:rPr>
            <w:webHidden/>
          </w:rPr>
          <w:t>51</w:t>
        </w:r>
        <w:r>
          <w:rPr>
            <w:webHidden/>
          </w:rPr>
          <w:fldChar w:fldCharType="end"/>
        </w:r>
      </w:hyperlink>
    </w:p>
    <w:p w14:paraId="044B071E" w14:textId="34B8FE88" w:rsidR="008B1ACD" w:rsidRDefault="008B1ACD">
      <w:pPr>
        <w:pStyle w:val="TOC3"/>
        <w:tabs>
          <w:tab w:val="left" w:pos="1200"/>
        </w:tabs>
        <w:rPr>
          <w:rFonts w:eastAsiaTheme="minorEastAsia"/>
          <w:sz w:val="24"/>
          <w:lang w:eastAsia="en-AU"/>
        </w:rPr>
      </w:pPr>
      <w:hyperlink w:anchor="_Toc216695559" w:history="1">
        <w:r w:rsidRPr="00491FE3">
          <w:rPr>
            <w:rStyle w:val="Hyperlink"/>
          </w:rPr>
          <w:t>2.2.7</w:t>
        </w:r>
        <w:r>
          <w:rPr>
            <w:rFonts w:eastAsiaTheme="minorEastAsia"/>
            <w:sz w:val="24"/>
            <w:lang w:eastAsia="en-AU"/>
          </w:rPr>
          <w:tab/>
        </w:r>
        <w:r w:rsidRPr="00491FE3">
          <w:rPr>
            <w:rStyle w:val="Hyperlink"/>
          </w:rPr>
          <w:t>Formulated products - Flocoumafen</w:t>
        </w:r>
        <w:r>
          <w:rPr>
            <w:webHidden/>
          </w:rPr>
          <w:tab/>
        </w:r>
        <w:r>
          <w:rPr>
            <w:webHidden/>
          </w:rPr>
          <w:fldChar w:fldCharType="begin"/>
        </w:r>
        <w:r>
          <w:rPr>
            <w:webHidden/>
          </w:rPr>
          <w:instrText xml:space="preserve"> PAGEREF _Toc216695559 \h </w:instrText>
        </w:r>
        <w:r>
          <w:rPr>
            <w:webHidden/>
          </w:rPr>
        </w:r>
        <w:r>
          <w:rPr>
            <w:webHidden/>
          </w:rPr>
          <w:fldChar w:fldCharType="separate"/>
        </w:r>
        <w:r w:rsidR="003861AC">
          <w:rPr>
            <w:webHidden/>
          </w:rPr>
          <w:t>52</w:t>
        </w:r>
        <w:r>
          <w:rPr>
            <w:webHidden/>
          </w:rPr>
          <w:fldChar w:fldCharType="end"/>
        </w:r>
      </w:hyperlink>
    </w:p>
    <w:p w14:paraId="4D5CCE88" w14:textId="609BD4F4" w:rsidR="008B1ACD" w:rsidRDefault="008B1ACD">
      <w:pPr>
        <w:pStyle w:val="TOC3"/>
        <w:tabs>
          <w:tab w:val="left" w:pos="1200"/>
        </w:tabs>
        <w:rPr>
          <w:rFonts w:eastAsiaTheme="minorEastAsia"/>
          <w:sz w:val="24"/>
          <w:lang w:eastAsia="en-AU"/>
        </w:rPr>
      </w:pPr>
      <w:hyperlink w:anchor="_Toc216695560" w:history="1">
        <w:r w:rsidRPr="00491FE3">
          <w:rPr>
            <w:rStyle w:val="Hyperlink"/>
          </w:rPr>
          <w:t>2.2.8</w:t>
        </w:r>
        <w:r>
          <w:rPr>
            <w:rFonts w:eastAsiaTheme="minorEastAsia"/>
            <w:sz w:val="24"/>
            <w:lang w:eastAsia="en-AU"/>
          </w:rPr>
          <w:tab/>
        </w:r>
        <w:r w:rsidRPr="00491FE3">
          <w:rPr>
            <w:rStyle w:val="Hyperlink"/>
          </w:rPr>
          <w:t>Formulated products - Warfarin</w:t>
        </w:r>
        <w:r>
          <w:rPr>
            <w:webHidden/>
          </w:rPr>
          <w:tab/>
        </w:r>
        <w:r>
          <w:rPr>
            <w:webHidden/>
          </w:rPr>
          <w:fldChar w:fldCharType="begin"/>
        </w:r>
        <w:r>
          <w:rPr>
            <w:webHidden/>
          </w:rPr>
          <w:instrText xml:space="preserve"> PAGEREF _Toc216695560 \h </w:instrText>
        </w:r>
        <w:r>
          <w:rPr>
            <w:webHidden/>
          </w:rPr>
        </w:r>
        <w:r>
          <w:rPr>
            <w:webHidden/>
          </w:rPr>
          <w:fldChar w:fldCharType="separate"/>
        </w:r>
        <w:r w:rsidR="003861AC">
          <w:rPr>
            <w:webHidden/>
          </w:rPr>
          <w:t>53</w:t>
        </w:r>
        <w:r>
          <w:rPr>
            <w:webHidden/>
          </w:rPr>
          <w:fldChar w:fldCharType="end"/>
        </w:r>
      </w:hyperlink>
    </w:p>
    <w:p w14:paraId="7C6C1FEE" w14:textId="64B4AA75"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561" w:history="1">
        <w:r w:rsidRPr="00491FE3">
          <w:rPr>
            <w:rStyle w:val="Hyperlink"/>
          </w:rPr>
          <w:t>3</w:t>
        </w:r>
        <w:r>
          <w:rPr>
            <w:rFonts w:asciiTheme="minorHAnsi" w:eastAsiaTheme="minorEastAsia" w:hAnsiTheme="minorHAnsi" w:cstheme="minorBidi"/>
            <w:bCs w:val="0"/>
            <w:color w:val="auto"/>
            <w:kern w:val="2"/>
            <w:sz w:val="24"/>
            <w:szCs w:val="24"/>
            <w:lang w:eastAsia="en-AU"/>
          </w:rPr>
          <w:tab/>
        </w:r>
        <w:r w:rsidRPr="00491FE3">
          <w:rPr>
            <w:rStyle w:val="Hyperlink"/>
          </w:rPr>
          <w:t>Environment</w:t>
        </w:r>
        <w:r>
          <w:rPr>
            <w:webHidden/>
          </w:rPr>
          <w:tab/>
        </w:r>
        <w:r>
          <w:rPr>
            <w:webHidden/>
          </w:rPr>
          <w:fldChar w:fldCharType="begin"/>
        </w:r>
        <w:r>
          <w:rPr>
            <w:webHidden/>
          </w:rPr>
          <w:instrText xml:space="preserve"> PAGEREF _Toc216695561 \h </w:instrText>
        </w:r>
        <w:r>
          <w:rPr>
            <w:webHidden/>
          </w:rPr>
        </w:r>
        <w:r>
          <w:rPr>
            <w:webHidden/>
          </w:rPr>
          <w:fldChar w:fldCharType="separate"/>
        </w:r>
        <w:r w:rsidR="003861AC">
          <w:rPr>
            <w:webHidden/>
          </w:rPr>
          <w:t>54</w:t>
        </w:r>
        <w:r>
          <w:rPr>
            <w:webHidden/>
          </w:rPr>
          <w:fldChar w:fldCharType="end"/>
        </w:r>
      </w:hyperlink>
    </w:p>
    <w:p w14:paraId="5B11D636" w14:textId="41A64EA8" w:rsidR="008B1ACD" w:rsidRDefault="008B1ACD">
      <w:pPr>
        <w:pStyle w:val="TOC2"/>
        <w:rPr>
          <w:rFonts w:eastAsiaTheme="minorEastAsia"/>
          <w:b w:val="0"/>
          <w:color w:val="auto"/>
          <w:sz w:val="24"/>
          <w:lang w:eastAsia="en-AU"/>
        </w:rPr>
      </w:pPr>
      <w:hyperlink w:anchor="_Toc216695562" w:history="1">
        <w:r w:rsidRPr="00491FE3">
          <w:rPr>
            <w:rStyle w:val="Hyperlink"/>
          </w:rPr>
          <w:t>3.1</w:t>
        </w:r>
        <w:r>
          <w:rPr>
            <w:rFonts w:eastAsiaTheme="minorEastAsia"/>
            <w:b w:val="0"/>
            <w:color w:val="auto"/>
            <w:sz w:val="24"/>
            <w:lang w:eastAsia="en-AU"/>
          </w:rPr>
          <w:tab/>
        </w:r>
        <w:r w:rsidRPr="00491FE3">
          <w:rPr>
            <w:rStyle w:val="Hyperlink"/>
          </w:rPr>
          <w:t>Fate and behaviour in the environment</w:t>
        </w:r>
        <w:r>
          <w:rPr>
            <w:webHidden/>
          </w:rPr>
          <w:tab/>
        </w:r>
        <w:r>
          <w:rPr>
            <w:webHidden/>
          </w:rPr>
          <w:fldChar w:fldCharType="begin"/>
        </w:r>
        <w:r>
          <w:rPr>
            <w:webHidden/>
          </w:rPr>
          <w:instrText xml:space="preserve"> PAGEREF _Toc216695562 \h </w:instrText>
        </w:r>
        <w:r>
          <w:rPr>
            <w:webHidden/>
          </w:rPr>
        </w:r>
        <w:r>
          <w:rPr>
            <w:webHidden/>
          </w:rPr>
          <w:fldChar w:fldCharType="separate"/>
        </w:r>
        <w:r w:rsidR="003861AC">
          <w:rPr>
            <w:webHidden/>
          </w:rPr>
          <w:t>54</w:t>
        </w:r>
        <w:r>
          <w:rPr>
            <w:webHidden/>
          </w:rPr>
          <w:fldChar w:fldCharType="end"/>
        </w:r>
      </w:hyperlink>
    </w:p>
    <w:p w14:paraId="5653AD0F" w14:textId="231FB346" w:rsidR="008B1ACD" w:rsidRDefault="008B1ACD">
      <w:pPr>
        <w:pStyle w:val="TOC3"/>
        <w:tabs>
          <w:tab w:val="left" w:pos="1200"/>
        </w:tabs>
        <w:rPr>
          <w:rFonts w:eastAsiaTheme="minorEastAsia"/>
          <w:sz w:val="24"/>
          <w:lang w:eastAsia="en-AU"/>
        </w:rPr>
      </w:pPr>
      <w:hyperlink w:anchor="_Toc216695563" w:history="1">
        <w:r w:rsidRPr="00491FE3">
          <w:rPr>
            <w:rStyle w:val="Hyperlink"/>
          </w:rPr>
          <w:t>3.1.1</w:t>
        </w:r>
        <w:r>
          <w:rPr>
            <w:rFonts w:eastAsiaTheme="minorEastAsia"/>
            <w:sz w:val="24"/>
            <w:lang w:eastAsia="en-AU"/>
          </w:rPr>
          <w:tab/>
        </w:r>
        <w:r w:rsidRPr="00491FE3">
          <w:rPr>
            <w:rStyle w:val="Hyperlink"/>
          </w:rPr>
          <w:t>Fate and behaviour in air, soil and water</w:t>
        </w:r>
        <w:r>
          <w:rPr>
            <w:webHidden/>
          </w:rPr>
          <w:tab/>
        </w:r>
        <w:r>
          <w:rPr>
            <w:webHidden/>
          </w:rPr>
          <w:fldChar w:fldCharType="begin"/>
        </w:r>
        <w:r>
          <w:rPr>
            <w:webHidden/>
          </w:rPr>
          <w:instrText xml:space="preserve"> PAGEREF _Toc216695563 \h </w:instrText>
        </w:r>
        <w:r>
          <w:rPr>
            <w:webHidden/>
          </w:rPr>
        </w:r>
        <w:r>
          <w:rPr>
            <w:webHidden/>
          </w:rPr>
          <w:fldChar w:fldCharType="separate"/>
        </w:r>
        <w:r w:rsidR="003861AC">
          <w:rPr>
            <w:webHidden/>
          </w:rPr>
          <w:t>54</w:t>
        </w:r>
        <w:r>
          <w:rPr>
            <w:webHidden/>
          </w:rPr>
          <w:fldChar w:fldCharType="end"/>
        </w:r>
      </w:hyperlink>
    </w:p>
    <w:p w14:paraId="6322F150" w14:textId="6E4D53DA" w:rsidR="008B1ACD" w:rsidRDefault="008B1ACD">
      <w:pPr>
        <w:pStyle w:val="TOC3"/>
        <w:tabs>
          <w:tab w:val="left" w:pos="1200"/>
        </w:tabs>
        <w:rPr>
          <w:rFonts w:eastAsiaTheme="minorEastAsia"/>
          <w:sz w:val="24"/>
          <w:lang w:eastAsia="en-AU"/>
        </w:rPr>
      </w:pPr>
      <w:hyperlink w:anchor="_Toc216695564" w:history="1">
        <w:r w:rsidRPr="00491FE3">
          <w:rPr>
            <w:rStyle w:val="Hyperlink"/>
          </w:rPr>
          <w:t>3.1.2</w:t>
        </w:r>
        <w:r>
          <w:rPr>
            <w:rFonts w:eastAsiaTheme="minorEastAsia"/>
            <w:sz w:val="24"/>
            <w:lang w:eastAsia="en-AU"/>
          </w:rPr>
          <w:tab/>
        </w:r>
        <w:r w:rsidRPr="00491FE3">
          <w:rPr>
            <w:rStyle w:val="Hyperlink"/>
          </w:rPr>
          <w:t>Fate and behaviour in biota</w:t>
        </w:r>
        <w:r>
          <w:rPr>
            <w:webHidden/>
          </w:rPr>
          <w:tab/>
        </w:r>
        <w:r>
          <w:rPr>
            <w:webHidden/>
          </w:rPr>
          <w:fldChar w:fldCharType="begin"/>
        </w:r>
        <w:r>
          <w:rPr>
            <w:webHidden/>
          </w:rPr>
          <w:instrText xml:space="preserve"> PAGEREF _Toc216695564 \h </w:instrText>
        </w:r>
        <w:r>
          <w:rPr>
            <w:webHidden/>
          </w:rPr>
        </w:r>
        <w:r>
          <w:rPr>
            <w:webHidden/>
          </w:rPr>
          <w:fldChar w:fldCharType="separate"/>
        </w:r>
        <w:r w:rsidR="003861AC">
          <w:rPr>
            <w:webHidden/>
          </w:rPr>
          <w:t>56</w:t>
        </w:r>
        <w:r>
          <w:rPr>
            <w:webHidden/>
          </w:rPr>
          <w:fldChar w:fldCharType="end"/>
        </w:r>
      </w:hyperlink>
    </w:p>
    <w:p w14:paraId="4E90743C" w14:textId="5F0710E7" w:rsidR="008B1ACD" w:rsidRDefault="008B1ACD">
      <w:pPr>
        <w:pStyle w:val="TOC2"/>
        <w:rPr>
          <w:rFonts w:eastAsiaTheme="minorEastAsia"/>
          <w:b w:val="0"/>
          <w:color w:val="auto"/>
          <w:sz w:val="24"/>
          <w:lang w:eastAsia="en-AU"/>
        </w:rPr>
      </w:pPr>
      <w:hyperlink w:anchor="_Toc216695565" w:history="1">
        <w:r w:rsidRPr="00491FE3">
          <w:rPr>
            <w:rStyle w:val="Hyperlink"/>
          </w:rPr>
          <w:t>3.2</w:t>
        </w:r>
        <w:r>
          <w:rPr>
            <w:rFonts w:eastAsiaTheme="minorEastAsia"/>
            <w:b w:val="0"/>
            <w:color w:val="auto"/>
            <w:sz w:val="24"/>
            <w:lang w:eastAsia="en-AU"/>
          </w:rPr>
          <w:tab/>
        </w:r>
        <w:r w:rsidRPr="00491FE3">
          <w:rPr>
            <w:rStyle w:val="Hyperlink"/>
          </w:rPr>
          <w:t>Effects on non-target species</w:t>
        </w:r>
        <w:r>
          <w:rPr>
            <w:webHidden/>
          </w:rPr>
          <w:tab/>
        </w:r>
        <w:r>
          <w:rPr>
            <w:webHidden/>
          </w:rPr>
          <w:fldChar w:fldCharType="begin"/>
        </w:r>
        <w:r>
          <w:rPr>
            <w:webHidden/>
          </w:rPr>
          <w:instrText xml:space="preserve"> PAGEREF _Toc216695565 \h </w:instrText>
        </w:r>
        <w:r>
          <w:rPr>
            <w:webHidden/>
          </w:rPr>
        </w:r>
        <w:r>
          <w:rPr>
            <w:webHidden/>
          </w:rPr>
          <w:fldChar w:fldCharType="separate"/>
        </w:r>
        <w:r w:rsidR="003861AC">
          <w:rPr>
            <w:webHidden/>
          </w:rPr>
          <w:t>58</w:t>
        </w:r>
        <w:r>
          <w:rPr>
            <w:webHidden/>
          </w:rPr>
          <w:fldChar w:fldCharType="end"/>
        </w:r>
      </w:hyperlink>
    </w:p>
    <w:p w14:paraId="16C80A66" w14:textId="4C64B884" w:rsidR="008B1ACD" w:rsidRDefault="008B1ACD">
      <w:pPr>
        <w:pStyle w:val="TOC3"/>
        <w:tabs>
          <w:tab w:val="left" w:pos="1200"/>
        </w:tabs>
        <w:rPr>
          <w:rFonts w:eastAsiaTheme="minorEastAsia"/>
          <w:sz w:val="24"/>
          <w:lang w:eastAsia="en-AU"/>
        </w:rPr>
      </w:pPr>
      <w:hyperlink w:anchor="_Toc216695566" w:history="1">
        <w:r w:rsidRPr="00491FE3">
          <w:rPr>
            <w:rStyle w:val="Hyperlink"/>
          </w:rPr>
          <w:t>3.2.1</w:t>
        </w:r>
        <w:r>
          <w:rPr>
            <w:rFonts w:eastAsiaTheme="minorEastAsia"/>
            <w:sz w:val="24"/>
            <w:lang w:eastAsia="en-AU"/>
          </w:rPr>
          <w:tab/>
        </w:r>
        <w:r w:rsidRPr="00491FE3">
          <w:rPr>
            <w:rStyle w:val="Hyperlink"/>
          </w:rPr>
          <w:t>Effects on terrestrial vertebrates</w:t>
        </w:r>
        <w:r>
          <w:rPr>
            <w:webHidden/>
          </w:rPr>
          <w:tab/>
        </w:r>
        <w:r>
          <w:rPr>
            <w:webHidden/>
          </w:rPr>
          <w:fldChar w:fldCharType="begin"/>
        </w:r>
        <w:r>
          <w:rPr>
            <w:webHidden/>
          </w:rPr>
          <w:instrText xml:space="preserve"> PAGEREF _Toc216695566 \h </w:instrText>
        </w:r>
        <w:r>
          <w:rPr>
            <w:webHidden/>
          </w:rPr>
        </w:r>
        <w:r>
          <w:rPr>
            <w:webHidden/>
          </w:rPr>
          <w:fldChar w:fldCharType="separate"/>
        </w:r>
        <w:r w:rsidR="003861AC">
          <w:rPr>
            <w:webHidden/>
          </w:rPr>
          <w:t>58</w:t>
        </w:r>
        <w:r>
          <w:rPr>
            <w:webHidden/>
          </w:rPr>
          <w:fldChar w:fldCharType="end"/>
        </w:r>
      </w:hyperlink>
    </w:p>
    <w:p w14:paraId="1343B46A" w14:textId="6DEF05DF" w:rsidR="008B1ACD" w:rsidRDefault="008B1ACD">
      <w:pPr>
        <w:pStyle w:val="TOC3"/>
        <w:tabs>
          <w:tab w:val="left" w:pos="1200"/>
        </w:tabs>
        <w:rPr>
          <w:rFonts w:eastAsiaTheme="minorEastAsia"/>
          <w:sz w:val="24"/>
          <w:lang w:eastAsia="en-AU"/>
        </w:rPr>
      </w:pPr>
      <w:hyperlink w:anchor="_Toc216695567" w:history="1">
        <w:r w:rsidRPr="00491FE3">
          <w:rPr>
            <w:rStyle w:val="Hyperlink"/>
          </w:rPr>
          <w:t>3.2.2</w:t>
        </w:r>
        <w:r>
          <w:rPr>
            <w:rFonts w:eastAsiaTheme="minorEastAsia"/>
            <w:sz w:val="24"/>
            <w:lang w:eastAsia="en-AU"/>
          </w:rPr>
          <w:tab/>
        </w:r>
        <w:r w:rsidRPr="00491FE3">
          <w:rPr>
            <w:rStyle w:val="Hyperlink"/>
          </w:rPr>
          <w:t>Effects on other non-target species</w:t>
        </w:r>
        <w:r>
          <w:rPr>
            <w:webHidden/>
          </w:rPr>
          <w:tab/>
        </w:r>
        <w:r>
          <w:rPr>
            <w:webHidden/>
          </w:rPr>
          <w:fldChar w:fldCharType="begin"/>
        </w:r>
        <w:r>
          <w:rPr>
            <w:webHidden/>
          </w:rPr>
          <w:instrText xml:space="preserve"> PAGEREF _Toc216695567 \h </w:instrText>
        </w:r>
        <w:r>
          <w:rPr>
            <w:webHidden/>
          </w:rPr>
        </w:r>
        <w:r>
          <w:rPr>
            <w:webHidden/>
          </w:rPr>
          <w:fldChar w:fldCharType="separate"/>
        </w:r>
        <w:r w:rsidR="003861AC">
          <w:rPr>
            <w:webHidden/>
          </w:rPr>
          <w:t>61</w:t>
        </w:r>
        <w:r>
          <w:rPr>
            <w:webHidden/>
          </w:rPr>
          <w:fldChar w:fldCharType="end"/>
        </w:r>
      </w:hyperlink>
    </w:p>
    <w:p w14:paraId="276CF351" w14:textId="5EB49862" w:rsidR="008B1ACD" w:rsidRDefault="008B1ACD">
      <w:pPr>
        <w:pStyle w:val="TOC2"/>
        <w:rPr>
          <w:rFonts w:eastAsiaTheme="minorEastAsia"/>
          <w:b w:val="0"/>
          <w:color w:val="auto"/>
          <w:sz w:val="24"/>
          <w:lang w:eastAsia="en-AU"/>
        </w:rPr>
      </w:pPr>
      <w:hyperlink w:anchor="_Toc216695568" w:history="1">
        <w:r w:rsidRPr="00491FE3">
          <w:rPr>
            <w:rStyle w:val="Hyperlink"/>
          </w:rPr>
          <w:t>3.3</w:t>
        </w:r>
        <w:r>
          <w:rPr>
            <w:rFonts w:eastAsiaTheme="minorEastAsia"/>
            <w:b w:val="0"/>
            <w:color w:val="auto"/>
            <w:sz w:val="24"/>
            <w:lang w:eastAsia="en-AU"/>
          </w:rPr>
          <w:tab/>
        </w:r>
        <w:r w:rsidRPr="00491FE3">
          <w:rPr>
            <w:rStyle w:val="Hyperlink"/>
          </w:rPr>
          <w:t>Risks to non-target species</w:t>
        </w:r>
        <w:r>
          <w:rPr>
            <w:webHidden/>
          </w:rPr>
          <w:tab/>
        </w:r>
        <w:r>
          <w:rPr>
            <w:webHidden/>
          </w:rPr>
          <w:fldChar w:fldCharType="begin"/>
        </w:r>
        <w:r>
          <w:rPr>
            <w:webHidden/>
          </w:rPr>
          <w:instrText xml:space="preserve"> PAGEREF _Toc216695568 \h </w:instrText>
        </w:r>
        <w:r>
          <w:rPr>
            <w:webHidden/>
          </w:rPr>
        </w:r>
        <w:r>
          <w:rPr>
            <w:webHidden/>
          </w:rPr>
          <w:fldChar w:fldCharType="separate"/>
        </w:r>
        <w:r w:rsidR="003861AC">
          <w:rPr>
            <w:webHidden/>
          </w:rPr>
          <w:t>62</w:t>
        </w:r>
        <w:r>
          <w:rPr>
            <w:webHidden/>
          </w:rPr>
          <w:fldChar w:fldCharType="end"/>
        </w:r>
      </w:hyperlink>
    </w:p>
    <w:p w14:paraId="19BF35BB" w14:textId="22FEF7A5" w:rsidR="008B1ACD" w:rsidRDefault="008B1ACD">
      <w:pPr>
        <w:pStyle w:val="TOC3"/>
        <w:tabs>
          <w:tab w:val="left" w:pos="1200"/>
        </w:tabs>
        <w:rPr>
          <w:rFonts w:eastAsiaTheme="minorEastAsia"/>
          <w:sz w:val="24"/>
          <w:lang w:eastAsia="en-AU"/>
        </w:rPr>
      </w:pPr>
      <w:hyperlink w:anchor="_Toc216695569" w:history="1">
        <w:r w:rsidRPr="00491FE3">
          <w:rPr>
            <w:rStyle w:val="Hyperlink"/>
          </w:rPr>
          <w:t>3.3.1</w:t>
        </w:r>
        <w:r>
          <w:rPr>
            <w:rFonts w:eastAsiaTheme="minorEastAsia"/>
            <w:sz w:val="24"/>
            <w:lang w:eastAsia="en-AU"/>
          </w:rPr>
          <w:tab/>
        </w:r>
        <w:r w:rsidRPr="00491FE3">
          <w:rPr>
            <w:rStyle w:val="Hyperlink"/>
          </w:rPr>
          <w:t>Use patterns</w:t>
        </w:r>
        <w:r>
          <w:rPr>
            <w:webHidden/>
          </w:rPr>
          <w:tab/>
        </w:r>
        <w:r>
          <w:rPr>
            <w:webHidden/>
          </w:rPr>
          <w:fldChar w:fldCharType="begin"/>
        </w:r>
        <w:r>
          <w:rPr>
            <w:webHidden/>
          </w:rPr>
          <w:instrText xml:space="preserve"> PAGEREF _Toc216695569 \h </w:instrText>
        </w:r>
        <w:r>
          <w:rPr>
            <w:webHidden/>
          </w:rPr>
        </w:r>
        <w:r>
          <w:rPr>
            <w:webHidden/>
          </w:rPr>
          <w:fldChar w:fldCharType="separate"/>
        </w:r>
        <w:r w:rsidR="003861AC">
          <w:rPr>
            <w:webHidden/>
          </w:rPr>
          <w:t>62</w:t>
        </w:r>
        <w:r>
          <w:rPr>
            <w:webHidden/>
          </w:rPr>
          <w:fldChar w:fldCharType="end"/>
        </w:r>
      </w:hyperlink>
    </w:p>
    <w:p w14:paraId="577D0F77" w14:textId="0AD50457" w:rsidR="008B1ACD" w:rsidRDefault="008B1ACD">
      <w:pPr>
        <w:pStyle w:val="TOC3"/>
        <w:tabs>
          <w:tab w:val="left" w:pos="1200"/>
        </w:tabs>
        <w:rPr>
          <w:rFonts w:eastAsiaTheme="minorEastAsia"/>
          <w:sz w:val="24"/>
          <w:lang w:eastAsia="en-AU"/>
        </w:rPr>
      </w:pPr>
      <w:hyperlink w:anchor="_Toc216695570" w:history="1">
        <w:r w:rsidRPr="00491FE3">
          <w:rPr>
            <w:rStyle w:val="Hyperlink"/>
          </w:rPr>
          <w:t>3.3.2</w:t>
        </w:r>
        <w:r>
          <w:rPr>
            <w:rFonts w:eastAsiaTheme="minorEastAsia"/>
            <w:sz w:val="24"/>
            <w:lang w:eastAsia="en-AU"/>
          </w:rPr>
          <w:tab/>
        </w:r>
        <w:r w:rsidRPr="00491FE3">
          <w:rPr>
            <w:rStyle w:val="Hyperlink"/>
          </w:rPr>
          <w:t>Risks to terrestrial vertebrates</w:t>
        </w:r>
        <w:r>
          <w:rPr>
            <w:webHidden/>
          </w:rPr>
          <w:tab/>
        </w:r>
        <w:r>
          <w:rPr>
            <w:webHidden/>
          </w:rPr>
          <w:fldChar w:fldCharType="begin"/>
        </w:r>
        <w:r>
          <w:rPr>
            <w:webHidden/>
          </w:rPr>
          <w:instrText xml:space="preserve"> PAGEREF _Toc216695570 \h </w:instrText>
        </w:r>
        <w:r>
          <w:rPr>
            <w:webHidden/>
          </w:rPr>
        </w:r>
        <w:r>
          <w:rPr>
            <w:webHidden/>
          </w:rPr>
          <w:fldChar w:fldCharType="separate"/>
        </w:r>
        <w:r w:rsidR="003861AC">
          <w:rPr>
            <w:webHidden/>
          </w:rPr>
          <w:t>65</w:t>
        </w:r>
        <w:r>
          <w:rPr>
            <w:webHidden/>
          </w:rPr>
          <w:fldChar w:fldCharType="end"/>
        </w:r>
      </w:hyperlink>
    </w:p>
    <w:p w14:paraId="73C71B79" w14:textId="08804F39" w:rsidR="008B1ACD" w:rsidRDefault="008B1ACD">
      <w:pPr>
        <w:pStyle w:val="TOC3"/>
        <w:tabs>
          <w:tab w:val="left" w:pos="1200"/>
        </w:tabs>
        <w:rPr>
          <w:rFonts w:eastAsiaTheme="minorEastAsia"/>
          <w:sz w:val="24"/>
          <w:lang w:eastAsia="en-AU"/>
        </w:rPr>
      </w:pPr>
      <w:hyperlink w:anchor="_Toc216695571" w:history="1">
        <w:r w:rsidRPr="00491FE3">
          <w:rPr>
            <w:rStyle w:val="Hyperlink"/>
          </w:rPr>
          <w:t>3.3.3</w:t>
        </w:r>
        <w:r>
          <w:rPr>
            <w:rFonts w:eastAsiaTheme="minorEastAsia"/>
            <w:sz w:val="24"/>
            <w:lang w:eastAsia="en-AU"/>
          </w:rPr>
          <w:tab/>
        </w:r>
        <w:r w:rsidRPr="00491FE3">
          <w:rPr>
            <w:rStyle w:val="Hyperlink"/>
          </w:rPr>
          <w:t>Risks to other non-target species</w:t>
        </w:r>
        <w:r>
          <w:rPr>
            <w:webHidden/>
          </w:rPr>
          <w:tab/>
        </w:r>
        <w:r>
          <w:rPr>
            <w:webHidden/>
          </w:rPr>
          <w:fldChar w:fldCharType="begin"/>
        </w:r>
        <w:r>
          <w:rPr>
            <w:webHidden/>
          </w:rPr>
          <w:instrText xml:space="preserve"> PAGEREF _Toc216695571 \h </w:instrText>
        </w:r>
        <w:r>
          <w:rPr>
            <w:webHidden/>
          </w:rPr>
        </w:r>
        <w:r>
          <w:rPr>
            <w:webHidden/>
          </w:rPr>
          <w:fldChar w:fldCharType="separate"/>
        </w:r>
        <w:r w:rsidR="003861AC">
          <w:rPr>
            <w:webHidden/>
          </w:rPr>
          <w:t>70</w:t>
        </w:r>
        <w:r>
          <w:rPr>
            <w:webHidden/>
          </w:rPr>
          <w:fldChar w:fldCharType="end"/>
        </w:r>
      </w:hyperlink>
    </w:p>
    <w:p w14:paraId="3875E998" w14:textId="73D0AA0F" w:rsidR="008B1ACD" w:rsidRDefault="008B1ACD">
      <w:pPr>
        <w:pStyle w:val="TOC2"/>
        <w:rPr>
          <w:rFonts w:eastAsiaTheme="minorEastAsia"/>
          <w:b w:val="0"/>
          <w:color w:val="auto"/>
          <w:sz w:val="24"/>
          <w:lang w:eastAsia="en-AU"/>
        </w:rPr>
      </w:pPr>
      <w:hyperlink w:anchor="_Toc216695572" w:history="1">
        <w:r w:rsidRPr="00491FE3">
          <w:rPr>
            <w:rStyle w:val="Hyperlink"/>
          </w:rPr>
          <w:t>3.4</w:t>
        </w:r>
        <w:r>
          <w:rPr>
            <w:rFonts w:eastAsiaTheme="minorEastAsia"/>
            <w:b w:val="0"/>
            <w:color w:val="auto"/>
            <w:sz w:val="24"/>
            <w:lang w:eastAsia="en-AU"/>
          </w:rPr>
          <w:tab/>
        </w:r>
        <w:r w:rsidRPr="00491FE3">
          <w:rPr>
            <w:rStyle w:val="Hyperlink"/>
          </w:rPr>
          <w:t>Recommendations</w:t>
        </w:r>
        <w:r>
          <w:rPr>
            <w:webHidden/>
          </w:rPr>
          <w:tab/>
        </w:r>
        <w:r>
          <w:rPr>
            <w:webHidden/>
          </w:rPr>
          <w:fldChar w:fldCharType="begin"/>
        </w:r>
        <w:r>
          <w:rPr>
            <w:webHidden/>
          </w:rPr>
          <w:instrText xml:space="preserve"> PAGEREF _Toc216695572 \h </w:instrText>
        </w:r>
        <w:r>
          <w:rPr>
            <w:webHidden/>
          </w:rPr>
        </w:r>
        <w:r>
          <w:rPr>
            <w:webHidden/>
          </w:rPr>
          <w:fldChar w:fldCharType="separate"/>
        </w:r>
        <w:r w:rsidR="003861AC">
          <w:rPr>
            <w:webHidden/>
          </w:rPr>
          <w:t>79</w:t>
        </w:r>
        <w:r>
          <w:rPr>
            <w:webHidden/>
          </w:rPr>
          <w:fldChar w:fldCharType="end"/>
        </w:r>
      </w:hyperlink>
    </w:p>
    <w:p w14:paraId="1E8F30C8" w14:textId="037B6B5A" w:rsidR="008B1ACD" w:rsidRDefault="008B1ACD">
      <w:pPr>
        <w:pStyle w:val="TOC3"/>
        <w:tabs>
          <w:tab w:val="left" w:pos="1200"/>
        </w:tabs>
        <w:rPr>
          <w:rFonts w:eastAsiaTheme="minorEastAsia"/>
          <w:sz w:val="24"/>
          <w:lang w:eastAsia="en-AU"/>
        </w:rPr>
      </w:pPr>
      <w:hyperlink w:anchor="_Toc216695573" w:history="1">
        <w:r w:rsidRPr="00491FE3">
          <w:rPr>
            <w:rStyle w:val="Hyperlink"/>
          </w:rPr>
          <w:t>3.4.1</w:t>
        </w:r>
        <w:r>
          <w:rPr>
            <w:rFonts w:eastAsiaTheme="minorEastAsia"/>
            <w:sz w:val="24"/>
            <w:lang w:eastAsia="en-AU"/>
          </w:rPr>
          <w:tab/>
        </w:r>
        <w:r w:rsidRPr="00491FE3">
          <w:rPr>
            <w:rStyle w:val="Hyperlink"/>
          </w:rPr>
          <w:t>Products and uses not supported</w:t>
        </w:r>
        <w:r>
          <w:rPr>
            <w:webHidden/>
          </w:rPr>
          <w:tab/>
        </w:r>
        <w:r>
          <w:rPr>
            <w:webHidden/>
          </w:rPr>
          <w:fldChar w:fldCharType="begin"/>
        </w:r>
        <w:r>
          <w:rPr>
            <w:webHidden/>
          </w:rPr>
          <w:instrText xml:space="preserve"> PAGEREF _Toc216695573 \h </w:instrText>
        </w:r>
        <w:r>
          <w:rPr>
            <w:webHidden/>
          </w:rPr>
        </w:r>
        <w:r>
          <w:rPr>
            <w:webHidden/>
          </w:rPr>
          <w:fldChar w:fldCharType="separate"/>
        </w:r>
        <w:r w:rsidR="003861AC">
          <w:rPr>
            <w:webHidden/>
          </w:rPr>
          <w:t>79</w:t>
        </w:r>
        <w:r>
          <w:rPr>
            <w:webHidden/>
          </w:rPr>
          <w:fldChar w:fldCharType="end"/>
        </w:r>
      </w:hyperlink>
    </w:p>
    <w:p w14:paraId="764F23D9" w14:textId="02C59D61" w:rsidR="008B1ACD" w:rsidRDefault="008B1ACD">
      <w:pPr>
        <w:pStyle w:val="TOC3"/>
        <w:tabs>
          <w:tab w:val="left" w:pos="1200"/>
        </w:tabs>
        <w:rPr>
          <w:rFonts w:eastAsiaTheme="minorEastAsia"/>
          <w:sz w:val="24"/>
          <w:lang w:eastAsia="en-AU"/>
        </w:rPr>
      </w:pPr>
      <w:hyperlink w:anchor="_Toc216695574" w:history="1">
        <w:r w:rsidRPr="00491FE3">
          <w:rPr>
            <w:rStyle w:val="Hyperlink"/>
          </w:rPr>
          <w:t>3.4.2</w:t>
        </w:r>
        <w:r>
          <w:rPr>
            <w:rFonts w:eastAsiaTheme="minorEastAsia"/>
            <w:sz w:val="24"/>
            <w:lang w:eastAsia="en-AU"/>
          </w:rPr>
          <w:tab/>
        </w:r>
        <w:r w:rsidRPr="00491FE3">
          <w:rPr>
            <w:rStyle w:val="Hyperlink"/>
          </w:rPr>
          <w:t>Supported products and uses</w:t>
        </w:r>
        <w:r>
          <w:rPr>
            <w:webHidden/>
          </w:rPr>
          <w:tab/>
        </w:r>
        <w:r>
          <w:rPr>
            <w:webHidden/>
          </w:rPr>
          <w:fldChar w:fldCharType="begin"/>
        </w:r>
        <w:r>
          <w:rPr>
            <w:webHidden/>
          </w:rPr>
          <w:instrText xml:space="preserve"> PAGEREF _Toc216695574 \h </w:instrText>
        </w:r>
        <w:r>
          <w:rPr>
            <w:webHidden/>
          </w:rPr>
        </w:r>
        <w:r>
          <w:rPr>
            <w:webHidden/>
          </w:rPr>
          <w:fldChar w:fldCharType="separate"/>
        </w:r>
        <w:r w:rsidR="003861AC">
          <w:rPr>
            <w:webHidden/>
          </w:rPr>
          <w:t>80</w:t>
        </w:r>
        <w:r>
          <w:rPr>
            <w:webHidden/>
          </w:rPr>
          <w:fldChar w:fldCharType="end"/>
        </w:r>
      </w:hyperlink>
    </w:p>
    <w:p w14:paraId="551F28B4" w14:textId="34FAA42A"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575" w:history="1">
        <w:r w:rsidRPr="00491FE3">
          <w:rPr>
            <w:rStyle w:val="Hyperlink"/>
          </w:rPr>
          <w:t>4</w:t>
        </w:r>
        <w:r>
          <w:rPr>
            <w:rFonts w:asciiTheme="minorHAnsi" w:eastAsiaTheme="minorEastAsia" w:hAnsiTheme="minorHAnsi" w:cstheme="minorBidi"/>
            <w:bCs w:val="0"/>
            <w:color w:val="auto"/>
            <w:kern w:val="2"/>
            <w:sz w:val="24"/>
            <w:szCs w:val="24"/>
            <w:lang w:eastAsia="en-AU"/>
          </w:rPr>
          <w:tab/>
        </w:r>
        <w:r w:rsidRPr="00491FE3">
          <w:rPr>
            <w:rStyle w:val="Hyperlink"/>
          </w:rPr>
          <w:t>Toxicology and Human Health</w:t>
        </w:r>
        <w:r>
          <w:rPr>
            <w:webHidden/>
          </w:rPr>
          <w:tab/>
        </w:r>
        <w:r>
          <w:rPr>
            <w:webHidden/>
          </w:rPr>
          <w:fldChar w:fldCharType="begin"/>
        </w:r>
        <w:r>
          <w:rPr>
            <w:webHidden/>
          </w:rPr>
          <w:instrText xml:space="preserve"> PAGEREF _Toc216695575 \h </w:instrText>
        </w:r>
        <w:r>
          <w:rPr>
            <w:webHidden/>
          </w:rPr>
        </w:r>
        <w:r>
          <w:rPr>
            <w:webHidden/>
          </w:rPr>
          <w:fldChar w:fldCharType="separate"/>
        </w:r>
        <w:r w:rsidR="003861AC">
          <w:rPr>
            <w:webHidden/>
          </w:rPr>
          <w:t>83</w:t>
        </w:r>
        <w:r>
          <w:rPr>
            <w:webHidden/>
          </w:rPr>
          <w:fldChar w:fldCharType="end"/>
        </w:r>
      </w:hyperlink>
    </w:p>
    <w:p w14:paraId="27695862" w14:textId="4542A9B5" w:rsidR="008B1ACD" w:rsidRDefault="008B1ACD">
      <w:pPr>
        <w:pStyle w:val="TOC2"/>
        <w:rPr>
          <w:rFonts w:eastAsiaTheme="minorEastAsia"/>
          <w:b w:val="0"/>
          <w:color w:val="auto"/>
          <w:sz w:val="24"/>
          <w:lang w:eastAsia="en-AU"/>
        </w:rPr>
      </w:pPr>
      <w:hyperlink w:anchor="_Toc216695576" w:history="1">
        <w:r w:rsidRPr="00491FE3">
          <w:rPr>
            <w:rStyle w:val="Hyperlink"/>
          </w:rPr>
          <w:t>4.1</w:t>
        </w:r>
        <w:r>
          <w:rPr>
            <w:rFonts w:eastAsiaTheme="minorEastAsia"/>
            <w:b w:val="0"/>
            <w:color w:val="auto"/>
            <w:sz w:val="24"/>
            <w:lang w:eastAsia="en-AU"/>
          </w:rPr>
          <w:tab/>
        </w:r>
        <w:r w:rsidRPr="00491FE3">
          <w:rPr>
            <w:rStyle w:val="Hyperlink"/>
          </w:rPr>
          <w:t>Introduction</w:t>
        </w:r>
        <w:r>
          <w:rPr>
            <w:webHidden/>
          </w:rPr>
          <w:tab/>
        </w:r>
        <w:r>
          <w:rPr>
            <w:webHidden/>
          </w:rPr>
          <w:fldChar w:fldCharType="begin"/>
        </w:r>
        <w:r>
          <w:rPr>
            <w:webHidden/>
          </w:rPr>
          <w:instrText xml:space="preserve"> PAGEREF _Toc216695576 \h </w:instrText>
        </w:r>
        <w:r>
          <w:rPr>
            <w:webHidden/>
          </w:rPr>
        </w:r>
        <w:r>
          <w:rPr>
            <w:webHidden/>
          </w:rPr>
          <w:fldChar w:fldCharType="separate"/>
        </w:r>
        <w:r w:rsidR="003861AC">
          <w:rPr>
            <w:webHidden/>
          </w:rPr>
          <w:t>83</w:t>
        </w:r>
        <w:r>
          <w:rPr>
            <w:webHidden/>
          </w:rPr>
          <w:fldChar w:fldCharType="end"/>
        </w:r>
      </w:hyperlink>
    </w:p>
    <w:p w14:paraId="0F707D06" w14:textId="15E048B9" w:rsidR="008B1ACD" w:rsidRDefault="008B1ACD">
      <w:pPr>
        <w:pStyle w:val="TOC2"/>
        <w:rPr>
          <w:rFonts w:eastAsiaTheme="minorEastAsia"/>
          <w:b w:val="0"/>
          <w:color w:val="auto"/>
          <w:sz w:val="24"/>
          <w:lang w:eastAsia="en-AU"/>
        </w:rPr>
      </w:pPr>
      <w:hyperlink w:anchor="_Toc216695577" w:history="1">
        <w:r w:rsidRPr="00491FE3">
          <w:rPr>
            <w:rStyle w:val="Hyperlink"/>
          </w:rPr>
          <w:t>4.2</w:t>
        </w:r>
        <w:r>
          <w:rPr>
            <w:rFonts w:eastAsiaTheme="minorEastAsia"/>
            <w:b w:val="0"/>
            <w:color w:val="auto"/>
            <w:sz w:val="24"/>
            <w:lang w:eastAsia="en-AU"/>
          </w:rPr>
          <w:tab/>
        </w:r>
        <w:r w:rsidRPr="00491FE3">
          <w:rPr>
            <w:rStyle w:val="Hyperlink"/>
          </w:rPr>
          <w:t>Summary of available toxicological studies</w:t>
        </w:r>
        <w:r>
          <w:rPr>
            <w:webHidden/>
          </w:rPr>
          <w:tab/>
        </w:r>
        <w:r>
          <w:rPr>
            <w:webHidden/>
          </w:rPr>
          <w:fldChar w:fldCharType="begin"/>
        </w:r>
        <w:r>
          <w:rPr>
            <w:webHidden/>
          </w:rPr>
          <w:instrText xml:space="preserve"> PAGEREF _Toc216695577 \h </w:instrText>
        </w:r>
        <w:r>
          <w:rPr>
            <w:webHidden/>
          </w:rPr>
        </w:r>
        <w:r>
          <w:rPr>
            <w:webHidden/>
          </w:rPr>
          <w:fldChar w:fldCharType="separate"/>
        </w:r>
        <w:r w:rsidR="003861AC">
          <w:rPr>
            <w:webHidden/>
          </w:rPr>
          <w:t>83</w:t>
        </w:r>
        <w:r>
          <w:rPr>
            <w:webHidden/>
          </w:rPr>
          <w:fldChar w:fldCharType="end"/>
        </w:r>
      </w:hyperlink>
    </w:p>
    <w:p w14:paraId="6979055A" w14:textId="73FF0528" w:rsidR="008B1ACD" w:rsidRDefault="008B1ACD">
      <w:pPr>
        <w:pStyle w:val="TOC3"/>
        <w:tabs>
          <w:tab w:val="left" w:pos="1200"/>
        </w:tabs>
        <w:rPr>
          <w:rFonts w:eastAsiaTheme="minorEastAsia"/>
          <w:sz w:val="24"/>
          <w:lang w:eastAsia="en-AU"/>
        </w:rPr>
      </w:pPr>
      <w:hyperlink w:anchor="_Toc216695578" w:history="1">
        <w:r w:rsidRPr="00491FE3">
          <w:rPr>
            <w:rStyle w:val="Hyperlink"/>
          </w:rPr>
          <w:t>4.2.1</w:t>
        </w:r>
        <w:r>
          <w:rPr>
            <w:rFonts w:eastAsiaTheme="minorEastAsia"/>
            <w:sz w:val="24"/>
            <w:lang w:eastAsia="en-AU"/>
          </w:rPr>
          <w:tab/>
        </w:r>
        <w:r w:rsidRPr="00491FE3">
          <w:rPr>
            <w:rStyle w:val="Hyperlink"/>
          </w:rPr>
          <w:t>Coumatetralyl</w:t>
        </w:r>
        <w:r>
          <w:rPr>
            <w:webHidden/>
          </w:rPr>
          <w:tab/>
        </w:r>
        <w:r>
          <w:rPr>
            <w:webHidden/>
          </w:rPr>
          <w:fldChar w:fldCharType="begin"/>
        </w:r>
        <w:r>
          <w:rPr>
            <w:webHidden/>
          </w:rPr>
          <w:instrText xml:space="preserve"> PAGEREF _Toc216695578 \h </w:instrText>
        </w:r>
        <w:r>
          <w:rPr>
            <w:webHidden/>
          </w:rPr>
        </w:r>
        <w:r>
          <w:rPr>
            <w:webHidden/>
          </w:rPr>
          <w:fldChar w:fldCharType="separate"/>
        </w:r>
        <w:r w:rsidR="003861AC">
          <w:rPr>
            <w:webHidden/>
          </w:rPr>
          <w:t>83</w:t>
        </w:r>
        <w:r>
          <w:rPr>
            <w:webHidden/>
          </w:rPr>
          <w:fldChar w:fldCharType="end"/>
        </w:r>
      </w:hyperlink>
    </w:p>
    <w:p w14:paraId="62CF340C" w14:textId="55704AE8" w:rsidR="008B1ACD" w:rsidRDefault="008B1ACD">
      <w:pPr>
        <w:pStyle w:val="TOC3"/>
        <w:tabs>
          <w:tab w:val="left" w:pos="1200"/>
        </w:tabs>
        <w:rPr>
          <w:rFonts w:eastAsiaTheme="minorEastAsia"/>
          <w:sz w:val="24"/>
          <w:lang w:eastAsia="en-AU"/>
        </w:rPr>
      </w:pPr>
      <w:hyperlink w:anchor="_Toc216695579" w:history="1">
        <w:r w:rsidRPr="00491FE3">
          <w:rPr>
            <w:rStyle w:val="Hyperlink"/>
          </w:rPr>
          <w:t>4.2.2</w:t>
        </w:r>
        <w:r>
          <w:rPr>
            <w:rFonts w:eastAsiaTheme="minorEastAsia"/>
            <w:sz w:val="24"/>
            <w:lang w:eastAsia="en-AU"/>
          </w:rPr>
          <w:tab/>
        </w:r>
        <w:r w:rsidRPr="00491FE3">
          <w:rPr>
            <w:rStyle w:val="Hyperlink"/>
          </w:rPr>
          <w:t>Diphacinone</w:t>
        </w:r>
        <w:r>
          <w:rPr>
            <w:webHidden/>
          </w:rPr>
          <w:tab/>
        </w:r>
        <w:r>
          <w:rPr>
            <w:webHidden/>
          </w:rPr>
          <w:fldChar w:fldCharType="begin"/>
        </w:r>
        <w:r>
          <w:rPr>
            <w:webHidden/>
          </w:rPr>
          <w:instrText xml:space="preserve"> PAGEREF _Toc216695579 \h </w:instrText>
        </w:r>
        <w:r>
          <w:rPr>
            <w:webHidden/>
          </w:rPr>
        </w:r>
        <w:r>
          <w:rPr>
            <w:webHidden/>
          </w:rPr>
          <w:fldChar w:fldCharType="separate"/>
        </w:r>
        <w:r w:rsidR="003861AC">
          <w:rPr>
            <w:webHidden/>
          </w:rPr>
          <w:t>84</w:t>
        </w:r>
        <w:r>
          <w:rPr>
            <w:webHidden/>
          </w:rPr>
          <w:fldChar w:fldCharType="end"/>
        </w:r>
      </w:hyperlink>
    </w:p>
    <w:p w14:paraId="420C8ED8" w14:textId="4260EB9C" w:rsidR="008B1ACD" w:rsidRDefault="008B1ACD">
      <w:pPr>
        <w:pStyle w:val="TOC3"/>
        <w:tabs>
          <w:tab w:val="left" w:pos="1200"/>
        </w:tabs>
        <w:rPr>
          <w:rFonts w:eastAsiaTheme="minorEastAsia"/>
          <w:sz w:val="24"/>
          <w:lang w:eastAsia="en-AU"/>
        </w:rPr>
      </w:pPr>
      <w:hyperlink w:anchor="_Toc216695580" w:history="1">
        <w:r w:rsidRPr="00491FE3">
          <w:rPr>
            <w:rStyle w:val="Hyperlink"/>
          </w:rPr>
          <w:t>4.2.3</w:t>
        </w:r>
        <w:r>
          <w:rPr>
            <w:rFonts w:eastAsiaTheme="minorEastAsia"/>
            <w:sz w:val="24"/>
            <w:lang w:eastAsia="en-AU"/>
          </w:rPr>
          <w:tab/>
        </w:r>
        <w:r w:rsidRPr="00491FE3">
          <w:rPr>
            <w:rStyle w:val="Hyperlink"/>
          </w:rPr>
          <w:t>Warfarin</w:t>
        </w:r>
        <w:r>
          <w:rPr>
            <w:webHidden/>
          </w:rPr>
          <w:tab/>
        </w:r>
        <w:r>
          <w:rPr>
            <w:webHidden/>
          </w:rPr>
          <w:fldChar w:fldCharType="begin"/>
        </w:r>
        <w:r>
          <w:rPr>
            <w:webHidden/>
          </w:rPr>
          <w:instrText xml:space="preserve"> PAGEREF _Toc216695580 \h </w:instrText>
        </w:r>
        <w:r>
          <w:rPr>
            <w:webHidden/>
          </w:rPr>
        </w:r>
        <w:r>
          <w:rPr>
            <w:webHidden/>
          </w:rPr>
          <w:fldChar w:fldCharType="separate"/>
        </w:r>
        <w:r w:rsidR="003861AC">
          <w:rPr>
            <w:webHidden/>
          </w:rPr>
          <w:t>84</w:t>
        </w:r>
        <w:r>
          <w:rPr>
            <w:webHidden/>
          </w:rPr>
          <w:fldChar w:fldCharType="end"/>
        </w:r>
      </w:hyperlink>
    </w:p>
    <w:p w14:paraId="76D0D02E" w14:textId="587FE822" w:rsidR="008B1ACD" w:rsidRDefault="008B1ACD">
      <w:pPr>
        <w:pStyle w:val="TOC3"/>
        <w:tabs>
          <w:tab w:val="left" w:pos="1200"/>
        </w:tabs>
        <w:rPr>
          <w:rFonts w:eastAsiaTheme="minorEastAsia"/>
          <w:sz w:val="24"/>
          <w:lang w:eastAsia="en-AU"/>
        </w:rPr>
      </w:pPr>
      <w:hyperlink w:anchor="_Toc216695581" w:history="1">
        <w:r w:rsidRPr="00491FE3">
          <w:rPr>
            <w:rStyle w:val="Hyperlink"/>
          </w:rPr>
          <w:t>4.2.4</w:t>
        </w:r>
        <w:r>
          <w:rPr>
            <w:rFonts w:eastAsiaTheme="minorEastAsia"/>
            <w:sz w:val="24"/>
            <w:lang w:eastAsia="en-AU"/>
          </w:rPr>
          <w:tab/>
        </w:r>
        <w:r w:rsidRPr="00491FE3">
          <w:rPr>
            <w:rStyle w:val="Hyperlink"/>
          </w:rPr>
          <w:t>Brodifacoum</w:t>
        </w:r>
        <w:r>
          <w:rPr>
            <w:webHidden/>
          </w:rPr>
          <w:tab/>
        </w:r>
        <w:r>
          <w:rPr>
            <w:webHidden/>
          </w:rPr>
          <w:fldChar w:fldCharType="begin"/>
        </w:r>
        <w:r>
          <w:rPr>
            <w:webHidden/>
          </w:rPr>
          <w:instrText xml:space="preserve"> PAGEREF _Toc216695581 \h </w:instrText>
        </w:r>
        <w:r>
          <w:rPr>
            <w:webHidden/>
          </w:rPr>
        </w:r>
        <w:r>
          <w:rPr>
            <w:webHidden/>
          </w:rPr>
          <w:fldChar w:fldCharType="separate"/>
        </w:r>
        <w:r w:rsidR="003861AC">
          <w:rPr>
            <w:webHidden/>
          </w:rPr>
          <w:t>85</w:t>
        </w:r>
        <w:r>
          <w:rPr>
            <w:webHidden/>
          </w:rPr>
          <w:fldChar w:fldCharType="end"/>
        </w:r>
      </w:hyperlink>
    </w:p>
    <w:p w14:paraId="43CF5B23" w14:textId="1C8AE35D" w:rsidR="008B1ACD" w:rsidRDefault="008B1ACD">
      <w:pPr>
        <w:pStyle w:val="TOC3"/>
        <w:tabs>
          <w:tab w:val="left" w:pos="1200"/>
        </w:tabs>
        <w:rPr>
          <w:rFonts w:eastAsiaTheme="minorEastAsia"/>
          <w:sz w:val="24"/>
          <w:lang w:eastAsia="en-AU"/>
        </w:rPr>
      </w:pPr>
      <w:hyperlink w:anchor="_Toc216695582" w:history="1">
        <w:r w:rsidRPr="00491FE3">
          <w:rPr>
            <w:rStyle w:val="Hyperlink"/>
          </w:rPr>
          <w:t>4.2.5</w:t>
        </w:r>
        <w:r>
          <w:rPr>
            <w:rFonts w:eastAsiaTheme="minorEastAsia"/>
            <w:sz w:val="24"/>
            <w:lang w:eastAsia="en-AU"/>
          </w:rPr>
          <w:tab/>
        </w:r>
        <w:r w:rsidRPr="00491FE3">
          <w:rPr>
            <w:rStyle w:val="Hyperlink"/>
          </w:rPr>
          <w:t>Bromadiolone</w:t>
        </w:r>
        <w:r>
          <w:rPr>
            <w:webHidden/>
          </w:rPr>
          <w:tab/>
        </w:r>
        <w:r>
          <w:rPr>
            <w:webHidden/>
          </w:rPr>
          <w:fldChar w:fldCharType="begin"/>
        </w:r>
        <w:r>
          <w:rPr>
            <w:webHidden/>
          </w:rPr>
          <w:instrText xml:space="preserve"> PAGEREF _Toc216695582 \h </w:instrText>
        </w:r>
        <w:r>
          <w:rPr>
            <w:webHidden/>
          </w:rPr>
        </w:r>
        <w:r>
          <w:rPr>
            <w:webHidden/>
          </w:rPr>
          <w:fldChar w:fldCharType="separate"/>
        </w:r>
        <w:r w:rsidR="003861AC">
          <w:rPr>
            <w:webHidden/>
          </w:rPr>
          <w:t>86</w:t>
        </w:r>
        <w:r>
          <w:rPr>
            <w:webHidden/>
          </w:rPr>
          <w:fldChar w:fldCharType="end"/>
        </w:r>
      </w:hyperlink>
    </w:p>
    <w:p w14:paraId="04E8333F" w14:textId="3AB58A30" w:rsidR="008B1ACD" w:rsidRDefault="008B1ACD">
      <w:pPr>
        <w:pStyle w:val="TOC3"/>
        <w:tabs>
          <w:tab w:val="left" w:pos="1200"/>
        </w:tabs>
        <w:rPr>
          <w:rFonts w:eastAsiaTheme="minorEastAsia"/>
          <w:sz w:val="24"/>
          <w:lang w:eastAsia="en-AU"/>
        </w:rPr>
      </w:pPr>
      <w:hyperlink w:anchor="_Toc216695583" w:history="1">
        <w:r w:rsidRPr="00491FE3">
          <w:rPr>
            <w:rStyle w:val="Hyperlink"/>
          </w:rPr>
          <w:t>4.2.6</w:t>
        </w:r>
        <w:r>
          <w:rPr>
            <w:rFonts w:eastAsiaTheme="minorEastAsia"/>
            <w:sz w:val="24"/>
            <w:lang w:eastAsia="en-AU"/>
          </w:rPr>
          <w:tab/>
        </w:r>
        <w:r w:rsidRPr="00491FE3">
          <w:rPr>
            <w:rStyle w:val="Hyperlink"/>
          </w:rPr>
          <w:t>Difenacoum</w:t>
        </w:r>
        <w:r>
          <w:rPr>
            <w:webHidden/>
          </w:rPr>
          <w:tab/>
        </w:r>
        <w:r>
          <w:rPr>
            <w:webHidden/>
          </w:rPr>
          <w:fldChar w:fldCharType="begin"/>
        </w:r>
        <w:r>
          <w:rPr>
            <w:webHidden/>
          </w:rPr>
          <w:instrText xml:space="preserve"> PAGEREF _Toc216695583 \h </w:instrText>
        </w:r>
        <w:r>
          <w:rPr>
            <w:webHidden/>
          </w:rPr>
        </w:r>
        <w:r>
          <w:rPr>
            <w:webHidden/>
          </w:rPr>
          <w:fldChar w:fldCharType="separate"/>
        </w:r>
        <w:r w:rsidR="003861AC">
          <w:rPr>
            <w:webHidden/>
          </w:rPr>
          <w:t>86</w:t>
        </w:r>
        <w:r>
          <w:rPr>
            <w:webHidden/>
          </w:rPr>
          <w:fldChar w:fldCharType="end"/>
        </w:r>
      </w:hyperlink>
    </w:p>
    <w:p w14:paraId="5B02B015" w14:textId="01C2DF14" w:rsidR="008B1ACD" w:rsidRDefault="008B1ACD">
      <w:pPr>
        <w:pStyle w:val="TOC3"/>
        <w:tabs>
          <w:tab w:val="left" w:pos="1200"/>
        </w:tabs>
        <w:rPr>
          <w:rFonts w:eastAsiaTheme="minorEastAsia"/>
          <w:sz w:val="24"/>
          <w:lang w:eastAsia="en-AU"/>
        </w:rPr>
      </w:pPr>
      <w:hyperlink w:anchor="_Toc216695584" w:history="1">
        <w:r w:rsidRPr="00491FE3">
          <w:rPr>
            <w:rStyle w:val="Hyperlink"/>
          </w:rPr>
          <w:t>4.2.7</w:t>
        </w:r>
        <w:r>
          <w:rPr>
            <w:rFonts w:eastAsiaTheme="minorEastAsia"/>
            <w:sz w:val="24"/>
            <w:lang w:eastAsia="en-AU"/>
          </w:rPr>
          <w:tab/>
        </w:r>
        <w:r w:rsidRPr="00491FE3">
          <w:rPr>
            <w:rStyle w:val="Hyperlink"/>
          </w:rPr>
          <w:t>Difethialone</w:t>
        </w:r>
        <w:r>
          <w:rPr>
            <w:webHidden/>
          </w:rPr>
          <w:tab/>
        </w:r>
        <w:r>
          <w:rPr>
            <w:webHidden/>
          </w:rPr>
          <w:fldChar w:fldCharType="begin"/>
        </w:r>
        <w:r>
          <w:rPr>
            <w:webHidden/>
          </w:rPr>
          <w:instrText xml:space="preserve"> PAGEREF _Toc216695584 \h </w:instrText>
        </w:r>
        <w:r>
          <w:rPr>
            <w:webHidden/>
          </w:rPr>
        </w:r>
        <w:r>
          <w:rPr>
            <w:webHidden/>
          </w:rPr>
          <w:fldChar w:fldCharType="separate"/>
        </w:r>
        <w:r w:rsidR="003861AC">
          <w:rPr>
            <w:webHidden/>
          </w:rPr>
          <w:t>87</w:t>
        </w:r>
        <w:r>
          <w:rPr>
            <w:webHidden/>
          </w:rPr>
          <w:fldChar w:fldCharType="end"/>
        </w:r>
      </w:hyperlink>
    </w:p>
    <w:p w14:paraId="1129F850" w14:textId="671ADE1E" w:rsidR="008B1ACD" w:rsidRDefault="008B1ACD">
      <w:pPr>
        <w:pStyle w:val="TOC3"/>
        <w:tabs>
          <w:tab w:val="left" w:pos="1200"/>
        </w:tabs>
        <w:rPr>
          <w:rFonts w:eastAsiaTheme="minorEastAsia"/>
          <w:sz w:val="24"/>
          <w:lang w:eastAsia="en-AU"/>
        </w:rPr>
      </w:pPr>
      <w:hyperlink w:anchor="_Toc216695585" w:history="1">
        <w:r w:rsidRPr="00491FE3">
          <w:rPr>
            <w:rStyle w:val="Hyperlink"/>
          </w:rPr>
          <w:t>4.2.8</w:t>
        </w:r>
        <w:r>
          <w:rPr>
            <w:rFonts w:eastAsiaTheme="minorEastAsia"/>
            <w:sz w:val="24"/>
            <w:lang w:eastAsia="en-AU"/>
          </w:rPr>
          <w:tab/>
        </w:r>
        <w:r w:rsidRPr="00491FE3">
          <w:rPr>
            <w:rStyle w:val="Hyperlink"/>
          </w:rPr>
          <w:t>Flocoumafen</w:t>
        </w:r>
        <w:r>
          <w:rPr>
            <w:webHidden/>
          </w:rPr>
          <w:tab/>
        </w:r>
        <w:r>
          <w:rPr>
            <w:webHidden/>
          </w:rPr>
          <w:fldChar w:fldCharType="begin"/>
        </w:r>
        <w:r>
          <w:rPr>
            <w:webHidden/>
          </w:rPr>
          <w:instrText xml:space="preserve"> PAGEREF _Toc216695585 \h </w:instrText>
        </w:r>
        <w:r>
          <w:rPr>
            <w:webHidden/>
          </w:rPr>
        </w:r>
        <w:r>
          <w:rPr>
            <w:webHidden/>
          </w:rPr>
          <w:fldChar w:fldCharType="separate"/>
        </w:r>
        <w:r w:rsidR="003861AC">
          <w:rPr>
            <w:webHidden/>
          </w:rPr>
          <w:t>88</w:t>
        </w:r>
        <w:r>
          <w:rPr>
            <w:webHidden/>
          </w:rPr>
          <w:fldChar w:fldCharType="end"/>
        </w:r>
      </w:hyperlink>
    </w:p>
    <w:p w14:paraId="1227D102" w14:textId="714A95E5" w:rsidR="008B1ACD" w:rsidRDefault="008B1ACD">
      <w:pPr>
        <w:pStyle w:val="TOC3"/>
        <w:tabs>
          <w:tab w:val="left" w:pos="1200"/>
        </w:tabs>
        <w:rPr>
          <w:rFonts w:eastAsiaTheme="minorEastAsia"/>
          <w:sz w:val="24"/>
          <w:lang w:eastAsia="en-AU"/>
        </w:rPr>
      </w:pPr>
      <w:hyperlink w:anchor="_Toc216695586" w:history="1">
        <w:r w:rsidRPr="00491FE3">
          <w:rPr>
            <w:rStyle w:val="Hyperlink"/>
          </w:rPr>
          <w:t>4.2.9</w:t>
        </w:r>
        <w:r>
          <w:rPr>
            <w:rFonts w:eastAsiaTheme="minorEastAsia"/>
            <w:sz w:val="24"/>
            <w:lang w:eastAsia="en-AU"/>
          </w:rPr>
          <w:tab/>
        </w:r>
        <w:r w:rsidRPr="00491FE3">
          <w:rPr>
            <w:rStyle w:val="Hyperlink"/>
          </w:rPr>
          <w:t>Toxicokinetics</w:t>
        </w:r>
        <w:r>
          <w:rPr>
            <w:webHidden/>
          </w:rPr>
          <w:tab/>
        </w:r>
        <w:r>
          <w:rPr>
            <w:webHidden/>
          </w:rPr>
          <w:fldChar w:fldCharType="begin"/>
        </w:r>
        <w:r>
          <w:rPr>
            <w:webHidden/>
          </w:rPr>
          <w:instrText xml:space="preserve"> PAGEREF _Toc216695586 \h </w:instrText>
        </w:r>
        <w:r>
          <w:rPr>
            <w:webHidden/>
          </w:rPr>
        </w:r>
        <w:r>
          <w:rPr>
            <w:webHidden/>
          </w:rPr>
          <w:fldChar w:fldCharType="separate"/>
        </w:r>
        <w:r w:rsidR="003861AC">
          <w:rPr>
            <w:webHidden/>
          </w:rPr>
          <w:t>88</w:t>
        </w:r>
        <w:r>
          <w:rPr>
            <w:webHidden/>
          </w:rPr>
          <w:fldChar w:fldCharType="end"/>
        </w:r>
      </w:hyperlink>
    </w:p>
    <w:p w14:paraId="1C89F931" w14:textId="2FF95D68" w:rsidR="008B1ACD" w:rsidRDefault="008B1ACD">
      <w:pPr>
        <w:pStyle w:val="TOC2"/>
        <w:rPr>
          <w:rFonts w:eastAsiaTheme="minorEastAsia"/>
          <w:b w:val="0"/>
          <w:color w:val="auto"/>
          <w:sz w:val="24"/>
          <w:lang w:eastAsia="en-AU"/>
        </w:rPr>
      </w:pPr>
      <w:hyperlink w:anchor="_Toc216695587" w:history="1">
        <w:r w:rsidRPr="00491FE3">
          <w:rPr>
            <w:rStyle w:val="Hyperlink"/>
          </w:rPr>
          <w:t>4.3</w:t>
        </w:r>
        <w:r>
          <w:rPr>
            <w:rFonts w:eastAsiaTheme="minorEastAsia"/>
            <w:b w:val="0"/>
            <w:color w:val="auto"/>
            <w:sz w:val="24"/>
            <w:lang w:eastAsia="en-AU"/>
          </w:rPr>
          <w:tab/>
        </w:r>
        <w:r w:rsidRPr="00491FE3">
          <w:rPr>
            <w:rStyle w:val="Hyperlink"/>
          </w:rPr>
          <w:t>Human adverse events involving anticoagulant rodenticide exposure in Australia</w:t>
        </w:r>
        <w:r>
          <w:rPr>
            <w:webHidden/>
          </w:rPr>
          <w:tab/>
        </w:r>
        <w:r>
          <w:rPr>
            <w:webHidden/>
          </w:rPr>
          <w:fldChar w:fldCharType="begin"/>
        </w:r>
        <w:r>
          <w:rPr>
            <w:webHidden/>
          </w:rPr>
          <w:instrText xml:space="preserve"> PAGEREF _Toc216695587 \h </w:instrText>
        </w:r>
        <w:r>
          <w:rPr>
            <w:webHidden/>
          </w:rPr>
        </w:r>
        <w:r>
          <w:rPr>
            <w:webHidden/>
          </w:rPr>
          <w:fldChar w:fldCharType="separate"/>
        </w:r>
        <w:r w:rsidR="003861AC">
          <w:rPr>
            <w:webHidden/>
          </w:rPr>
          <w:t>88</w:t>
        </w:r>
        <w:r>
          <w:rPr>
            <w:webHidden/>
          </w:rPr>
          <w:fldChar w:fldCharType="end"/>
        </w:r>
      </w:hyperlink>
    </w:p>
    <w:p w14:paraId="7429A0DE" w14:textId="506F4B16" w:rsidR="008B1ACD" w:rsidRDefault="008B1ACD">
      <w:pPr>
        <w:pStyle w:val="TOC2"/>
        <w:rPr>
          <w:rFonts w:eastAsiaTheme="minorEastAsia"/>
          <w:b w:val="0"/>
          <w:color w:val="auto"/>
          <w:sz w:val="24"/>
          <w:lang w:eastAsia="en-AU"/>
        </w:rPr>
      </w:pPr>
      <w:hyperlink w:anchor="_Toc216695588" w:history="1">
        <w:r w:rsidRPr="00491FE3">
          <w:rPr>
            <w:rStyle w:val="Hyperlink"/>
          </w:rPr>
          <w:t>4.4</w:t>
        </w:r>
        <w:r>
          <w:rPr>
            <w:rFonts w:eastAsiaTheme="minorEastAsia"/>
            <w:b w:val="0"/>
            <w:color w:val="auto"/>
            <w:sz w:val="24"/>
            <w:lang w:eastAsia="en-AU"/>
          </w:rPr>
          <w:tab/>
        </w:r>
        <w:r w:rsidRPr="00491FE3">
          <w:rPr>
            <w:rStyle w:val="Hyperlink"/>
          </w:rPr>
          <w:t>Use Patterns of Registered Products</w:t>
        </w:r>
        <w:r>
          <w:rPr>
            <w:webHidden/>
          </w:rPr>
          <w:tab/>
        </w:r>
        <w:r>
          <w:rPr>
            <w:webHidden/>
          </w:rPr>
          <w:fldChar w:fldCharType="begin"/>
        </w:r>
        <w:r>
          <w:rPr>
            <w:webHidden/>
          </w:rPr>
          <w:instrText xml:space="preserve"> PAGEREF _Toc216695588 \h </w:instrText>
        </w:r>
        <w:r>
          <w:rPr>
            <w:webHidden/>
          </w:rPr>
        </w:r>
        <w:r>
          <w:rPr>
            <w:webHidden/>
          </w:rPr>
          <w:fldChar w:fldCharType="separate"/>
        </w:r>
        <w:r w:rsidR="003861AC">
          <w:rPr>
            <w:webHidden/>
          </w:rPr>
          <w:t>89</w:t>
        </w:r>
        <w:r>
          <w:rPr>
            <w:webHidden/>
          </w:rPr>
          <w:fldChar w:fldCharType="end"/>
        </w:r>
      </w:hyperlink>
    </w:p>
    <w:p w14:paraId="7C0D5D34" w14:textId="1BC1F722" w:rsidR="008B1ACD" w:rsidRDefault="008B1ACD">
      <w:pPr>
        <w:pStyle w:val="TOC2"/>
        <w:rPr>
          <w:rFonts w:eastAsiaTheme="minorEastAsia"/>
          <w:b w:val="0"/>
          <w:color w:val="auto"/>
          <w:sz w:val="24"/>
          <w:lang w:eastAsia="en-AU"/>
        </w:rPr>
      </w:pPr>
      <w:hyperlink w:anchor="_Toc216695589" w:history="1">
        <w:r w:rsidRPr="00491FE3">
          <w:rPr>
            <w:rStyle w:val="Hyperlink"/>
          </w:rPr>
          <w:t>4.5</w:t>
        </w:r>
        <w:r>
          <w:rPr>
            <w:rFonts w:eastAsiaTheme="minorEastAsia"/>
            <w:b w:val="0"/>
            <w:color w:val="auto"/>
            <w:sz w:val="24"/>
            <w:lang w:eastAsia="en-AU"/>
          </w:rPr>
          <w:tab/>
        </w:r>
        <w:r w:rsidRPr="00491FE3">
          <w:rPr>
            <w:rStyle w:val="Hyperlink"/>
          </w:rPr>
          <w:t>Exposure and Risk Assessment</w:t>
        </w:r>
        <w:r>
          <w:rPr>
            <w:webHidden/>
          </w:rPr>
          <w:tab/>
        </w:r>
        <w:r>
          <w:rPr>
            <w:webHidden/>
          </w:rPr>
          <w:fldChar w:fldCharType="begin"/>
        </w:r>
        <w:r>
          <w:rPr>
            <w:webHidden/>
          </w:rPr>
          <w:instrText xml:space="preserve"> PAGEREF _Toc216695589 \h </w:instrText>
        </w:r>
        <w:r>
          <w:rPr>
            <w:webHidden/>
          </w:rPr>
        </w:r>
        <w:r>
          <w:rPr>
            <w:webHidden/>
          </w:rPr>
          <w:fldChar w:fldCharType="separate"/>
        </w:r>
        <w:r w:rsidR="003861AC">
          <w:rPr>
            <w:webHidden/>
          </w:rPr>
          <w:t>89</w:t>
        </w:r>
        <w:r>
          <w:rPr>
            <w:webHidden/>
          </w:rPr>
          <w:fldChar w:fldCharType="end"/>
        </w:r>
      </w:hyperlink>
    </w:p>
    <w:p w14:paraId="27BD9E23" w14:textId="5CA1E23B" w:rsidR="008B1ACD" w:rsidRDefault="008B1ACD">
      <w:pPr>
        <w:pStyle w:val="TOC3"/>
        <w:tabs>
          <w:tab w:val="left" w:pos="1200"/>
        </w:tabs>
        <w:rPr>
          <w:rFonts w:eastAsiaTheme="minorEastAsia"/>
          <w:sz w:val="24"/>
          <w:lang w:eastAsia="en-AU"/>
        </w:rPr>
      </w:pPr>
      <w:hyperlink w:anchor="_Toc216695590" w:history="1">
        <w:r w:rsidRPr="00491FE3">
          <w:rPr>
            <w:rStyle w:val="Hyperlink"/>
          </w:rPr>
          <w:t>4.5.1</w:t>
        </w:r>
        <w:r>
          <w:rPr>
            <w:rFonts w:eastAsiaTheme="minorEastAsia"/>
            <w:sz w:val="24"/>
            <w:lang w:eastAsia="en-AU"/>
          </w:rPr>
          <w:tab/>
        </w:r>
        <w:r w:rsidRPr="00491FE3">
          <w:rPr>
            <w:rStyle w:val="Hyperlink"/>
          </w:rPr>
          <w:t>Selection of points of departure for risk assessment</w:t>
        </w:r>
        <w:r>
          <w:rPr>
            <w:webHidden/>
          </w:rPr>
          <w:tab/>
        </w:r>
        <w:r>
          <w:rPr>
            <w:webHidden/>
          </w:rPr>
          <w:fldChar w:fldCharType="begin"/>
        </w:r>
        <w:r>
          <w:rPr>
            <w:webHidden/>
          </w:rPr>
          <w:instrText xml:space="preserve"> PAGEREF _Toc216695590 \h </w:instrText>
        </w:r>
        <w:r>
          <w:rPr>
            <w:webHidden/>
          </w:rPr>
        </w:r>
        <w:r>
          <w:rPr>
            <w:webHidden/>
          </w:rPr>
          <w:fldChar w:fldCharType="separate"/>
        </w:r>
        <w:r w:rsidR="003861AC">
          <w:rPr>
            <w:webHidden/>
          </w:rPr>
          <w:t>89</w:t>
        </w:r>
        <w:r>
          <w:rPr>
            <w:webHidden/>
          </w:rPr>
          <w:fldChar w:fldCharType="end"/>
        </w:r>
      </w:hyperlink>
    </w:p>
    <w:p w14:paraId="30685D23" w14:textId="06E85178" w:rsidR="008B1ACD" w:rsidRDefault="008B1ACD">
      <w:pPr>
        <w:pStyle w:val="TOC3"/>
        <w:tabs>
          <w:tab w:val="left" w:pos="1200"/>
        </w:tabs>
        <w:rPr>
          <w:rFonts w:eastAsiaTheme="minorEastAsia"/>
          <w:sz w:val="24"/>
          <w:lang w:eastAsia="en-AU"/>
        </w:rPr>
      </w:pPr>
      <w:hyperlink w:anchor="_Toc216695591" w:history="1">
        <w:r w:rsidRPr="00491FE3">
          <w:rPr>
            <w:rStyle w:val="Hyperlink"/>
          </w:rPr>
          <w:t>4.5.2</w:t>
        </w:r>
        <w:r>
          <w:rPr>
            <w:rFonts w:eastAsiaTheme="minorEastAsia"/>
            <w:sz w:val="24"/>
            <w:lang w:eastAsia="en-AU"/>
          </w:rPr>
          <w:tab/>
        </w:r>
        <w:r w:rsidRPr="00491FE3">
          <w:rPr>
            <w:rStyle w:val="Hyperlink"/>
          </w:rPr>
          <w:t>First-generation anticoagulant rodenticides</w:t>
        </w:r>
        <w:r>
          <w:rPr>
            <w:webHidden/>
          </w:rPr>
          <w:tab/>
        </w:r>
        <w:r>
          <w:rPr>
            <w:webHidden/>
          </w:rPr>
          <w:fldChar w:fldCharType="begin"/>
        </w:r>
        <w:r>
          <w:rPr>
            <w:webHidden/>
          </w:rPr>
          <w:instrText xml:space="preserve"> PAGEREF _Toc216695591 \h </w:instrText>
        </w:r>
        <w:r>
          <w:rPr>
            <w:webHidden/>
          </w:rPr>
        </w:r>
        <w:r>
          <w:rPr>
            <w:webHidden/>
          </w:rPr>
          <w:fldChar w:fldCharType="separate"/>
        </w:r>
        <w:r w:rsidR="003861AC">
          <w:rPr>
            <w:webHidden/>
          </w:rPr>
          <w:t>90</w:t>
        </w:r>
        <w:r>
          <w:rPr>
            <w:webHidden/>
          </w:rPr>
          <w:fldChar w:fldCharType="end"/>
        </w:r>
      </w:hyperlink>
    </w:p>
    <w:p w14:paraId="2EC9D8F0" w14:textId="6121BEB2" w:rsidR="008B1ACD" w:rsidRDefault="008B1ACD">
      <w:pPr>
        <w:pStyle w:val="TOC3"/>
        <w:tabs>
          <w:tab w:val="left" w:pos="1200"/>
        </w:tabs>
        <w:rPr>
          <w:rFonts w:eastAsiaTheme="minorEastAsia"/>
          <w:sz w:val="24"/>
          <w:lang w:eastAsia="en-AU"/>
        </w:rPr>
      </w:pPr>
      <w:hyperlink w:anchor="_Toc216695592" w:history="1">
        <w:r w:rsidRPr="00491FE3">
          <w:rPr>
            <w:rStyle w:val="Hyperlink"/>
          </w:rPr>
          <w:t>4.5.3</w:t>
        </w:r>
        <w:r>
          <w:rPr>
            <w:rFonts w:eastAsiaTheme="minorEastAsia"/>
            <w:sz w:val="24"/>
            <w:lang w:eastAsia="en-AU"/>
          </w:rPr>
          <w:tab/>
        </w:r>
        <w:r w:rsidRPr="00491FE3">
          <w:rPr>
            <w:rStyle w:val="Hyperlink"/>
          </w:rPr>
          <w:t>Second generation anticoagulant rodenticides</w:t>
        </w:r>
        <w:r>
          <w:rPr>
            <w:webHidden/>
          </w:rPr>
          <w:tab/>
        </w:r>
        <w:r>
          <w:rPr>
            <w:webHidden/>
          </w:rPr>
          <w:fldChar w:fldCharType="begin"/>
        </w:r>
        <w:r>
          <w:rPr>
            <w:webHidden/>
          </w:rPr>
          <w:instrText xml:space="preserve"> PAGEREF _Toc216695592 \h </w:instrText>
        </w:r>
        <w:r>
          <w:rPr>
            <w:webHidden/>
          </w:rPr>
        </w:r>
        <w:r>
          <w:rPr>
            <w:webHidden/>
          </w:rPr>
          <w:fldChar w:fldCharType="separate"/>
        </w:r>
        <w:r w:rsidR="003861AC">
          <w:rPr>
            <w:webHidden/>
          </w:rPr>
          <w:t>90</w:t>
        </w:r>
        <w:r>
          <w:rPr>
            <w:webHidden/>
          </w:rPr>
          <w:fldChar w:fldCharType="end"/>
        </w:r>
      </w:hyperlink>
    </w:p>
    <w:p w14:paraId="10944522" w14:textId="4540C13E" w:rsidR="008B1ACD" w:rsidRDefault="008B1ACD">
      <w:pPr>
        <w:pStyle w:val="TOC2"/>
        <w:rPr>
          <w:rFonts w:eastAsiaTheme="minorEastAsia"/>
          <w:b w:val="0"/>
          <w:color w:val="auto"/>
          <w:sz w:val="24"/>
          <w:lang w:eastAsia="en-AU"/>
        </w:rPr>
      </w:pPr>
      <w:hyperlink w:anchor="_Toc216695593" w:history="1">
        <w:r w:rsidRPr="00491FE3">
          <w:rPr>
            <w:rStyle w:val="Hyperlink"/>
          </w:rPr>
          <w:t>4.6</w:t>
        </w:r>
        <w:r>
          <w:rPr>
            <w:rFonts w:eastAsiaTheme="minorEastAsia"/>
            <w:b w:val="0"/>
            <w:color w:val="auto"/>
            <w:sz w:val="24"/>
            <w:lang w:eastAsia="en-AU"/>
          </w:rPr>
          <w:tab/>
        </w:r>
        <w:r w:rsidRPr="00491FE3">
          <w:rPr>
            <w:rStyle w:val="Hyperlink"/>
          </w:rPr>
          <w:t>Selection of dermal and inhalation absorption factors</w:t>
        </w:r>
        <w:r>
          <w:rPr>
            <w:webHidden/>
          </w:rPr>
          <w:tab/>
        </w:r>
        <w:r>
          <w:rPr>
            <w:webHidden/>
          </w:rPr>
          <w:fldChar w:fldCharType="begin"/>
        </w:r>
        <w:r>
          <w:rPr>
            <w:webHidden/>
          </w:rPr>
          <w:instrText xml:space="preserve"> PAGEREF _Toc216695593 \h </w:instrText>
        </w:r>
        <w:r>
          <w:rPr>
            <w:webHidden/>
          </w:rPr>
        </w:r>
        <w:r>
          <w:rPr>
            <w:webHidden/>
          </w:rPr>
          <w:fldChar w:fldCharType="separate"/>
        </w:r>
        <w:r w:rsidR="003861AC">
          <w:rPr>
            <w:webHidden/>
          </w:rPr>
          <w:t>91</w:t>
        </w:r>
        <w:r>
          <w:rPr>
            <w:webHidden/>
          </w:rPr>
          <w:fldChar w:fldCharType="end"/>
        </w:r>
      </w:hyperlink>
    </w:p>
    <w:p w14:paraId="232CE9F1" w14:textId="6853E425" w:rsidR="008B1ACD" w:rsidRDefault="008B1ACD">
      <w:pPr>
        <w:pStyle w:val="TOC2"/>
        <w:rPr>
          <w:rFonts w:eastAsiaTheme="minorEastAsia"/>
          <w:b w:val="0"/>
          <w:color w:val="auto"/>
          <w:sz w:val="24"/>
          <w:lang w:eastAsia="en-AU"/>
        </w:rPr>
      </w:pPr>
      <w:hyperlink w:anchor="_Toc216695594" w:history="1">
        <w:r w:rsidRPr="00491FE3">
          <w:rPr>
            <w:rStyle w:val="Hyperlink"/>
          </w:rPr>
          <w:t>4.7</w:t>
        </w:r>
        <w:r>
          <w:rPr>
            <w:rFonts w:eastAsiaTheme="minorEastAsia"/>
            <w:b w:val="0"/>
            <w:color w:val="auto"/>
            <w:sz w:val="24"/>
            <w:lang w:eastAsia="en-AU"/>
          </w:rPr>
          <w:tab/>
        </w:r>
        <w:r w:rsidRPr="00491FE3">
          <w:rPr>
            <w:rStyle w:val="Hyperlink"/>
          </w:rPr>
          <w:t>Basic parameters used in the exposure assessments and risk characterisations</w:t>
        </w:r>
        <w:r>
          <w:rPr>
            <w:webHidden/>
          </w:rPr>
          <w:tab/>
        </w:r>
        <w:r>
          <w:rPr>
            <w:webHidden/>
          </w:rPr>
          <w:fldChar w:fldCharType="begin"/>
        </w:r>
        <w:r>
          <w:rPr>
            <w:webHidden/>
          </w:rPr>
          <w:instrText xml:space="preserve"> PAGEREF _Toc216695594 \h </w:instrText>
        </w:r>
        <w:r>
          <w:rPr>
            <w:webHidden/>
          </w:rPr>
        </w:r>
        <w:r>
          <w:rPr>
            <w:webHidden/>
          </w:rPr>
          <w:fldChar w:fldCharType="separate"/>
        </w:r>
        <w:r w:rsidR="003861AC">
          <w:rPr>
            <w:webHidden/>
          </w:rPr>
          <w:t>91</w:t>
        </w:r>
        <w:r>
          <w:rPr>
            <w:webHidden/>
          </w:rPr>
          <w:fldChar w:fldCharType="end"/>
        </w:r>
      </w:hyperlink>
    </w:p>
    <w:p w14:paraId="0D178C0F" w14:textId="2512617F" w:rsidR="008B1ACD" w:rsidRDefault="008B1ACD">
      <w:pPr>
        <w:pStyle w:val="TOC3"/>
        <w:tabs>
          <w:tab w:val="left" w:pos="1200"/>
        </w:tabs>
        <w:rPr>
          <w:rFonts w:eastAsiaTheme="minorEastAsia"/>
          <w:sz w:val="24"/>
          <w:lang w:eastAsia="en-AU"/>
        </w:rPr>
      </w:pPr>
      <w:hyperlink w:anchor="_Toc216695595" w:history="1">
        <w:r w:rsidRPr="00491FE3">
          <w:rPr>
            <w:rStyle w:val="Hyperlink"/>
          </w:rPr>
          <w:t>4.7.1</w:t>
        </w:r>
        <w:r>
          <w:rPr>
            <w:rFonts w:eastAsiaTheme="minorEastAsia"/>
            <w:sz w:val="24"/>
            <w:lang w:eastAsia="en-AU"/>
          </w:rPr>
          <w:tab/>
        </w:r>
        <w:r w:rsidRPr="00491FE3">
          <w:rPr>
            <w:rStyle w:val="Hyperlink"/>
          </w:rPr>
          <w:t>Occupational &amp; non-professional health risk assessment</w:t>
        </w:r>
        <w:r>
          <w:rPr>
            <w:webHidden/>
          </w:rPr>
          <w:tab/>
        </w:r>
        <w:r>
          <w:rPr>
            <w:webHidden/>
          </w:rPr>
          <w:fldChar w:fldCharType="begin"/>
        </w:r>
        <w:r>
          <w:rPr>
            <w:webHidden/>
          </w:rPr>
          <w:instrText xml:space="preserve"> PAGEREF _Toc216695595 \h </w:instrText>
        </w:r>
        <w:r>
          <w:rPr>
            <w:webHidden/>
          </w:rPr>
        </w:r>
        <w:r>
          <w:rPr>
            <w:webHidden/>
          </w:rPr>
          <w:fldChar w:fldCharType="separate"/>
        </w:r>
        <w:r w:rsidR="003861AC">
          <w:rPr>
            <w:webHidden/>
          </w:rPr>
          <w:t>91</w:t>
        </w:r>
        <w:r>
          <w:rPr>
            <w:webHidden/>
          </w:rPr>
          <w:fldChar w:fldCharType="end"/>
        </w:r>
      </w:hyperlink>
    </w:p>
    <w:p w14:paraId="5B64D631" w14:textId="3B554438" w:rsidR="008B1ACD" w:rsidRDefault="008B1ACD">
      <w:pPr>
        <w:pStyle w:val="TOC2"/>
        <w:rPr>
          <w:rFonts w:eastAsiaTheme="minorEastAsia"/>
          <w:b w:val="0"/>
          <w:color w:val="auto"/>
          <w:sz w:val="24"/>
          <w:lang w:eastAsia="en-AU"/>
        </w:rPr>
      </w:pPr>
      <w:hyperlink w:anchor="_Toc216695596" w:history="1">
        <w:r w:rsidRPr="00491FE3">
          <w:rPr>
            <w:rStyle w:val="Hyperlink"/>
          </w:rPr>
          <w:t>4.8</w:t>
        </w:r>
        <w:r>
          <w:rPr>
            <w:rFonts w:eastAsiaTheme="minorEastAsia"/>
            <w:b w:val="0"/>
            <w:color w:val="auto"/>
            <w:sz w:val="24"/>
            <w:lang w:eastAsia="en-AU"/>
          </w:rPr>
          <w:tab/>
        </w:r>
        <w:r w:rsidRPr="00491FE3">
          <w:rPr>
            <w:rStyle w:val="Hyperlink"/>
          </w:rPr>
          <w:t>Risks associated with using anticoagulant rodenticide baits</w:t>
        </w:r>
        <w:r>
          <w:rPr>
            <w:webHidden/>
          </w:rPr>
          <w:tab/>
        </w:r>
        <w:r>
          <w:rPr>
            <w:webHidden/>
          </w:rPr>
          <w:fldChar w:fldCharType="begin"/>
        </w:r>
        <w:r>
          <w:rPr>
            <w:webHidden/>
          </w:rPr>
          <w:instrText xml:space="preserve"> PAGEREF _Toc216695596 \h </w:instrText>
        </w:r>
        <w:r>
          <w:rPr>
            <w:webHidden/>
          </w:rPr>
        </w:r>
        <w:r>
          <w:rPr>
            <w:webHidden/>
          </w:rPr>
          <w:fldChar w:fldCharType="separate"/>
        </w:r>
        <w:r w:rsidR="003861AC">
          <w:rPr>
            <w:webHidden/>
          </w:rPr>
          <w:t>92</w:t>
        </w:r>
        <w:r>
          <w:rPr>
            <w:webHidden/>
          </w:rPr>
          <w:fldChar w:fldCharType="end"/>
        </w:r>
      </w:hyperlink>
    </w:p>
    <w:p w14:paraId="4679FF3A" w14:textId="5E59846B" w:rsidR="008B1ACD" w:rsidRDefault="008B1ACD">
      <w:pPr>
        <w:pStyle w:val="TOC3"/>
        <w:tabs>
          <w:tab w:val="left" w:pos="1200"/>
        </w:tabs>
        <w:rPr>
          <w:rFonts w:eastAsiaTheme="minorEastAsia"/>
          <w:sz w:val="24"/>
          <w:lang w:eastAsia="en-AU"/>
        </w:rPr>
      </w:pPr>
      <w:hyperlink w:anchor="_Toc216695597" w:history="1">
        <w:r w:rsidRPr="00491FE3">
          <w:rPr>
            <w:rStyle w:val="Hyperlink"/>
          </w:rPr>
          <w:t>4.8.1</w:t>
        </w:r>
        <w:r>
          <w:rPr>
            <w:rFonts w:eastAsiaTheme="minorEastAsia"/>
            <w:sz w:val="24"/>
            <w:lang w:eastAsia="en-AU"/>
          </w:rPr>
          <w:tab/>
        </w:r>
        <w:r w:rsidRPr="00491FE3">
          <w:rPr>
            <w:rStyle w:val="Hyperlink"/>
          </w:rPr>
          <w:t>Professional users</w:t>
        </w:r>
        <w:r>
          <w:rPr>
            <w:webHidden/>
          </w:rPr>
          <w:tab/>
        </w:r>
        <w:r>
          <w:rPr>
            <w:webHidden/>
          </w:rPr>
          <w:fldChar w:fldCharType="begin"/>
        </w:r>
        <w:r>
          <w:rPr>
            <w:webHidden/>
          </w:rPr>
          <w:instrText xml:space="preserve"> PAGEREF _Toc216695597 \h </w:instrText>
        </w:r>
        <w:r>
          <w:rPr>
            <w:webHidden/>
          </w:rPr>
        </w:r>
        <w:r>
          <w:rPr>
            <w:webHidden/>
          </w:rPr>
          <w:fldChar w:fldCharType="separate"/>
        </w:r>
        <w:r w:rsidR="003861AC">
          <w:rPr>
            <w:webHidden/>
          </w:rPr>
          <w:t>92</w:t>
        </w:r>
        <w:r>
          <w:rPr>
            <w:webHidden/>
          </w:rPr>
          <w:fldChar w:fldCharType="end"/>
        </w:r>
      </w:hyperlink>
    </w:p>
    <w:p w14:paraId="51411D59" w14:textId="653F522A" w:rsidR="008B1ACD" w:rsidRDefault="008B1ACD">
      <w:pPr>
        <w:pStyle w:val="TOC3"/>
        <w:tabs>
          <w:tab w:val="left" w:pos="1200"/>
        </w:tabs>
        <w:rPr>
          <w:rFonts w:eastAsiaTheme="minorEastAsia"/>
          <w:sz w:val="24"/>
          <w:lang w:eastAsia="en-AU"/>
        </w:rPr>
      </w:pPr>
      <w:hyperlink w:anchor="_Toc216695598" w:history="1">
        <w:r w:rsidRPr="00491FE3">
          <w:rPr>
            <w:rStyle w:val="Hyperlink"/>
          </w:rPr>
          <w:t>4.8.2</w:t>
        </w:r>
        <w:r>
          <w:rPr>
            <w:rFonts w:eastAsiaTheme="minorEastAsia"/>
            <w:sz w:val="24"/>
            <w:lang w:eastAsia="en-AU"/>
          </w:rPr>
          <w:tab/>
        </w:r>
        <w:r w:rsidRPr="00491FE3">
          <w:rPr>
            <w:rStyle w:val="Hyperlink"/>
          </w:rPr>
          <w:t>Non-professional users</w:t>
        </w:r>
        <w:r>
          <w:rPr>
            <w:webHidden/>
          </w:rPr>
          <w:tab/>
        </w:r>
        <w:r>
          <w:rPr>
            <w:webHidden/>
          </w:rPr>
          <w:fldChar w:fldCharType="begin"/>
        </w:r>
        <w:r>
          <w:rPr>
            <w:webHidden/>
          </w:rPr>
          <w:instrText xml:space="preserve"> PAGEREF _Toc216695598 \h </w:instrText>
        </w:r>
        <w:r>
          <w:rPr>
            <w:webHidden/>
          </w:rPr>
        </w:r>
        <w:r>
          <w:rPr>
            <w:webHidden/>
          </w:rPr>
          <w:fldChar w:fldCharType="separate"/>
        </w:r>
        <w:r w:rsidR="003861AC">
          <w:rPr>
            <w:webHidden/>
          </w:rPr>
          <w:t>94</w:t>
        </w:r>
        <w:r>
          <w:rPr>
            <w:webHidden/>
          </w:rPr>
          <w:fldChar w:fldCharType="end"/>
        </w:r>
      </w:hyperlink>
    </w:p>
    <w:p w14:paraId="4A0FD1E6" w14:textId="3A6762D5" w:rsidR="008B1ACD" w:rsidRDefault="008B1ACD">
      <w:pPr>
        <w:pStyle w:val="TOC3"/>
        <w:tabs>
          <w:tab w:val="left" w:pos="1200"/>
        </w:tabs>
        <w:rPr>
          <w:rFonts w:eastAsiaTheme="minorEastAsia"/>
          <w:sz w:val="24"/>
          <w:lang w:eastAsia="en-AU"/>
        </w:rPr>
      </w:pPr>
      <w:hyperlink w:anchor="_Toc216695599" w:history="1">
        <w:r w:rsidRPr="00491FE3">
          <w:rPr>
            <w:rStyle w:val="Hyperlink"/>
          </w:rPr>
          <w:t>4.8.3</w:t>
        </w:r>
        <w:r>
          <w:rPr>
            <w:rFonts w:eastAsiaTheme="minorEastAsia"/>
            <w:sz w:val="24"/>
            <w:lang w:eastAsia="en-AU"/>
          </w:rPr>
          <w:tab/>
        </w:r>
        <w:r w:rsidRPr="00491FE3">
          <w:rPr>
            <w:rStyle w:val="Hyperlink"/>
          </w:rPr>
          <w:t>Bystander exposure</w:t>
        </w:r>
        <w:r>
          <w:rPr>
            <w:webHidden/>
          </w:rPr>
          <w:tab/>
        </w:r>
        <w:r>
          <w:rPr>
            <w:webHidden/>
          </w:rPr>
          <w:fldChar w:fldCharType="begin"/>
        </w:r>
        <w:r>
          <w:rPr>
            <w:webHidden/>
          </w:rPr>
          <w:instrText xml:space="preserve"> PAGEREF _Toc216695599 \h </w:instrText>
        </w:r>
        <w:r>
          <w:rPr>
            <w:webHidden/>
          </w:rPr>
        </w:r>
        <w:r>
          <w:rPr>
            <w:webHidden/>
          </w:rPr>
          <w:fldChar w:fldCharType="separate"/>
        </w:r>
        <w:r w:rsidR="003861AC">
          <w:rPr>
            <w:webHidden/>
          </w:rPr>
          <w:t>95</w:t>
        </w:r>
        <w:r>
          <w:rPr>
            <w:webHidden/>
          </w:rPr>
          <w:fldChar w:fldCharType="end"/>
        </w:r>
      </w:hyperlink>
    </w:p>
    <w:p w14:paraId="5BF433FA" w14:textId="6C78B4E0" w:rsidR="008B1ACD" w:rsidRDefault="008B1ACD">
      <w:pPr>
        <w:pStyle w:val="TOC3"/>
        <w:tabs>
          <w:tab w:val="left" w:pos="1200"/>
        </w:tabs>
        <w:rPr>
          <w:rFonts w:eastAsiaTheme="minorEastAsia"/>
          <w:sz w:val="24"/>
          <w:lang w:eastAsia="en-AU"/>
        </w:rPr>
      </w:pPr>
      <w:hyperlink w:anchor="_Toc216695600" w:history="1">
        <w:r w:rsidRPr="00491FE3">
          <w:rPr>
            <w:rStyle w:val="Hyperlink"/>
          </w:rPr>
          <w:t>4.8.4</w:t>
        </w:r>
        <w:r>
          <w:rPr>
            <w:rFonts w:eastAsiaTheme="minorEastAsia"/>
            <w:sz w:val="24"/>
            <w:lang w:eastAsia="en-AU"/>
          </w:rPr>
          <w:tab/>
        </w:r>
        <w:r w:rsidRPr="00491FE3">
          <w:rPr>
            <w:rStyle w:val="Hyperlink"/>
          </w:rPr>
          <w:t>Risk associated with re-handling and clean-up activities</w:t>
        </w:r>
        <w:r>
          <w:rPr>
            <w:webHidden/>
          </w:rPr>
          <w:tab/>
        </w:r>
        <w:r>
          <w:rPr>
            <w:webHidden/>
          </w:rPr>
          <w:fldChar w:fldCharType="begin"/>
        </w:r>
        <w:r>
          <w:rPr>
            <w:webHidden/>
          </w:rPr>
          <w:instrText xml:space="preserve"> PAGEREF _Toc216695600 \h </w:instrText>
        </w:r>
        <w:r>
          <w:rPr>
            <w:webHidden/>
          </w:rPr>
        </w:r>
        <w:r>
          <w:rPr>
            <w:webHidden/>
          </w:rPr>
          <w:fldChar w:fldCharType="separate"/>
        </w:r>
        <w:r w:rsidR="003861AC">
          <w:rPr>
            <w:webHidden/>
          </w:rPr>
          <w:t>95</w:t>
        </w:r>
        <w:r>
          <w:rPr>
            <w:webHidden/>
          </w:rPr>
          <w:fldChar w:fldCharType="end"/>
        </w:r>
      </w:hyperlink>
    </w:p>
    <w:p w14:paraId="427AEC57" w14:textId="75A7DE41" w:rsidR="008B1ACD" w:rsidRDefault="008B1ACD">
      <w:pPr>
        <w:pStyle w:val="TOC2"/>
        <w:rPr>
          <w:rFonts w:eastAsiaTheme="minorEastAsia"/>
          <w:b w:val="0"/>
          <w:color w:val="auto"/>
          <w:sz w:val="24"/>
          <w:lang w:eastAsia="en-AU"/>
        </w:rPr>
      </w:pPr>
      <w:hyperlink w:anchor="_Toc216695601" w:history="1">
        <w:r w:rsidRPr="00491FE3">
          <w:rPr>
            <w:rStyle w:val="Hyperlink"/>
          </w:rPr>
          <w:t>4.9</w:t>
        </w:r>
        <w:r>
          <w:rPr>
            <w:rFonts w:eastAsiaTheme="minorEastAsia"/>
            <w:b w:val="0"/>
            <w:color w:val="auto"/>
            <w:sz w:val="24"/>
            <w:lang w:eastAsia="en-AU"/>
          </w:rPr>
          <w:tab/>
        </w:r>
        <w:r w:rsidRPr="00491FE3">
          <w:rPr>
            <w:rStyle w:val="Hyperlink"/>
          </w:rPr>
          <w:t>Risk Management Recommendations</w:t>
        </w:r>
        <w:r>
          <w:rPr>
            <w:webHidden/>
          </w:rPr>
          <w:tab/>
        </w:r>
        <w:r>
          <w:rPr>
            <w:webHidden/>
          </w:rPr>
          <w:fldChar w:fldCharType="begin"/>
        </w:r>
        <w:r>
          <w:rPr>
            <w:webHidden/>
          </w:rPr>
          <w:instrText xml:space="preserve"> PAGEREF _Toc216695601 \h </w:instrText>
        </w:r>
        <w:r>
          <w:rPr>
            <w:webHidden/>
          </w:rPr>
        </w:r>
        <w:r>
          <w:rPr>
            <w:webHidden/>
          </w:rPr>
          <w:fldChar w:fldCharType="separate"/>
        </w:r>
        <w:r w:rsidR="003861AC">
          <w:rPr>
            <w:webHidden/>
          </w:rPr>
          <w:t>95</w:t>
        </w:r>
        <w:r>
          <w:rPr>
            <w:webHidden/>
          </w:rPr>
          <w:fldChar w:fldCharType="end"/>
        </w:r>
      </w:hyperlink>
    </w:p>
    <w:p w14:paraId="00C99C60" w14:textId="437DE2B1" w:rsidR="008B1ACD" w:rsidRDefault="008B1ACD">
      <w:pPr>
        <w:pStyle w:val="TOC3"/>
        <w:tabs>
          <w:tab w:val="left" w:pos="1200"/>
        </w:tabs>
        <w:rPr>
          <w:rFonts w:eastAsiaTheme="minorEastAsia"/>
          <w:sz w:val="24"/>
          <w:lang w:eastAsia="en-AU"/>
        </w:rPr>
      </w:pPr>
      <w:hyperlink w:anchor="_Toc216695602" w:history="1">
        <w:r w:rsidRPr="00491FE3">
          <w:rPr>
            <w:rStyle w:val="Hyperlink"/>
          </w:rPr>
          <w:t>4.9.1</w:t>
        </w:r>
        <w:r>
          <w:rPr>
            <w:rFonts w:eastAsiaTheme="minorEastAsia"/>
            <w:sz w:val="24"/>
            <w:lang w:eastAsia="en-AU"/>
          </w:rPr>
          <w:tab/>
        </w:r>
        <w:r w:rsidRPr="00491FE3">
          <w:rPr>
            <w:rStyle w:val="Hyperlink"/>
          </w:rPr>
          <w:t>First Aid Instructions</w:t>
        </w:r>
        <w:r>
          <w:rPr>
            <w:webHidden/>
          </w:rPr>
          <w:tab/>
        </w:r>
        <w:r>
          <w:rPr>
            <w:webHidden/>
          </w:rPr>
          <w:fldChar w:fldCharType="begin"/>
        </w:r>
        <w:r>
          <w:rPr>
            <w:webHidden/>
          </w:rPr>
          <w:instrText xml:space="preserve"> PAGEREF _Toc216695602 \h </w:instrText>
        </w:r>
        <w:r>
          <w:rPr>
            <w:webHidden/>
          </w:rPr>
        </w:r>
        <w:r>
          <w:rPr>
            <w:webHidden/>
          </w:rPr>
          <w:fldChar w:fldCharType="separate"/>
        </w:r>
        <w:r w:rsidR="003861AC">
          <w:rPr>
            <w:webHidden/>
          </w:rPr>
          <w:t>95</w:t>
        </w:r>
        <w:r>
          <w:rPr>
            <w:webHidden/>
          </w:rPr>
          <w:fldChar w:fldCharType="end"/>
        </w:r>
      </w:hyperlink>
    </w:p>
    <w:p w14:paraId="5180CF63" w14:textId="5B567400" w:rsidR="008B1ACD" w:rsidRDefault="008B1ACD">
      <w:pPr>
        <w:pStyle w:val="TOC3"/>
        <w:tabs>
          <w:tab w:val="left" w:pos="1200"/>
        </w:tabs>
        <w:rPr>
          <w:rFonts w:eastAsiaTheme="minorEastAsia"/>
          <w:sz w:val="24"/>
          <w:lang w:eastAsia="en-AU"/>
        </w:rPr>
      </w:pPr>
      <w:hyperlink w:anchor="_Toc216695603" w:history="1">
        <w:r w:rsidRPr="00491FE3">
          <w:rPr>
            <w:rStyle w:val="Hyperlink"/>
          </w:rPr>
          <w:t>4.9.2</w:t>
        </w:r>
        <w:r>
          <w:rPr>
            <w:rFonts w:eastAsiaTheme="minorEastAsia"/>
            <w:sz w:val="24"/>
            <w:lang w:eastAsia="en-AU"/>
          </w:rPr>
          <w:tab/>
        </w:r>
        <w:r w:rsidRPr="00491FE3">
          <w:rPr>
            <w:rStyle w:val="Hyperlink"/>
          </w:rPr>
          <w:t>Safety Directions</w:t>
        </w:r>
        <w:r>
          <w:rPr>
            <w:webHidden/>
          </w:rPr>
          <w:tab/>
        </w:r>
        <w:r>
          <w:rPr>
            <w:webHidden/>
          </w:rPr>
          <w:fldChar w:fldCharType="begin"/>
        </w:r>
        <w:r>
          <w:rPr>
            <w:webHidden/>
          </w:rPr>
          <w:instrText xml:space="preserve"> PAGEREF _Toc216695603 \h </w:instrText>
        </w:r>
        <w:r>
          <w:rPr>
            <w:webHidden/>
          </w:rPr>
        </w:r>
        <w:r>
          <w:rPr>
            <w:webHidden/>
          </w:rPr>
          <w:fldChar w:fldCharType="separate"/>
        </w:r>
        <w:r w:rsidR="003861AC">
          <w:rPr>
            <w:webHidden/>
          </w:rPr>
          <w:t>96</w:t>
        </w:r>
        <w:r>
          <w:rPr>
            <w:webHidden/>
          </w:rPr>
          <w:fldChar w:fldCharType="end"/>
        </w:r>
      </w:hyperlink>
    </w:p>
    <w:p w14:paraId="55A0F1DD" w14:textId="6F7E7CA9" w:rsidR="008B1ACD" w:rsidRDefault="008B1ACD">
      <w:pPr>
        <w:pStyle w:val="TOC3"/>
        <w:tabs>
          <w:tab w:val="left" w:pos="1200"/>
        </w:tabs>
        <w:rPr>
          <w:rFonts w:eastAsiaTheme="minorEastAsia"/>
          <w:sz w:val="24"/>
          <w:lang w:eastAsia="en-AU"/>
        </w:rPr>
      </w:pPr>
      <w:hyperlink w:anchor="_Toc216695604" w:history="1">
        <w:r w:rsidRPr="00491FE3">
          <w:rPr>
            <w:rStyle w:val="Hyperlink"/>
          </w:rPr>
          <w:t>4.9.3</w:t>
        </w:r>
        <w:r>
          <w:rPr>
            <w:rFonts w:eastAsiaTheme="minorEastAsia"/>
            <w:sz w:val="24"/>
            <w:lang w:eastAsia="en-AU"/>
          </w:rPr>
          <w:tab/>
        </w:r>
        <w:r w:rsidRPr="00491FE3">
          <w:rPr>
            <w:rStyle w:val="Hyperlink"/>
          </w:rPr>
          <w:t>Additional Labelling Recommendations</w:t>
        </w:r>
        <w:r>
          <w:rPr>
            <w:webHidden/>
          </w:rPr>
          <w:tab/>
        </w:r>
        <w:r>
          <w:rPr>
            <w:webHidden/>
          </w:rPr>
          <w:fldChar w:fldCharType="begin"/>
        </w:r>
        <w:r>
          <w:rPr>
            <w:webHidden/>
          </w:rPr>
          <w:instrText xml:space="preserve"> PAGEREF _Toc216695604 \h </w:instrText>
        </w:r>
        <w:r>
          <w:rPr>
            <w:webHidden/>
          </w:rPr>
        </w:r>
        <w:r>
          <w:rPr>
            <w:webHidden/>
          </w:rPr>
          <w:fldChar w:fldCharType="separate"/>
        </w:r>
        <w:r w:rsidR="003861AC">
          <w:rPr>
            <w:webHidden/>
          </w:rPr>
          <w:t>100</w:t>
        </w:r>
        <w:r>
          <w:rPr>
            <w:webHidden/>
          </w:rPr>
          <w:fldChar w:fldCharType="end"/>
        </w:r>
      </w:hyperlink>
    </w:p>
    <w:p w14:paraId="1A6B9BFB" w14:textId="160CBB7A" w:rsidR="008B1ACD" w:rsidRDefault="008B1ACD">
      <w:pPr>
        <w:pStyle w:val="TOC3"/>
        <w:tabs>
          <w:tab w:val="left" w:pos="1200"/>
        </w:tabs>
        <w:rPr>
          <w:rFonts w:eastAsiaTheme="minorEastAsia"/>
          <w:sz w:val="24"/>
          <w:lang w:eastAsia="en-AU"/>
        </w:rPr>
      </w:pPr>
      <w:hyperlink w:anchor="_Toc216695605" w:history="1">
        <w:r w:rsidRPr="00491FE3">
          <w:rPr>
            <w:rStyle w:val="Hyperlink"/>
          </w:rPr>
          <w:t>4.9.4</w:t>
        </w:r>
        <w:r>
          <w:rPr>
            <w:rFonts w:eastAsiaTheme="minorEastAsia"/>
            <w:sz w:val="24"/>
            <w:lang w:eastAsia="en-AU"/>
          </w:rPr>
          <w:tab/>
        </w:r>
        <w:r w:rsidRPr="00491FE3">
          <w:rPr>
            <w:rStyle w:val="Hyperlink"/>
          </w:rPr>
          <w:t>Formulation Recommendations</w:t>
        </w:r>
        <w:r>
          <w:rPr>
            <w:webHidden/>
          </w:rPr>
          <w:tab/>
        </w:r>
        <w:r>
          <w:rPr>
            <w:webHidden/>
          </w:rPr>
          <w:fldChar w:fldCharType="begin"/>
        </w:r>
        <w:r>
          <w:rPr>
            <w:webHidden/>
          </w:rPr>
          <w:instrText xml:space="preserve"> PAGEREF _Toc216695605 \h </w:instrText>
        </w:r>
        <w:r>
          <w:rPr>
            <w:webHidden/>
          </w:rPr>
        </w:r>
        <w:r>
          <w:rPr>
            <w:webHidden/>
          </w:rPr>
          <w:fldChar w:fldCharType="separate"/>
        </w:r>
        <w:r w:rsidR="003861AC">
          <w:rPr>
            <w:webHidden/>
          </w:rPr>
          <w:t>101</w:t>
        </w:r>
        <w:r>
          <w:rPr>
            <w:webHidden/>
          </w:rPr>
          <w:fldChar w:fldCharType="end"/>
        </w:r>
      </w:hyperlink>
    </w:p>
    <w:p w14:paraId="2D4BA6DB" w14:textId="495D8A0C" w:rsidR="008B1ACD" w:rsidRDefault="008B1ACD">
      <w:pPr>
        <w:pStyle w:val="TOC2"/>
        <w:rPr>
          <w:rFonts w:eastAsiaTheme="minorEastAsia"/>
          <w:b w:val="0"/>
          <w:color w:val="auto"/>
          <w:sz w:val="24"/>
          <w:lang w:eastAsia="en-AU"/>
        </w:rPr>
      </w:pPr>
      <w:hyperlink w:anchor="_Toc216695606" w:history="1">
        <w:r w:rsidRPr="00491FE3">
          <w:rPr>
            <w:rStyle w:val="Hyperlink"/>
          </w:rPr>
          <w:t>4.10</w:t>
        </w:r>
        <w:r>
          <w:rPr>
            <w:rFonts w:eastAsiaTheme="minorEastAsia"/>
            <w:b w:val="0"/>
            <w:color w:val="auto"/>
            <w:sz w:val="24"/>
            <w:lang w:eastAsia="en-AU"/>
          </w:rPr>
          <w:tab/>
        </w:r>
        <w:r w:rsidRPr="00491FE3">
          <w:rPr>
            <w:rStyle w:val="Hyperlink"/>
          </w:rPr>
          <w:t>Poison Standard</w:t>
        </w:r>
        <w:r>
          <w:rPr>
            <w:webHidden/>
          </w:rPr>
          <w:tab/>
        </w:r>
        <w:r>
          <w:rPr>
            <w:webHidden/>
          </w:rPr>
          <w:fldChar w:fldCharType="begin"/>
        </w:r>
        <w:r>
          <w:rPr>
            <w:webHidden/>
          </w:rPr>
          <w:instrText xml:space="preserve"> PAGEREF _Toc216695606 \h </w:instrText>
        </w:r>
        <w:r>
          <w:rPr>
            <w:webHidden/>
          </w:rPr>
        </w:r>
        <w:r>
          <w:rPr>
            <w:webHidden/>
          </w:rPr>
          <w:fldChar w:fldCharType="separate"/>
        </w:r>
        <w:r w:rsidR="003861AC">
          <w:rPr>
            <w:webHidden/>
          </w:rPr>
          <w:t>101</w:t>
        </w:r>
        <w:r>
          <w:rPr>
            <w:webHidden/>
          </w:rPr>
          <w:fldChar w:fldCharType="end"/>
        </w:r>
      </w:hyperlink>
    </w:p>
    <w:p w14:paraId="4A4CDBA7" w14:textId="3E6EE65C" w:rsidR="008B1ACD" w:rsidRDefault="008B1ACD">
      <w:pPr>
        <w:pStyle w:val="TOC2"/>
        <w:rPr>
          <w:rFonts w:eastAsiaTheme="minorEastAsia"/>
          <w:b w:val="0"/>
          <w:color w:val="auto"/>
          <w:sz w:val="24"/>
          <w:lang w:eastAsia="en-AU"/>
        </w:rPr>
      </w:pPr>
      <w:hyperlink w:anchor="_Toc216695607" w:history="1">
        <w:r w:rsidRPr="00491FE3">
          <w:rPr>
            <w:rStyle w:val="Hyperlink"/>
          </w:rPr>
          <w:t>4.11</w:t>
        </w:r>
        <w:r>
          <w:rPr>
            <w:rFonts w:eastAsiaTheme="minorEastAsia"/>
            <w:b w:val="0"/>
            <w:color w:val="auto"/>
            <w:sz w:val="24"/>
            <w:lang w:eastAsia="en-AU"/>
          </w:rPr>
          <w:tab/>
        </w:r>
        <w:r w:rsidRPr="00491FE3">
          <w:rPr>
            <w:rStyle w:val="Hyperlink"/>
          </w:rPr>
          <w:t>Health Based Guidance Values</w:t>
        </w:r>
        <w:r>
          <w:rPr>
            <w:webHidden/>
          </w:rPr>
          <w:tab/>
        </w:r>
        <w:r>
          <w:rPr>
            <w:webHidden/>
          </w:rPr>
          <w:fldChar w:fldCharType="begin"/>
        </w:r>
        <w:r>
          <w:rPr>
            <w:webHidden/>
          </w:rPr>
          <w:instrText xml:space="preserve"> PAGEREF _Toc216695607 \h </w:instrText>
        </w:r>
        <w:r>
          <w:rPr>
            <w:webHidden/>
          </w:rPr>
        </w:r>
        <w:r>
          <w:rPr>
            <w:webHidden/>
          </w:rPr>
          <w:fldChar w:fldCharType="separate"/>
        </w:r>
        <w:r w:rsidR="003861AC">
          <w:rPr>
            <w:webHidden/>
          </w:rPr>
          <w:t>101</w:t>
        </w:r>
        <w:r>
          <w:rPr>
            <w:webHidden/>
          </w:rPr>
          <w:fldChar w:fldCharType="end"/>
        </w:r>
      </w:hyperlink>
    </w:p>
    <w:p w14:paraId="01936313" w14:textId="63B1CD39" w:rsidR="008B1ACD" w:rsidRDefault="008B1ACD">
      <w:pPr>
        <w:pStyle w:val="TOC3"/>
        <w:tabs>
          <w:tab w:val="left" w:pos="1200"/>
        </w:tabs>
        <w:rPr>
          <w:rFonts w:eastAsiaTheme="minorEastAsia"/>
          <w:sz w:val="24"/>
          <w:lang w:eastAsia="en-AU"/>
        </w:rPr>
      </w:pPr>
      <w:hyperlink w:anchor="_Toc216695608" w:history="1">
        <w:r w:rsidRPr="00491FE3">
          <w:rPr>
            <w:rStyle w:val="Hyperlink"/>
          </w:rPr>
          <w:t>4.11.1</w:t>
        </w:r>
        <w:r>
          <w:rPr>
            <w:rFonts w:eastAsiaTheme="minorEastAsia"/>
            <w:sz w:val="24"/>
            <w:lang w:eastAsia="en-AU"/>
          </w:rPr>
          <w:tab/>
        </w:r>
        <w:r w:rsidRPr="00491FE3">
          <w:rPr>
            <w:rStyle w:val="Hyperlink"/>
          </w:rPr>
          <w:t>Tolerable daily intake – TDI</w:t>
        </w:r>
        <w:r>
          <w:rPr>
            <w:webHidden/>
          </w:rPr>
          <w:tab/>
        </w:r>
        <w:r>
          <w:rPr>
            <w:webHidden/>
          </w:rPr>
          <w:fldChar w:fldCharType="begin"/>
        </w:r>
        <w:r>
          <w:rPr>
            <w:webHidden/>
          </w:rPr>
          <w:instrText xml:space="preserve"> PAGEREF _Toc216695608 \h </w:instrText>
        </w:r>
        <w:r>
          <w:rPr>
            <w:webHidden/>
          </w:rPr>
        </w:r>
        <w:r>
          <w:rPr>
            <w:webHidden/>
          </w:rPr>
          <w:fldChar w:fldCharType="separate"/>
        </w:r>
        <w:r w:rsidR="003861AC">
          <w:rPr>
            <w:webHidden/>
          </w:rPr>
          <w:t>101</w:t>
        </w:r>
        <w:r>
          <w:rPr>
            <w:webHidden/>
          </w:rPr>
          <w:fldChar w:fldCharType="end"/>
        </w:r>
      </w:hyperlink>
    </w:p>
    <w:p w14:paraId="0E4C755F" w14:textId="1D13D123" w:rsidR="008B1ACD" w:rsidRDefault="008B1ACD">
      <w:pPr>
        <w:pStyle w:val="TOC3"/>
        <w:tabs>
          <w:tab w:val="left" w:pos="1200"/>
        </w:tabs>
        <w:rPr>
          <w:rFonts w:eastAsiaTheme="minorEastAsia"/>
          <w:sz w:val="24"/>
          <w:lang w:eastAsia="en-AU"/>
        </w:rPr>
      </w:pPr>
      <w:hyperlink w:anchor="_Toc216695609" w:history="1">
        <w:r w:rsidRPr="00491FE3">
          <w:rPr>
            <w:rStyle w:val="Hyperlink"/>
          </w:rPr>
          <w:t>4.11.2</w:t>
        </w:r>
        <w:r>
          <w:rPr>
            <w:rFonts w:eastAsiaTheme="minorEastAsia"/>
            <w:sz w:val="24"/>
            <w:lang w:eastAsia="en-AU"/>
          </w:rPr>
          <w:tab/>
        </w:r>
        <w:r w:rsidRPr="00491FE3">
          <w:rPr>
            <w:rStyle w:val="Hyperlink"/>
          </w:rPr>
          <w:t>Acute tolerable intake (acute reference dose – ARfD)</w:t>
        </w:r>
        <w:r>
          <w:rPr>
            <w:webHidden/>
          </w:rPr>
          <w:tab/>
        </w:r>
        <w:r>
          <w:rPr>
            <w:webHidden/>
          </w:rPr>
          <w:fldChar w:fldCharType="begin"/>
        </w:r>
        <w:r>
          <w:rPr>
            <w:webHidden/>
          </w:rPr>
          <w:instrText xml:space="preserve"> PAGEREF _Toc216695609 \h </w:instrText>
        </w:r>
        <w:r>
          <w:rPr>
            <w:webHidden/>
          </w:rPr>
        </w:r>
        <w:r>
          <w:rPr>
            <w:webHidden/>
          </w:rPr>
          <w:fldChar w:fldCharType="separate"/>
        </w:r>
        <w:r w:rsidR="003861AC">
          <w:rPr>
            <w:webHidden/>
          </w:rPr>
          <w:t>102</w:t>
        </w:r>
        <w:r>
          <w:rPr>
            <w:webHidden/>
          </w:rPr>
          <w:fldChar w:fldCharType="end"/>
        </w:r>
      </w:hyperlink>
    </w:p>
    <w:p w14:paraId="263F6A19" w14:textId="014F963C"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10" w:history="1">
        <w:r w:rsidRPr="00491FE3">
          <w:rPr>
            <w:rStyle w:val="Hyperlink"/>
          </w:rPr>
          <w:t>5</w:t>
        </w:r>
        <w:r>
          <w:rPr>
            <w:rFonts w:asciiTheme="minorHAnsi" w:eastAsiaTheme="minorEastAsia" w:hAnsiTheme="minorHAnsi" w:cstheme="minorBidi"/>
            <w:bCs w:val="0"/>
            <w:color w:val="auto"/>
            <w:kern w:val="2"/>
            <w:sz w:val="24"/>
            <w:szCs w:val="24"/>
            <w:lang w:eastAsia="en-AU"/>
          </w:rPr>
          <w:tab/>
        </w:r>
        <w:r w:rsidRPr="00491FE3">
          <w:rPr>
            <w:rStyle w:val="Hyperlink"/>
          </w:rPr>
          <w:t>Residues and trade</w:t>
        </w:r>
        <w:r>
          <w:rPr>
            <w:webHidden/>
          </w:rPr>
          <w:tab/>
        </w:r>
        <w:r>
          <w:rPr>
            <w:webHidden/>
          </w:rPr>
          <w:fldChar w:fldCharType="begin"/>
        </w:r>
        <w:r>
          <w:rPr>
            <w:webHidden/>
          </w:rPr>
          <w:instrText xml:space="preserve"> PAGEREF _Toc216695610 \h </w:instrText>
        </w:r>
        <w:r>
          <w:rPr>
            <w:webHidden/>
          </w:rPr>
        </w:r>
        <w:r>
          <w:rPr>
            <w:webHidden/>
          </w:rPr>
          <w:fldChar w:fldCharType="separate"/>
        </w:r>
        <w:r w:rsidR="003861AC">
          <w:rPr>
            <w:webHidden/>
          </w:rPr>
          <w:t>104</w:t>
        </w:r>
        <w:r>
          <w:rPr>
            <w:webHidden/>
          </w:rPr>
          <w:fldChar w:fldCharType="end"/>
        </w:r>
      </w:hyperlink>
    </w:p>
    <w:p w14:paraId="69D602FB" w14:textId="5AAAC26F" w:rsidR="008B1ACD" w:rsidRDefault="008B1ACD">
      <w:pPr>
        <w:pStyle w:val="TOC2"/>
        <w:rPr>
          <w:rFonts w:eastAsiaTheme="minorEastAsia"/>
          <w:b w:val="0"/>
          <w:color w:val="auto"/>
          <w:sz w:val="24"/>
          <w:lang w:eastAsia="en-AU"/>
        </w:rPr>
      </w:pPr>
      <w:hyperlink w:anchor="_Toc216695611" w:history="1">
        <w:r w:rsidRPr="00491FE3">
          <w:rPr>
            <w:rStyle w:val="Hyperlink"/>
          </w:rPr>
          <w:t>5.1</w:t>
        </w:r>
        <w:r>
          <w:rPr>
            <w:rFonts w:eastAsiaTheme="minorEastAsia"/>
            <w:b w:val="0"/>
            <w:color w:val="auto"/>
            <w:sz w:val="24"/>
            <w:lang w:eastAsia="en-AU"/>
          </w:rPr>
          <w:tab/>
        </w:r>
        <w:r w:rsidRPr="00491FE3">
          <w:rPr>
            <w:rStyle w:val="Hyperlink"/>
          </w:rPr>
          <w:t>Potential for contamination in food producing situations</w:t>
        </w:r>
        <w:r>
          <w:rPr>
            <w:webHidden/>
          </w:rPr>
          <w:tab/>
        </w:r>
        <w:r>
          <w:rPr>
            <w:webHidden/>
          </w:rPr>
          <w:fldChar w:fldCharType="begin"/>
        </w:r>
        <w:r>
          <w:rPr>
            <w:webHidden/>
          </w:rPr>
          <w:instrText xml:space="preserve"> PAGEREF _Toc216695611 \h </w:instrText>
        </w:r>
        <w:r>
          <w:rPr>
            <w:webHidden/>
          </w:rPr>
        </w:r>
        <w:r>
          <w:rPr>
            <w:webHidden/>
          </w:rPr>
          <w:fldChar w:fldCharType="separate"/>
        </w:r>
        <w:r w:rsidR="003861AC">
          <w:rPr>
            <w:webHidden/>
          </w:rPr>
          <w:t>104</w:t>
        </w:r>
        <w:r>
          <w:rPr>
            <w:webHidden/>
          </w:rPr>
          <w:fldChar w:fldCharType="end"/>
        </w:r>
      </w:hyperlink>
    </w:p>
    <w:p w14:paraId="523D3ABA" w14:textId="554F517D" w:rsidR="008B1ACD" w:rsidRDefault="008B1ACD">
      <w:pPr>
        <w:pStyle w:val="TOC3"/>
        <w:tabs>
          <w:tab w:val="left" w:pos="1200"/>
        </w:tabs>
        <w:rPr>
          <w:rFonts w:eastAsiaTheme="minorEastAsia"/>
          <w:sz w:val="24"/>
          <w:lang w:eastAsia="en-AU"/>
        </w:rPr>
      </w:pPr>
      <w:hyperlink w:anchor="_Toc216695612" w:history="1">
        <w:r w:rsidRPr="00491FE3">
          <w:rPr>
            <w:rStyle w:val="Hyperlink"/>
          </w:rPr>
          <w:t>5.1.1</w:t>
        </w:r>
        <w:r>
          <w:rPr>
            <w:rFonts w:eastAsiaTheme="minorEastAsia"/>
            <w:sz w:val="24"/>
            <w:lang w:eastAsia="en-AU"/>
          </w:rPr>
          <w:tab/>
        </w:r>
        <w:r w:rsidRPr="00491FE3">
          <w:rPr>
            <w:rStyle w:val="Hyperlink"/>
          </w:rPr>
          <w:t>Field crops</w:t>
        </w:r>
        <w:r>
          <w:rPr>
            <w:webHidden/>
          </w:rPr>
          <w:tab/>
        </w:r>
        <w:r>
          <w:rPr>
            <w:webHidden/>
          </w:rPr>
          <w:fldChar w:fldCharType="begin"/>
        </w:r>
        <w:r>
          <w:rPr>
            <w:webHidden/>
          </w:rPr>
          <w:instrText xml:space="preserve"> PAGEREF _Toc216695612 \h </w:instrText>
        </w:r>
        <w:r>
          <w:rPr>
            <w:webHidden/>
          </w:rPr>
        </w:r>
        <w:r>
          <w:rPr>
            <w:webHidden/>
          </w:rPr>
          <w:fldChar w:fldCharType="separate"/>
        </w:r>
        <w:r w:rsidR="003861AC">
          <w:rPr>
            <w:webHidden/>
          </w:rPr>
          <w:t>104</w:t>
        </w:r>
        <w:r>
          <w:rPr>
            <w:webHidden/>
          </w:rPr>
          <w:fldChar w:fldCharType="end"/>
        </w:r>
      </w:hyperlink>
    </w:p>
    <w:p w14:paraId="1202C425" w14:textId="1F98B93A" w:rsidR="008B1ACD" w:rsidRDefault="008B1ACD">
      <w:pPr>
        <w:pStyle w:val="TOC3"/>
        <w:tabs>
          <w:tab w:val="left" w:pos="1200"/>
        </w:tabs>
        <w:rPr>
          <w:rFonts w:eastAsiaTheme="minorEastAsia"/>
          <w:sz w:val="24"/>
          <w:lang w:eastAsia="en-AU"/>
        </w:rPr>
      </w:pPr>
      <w:hyperlink w:anchor="_Toc216695613" w:history="1">
        <w:r w:rsidRPr="00491FE3">
          <w:rPr>
            <w:rStyle w:val="Hyperlink"/>
          </w:rPr>
          <w:t>5.1.2</w:t>
        </w:r>
        <w:r>
          <w:rPr>
            <w:rFonts w:eastAsiaTheme="minorEastAsia"/>
            <w:sz w:val="24"/>
            <w:lang w:eastAsia="en-AU"/>
          </w:rPr>
          <w:tab/>
        </w:r>
        <w:r w:rsidRPr="00491FE3">
          <w:rPr>
            <w:rStyle w:val="Hyperlink"/>
          </w:rPr>
          <w:t>In and around buildings</w:t>
        </w:r>
        <w:r>
          <w:rPr>
            <w:webHidden/>
          </w:rPr>
          <w:tab/>
        </w:r>
        <w:r>
          <w:rPr>
            <w:webHidden/>
          </w:rPr>
          <w:fldChar w:fldCharType="begin"/>
        </w:r>
        <w:r>
          <w:rPr>
            <w:webHidden/>
          </w:rPr>
          <w:instrText xml:space="preserve"> PAGEREF _Toc216695613 \h </w:instrText>
        </w:r>
        <w:r>
          <w:rPr>
            <w:webHidden/>
          </w:rPr>
        </w:r>
        <w:r>
          <w:rPr>
            <w:webHidden/>
          </w:rPr>
          <w:fldChar w:fldCharType="separate"/>
        </w:r>
        <w:r w:rsidR="003861AC">
          <w:rPr>
            <w:webHidden/>
          </w:rPr>
          <w:t>106</w:t>
        </w:r>
        <w:r>
          <w:rPr>
            <w:webHidden/>
          </w:rPr>
          <w:fldChar w:fldCharType="end"/>
        </w:r>
      </w:hyperlink>
    </w:p>
    <w:p w14:paraId="0F2B795D" w14:textId="34D8C60F" w:rsidR="008B1ACD" w:rsidRDefault="008B1ACD">
      <w:pPr>
        <w:pStyle w:val="TOC3"/>
        <w:tabs>
          <w:tab w:val="left" w:pos="1200"/>
        </w:tabs>
        <w:rPr>
          <w:rFonts w:eastAsiaTheme="minorEastAsia"/>
          <w:sz w:val="24"/>
          <w:lang w:eastAsia="en-AU"/>
        </w:rPr>
      </w:pPr>
      <w:hyperlink w:anchor="_Toc216695614" w:history="1">
        <w:r w:rsidRPr="00491FE3">
          <w:rPr>
            <w:rStyle w:val="Hyperlink"/>
          </w:rPr>
          <w:t>5.1.3</w:t>
        </w:r>
        <w:r>
          <w:rPr>
            <w:rFonts w:eastAsiaTheme="minorEastAsia"/>
            <w:sz w:val="24"/>
            <w:lang w:eastAsia="en-AU"/>
          </w:rPr>
          <w:tab/>
        </w:r>
        <w:r w:rsidRPr="00491FE3">
          <w:rPr>
            <w:rStyle w:val="Hyperlink"/>
          </w:rPr>
          <w:t>Bait formulation</w:t>
        </w:r>
        <w:r>
          <w:rPr>
            <w:webHidden/>
          </w:rPr>
          <w:tab/>
        </w:r>
        <w:r>
          <w:rPr>
            <w:webHidden/>
          </w:rPr>
          <w:fldChar w:fldCharType="begin"/>
        </w:r>
        <w:r>
          <w:rPr>
            <w:webHidden/>
          </w:rPr>
          <w:instrText xml:space="preserve"> PAGEREF _Toc216695614 \h </w:instrText>
        </w:r>
        <w:r>
          <w:rPr>
            <w:webHidden/>
          </w:rPr>
        </w:r>
        <w:r>
          <w:rPr>
            <w:webHidden/>
          </w:rPr>
          <w:fldChar w:fldCharType="separate"/>
        </w:r>
        <w:r w:rsidR="003861AC">
          <w:rPr>
            <w:webHidden/>
          </w:rPr>
          <w:t>108</w:t>
        </w:r>
        <w:r>
          <w:rPr>
            <w:webHidden/>
          </w:rPr>
          <w:fldChar w:fldCharType="end"/>
        </w:r>
      </w:hyperlink>
    </w:p>
    <w:p w14:paraId="11DBA7ED" w14:textId="6E38A43C" w:rsidR="008B1ACD" w:rsidRDefault="008B1ACD">
      <w:pPr>
        <w:pStyle w:val="TOC3"/>
        <w:tabs>
          <w:tab w:val="left" w:pos="1200"/>
        </w:tabs>
        <w:rPr>
          <w:rFonts w:eastAsiaTheme="minorEastAsia"/>
          <w:sz w:val="24"/>
          <w:lang w:eastAsia="en-AU"/>
        </w:rPr>
      </w:pPr>
      <w:hyperlink w:anchor="_Toc216695615" w:history="1">
        <w:r w:rsidRPr="00491FE3">
          <w:rPr>
            <w:rStyle w:val="Hyperlink"/>
          </w:rPr>
          <w:t>5.1.4</w:t>
        </w:r>
        <w:r>
          <w:rPr>
            <w:rFonts w:eastAsiaTheme="minorEastAsia"/>
            <w:sz w:val="24"/>
            <w:lang w:eastAsia="en-AU"/>
          </w:rPr>
          <w:tab/>
        </w:r>
        <w:r w:rsidRPr="00491FE3">
          <w:rPr>
            <w:rStyle w:val="Hyperlink"/>
          </w:rPr>
          <w:t>Edible wildlife (non-target) exposure</w:t>
        </w:r>
        <w:r>
          <w:rPr>
            <w:webHidden/>
          </w:rPr>
          <w:tab/>
        </w:r>
        <w:r>
          <w:rPr>
            <w:webHidden/>
          </w:rPr>
          <w:fldChar w:fldCharType="begin"/>
        </w:r>
        <w:r>
          <w:rPr>
            <w:webHidden/>
          </w:rPr>
          <w:instrText xml:space="preserve"> PAGEREF _Toc216695615 \h </w:instrText>
        </w:r>
        <w:r>
          <w:rPr>
            <w:webHidden/>
          </w:rPr>
        </w:r>
        <w:r>
          <w:rPr>
            <w:webHidden/>
          </w:rPr>
          <w:fldChar w:fldCharType="separate"/>
        </w:r>
        <w:r w:rsidR="003861AC">
          <w:rPr>
            <w:webHidden/>
          </w:rPr>
          <w:t>108</w:t>
        </w:r>
        <w:r>
          <w:rPr>
            <w:webHidden/>
          </w:rPr>
          <w:fldChar w:fldCharType="end"/>
        </w:r>
      </w:hyperlink>
    </w:p>
    <w:p w14:paraId="32C5D8FC" w14:textId="6C6AA5D5" w:rsidR="008B1ACD" w:rsidRDefault="008B1ACD">
      <w:pPr>
        <w:pStyle w:val="TOC3"/>
        <w:tabs>
          <w:tab w:val="left" w:pos="1200"/>
        </w:tabs>
        <w:rPr>
          <w:rFonts w:eastAsiaTheme="minorEastAsia"/>
          <w:sz w:val="24"/>
          <w:lang w:eastAsia="en-AU"/>
        </w:rPr>
      </w:pPr>
      <w:hyperlink w:anchor="_Toc216695616" w:history="1">
        <w:r w:rsidRPr="00491FE3">
          <w:rPr>
            <w:rStyle w:val="Hyperlink"/>
          </w:rPr>
          <w:t>5.1.5</w:t>
        </w:r>
        <w:r>
          <w:rPr>
            <w:rFonts w:eastAsiaTheme="minorEastAsia"/>
            <w:sz w:val="24"/>
            <w:lang w:eastAsia="en-AU"/>
          </w:rPr>
          <w:tab/>
        </w:r>
        <w:r w:rsidRPr="00491FE3">
          <w:rPr>
            <w:rStyle w:val="Hyperlink"/>
          </w:rPr>
          <w:t>Carcass management</w:t>
        </w:r>
        <w:r>
          <w:rPr>
            <w:webHidden/>
          </w:rPr>
          <w:tab/>
        </w:r>
        <w:r>
          <w:rPr>
            <w:webHidden/>
          </w:rPr>
          <w:fldChar w:fldCharType="begin"/>
        </w:r>
        <w:r>
          <w:rPr>
            <w:webHidden/>
          </w:rPr>
          <w:instrText xml:space="preserve"> PAGEREF _Toc216695616 \h </w:instrText>
        </w:r>
        <w:r>
          <w:rPr>
            <w:webHidden/>
          </w:rPr>
        </w:r>
        <w:r>
          <w:rPr>
            <w:webHidden/>
          </w:rPr>
          <w:fldChar w:fldCharType="separate"/>
        </w:r>
        <w:r w:rsidR="003861AC">
          <w:rPr>
            <w:webHidden/>
          </w:rPr>
          <w:t>110</w:t>
        </w:r>
        <w:r>
          <w:rPr>
            <w:webHidden/>
          </w:rPr>
          <w:fldChar w:fldCharType="end"/>
        </w:r>
      </w:hyperlink>
    </w:p>
    <w:p w14:paraId="6B2203A0" w14:textId="194B0FAD" w:rsidR="008B1ACD" w:rsidRDefault="008B1ACD">
      <w:pPr>
        <w:pStyle w:val="TOC2"/>
        <w:rPr>
          <w:rFonts w:eastAsiaTheme="minorEastAsia"/>
          <w:b w:val="0"/>
          <w:color w:val="auto"/>
          <w:sz w:val="24"/>
          <w:lang w:eastAsia="en-AU"/>
        </w:rPr>
      </w:pPr>
      <w:hyperlink w:anchor="_Toc216695617" w:history="1">
        <w:r w:rsidRPr="00491FE3">
          <w:rPr>
            <w:rStyle w:val="Hyperlink"/>
          </w:rPr>
          <w:t>5.2</w:t>
        </w:r>
        <w:r>
          <w:rPr>
            <w:rFonts w:eastAsiaTheme="minorEastAsia"/>
            <w:b w:val="0"/>
            <w:color w:val="auto"/>
            <w:sz w:val="24"/>
            <w:lang w:eastAsia="en-AU"/>
          </w:rPr>
          <w:tab/>
        </w:r>
        <w:r w:rsidRPr="00491FE3">
          <w:rPr>
            <w:rStyle w:val="Hyperlink"/>
          </w:rPr>
          <w:t>Dietary risk assessment</w:t>
        </w:r>
        <w:r>
          <w:rPr>
            <w:webHidden/>
          </w:rPr>
          <w:tab/>
        </w:r>
        <w:r>
          <w:rPr>
            <w:webHidden/>
          </w:rPr>
          <w:fldChar w:fldCharType="begin"/>
        </w:r>
        <w:r>
          <w:rPr>
            <w:webHidden/>
          </w:rPr>
          <w:instrText xml:space="preserve"> PAGEREF _Toc216695617 \h </w:instrText>
        </w:r>
        <w:r>
          <w:rPr>
            <w:webHidden/>
          </w:rPr>
        </w:r>
        <w:r>
          <w:rPr>
            <w:webHidden/>
          </w:rPr>
          <w:fldChar w:fldCharType="separate"/>
        </w:r>
        <w:r w:rsidR="003861AC">
          <w:rPr>
            <w:webHidden/>
          </w:rPr>
          <w:t>110</w:t>
        </w:r>
        <w:r>
          <w:rPr>
            <w:webHidden/>
          </w:rPr>
          <w:fldChar w:fldCharType="end"/>
        </w:r>
      </w:hyperlink>
    </w:p>
    <w:p w14:paraId="12F2074A" w14:textId="2F8093AC" w:rsidR="008B1ACD" w:rsidRDefault="008B1ACD">
      <w:pPr>
        <w:pStyle w:val="TOC2"/>
        <w:rPr>
          <w:rFonts w:eastAsiaTheme="minorEastAsia"/>
          <w:b w:val="0"/>
          <w:color w:val="auto"/>
          <w:sz w:val="24"/>
          <w:lang w:eastAsia="en-AU"/>
        </w:rPr>
      </w:pPr>
      <w:hyperlink w:anchor="_Toc216695618" w:history="1">
        <w:r w:rsidRPr="00491FE3">
          <w:rPr>
            <w:rStyle w:val="Hyperlink"/>
          </w:rPr>
          <w:t>5.3</w:t>
        </w:r>
        <w:r>
          <w:rPr>
            <w:rFonts w:eastAsiaTheme="minorEastAsia"/>
            <w:b w:val="0"/>
            <w:color w:val="auto"/>
            <w:sz w:val="24"/>
            <w:lang w:eastAsia="en-AU"/>
          </w:rPr>
          <w:tab/>
        </w:r>
        <w:r w:rsidRPr="00491FE3">
          <w:rPr>
            <w:rStyle w:val="Hyperlink"/>
          </w:rPr>
          <w:t>Residue-related aspects of trade</w:t>
        </w:r>
        <w:r>
          <w:rPr>
            <w:webHidden/>
          </w:rPr>
          <w:tab/>
        </w:r>
        <w:r>
          <w:rPr>
            <w:webHidden/>
          </w:rPr>
          <w:fldChar w:fldCharType="begin"/>
        </w:r>
        <w:r>
          <w:rPr>
            <w:webHidden/>
          </w:rPr>
          <w:instrText xml:space="preserve"> PAGEREF _Toc216695618 \h </w:instrText>
        </w:r>
        <w:r>
          <w:rPr>
            <w:webHidden/>
          </w:rPr>
        </w:r>
        <w:r>
          <w:rPr>
            <w:webHidden/>
          </w:rPr>
          <w:fldChar w:fldCharType="separate"/>
        </w:r>
        <w:r w:rsidR="003861AC">
          <w:rPr>
            <w:webHidden/>
          </w:rPr>
          <w:t>110</w:t>
        </w:r>
        <w:r>
          <w:rPr>
            <w:webHidden/>
          </w:rPr>
          <w:fldChar w:fldCharType="end"/>
        </w:r>
      </w:hyperlink>
    </w:p>
    <w:p w14:paraId="6A0E6697" w14:textId="1870176F" w:rsidR="008B1ACD" w:rsidRDefault="008B1ACD">
      <w:pPr>
        <w:pStyle w:val="TOC2"/>
        <w:rPr>
          <w:rFonts w:eastAsiaTheme="minorEastAsia"/>
          <w:b w:val="0"/>
          <w:color w:val="auto"/>
          <w:sz w:val="24"/>
          <w:lang w:eastAsia="en-AU"/>
        </w:rPr>
      </w:pPr>
      <w:hyperlink w:anchor="_Toc216695619" w:history="1">
        <w:r w:rsidRPr="00491FE3">
          <w:rPr>
            <w:rStyle w:val="Hyperlink"/>
          </w:rPr>
          <w:t>5.4</w:t>
        </w:r>
        <w:r>
          <w:rPr>
            <w:rFonts w:eastAsiaTheme="minorEastAsia"/>
            <w:b w:val="0"/>
            <w:color w:val="auto"/>
            <w:sz w:val="24"/>
            <w:lang w:eastAsia="en-AU"/>
          </w:rPr>
          <w:tab/>
        </w:r>
        <w:r w:rsidRPr="00491FE3">
          <w:rPr>
            <w:rStyle w:val="Hyperlink"/>
          </w:rPr>
          <w:t>Agricultural and Veterinary Chemicals (MRL Standard for Residues of Chemical Products) Instrument 2023</w:t>
        </w:r>
        <w:r>
          <w:rPr>
            <w:webHidden/>
          </w:rPr>
          <w:tab/>
        </w:r>
        <w:r>
          <w:rPr>
            <w:webHidden/>
          </w:rPr>
          <w:fldChar w:fldCharType="begin"/>
        </w:r>
        <w:r>
          <w:rPr>
            <w:webHidden/>
          </w:rPr>
          <w:instrText xml:space="preserve"> PAGEREF _Toc216695619 \h </w:instrText>
        </w:r>
        <w:r>
          <w:rPr>
            <w:webHidden/>
          </w:rPr>
        </w:r>
        <w:r>
          <w:rPr>
            <w:webHidden/>
          </w:rPr>
          <w:fldChar w:fldCharType="separate"/>
        </w:r>
        <w:r w:rsidR="003861AC">
          <w:rPr>
            <w:webHidden/>
          </w:rPr>
          <w:t>112</w:t>
        </w:r>
        <w:r>
          <w:rPr>
            <w:webHidden/>
          </w:rPr>
          <w:fldChar w:fldCharType="end"/>
        </w:r>
      </w:hyperlink>
    </w:p>
    <w:p w14:paraId="45829E59" w14:textId="68438798" w:rsidR="008B1ACD" w:rsidRDefault="008B1ACD">
      <w:pPr>
        <w:pStyle w:val="TOC3"/>
        <w:tabs>
          <w:tab w:val="left" w:pos="1200"/>
        </w:tabs>
        <w:rPr>
          <w:rFonts w:eastAsiaTheme="minorEastAsia"/>
          <w:sz w:val="24"/>
          <w:lang w:eastAsia="en-AU"/>
        </w:rPr>
      </w:pPr>
      <w:hyperlink w:anchor="_Toc216695620" w:history="1">
        <w:r w:rsidRPr="00491FE3">
          <w:rPr>
            <w:rStyle w:val="Hyperlink"/>
          </w:rPr>
          <w:t>5.4.1</w:t>
        </w:r>
        <w:r>
          <w:rPr>
            <w:rFonts w:eastAsiaTheme="minorEastAsia"/>
            <w:sz w:val="24"/>
            <w:lang w:eastAsia="en-AU"/>
          </w:rPr>
          <w:tab/>
        </w:r>
        <w:r w:rsidRPr="00491FE3">
          <w:rPr>
            <w:rStyle w:val="Hyperlink"/>
          </w:rPr>
          <w:t>Residue definitions</w:t>
        </w:r>
        <w:r>
          <w:rPr>
            <w:webHidden/>
          </w:rPr>
          <w:tab/>
        </w:r>
        <w:r>
          <w:rPr>
            <w:webHidden/>
          </w:rPr>
          <w:fldChar w:fldCharType="begin"/>
        </w:r>
        <w:r>
          <w:rPr>
            <w:webHidden/>
          </w:rPr>
          <w:instrText xml:space="preserve"> PAGEREF _Toc216695620 \h </w:instrText>
        </w:r>
        <w:r>
          <w:rPr>
            <w:webHidden/>
          </w:rPr>
        </w:r>
        <w:r>
          <w:rPr>
            <w:webHidden/>
          </w:rPr>
          <w:fldChar w:fldCharType="separate"/>
        </w:r>
        <w:r w:rsidR="003861AC">
          <w:rPr>
            <w:webHidden/>
          </w:rPr>
          <w:t>112</w:t>
        </w:r>
        <w:r>
          <w:rPr>
            <w:webHidden/>
          </w:rPr>
          <w:fldChar w:fldCharType="end"/>
        </w:r>
      </w:hyperlink>
    </w:p>
    <w:p w14:paraId="3F01A0F6" w14:textId="32824284" w:rsidR="008B1ACD" w:rsidRDefault="008B1ACD">
      <w:pPr>
        <w:pStyle w:val="TOC3"/>
        <w:tabs>
          <w:tab w:val="left" w:pos="1200"/>
        </w:tabs>
        <w:rPr>
          <w:rFonts w:eastAsiaTheme="minorEastAsia"/>
          <w:sz w:val="24"/>
          <w:lang w:eastAsia="en-AU"/>
        </w:rPr>
      </w:pPr>
      <w:hyperlink w:anchor="_Toc216695621" w:history="1">
        <w:r w:rsidRPr="00491FE3">
          <w:rPr>
            <w:rStyle w:val="Hyperlink"/>
          </w:rPr>
          <w:t>5.4.2</w:t>
        </w:r>
        <w:r>
          <w:rPr>
            <w:rFonts w:eastAsiaTheme="minorEastAsia"/>
            <w:sz w:val="24"/>
            <w:lang w:eastAsia="en-AU"/>
          </w:rPr>
          <w:tab/>
        </w:r>
        <w:r w:rsidRPr="00491FE3">
          <w:rPr>
            <w:rStyle w:val="Hyperlink"/>
          </w:rPr>
          <w:t>Anticoagulant rodenticide entries in the MRL Standard</w:t>
        </w:r>
        <w:r>
          <w:rPr>
            <w:webHidden/>
          </w:rPr>
          <w:tab/>
        </w:r>
        <w:r>
          <w:rPr>
            <w:webHidden/>
          </w:rPr>
          <w:fldChar w:fldCharType="begin"/>
        </w:r>
        <w:r>
          <w:rPr>
            <w:webHidden/>
          </w:rPr>
          <w:instrText xml:space="preserve"> PAGEREF _Toc216695621 \h </w:instrText>
        </w:r>
        <w:r>
          <w:rPr>
            <w:webHidden/>
          </w:rPr>
        </w:r>
        <w:r>
          <w:rPr>
            <w:webHidden/>
          </w:rPr>
          <w:fldChar w:fldCharType="separate"/>
        </w:r>
        <w:r w:rsidR="003861AC">
          <w:rPr>
            <w:webHidden/>
          </w:rPr>
          <w:t>113</w:t>
        </w:r>
        <w:r>
          <w:rPr>
            <w:webHidden/>
          </w:rPr>
          <w:fldChar w:fldCharType="end"/>
        </w:r>
      </w:hyperlink>
    </w:p>
    <w:p w14:paraId="3C88D509" w14:textId="5FF41785" w:rsidR="008B1ACD" w:rsidRDefault="008B1ACD">
      <w:pPr>
        <w:pStyle w:val="TOC3"/>
        <w:tabs>
          <w:tab w:val="left" w:pos="1200"/>
        </w:tabs>
        <w:rPr>
          <w:rFonts w:eastAsiaTheme="minorEastAsia"/>
          <w:sz w:val="24"/>
          <w:lang w:eastAsia="en-AU"/>
        </w:rPr>
      </w:pPr>
      <w:hyperlink w:anchor="_Toc216695622" w:history="1">
        <w:r w:rsidRPr="00491FE3">
          <w:rPr>
            <w:rStyle w:val="Hyperlink"/>
          </w:rPr>
          <w:t>5.4.3</w:t>
        </w:r>
        <w:r>
          <w:rPr>
            <w:rFonts w:eastAsiaTheme="minorEastAsia"/>
            <w:sz w:val="24"/>
            <w:lang w:eastAsia="en-AU"/>
          </w:rPr>
          <w:tab/>
        </w:r>
        <w:r w:rsidRPr="00491FE3">
          <w:rPr>
            <w:rStyle w:val="Hyperlink"/>
          </w:rPr>
          <w:t>Summary of recommended amendments to the MRL Standard</w:t>
        </w:r>
        <w:r>
          <w:rPr>
            <w:webHidden/>
          </w:rPr>
          <w:tab/>
        </w:r>
        <w:r>
          <w:rPr>
            <w:webHidden/>
          </w:rPr>
          <w:fldChar w:fldCharType="begin"/>
        </w:r>
        <w:r>
          <w:rPr>
            <w:webHidden/>
          </w:rPr>
          <w:instrText xml:space="preserve"> PAGEREF _Toc216695622 \h </w:instrText>
        </w:r>
        <w:r>
          <w:rPr>
            <w:webHidden/>
          </w:rPr>
        </w:r>
        <w:r>
          <w:rPr>
            <w:webHidden/>
          </w:rPr>
          <w:fldChar w:fldCharType="separate"/>
        </w:r>
        <w:r w:rsidR="003861AC">
          <w:rPr>
            <w:webHidden/>
          </w:rPr>
          <w:t>114</w:t>
        </w:r>
        <w:r>
          <w:rPr>
            <w:webHidden/>
          </w:rPr>
          <w:fldChar w:fldCharType="end"/>
        </w:r>
      </w:hyperlink>
    </w:p>
    <w:p w14:paraId="686181AD" w14:textId="0D4BADA8" w:rsidR="008B1ACD" w:rsidRDefault="008B1ACD">
      <w:pPr>
        <w:pStyle w:val="TOC2"/>
        <w:rPr>
          <w:rFonts w:eastAsiaTheme="minorEastAsia"/>
          <w:b w:val="0"/>
          <w:color w:val="auto"/>
          <w:sz w:val="24"/>
          <w:lang w:eastAsia="en-AU"/>
        </w:rPr>
      </w:pPr>
      <w:hyperlink w:anchor="_Toc216695623" w:history="1">
        <w:r w:rsidRPr="00491FE3">
          <w:rPr>
            <w:rStyle w:val="Hyperlink"/>
          </w:rPr>
          <w:t>5.5</w:t>
        </w:r>
        <w:r>
          <w:rPr>
            <w:rFonts w:eastAsiaTheme="minorEastAsia"/>
            <w:b w:val="0"/>
            <w:color w:val="auto"/>
            <w:sz w:val="24"/>
            <w:lang w:eastAsia="en-AU"/>
          </w:rPr>
          <w:tab/>
        </w:r>
        <w:r w:rsidRPr="00491FE3">
          <w:rPr>
            <w:rStyle w:val="Hyperlink"/>
          </w:rPr>
          <w:t>Recommendations</w:t>
        </w:r>
        <w:r>
          <w:rPr>
            <w:webHidden/>
          </w:rPr>
          <w:tab/>
        </w:r>
        <w:r>
          <w:rPr>
            <w:webHidden/>
          </w:rPr>
          <w:fldChar w:fldCharType="begin"/>
        </w:r>
        <w:r>
          <w:rPr>
            <w:webHidden/>
          </w:rPr>
          <w:instrText xml:space="preserve"> PAGEREF _Toc216695623 \h </w:instrText>
        </w:r>
        <w:r>
          <w:rPr>
            <w:webHidden/>
          </w:rPr>
        </w:r>
        <w:r>
          <w:rPr>
            <w:webHidden/>
          </w:rPr>
          <w:fldChar w:fldCharType="separate"/>
        </w:r>
        <w:r w:rsidR="003861AC">
          <w:rPr>
            <w:webHidden/>
          </w:rPr>
          <w:t>116</w:t>
        </w:r>
        <w:r>
          <w:rPr>
            <w:webHidden/>
          </w:rPr>
          <w:fldChar w:fldCharType="end"/>
        </w:r>
      </w:hyperlink>
    </w:p>
    <w:p w14:paraId="7FB8A7A8" w14:textId="7A57959C" w:rsidR="008B1ACD" w:rsidRDefault="008B1ACD">
      <w:pPr>
        <w:pStyle w:val="TOC3"/>
        <w:tabs>
          <w:tab w:val="left" w:pos="1200"/>
        </w:tabs>
        <w:rPr>
          <w:rFonts w:eastAsiaTheme="minorEastAsia"/>
          <w:sz w:val="24"/>
          <w:lang w:eastAsia="en-AU"/>
        </w:rPr>
      </w:pPr>
      <w:hyperlink w:anchor="_Toc216695624" w:history="1">
        <w:r w:rsidRPr="00491FE3">
          <w:rPr>
            <w:rStyle w:val="Hyperlink"/>
          </w:rPr>
          <w:t>5.5.1</w:t>
        </w:r>
        <w:r>
          <w:rPr>
            <w:rFonts w:eastAsiaTheme="minorEastAsia"/>
            <w:sz w:val="24"/>
            <w:lang w:eastAsia="en-AU"/>
          </w:rPr>
          <w:tab/>
        </w:r>
        <w:r w:rsidRPr="00491FE3">
          <w:rPr>
            <w:rStyle w:val="Hyperlink"/>
          </w:rPr>
          <w:t>Labelling requirements</w:t>
        </w:r>
        <w:r>
          <w:rPr>
            <w:webHidden/>
          </w:rPr>
          <w:tab/>
        </w:r>
        <w:r>
          <w:rPr>
            <w:webHidden/>
          </w:rPr>
          <w:fldChar w:fldCharType="begin"/>
        </w:r>
        <w:r>
          <w:rPr>
            <w:webHidden/>
          </w:rPr>
          <w:instrText xml:space="preserve"> PAGEREF _Toc216695624 \h </w:instrText>
        </w:r>
        <w:r>
          <w:rPr>
            <w:webHidden/>
          </w:rPr>
        </w:r>
        <w:r>
          <w:rPr>
            <w:webHidden/>
          </w:rPr>
          <w:fldChar w:fldCharType="separate"/>
        </w:r>
        <w:r w:rsidR="003861AC">
          <w:rPr>
            <w:webHidden/>
          </w:rPr>
          <w:t>116</w:t>
        </w:r>
        <w:r>
          <w:rPr>
            <w:webHidden/>
          </w:rPr>
          <w:fldChar w:fldCharType="end"/>
        </w:r>
      </w:hyperlink>
    </w:p>
    <w:p w14:paraId="6A04C1C1" w14:textId="3F2B2E67" w:rsidR="008B1ACD" w:rsidRDefault="008B1ACD">
      <w:pPr>
        <w:pStyle w:val="TOC3"/>
        <w:tabs>
          <w:tab w:val="left" w:pos="1200"/>
        </w:tabs>
        <w:rPr>
          <w:rFonts w:eastAsiaTheme="minorEastAsia"/>
          <w:sz w:val="24"/>
          <w:lang w:eastAsia="en-AU"/>
        </w:rPr>
      </w:pPr>
      <w:hyperlink w:anchor="_Toc216695625" w:history="1">
        <w:r w:rsidRPr="00491FE3">
          <w:rPr>
            <w:rStyle w:val="Hyperlink"/>
          </w:rPr>
          <w:t>5.5.2</w:t>
        </w:r>
        <w:r>
          <w:rPr>
            <w:rFonts w:eastAsiaTheme="minorEastAsia"/>
            <w:sz w:val="24"/>
            <w:lang w:eastAsia="en-AU"/>
          </w:rPr>
          <w:tab/>
        </w:r>
        <w:r w:rsidRPr="00491FE3">
          <w:rPr>
            <w:rStyle w:val="Hyperlink"/>
          </w:rPr>
          <w:t>Uses not supported by this assessment</w:t>
        </w:r>
        <w:r>
          <w:rPr>
            <w:webHidden/>
          </w:rPr>
          <w:tab/>
        </w:r>
        <w:r>
          <w:rPr>
            <w:webHidden/>
          </w:rPr>
          <w:fldChar w:fldCharType="begin"/>
        </w:r>
        <w:r>
          <w:rPr>
            <w:webHidden/>
          </w:rPr>
          <w:instrText xml:space="preserve"> PAGEREF _Toc216695625 \h </w:instrText>
        </w:r>
        <w:r>
          <w:rPr>
            <w:webHidden/>
          </w:rPr>
        </w:r>
        <w:r>
          <w:rPr>
            <w:webHidden/>
          </w:rPr>
          <w:fldChar w:fldCharType="separate"/>
        </w:r>
        <w:r w:rsidR="003861AC">
          <w:rPr>
            <w:webHidden/>
          </w:rPr>
          <w:t>117</w:t>
        </w:r>
        <w:r>
          <w:rPr>
            <w:webHidden/>
          </w:rPr>
          <w:fldChar w:fldCharType="end"/>
        </w:r>
      </w:hyperlink>
    </w:p>
    <w:p w14:paraId="5389EE57" w14:textId="728EFE77" w:rsidR="008B1ACD" w:rsidRDefault="008B1ACD">
      <w:pPr>
        <w:pStyle w:val="TOC3"/>
        <w:tabs>
          <w:tab w:val="left" w:pos="1200"/>
        </w:tabs>
        <w:rPr>
          <w:rFonts w:eastAsiaTheme="minorEastAsia"/>
          <w:sz w:val="24"/>
          <w:lang w:eastAsia="en-AU"/>
        </w:rPr>
      </w:pPr>
      <w:hyperlink w:anchor="_Toc216695626" w:history="1">
        <w:r w:rsidRPr="00491FE3">
          <w:rPr>
            <w:rStyle w:val="Hyperlink"/>
          </w:rPr>
          <w:t>5.5.3</w:t>
        </w:r>
        <w:r>
          <w:rPr>
            <w:rFonts w:eastAsiaTheme="minorEastAsia"/>
            <w:sz w:val="24"/>
            <w:lang w:eastAsia="en-AU"/>
          </w:rPr>
          <w:tab/>
        </w:r>
        <w:r w:rsidRPr="00491FE3">
          <w:rPr>
            <w:rStyle w:val="Hyperlink"/>
          </w:rPr>
          <w:t>Assessment against the Trade Criteria</w:t>
        </w:r>
        <w:r>
          <w:rPr>
            <w:webHidden/>
          </w:rPr>
          <w:tab/>
        </w:r>
        <w:r>
          <w:rPr>
            <w:webHidden/>
          </w:rPr>
          <w:fldChar w:fldCharType="begin"/>
        </w:r>
        <w:r>
          <w:rPr>
            <w:webHidden/>
          </w:rPr>
          <w:instrText xml:space="preserve"> PAGEREF _Toc216695626 \h </w:instrText>
        </w:r>
        <w:r>
          <w:rPr>
            <w:webHidden/>
          </w:rPr>
        </w:r>
        <w:r>
          <w:rPr>
            <w:webHidden/>
          </w:rPr>
          <w:fldChar w:fldCharType="separate"/>
        </w:r>
        <w:r w:rsidR="003861AC">
          <w:rPr>
            <w:webHidden/>
          </w:rPr>
          <w:t>117</w:t>
        </w:r>
        <w:r>
          <w:rPr>
            <w:webHidden/>
          </w:rPr>
          <w:fldChar w:fldCharType="end"/>
        </w:r>
      </w:hyperlink>
    </w:p>
    <w:p w14:paraId="6D8968A7" w14:textId="0DB78EB7"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27" w:history="1">
        <w:r w:rsidRPr="00491FE3">
          <w:rPr>
            <w:rStyle w:val="Hyperlink"/>
          </w:rPr>
          <w:t>Appendix A – Listing of environmental endpoints</w:t>
        </w:r>
        <w:r>
          <w:rPr>
            <w:webHidden/>
          </w:rPr>
          <w:tab/>
        </w:r>
        <w:r>
          <w:rPr>
            <w:webHidden/>
          </w:rPr>
          <w:fldChar w:fldCharType="begin"/>
        </w:r>
        <w:r>
          <w:rPr>
            <w:webHidden/>
          </w:rPr>
          <w:instrText xml:space="preserve"> PAGEREF _Toc216695627 \h </w:instrText>
        </w:r>
        <w:r>
          <w:rPr>
            <w:webHidden/>
          </w:rPr>
        </w:r>
        <w:r>
          <w:rPr>
            <w:webHidden/>
          </w:rPr>
          <w:fldChar w:fldCharType="separate"/>
        </w:r>
        <w:r w:rsidR="003861AC">
          <w:rPr>
            <w:webHidden/>
          </w:rPr>
          <w:t>118</w:t>
        </w:r>
        <w:r>
          <w:rPr>
            <w:webHidden/>
          </w:rPr>
          <w:fldChar w:fldCharType="end"/>
        </w:r>
      </w:hyperlink>
    </w:p>
    <w:p w14:paraId="4B80C1D5" w14:textId="27679448" w:rsidR="008B1ACD" w:rsidRDefault="008B1ACD">
      <w:pPr>
        <w:pStyle w:val="TOC2"/>
        <w:rPr>
          <w:rFonts w:eastAsiaTheme="minorEastAsia"/>
          <w:b w:val="0"/>
          <w:color w:val="auto"/>
          <w:sz w:val="24"/>
          <w:lang w:eastAsia="en-AU"/>
        </w:rPr>
      </w:pPr>
      <w:hyperlink w:anchor="_Toc216695628" w:history="1">
        <w:r w:rsidRPr="00491FE3">
          <w:rPr>
            <w:rStyle w:val="Hyperlink"/>
          </w:rPr>
          <w:t>Coumatetralyl</w:t>
        </w:r>
        <w:r>
          <w:rPr>
            <w:webHidden/>
          </w:rPr>
          <w:tab/>
        </w:r>
        <w:r>
          <w:rPr>
            <w:webHidden/>
          </w:rPr>
          <w:fldChar w:fldCharType="begin"/>
        </w:r>
        <w:r>
          <w:rPr>
            <w:webHidden/>
          </w:rPr>
          <w:instrText xml:space="preserve"> PAGEREF _Toc216695628 \h </w:instrText>
        </w:r>
        <w:r>
          <w:rPr>
            <w:webHidden/>
          </w:rPr>
        </w:r>
        <w:r>
          <w:rPr>
            <w:webHidden/>
          </w:rPr>
          <w:fldChar w:fldCharType="separate"/>
        </w:r>
        <w:r w:rsidR="003861AC">
          <w:rPr>
            <w:webHidden/>
          </w:rPr>
          <w:t>118</w:t>
        </w:r>
        <w:r>
          <w:rPr>
            <w:webHidden/>
          </w:rPr>
          <w:fldChar w:fldCharType="end"/>
        </w:r>
      </w:hyperlink>
    </w:p>
    <w:p w14:paraId="2598E943" w14:textId="486780C2" w:rsidR="008B1ACD" w:rsidRDefault="008B1ACD">
      <w:pPr>
        <w:pStyle w:val="TOC3"/>
        <w:rPr>
          <w:rFonts w:eastAsiaTheme="minorEastAsia"/>
          <w:sz w:val="24"/>
          <w:lang w:eastAsia="en-AU"/>
        </w:rPr>
      </w:pPr>
      <w:hyperlink w:anchor="_Toc216695629" w:history="1">
        <w:r w:rsidRPr="00491FE3">
          <w:rPr>
            <w:rStyle w:val="Hyperlink"/>
          </w:rPr>
          <w:t>Fate and behaviour in the environment</w:t>
        </w:r>
        <w:r>
          <w:rPr>
            <w:webHidden/>
          </w:rPr>
          <w:tab/>
        </w:r>
        <w:r>
          <w:rPr>
            <w:webHidden/>
          </w:rPr>
          <w:fldChar w:fldCharType="begin"/>
        </w:r>
        <w:r>
          <w:rPr>
            <w:webHidden/>
          </w:rPr>
          <w:instrText xml:space="preserve"> PAGEREF _Toc216695629 \h </w:instrText>
        </w:r>
        <w:r>
          <w:rPr>
            <w:webHidden/>
          </w:rPr>
        </w:r>
        <w:r>
          <w:rPr>
            <w:webHidden/>
          </w:rPr>
          <w:fldChar w:fldCharType="separate"/>
        </w:r>
        <w:r w:rsidR="003861AC">
          <w:rPr>
            <w:webHidden/>
          </w:rPr>
          <w:t>118</w:t>
        </w:r>
        <w:r>
          <w:rPr>
            <w:webHidden/>
          </w:rPr>
          <w:fldChar w:fldCharType="end"/>
        </w:r>
      </w:hyperlink>
    </w:p>
    <w:p w14:paraId="763983DB" w14:textId="760AE67D" w:rsidR="008B1ACD" w:rsidRDefault="008B1ACD">
      <w:pPr>
        <w:pStyle w:val="TOC3"/>
        <w:rPr>
          <w:rFonts w:eastAsiaTheme="minorEastAsia"/>
          <w:sz w:val="24"/>
          <w:lang w:eastAsia="en-AU"/>
        </w:rPr>
      </w:pPr>
      <w:hyperlink w:anchor="_Toc216695630" w:history="1">
        <w:r w:rsidRPr="00491FE3">
          <w:rPr>
            <w:rStyle w:val="Hyperlink"/>
          </w:rPr>
          <w:t>Effects on non-target species</w:t>
        </w:r>
        <w:r>
          <w:rPr>
            <w:webHidden/>
          </w:rPr>
          <w:tab/>
        </w:r>
        <w:r>
          <w:rPr>
            <w:webHidden/>
          </w:rPr>
          <w:fldChar w:fldCharType="begin"/>
        </w:r>
        <w:r>
          <w:rPr>
            <w:webHidden/>
          </w:rPr>
          <w:instrText xml:space="preserve"> PAGEREF _Toc216695630 \h </w:instrText>
        </w:r>
        <w:r>
          <w:rPr>
            <w:webHidden/>
          </w:rPr>
        </w:r>
        <w:r>
          <w:rPr>
            <w:webHidden/>
          </w:rPr>
          <w:fldChar w:fldCharType="separate"/>
        </w:r>
        <w:r w:rsidR="003861AC">
          <w:rPr>
            <w:webHidden/>
          </w:rPr>
          <w:t>122</w:t>
        </w:r>
        <w:r>
          <w:rPr>
            <w:webHidden/>
          </w:rPr>
          <w:fldChar w:fldCharType="end"/>
        </w:r>
      </w:hyperlink>
    </w:p>
    <w:p w14:paraId="17846491" w14:textId="00D251E3" w:rsidR="008B1ACD" w:rsidRDefault="008B1ACD">
      <w:pPr>
        <w:pStyle w:val="TOC2"/>
        <w:rPr>
          <w:rFonts w:eastAsiaTheme="minorEastAsia"/>
          <w:b w:val="0"/>
          <w:color w:val="auto"/>
          <w:sz w:val="24"/>
          <w:lang w:eastAsia="en-AU"/>
        </w:rPr>
      </w:pPr>
      <w:hyperlink w:anchor="_Toc216695631" w:history="1">
        <w:r w:rsidRPr="00491FE3">
          <w:rPr>
            <w:rStyle w:val="Hyperlink"/>
          </w:rPr>
          <w:t>Diphacinone</w:t>
        </w:r>
        <w:r>
          <w:rPr>
            <w:webHidden/>
          </w:rPr>
          <w:tab/>
        </w:r>
        <w:r>
          <w:rPr>
            <w:webHidden/>
          </w:rPr>
          <w:fldChar w:fldCharType="begin"/>
        </w:r>
        <w:r>
          <w:rPr>
            <w:webHidden/>
          </w:rPr>
          <w:instrText xml:space="preserve"> PAGEREF _Toc216695631 \h </w:instrText>
        </w:r>
        <w:r>
          <w:rPr>
            <w:webHidden/>
          </w:rPr>
        </w:r>
        <w:r>
          <w:rPr>
            <w:webHidden/>
          </w:rPr>
          <w:fldChar w:fldCharType="separate"/>
        </w:r>
        <w:r w:rsidR="003861AC">
          <w:rPr>
            <w:webHidden/>
          </w:rPr>
          <w:t>125</w:t>
        </w:r>
        <w:r>
          <w:rPr>
            <w:webHidden/>
          </w:rPr>
          <w:fldChar w:fldCharType="end"/>
        </w:r>
      </w:hyperlink>
    </w:p>
    <w:p w14:paraId="4D12D9D4" w14:textId="45E89036" w:rsidR="008B1ACD" w:rsidRDefault="008B1ACD">
      <w:pPr>
        <w:pStyle w:val="TOC3"/>
        <w:rPr>
          <w:rFonts w:eastAsiaTheme="minorEastAsia"/>
          <w:sz w:val="24"/>
          <w:lang w:eastAsia="en-AU"/>
        </w:rPr>
      </w:pPr>
      <w:hyperlink w:anchor="_Toc216695632" w:history="1">
        <w:r w:rsidRPr="00491FE3">
          <w:rPr>
            <w:rStyle w:val="Hyperlink"/>
          </w:rPr>
          <w:t>Fate and behaviour in the environment</w:t>
        </w:r>
        <w:r>
          <w:rPr>
            <w:webHidden/>
          </w:rPr>
          <w:tab/>
        </w:r>
        <w:r>
          <w:rPr>
            <w:webHidden/>
          </w:rPr>
          <w:fldChar w:fldCharType="begin"/>
        </w:r>
        <w:r>
          <w:rPr>
            <w:webHidden/>
          </w:rPr>
          <w:instrText xml:space="preserve"> PAGEREF _Toc216695632 \h </w:instrText>
        </w:r>
        <w:r>
          <w:rPr>
            <w:webHidden/>
          </w:rPr>
        </w:r>
        <w:r>
          <w:rPr>
            <w:webHidden/>
          </w:rPr>
          <w:fldChar w:fldCharType="separate"/>
        </w:r>
        <w:r w:rsidR="003861AC">
          <w:rPr>
            <w:webHidden/>
          </w:rPr>
          <w:t>125</w:t>
        </w:r>
        <w:r>
          <w:rPr>
            <w:webHidden/>
          </w:rPr>
          <w:fldChar w:fldCharType="end"/>
        </w:r>
      </w:hyperlink>
    </w:p>
    <w:p w14:paraId="673B7AF9" w14:textId="1644863A" w:rsidR="008B1ACD" w:rsidRDefault="008B1ACD">
      <w:pPr>
        <w:pStyle w:val="TOC3"/>
        <w:rPr>
          <w:rFonts w:eastAsiaTheme="minorEastAsia"/>
          <w:sz w:val="24"/>
          <w:lang w:eastAsia="en-AU"/>
        </w:rPr>
      </w:pPr>
      <w:hyperlink w:anchor="_Toc216695633" w:history="1">
        <w:r w:rsidRPr="00491FE3">
          <w:rPr>
            <w:rStyle w:val="Hyperlink"/>
          </w:rPr>
          <w:t>Effects on non-target species</w:t>
        </w:r>
        <w:r>
          <w:rPr>
            <w:webHidden/>
          </w:rPr>
          <w:tab/>
        </w:r>
        <w:r>
          <w:rPr>
            <w:webHidden/>
          </w:rPr>
          <w:fldChar w:fldCharType="begin"/>
        </w:r>
        <w:r>
          <w:rPr>
            <w:webHidden/>
          </w:rPr>
          <w:instrText xml:space="preserve"> PAGEREF _Toc216695633 \h </w:instrText>
        </w:r>
        <w:r>
          <w:rPr>
            <w:webHidden/>
          </w:rPr>
        </w:r>
        <w:r>
          <w:rPr>
            <w:webHidden/>
          </w:rPr>
          <w:fldChar w:fldCharType="separate"/>
        </w:r>
        <w:r w:rsidR="003861AC">
          <w:rPr>
            <w:webHidden/>
          </w:rPr>
          <w:t>129</w:t>
        </w:r>
        <w:r>
          <w:rPr>
            <w:webHidden/>
          </w:rPr>
          <w:fldChar w:fldCharType="end"/>
        </w:r>
      </w:hyperlink>
    </w:p>
    <w:p w14:paraId="6FE97DF1" w14:textId="2EB0718C" w:rsidR="008B1ACD" w:rsidRDefault="008B1ACD">
      <w:pPr>
        <w:pStyle w:val="TOC2"/>
        <w:rPr>
          <w:rFonts w:eastAsiaTheme="minorEastAsia"/>
          <w:b w:val="0"/>
          <w:color w:val="auto"/>
          <w:sz w:val="24"/>
          <w:lang w:eastAsia="en-AU"/>
        </w:rPr>
      </w:pPr>
      <w:hyperlink w:anchor="_Toc216695634" w:history="1">
        <w:r w:rsidRPr="00491FE3">
          <w:rPr>
            <w:rStyle w:val="Hyperlink"/>
          </w:rPr>
          <w:t>Warfarin</w:t>
        </w:r>
        <w:r>
          <w:rPr>
            <w:webHidden/>
          </w:rPr>
          <w:tab/>
        </w:r>
        <w:r>
          <w:rPr>
            <w:webHidden/>
          </w:rPr>
          <w:fldChar w:fldCharType="begin"/>
        </w:r>
        <w:r>
          <w:rPr>
            <w:webHidden/>
          </w:rPr>
          <w:instrText xml:space="preserve"> PAGEREF _Toc216695634 \h </w:instrText>
        </w:r>
        <w:r>
          <w:rPr>
            <w:webHidden/>
          </w:rPr>
        </w:r>
        <w:r>
          <w:rPr>
            <w:webHidden/>
          </w:rPr>
          <w:fldChar w:fldCharType="separate"/>
        </w:r>
        <w:r w:rsidR="003861AC">
          <w:rPr>
            <w:webHidden/>
          </w:rPr>
          <w:t>130</w:t>
        </w:r>
        <w:r>
          <w:rPr>
            <w:webHidden/>
          </w:rPr>
          <w:fldChar w:fldCharType="end"/>
        </w:r>
      </w:hyperlink>
    </w:p>
    <w:p w14:paraId="6B917E6F" w14:textId="32A69254" w:rsidR="008B1ACD" w:rsidRDefault="008B1ACD">
      <w:pPr>
        <w:pStyle w:val="TOC3"/>
        <w:rPr>
          <w:rFonts w:eastAsiaTheme="minorEastAsia"/>
          <w:sz w:val="24"/>
          <w:lang w:eastAsia="en-AU"/>
        </w:rPr>
      </w:pPr>
      <w:hyperlink w:anchor="_Toc216695635" w:history="1">
        <w:r w:rsidRPr="00491FE3">
          <w:rPr>
            <w:rStyle w:val="Hyperlink"/>
          </w:rPr>
          <w:t>Fate and behaviour in the environment</w:t>
        </w:r>
        <w:r>
          <w:rPr>
            <w:webHidden/>
          </w:rPr>
          <w:tab/>
        </w:r>
        <w:r>
          <w:rPr>
            <w:webHidden/>
          </w:rPr>
          <w:fldChar w:fldCharType="begin"/>
        </w:r>
        <w:r>
          <w:rPr>
            <w:webHidden/>
          </w:rPr>
          <w:instrText xml:space="preserve"> PAGEREF _Toc216695635 \h </w:instrText>
        </w:r>
        <w:r>
          <w:rPr>
            <w:webHidden/>
          </w:rPr>
        </w:r>
        <w:r>
          <w:rPr>
            <w:webHidden/>
          </w:rPr>
          <w:fldChar w:fldCharType="separate"/>
        </w:r>
        <w:r w:rsidR="003861AC">
          <w:rPr>
            <w:webHidden/>
          </w:rPr>
          <w:t>130</w:t>
        </w:r>
        <w:r>
          <w:rPr>
            <w:webHidden/>
          </w:rPr>
          <w:fldChar w:fldCharType="end"/>
        </w:r>
      </w:hyperlink>
    </w:p>
    <w:p w14:paraId="47AC5A24" w14:textId="62F8AFDB" w:rsidR="008B1ACD" w:rsidRDefault="008B1ACD">
      <w:pPr>
        <w:pStyle w:val="TOC3"/>
        <w:rPr>
          <w:rFonts w:eastAsiaTheme="minorEastAsia"/>
          <w:sz w:val="24"/>
          <w:lang w:eastAsia="en-AU"/>
        </w:rPr>
      </w:pPr>
      <w:hyperlink w:anchor="_Toc216695636" w:history="1">
        <w:r w:rsidRPr="00491FE3">
          <w:rPr>
            <w:rStyle w:val="Hyperlink"/>
          </w:rPr>
          <w:t>Effects on non-target species</w:t>
        </w:r>
        <w:r>
          <w:rPr>
            <w:webHidden/>
          </w:rPr>
          <w:tab/>
        </w:r>
        <w:r>
          <w:rPr>
            <w:webHidden/>
          </w:rPr>
          <w:fldChar w:fldCharType="begin"/>
        </w:r>
        <w:r>
          <w:rPr>
            <w:webHidden/>
          </w:rPr>
          <w:instrText xml:space="preserve"> PAGEREF _Toc216695636 \h </w:instrText>
        </w:r>
        <w:r>
          <w:rPr>
            <w:webHidden/>
          </w:rPr>
        </w:r>
        <w:r>
          <w:rPr>
            <w:webHidden/>
          </w:rPr>
          <w:fldChar w:fldCharType="separate"/>
        </w:r>
        <w:r w:rsidR="003861AC">
          <w:rPr>
            <w:webHidden/>
          </w:rPr>
          <w:t>134</w:t>
        </w:r>
        <w:r>
          <w:rPr>
            <w:webHidden/>
          </w:rPr>
          <w:fldChar w:fldCharType="end"/>
        </w:r>
      </w:hyperlink>
    </w:p>
    <w:p w14:paraId="3A0AED9F" w14:textId="226416E6" w:rsidR="008B1ACD" w:rsidRDefault="008B1ACD">
      <w:pPr>
        <w:pStyle w:val="TOC2"/>
        <w:rPr>
          <w:rFonts w:eastAsiaTheme="minorEastAsia"/>
          <w:b w:val="0"/>
          <w:color w:val="auto"/>
          <w:sz w:val="24"/>
          <w:lang w:eastAsia="en-AU"/>
        </w:rPr>
      </w:pPr>
      <w:hyperlink w:anchor="_Toc216695637" w:history="1">
        <w:r w:rsidRPr="00491FE3">
          <w:rPr>
            <w:rStyle w:val="Hyperlink"/>
          </w:rPr>
          <w:t>Brodifacoum</w:t>
        </w:r>
        <w:r>
          <w:rPr>
            <w:webHidden/>
          </w:rPr>
          <w:tab/>
        </w:r>
        <w:r>
          <w:rPr>
            <w:webHidden/>
          </w:rPr>
          <w:fldChar w:fldCharType="begin"/>
        </w:r>
        <w:r>
          <w:rPr>
            <w:webHidden/>
          </w:rPr>
          <w:instrText xml:space="preserve"> PAGEREF _Toc216695637 \h </w:instrText>
        </w:r>
        <w:r>
          <w:rPr>
            <w:webHidden/>
          </w:rPr>
        </w:r>
        <w:r>
          <w:rPr>
            <w:webHidden/>
          </w:rPr>
          <w:fldChar w:fldCharType="separate"/>
        </w:r>
        <w:r w:rsidR="003861AC">
          <w:rPr>
            <w:webHidden/>
          </w:rPr>
          <w:t>135</w:t>
        </w:r>
        <w:r>
          <w:rPr>
            <w:webHidden/>
          </w:rPr>
          <w:fldChar w:fldCharType="end"/>
        </w:r>
      </w:hyperlink>
    </w:p>
    <w:p w14:paraId="504ABEBC" w14:textId="4F28B2BE" w:rsidR="008B1ACD" w:rsidRDefault="008B1ACD">
      <w:pPr>
        <w:pStyle w:val="TOC3"/>
        <w:rPr>
          <w:rFonts w:eastAsiaTheme="minorEastAsia"/>
          <w:sz w:val="24"/>
          <w:lang w:eastAsia="en-AU"/>
        </w:rPr>
      </w:pPr>
      <w:hyperlink w:anchor="_Toc216695638" w:history="1">
        <w:r w:rsidRPr="00491FE3">
          <w:rPr>
            <w:rStyle w:val="Hyperlink"/>
          </w:rPr>
          <w:t>Fate and behaviour in the environment</w:t>
        </w:r>
        <w:r>
          <w:rPr>
            <w:webHidden/>
          </w:rPr>
          <w:tab/>
        </w:r>
        <w:r>
          <w:rPr>
            <w:webHidden/>
          </w:rPr>
          <w:fldChar w:fldCharType="begin"/>
        </w:r>
        <w:r>
          <w:rPr>
            <w:webHidden/>
          </w:rPr>
          <w:instrText xml:space="preserve"> PAGEREF _Toc216695638 \h </w:instrText>
        </w:r>
        <w:r>
          <w:rPr>
            <w:webHidden/>
          </w:rPr>
        </w:r>
        <w:r>
          <w:rPr>
            <w:webHidden/>
          </w:rPr>
          <w:fldChar w:fldCharType="separate"/>
        </w:r>
        <w:r w:rsidR="003861AC">
          <w:rPr>
            <w:webHidden/>
          </w:rPr>
          <w:t>135</w:t>
        </w:r>
        <w:r>
          <w:rPr>
            <w:webHidden/>
          </w:rPr>
          <w:fldChar w:fldCharType="end"/>
        </w:r>
      </w:hyperlink>
    </w:p>
    <w:p w14:paraId="5E840132" w14:textId="1E49DE79" w:rsidR="008B1ACD" w:rsidRDefault="008B1ACD">
      <w:pPr>
        <w:pStyle w:val="TOC3"/>
        <w:rPr>
          <w:rFonts w:eastAsiaTheme="minorEastAsia"/>
          <w:sz w:val="24"/>
          <w:lang w:eastAsia="en-AU"/>
        </w:rPr>
      </w:pPr>
      <w:hyperlink w:anchor="_Toc216695639" w:history="1">
        <w:r w:rsidRPr="00491FE3">
          <w:rPr>
            <w:rStyle w:val="Hyperlink"/>
          </w:rPr>
          <w:t>Effects on non-target species</w:t>
        </w:r>
        <w:r>
          <w:rPr>
            <w:webHidden/>
          </w:rPr>
          <w:tab/>
        </w:r>
        <w:r>
          <w:rPr>
            <w:webHidden/>
          </w:rPr>
          <w:fldChar w:fldCharType="begin"/>
        </w:r>
        <w:r>
          <w:rPr>
            <w:webHidden/>
          </w:rPr>
          <w:instrText xml:space="preserve"> PAGEREF _Toc216695639 \h </w:instrText>
        </w:r>
        <w:r>
          <w:rPr>
            <w:webHidden/>
          </w:rPr>
        </w:r>
        <w:r>
          <w:rPr>
            <w:webHidden/>
          </w:rPr>
          <w:fldChar w:fldCharType="separate"/>
        </w:r>
        <w:r w:rsidR="003861AC">
          <w:rPr>
            <w:webHidden/>
          </w:rPr>
          <w:t>142</w:t>
        </w:r>
        <w:r>
          <w:rPr>
            <w:webHidden/>
          </w:rPr>
          <w:fldChar w:fldCharType="end"/>
        </w:r>
      </w:hyperlink>
    </w:p>
    <w:p w14:paraId="092EBF46" w14:textId="7EAE4225" w:rsidR="008B1ACD" w:rsidRDefault="008B1ACD">
      <w:pPr>
        <w:pStyle w:val="TOC2"/>
        <w:rPr>
          <w:rFonts w:eastAsiaTheme="minorEastAsia"/>
          <w:b w:val="0"/>
          <w:color w:val="auto"/>
          <w:sz w:val="24"/>
          <w:lang w:eastAsia="en-AU"/>
        </w:rPr>
      </w:pPr>
      <w:hyperlink w:anchor="_Toc216695640" w:history="1">
        <w:r w:rsidRPr="00491FE3">
          <w:rPr>
            <w:rStyle w:val="Hyperlink"/>
          </w:rPr>
          <w:t>Bromadiolone</w:t>
        </w:r>
        <w:r>
          <w:rPr>
            <w:webHidden/>
          </w:rPr>
          <w:tab/>
        </w:r>
        <w:r>
          <w:rPr>
            <w:webHidden/>
          </w:rPr>
          <w:fldChar w:fldCharType="begin"/>
        </w:r>
        <w:r>
          <w:rPr>
            <w:webHidden/>
          </w:rPr>
          <w:instrText xml:space="preserve"> PAGEREF _Toc216695640 \h </w:instrText>
        </w:r>
        <w:r>
          <w:rPr>
            <w:webHidden/>
          </w:rPr>
        </w:r>
        <w:r>
          <w:rPr>
            <w:webHidden/>
          </w:rPr>
          <w:fldChar w:fldCharType="separate"/>
        </w:r>
        <w:r w:rsidR="003861AC">
          <w:rPr>
            <w:webHidden/>
          </w:rPr>
          <w:t>148</w:t>
        </w:r>
        <w:r>
          <w:rPr>
            <w:webHidden/>
          </w:rPr>
          <w:fldChar w:fldCharType="end"/>
        </w:r>
      </w:hyperlink>
    </w:p>
    <w:p w14:paraId="616C8751" w14:textId="0B5AF059" w:rsidR="008B1ACD" w:rsidRDefault="008B1ACD">
      <w:pPr>
        <w:pStyle w:val="TOC3"/>
        <w:rPr>
          <w:rFonts w:eastAsiaTheme="minorEastAsia"/>
          <w:sz w:val="24"/>
          <w:lang w:eastAsia="en-AU"/>
        </w:rPr>
      </w:pPr>
      <w:hyperlink w:anchor="_Toc216695641" w:history="1">
        <w:r w:rsidRPr="00491FE3">
          <w:rPr>
            <w:rStyle w:val="Hyperlink"/>
          </w:rPr>
          <w:t>Fate and behaviour in the environment</w:t>
        </w:r>
        <w:r>
          <w:rPr>
            <w:webHidden/>
          </w:rPr>
          <w:tab/>
        </w:r>
        <w:r>
          <w:rPr>
            <w:webHidden/>
          </w:rPr>
          <w:fldChar w:fldCharType="begin"/>
        </w:r>
        <w:r>
          <w:rPr>
            <w:webHidden/>
          </w:rPr>
          <w:instrText xml:space="preserve"> PAGEREF _Toc216695641 \h </w:instrText>
        </w:r>
        <w:r>
          <w:rPr>
            <w:webHidden/>
          </w:rPr>
        </w:r>
        <w:r>
          <w:rPr>
            <w:webHidden/>
          </w:rPr>
          <w:fldChar w:fldCharType="separate"/>
        </w:r>
        <w:r w:rsidR="003861AC">
          <w:rPr>
            <w:webHidden/>
          </w:rPr>
          <w:t>148</w:t>
        </w:r>
        <w:r>
          <w:rPr>
            <w:webHidden/>
          </w:rPr>
          <w:fldChar w:fldCharType="end"/>
        </w:r>
      </w:hyperlink>
    </w:p>
    <w:p w14:paraId="1B9012AF" w14:textId="716D6AC3" w:rsidR="008B1ACD" w:rsidRDefault="008B1ACD">
      <w:pPr>
        <w:pStyle w:val="TOC3"/>
        <w:rPr>
          <w:rFonts w:eastAsiaTheme="minorEastAsia"/>
          <w:sz w:val="24"/>
          <w:lang w:eastAsia="en-AU"/>
        </w:rPr>
      </w:pPr>
      <w:hyperlink w:anchor="_Toc216695642" w:history="1">
        <w:r w:rsidRPr="00491FE3">
          <w:rPr>
            <w:rStyle w:val="Hyperlink"/>
          </w:rPr>
          <w:t>Effects on non-target species</w:t>
        </w:r>
        <w:r>
          <w:rPr>
            <w:webHidden/>
          </w:rPr>
          <w:tab/>
        </w:r>
        <w:r>
          <w:rPr>
            <w:webHidden/>
          </w:rPr>
          <w:fldChar w:fldCharType="begin"/>
        </w:r>
        <w:r>
          <w:rPr>
            <w:webHidden/>
          </w:rPr>
          <w:instrText xml:space="preserve"> PAGEREF _Toc216695642 \h </w:instrText>
        </w:r>
        <w:r>
          <w:rPr>
            <w:webHidden/>
          </w:rPr>
        </w:r>
        <w:r>
          <w:rPr>
            <w:webHidden/>
          </w:rPr>
          <w:fldChar w:fldCharType="separate"/>
        </w:r>
        <w:r w:rsidR="003861AC">
          <w:rPr>
            <w:webHidden/>
          </w:rPr>
          <w:t>155</w:t>
        </w:r>
        <w:r>
          <w:rPr>
            <w:webHidden/>
          </w:rPr>
          <w:fldChar w:fldCharType="end"/>
        </w:r>
      </w:hyperlink>
    </w:p>
    <w:p w14:paraId="01297867" w14:textId="271448A1" w:rsidR="008B1ACD" w:rsidRDefault="008B1ACD">
      <w:pPr>
        <w:pStyle w:val="TOC2"/>
        <w:rPr>
          <w:rFonts w:eastAsiaTheme="minorEastAsia"/>
          <w:b w:val="0"/>
          <w:color w:val="auto"/>
          <w:sz w:val="24"/>
          <w:lang w:eastAsia="en-AU"/>
        </w:rPr>
      </w:pPr>
      <w:hyperlink w:anchor="_Toc216695643" w:history="1">
        <w:r w:rsidRPr="00491FE3">
          <w:rPr>
            <w:rStyle w:val="Hyperlink"/>
          </w:rPr>
          <w:t>Difenacoum</w:t>
        </w:r>
        <w:r>
          <w:rPr>
            <w:webHidden/>
          </w:rPr>
          <w:tab/>
        </w:r>
        <w:r>
          <w:rPr>
            <w:webHidden/>
          </w:rPr>
          <w:fldChar w:fldCharType="begin"/>
        </w:r>
        <w:r>
          <w:rPr>
            <w:webHidden/>
          </w:rPr>
          <w:instrText xml:space="preserve"> PAGEREF _Toc216695643 \h </w:instrText>
        </w:r>
        <w:r>
          <w:rPr>
            <w:webHidden/>
          </w:rPr>
        </w:r>
        <w:r>
          <w:rPr>
            <w:webHidden/>
          </w:rPr>
          <w:fldChar w:fldCharType="separate"/>
        </w:r>
        <w:r w:rsidR="003861AC">
          <w:rPr>
            <w:webHidden/>
          </w:rPr>
          <w:t>160</w:t>
        </w:r>
        <w:r>
          <w:rPr>
            <w:webHidden/>
          </w:rPr>
          <w:fldChar w:fldCharType="end"/>
        </w:r>
      </w:hyperlink>
    </w:p>
    <w:p w14:paraId="2EFCBD11" w14:textId="50C7CF95" w:rsidR="008B1ACD" w:rsidRDefault="008B1ACD">
      <w:pPr>
        <w:pStyle w:val="TOC3"/>
        <w:rPr>
          <w:rFonts w:eastAsiaTheme="minorEastAsia"/>
          <w:sz w:val="24"/>
          <w:lang w:eastAsia="en-AU"/>
        </w:rPr>
      </w:pPr>
      <w:hyperlink w:anchor="_Toc216695644" w:history="1">
        <w:r w:rsidRPr="00491FE3">
          <w:rPr>
            <w:rStyle w:val="Hyperlink"/>
          </w:rPr>
          <w:t>Fate and behaviour in the environment</w:t>
        </w:r>
        <w:r>
          <w:rPr>
            <w:webHidden/>
          </w:rPr>
          <w:tab/>
        </w:r>
        <w:r>
          <w:rPr>
            <w:webHidden/>
          </w:rPr>
          <w:fldChar w:fldCharType="begin"/>
        </w:r>
        <w:r>
          <w:rPr>
            <w:webHidden/>
          </w:rPr>
          <w:instrText xml:space="preserve"> PAGEREF _Toc216695644 \h </w:instrText>
        </w:r>
        <w:r>
          <w:rPr>
            <w:webHidden/>
          </w:rPr>
        </w:r>
        <w:r>
          <w:rPr>
            <w:webHidden/>
          </w:rPr>
          <w:fldChar w:fldCharType="separate"/>
        </w:r>
        <w:r w:rsidR="003861AC">
          <w:rPr>
            <w:webHidden/>
          </w:rPr>
          <w:t>160</w:t>
        </w:r>
        <w:r>
          <w:rPr>
            <w:webHidden/>
          </w:rPr>
          <w:fldChar w:fldCharType="end"/>
        </w:r>
      </w:hyperlink>
    </w:p>
    <w:p w14:paraId="30EE111D" w14:textId="0F989013" w:rsidR="008B1ACD" w:rsidRDefault="008B1ACD">
      <w:pPr>
        <w:pStyle w:val="TOC3"/>
        <w:rPr>
          <w:rFonts w:eastAsiaTheme="minorEastAsia"/>
          <w:sz w:val="24"/>
          <w:lang w:eastAsia="en-AU"/>
        </w:rPr>
      </w:pPr>
      <w:hyperlink w:anchor="_Toc216695645" w:history="1">
        <w:r w:rsidRPr="00491FE3">
          <w:rPr>
            <w:rStyle w:val="Hyperlink"/>
          </w:rPr>
          <w:t>Effects on non-target species</w:t>
        </w:r>
        <w:r>
          <w:rPr>
            <w:webHidden/>
          </w:rPr>
          <w:tab/>
        </w:r>
        <w:r>
          <w:rPr>
            <w:webHidden/>
          </w:rPr>
          <w:fldChar w:fldCharType="begin"/>
        </w:r>
        <w:r>
          <w:rPr>
            <w:webHidden/>
          </w:rPr>
          <w:instrText xml:space="preserve"> PAGEREF _Toc216695645 \h </w:instrText>
        </w:r>
        <w:r>
          <w:rPr>
            <w:webHidden/>
          </w:rPr>
        </w:r>
        <w:r>
          <w:rPr>
            <w:webHidden/>
          </w:rPr>
          <w:fldChar w:fldCharType="separate"/>
        </w:r>
        <w:r w:rsidR="003861AC">
          <w:rPr>
            <w:webHidden/>
          </w:rPr>
          <w:t>166</w:t>
        </w:r>
        <w:r>
          <w:rPr>
            <w:webHidden/>
          </w:rPr>
          <w:fldChar w:fldCharType="end"/>
        </w:r>
      </w:hyperlink>
    </w:p>
    <w:p w14:paraId="38136602" w14:textId="0ECAB09D" w:rsidR="008B1ACD" w:rsidRDefault="008B1ACD">
      <w:pPr>
        <w:pStyle w:val="TOC2"/>
        <w:rPr>
          <w:rFonts w:eastAsiaTheme="minorEastAsia"/>
          <w:b w:val="0"/>
          <w:color w:val="auto"/>
          <w:sz w:val="24"/>
          <w:lang w:eastAsia="en-AU"/>
        </w:rPr>
      </w:pPr>
      <w:hyperlink w:anchor="_Toc216695646" w:history="1">
        <w:r w:rsidRPr="00491FE3">
          <w:rPr>
            <w:rStyle w:val="Hyperlink"/>
          </w:rPr>
          <w:t>Difethialone</w:t>
        </w:r>
        <w:r>
          <w:rPr>
            <w:webHidden/>
          </w:rPr>
          <w:tab/>
        </w:r>
        <w:r>
          <w:rPr>
            <w:webHidden/>
          </w:rPr>
          <w:fldChar w:fldCharType="begin"/>
        </w:r>
        <w:r>
          <w:rPr>
            <w:webHidden/>
          </w:rPr>
          <w:instrText xml:space="preserve"> PAGEREF _Toc216695646 \h </w:instrText>
        </w:r>
        <w:r>
          <w:rPr>
            <w:webHidden/>
          </w:rPr>
        </w:r>
        <w:r>
          <w:rPr>
            <w:webHidden/>
          </w:rPr>
          <w:fldChar w:fldCharType="separate"/>
        </w:r>
        <w:r w:rsidR="003861AC">
          <w:rPr>
            <w:webHidden/>
          </w:rPr>
          <w:t>169</w:t>
        </w:r>
        <w:r>
          <w:rPr>
            <w:webHidden/>
          </w:rPr>
          <w:fldChar w:fldCharType="end"/>
        </w:r>
      </w:hyperlink>
    </w:p>
    <w:p w14:paraId="5B3D1C1A" w14:textId="693EB228" w:rsidR="008B1ACD" w:rsidRDefault="008B1ACD">
      <w:pPr>
        <w:pStyle w:val="TOC3"/>
        <w:rPr>
          <w:rFonts w:eastAsiaTheme="minorEastAsia"/>
          <w:sz w:val="24"/>
          <w:lang w:eastAsia="en-AU"/>
        </w:rPr>
      </w:pPr>
      <w:hyperlink w:anchor="_Toc216695647" w:history="1">
        <w:r w:rsidRPr="00491FE3">
          <w:rPr>
            <w:rStyle w:val="Hyperlink"/>
          </w:rPr>
          <w:t>Fate and behaviour in the environment</w:t>
        </w:r>
        <w:r>
          <w:rPr>
            <w:webHidden/>
          </w:rPr>
          <w:tab/>
        </w:r>
        <w:r>
          <w:rPr>
            <w:webHidden/>
          </w:rPr>
          <w:fldChar w:fldCharType="begin"/>
        </w:r>
        <w:r>
          <w:rPr>
            <w:webHidden/>
          </w:rPr>
          <w:instrText xml:space="preserve"> PAGEREF _Toc216695647 \h </w:instrText>
        </w:r>
        <w:r>
          <w:rPr>
            <w:webHidden/>
          </w:rPr>
        </w:r>
        <w:r>
          <w:rPr>
            <w:webHidden/>
          </w:rPr>
          <w:fldChar w:fldCharType="separate"/>
        </w:r>
        <w:r w:rsidR="003861AC">
          <w:rPr>
            <w:webHidden/>
          </w:rPr>
          <w:t>169</w:t>
        </w:r>
        <w:r>
          <w:rPr>
            <w:webHidden/>
          </w:rPr>
          <w:fldChar w:fldCharType="end"/>
        </w:r>
      </w:hyperlink>
    </w:p>
    <w:p w14:paraId="526BEA9C" w14:textId="7902ED06" w:rsidR="008B1ACD" w:rsidRDefault="008B1ACD">
      <w:pPr>
        <w:pStyle w:val="TOC3"/>
        <w:rPr>
          <w:rFonts w:eastAsiaTheme="minorEastAsia"/>
          <w:sz w:val="24"/>
          <w:lang w:eastAsia="en-AU"/>
        </w:rPr>
      </w:pPr>
      <w:hyperlink w:anchor="_Toc216695648" w:history="1">
        <w:r w:rsidRPr="00491FE3">
          <w:rPr>
            <w:rStyle w:val="Hyperlink"/>
          </w:rPr>
          <w:t>Effects on non-target species</w:t>
        </w:r>
        <w:r>
          <w:rPr>
            <w:webHidden/>
          </w:rPr>
          <w:tab/>
        </w:r>
        <w:r>
          <w:rPr>
            <w:webHidden/>
          </w:rPr>
          <w:fldChar w:fldCharType="begin"/>
        </w:r>
        <w:r>
          <w:rPr>
            <w:webHidden/>
          </w:rPr>
          <w:instrText xml:space="preserve"> PAGEREF _Toc216695648 \h </w:instrText>
        </w:r>
        <w:r>
          <w:rPr>
            <w:webHidden/>
          </w:rPr>
        </w:r>
        <w:r>
          <w:rPr>
            <w:webHidden/>
          </w:rPr>
          <w:fldChar w:fldCharType="separate"/>
        </w:r>
        <w:r w:rsidR="003861AC">
          <w:rPr>
            <w:webHidden/>
          </w:rPr>
          <w:t>173</w:t>
        </w:r>
        <w:r>
          <w:rPr>
            <w:webHidden/>
          </w:rPr>
          <w:fldChar w:fldCharType="end"/>
        </w:r>
      </w:hyperlink>
    </w:p>
    <w:p w14:paraId="1114425C" w14:textId="7B49CA1C" w:rsidR="008B1ACD" w:rsidRDefault="008B1ACD">
      <w:pPr>
        <w:pStyle w:val="TOC2"/>
        <w:rPr>
          <w:rFonts w:eastAsiaTheme="minorEastAsia"/>
          <w:b w:val="0"/>
          <w:color w:val="auto"/>
          <w:sz w:val="24"/>
          <w:lang w:eastAsia="en-AU"/>
        </w:rPr>
      </w:pPr>
      <w:hyperlink w:anchor="_Toc216695649" w:history="1">
        <w:r w:rsidRPr="00491FE3">
          <w:rPr>
            <w:rStyle w:val="Hyperlink"/>
          </w:rPr>
          <w:t>Flocoumafen</w:t>
        </w:r>
        <w:r>
          <w:rPr>
            <w:webHidden/>
          </w:rPr>
          <w:tab/>
        </w:r>
        <w:r>
          <w:rPr>
            <w:webHidden/>
          </w:rPr>
          <w:fldChar w:fldCharType="begin"/>
        </w:r>
        <w:r>
          <w:rPr>
            <w:webHidden/>
          </w:rPr>
          <w:instrText xml:space="preserve"> PAGEREF _Toc216695649 \h </w:instrText>
        </w:r>
        <w:r>
          <w:rPr>
            <w:webHidden/>
          </w:rPr>
        </w:r>
        <w:r>
          <w:rPr>
            <w:webHidden/>
          </w:rPr>
          <w:fldChar w:fldCharType="separate"/>
        </w:r>
        <w:r w:rsidR="003861AC">
          <w:rPr>
            <w:webHidden/>
          </w:rPr>
          <w:t>174</w:t>
        </w:r>
        <w:r>
          <w:rPr>
            <w:webHidden/>
          </w:rPr>
          <w:fldChar w:fldCharType="end"/>
        </w:r>
      </w:hyperlink>
    </w:p>
    <w:p w14:paraId="5142752C" w14:textId="782EC595" w:rsidR="008B1ACD" w:rsidRDefault="008B1ACD">
      <w:pPr>
        <w:pStyle w:val="TOC3"/>
        <w:rPr>
          <w:rFonts w:eastAsiaTheme="minorEastAsia"/>
          <w:sz w:val="24"/>
          <w:lang w:eastAsia="en-AU"/>
        </w:rPr>
      </w:pPr>
      <w:hyperlink w:anchor="_Toc216695650" w:history="1">
        <w:r w:rsidRPr="00491FE3">
          <w:rPr>
            <w:rStyle w:val="Hyperlink"/>
          </w:rPr>
          <w:t>Fate and behaviour in the environment</w:t>
        </w:r>
        <w:r>
          <w:rPr>
            <w:webHidden/>
          </w:rPr>
          <w:tab/>
        </w:r>
        <w:r>
          <w:rPr>
            <w:webHidden/>
          </w:rPr>
          <w:fldChar w:fldCharType="begin"/>
        </w:r>
        <w:r>
          <w:rPr>
            <w:webHidden/>
          </w:rPr>
          <w:instrText xml:space="preserve"> PAGEREF _Toc216695650 \h </w:instrText>
        </w:r>
        <w:r>
          <w:rPr>
            <w:webHidden/>
          </w:rPr>
        </w:r>
        <w:r>
          <w:rPr>
            <w:webHidden/>
          </w:rPr>
          <w:fldChar w:fldCharType="separate"/>
        </w:r>
        <w:r w:rsidR="003861AC">
          <w:rPr>
            <w:webHidden/>
          </w:rPr>
          <w:t>174</w:t>
        </w:r>
        <w:r>
          <w:rPr>
            <w:webHidden/>
          </w:rPr>
          <w:fldChar w:fldCharType="end"/>
        </w:r>
      </w:hyperlink>
    </w:p>
    <w:p w14:paraId="7D960A33" w14:textId="10AB4C6E" w:rsidR="008B1ACD" w:rsidRDefault="008B1ACD">
      <w:pPr>
        <w:pStyle w:val="TOC3"/>
        <w:rPr>
          <w:rFonts w:eastAsiaTheme="minorEastAsia"/>
          <w:sz w:val="24"/>
          <w:lang w:eastAsia="en-AU"/>
        </w:rPr>
      </w:pPr>
      <w:hyperlink w:anchor="_Toc216695651" w:history="1">
        <w:r w:rsidRPr="00491FE3">
          <w:rPr>
            <w:rStyle w:val="Hyperlink"/>
          </w:rPr>
          <w:t>Effects on non-target species</w:t>
        </w:r>
        <w:r>
          <w:rPr>
            <w:webHidden/>
          </w:rPr>
          <w:tab/>
        </w:r>
        <w:r>
          <w:rPr>
            <w:webHidden/>
          </w:rPr>
          <w:fldChar w:fldCharType="begin"/>
        </w:r>
        <w:r>
          <w:rPr>
            <w:webHidden/>
          </w:rPr>
          <w:instrText xml:space="preserve"> PAGEREF _Toc216695651 \h </w:instrText>
        </w:r>
        <w:r>
          <w:rPr>
            <w:webHidden/>
          </w:rPr>
        </w:r>
        <w:r>
          <w:rPr>
            <w:webHidden/>
          </w:rPr>
          <w:fldChar w:fldCharType="separate"/>
        </w:r>
        <w:r w:rsidR="003861AC">
          <w:rPr>
            <w:webHidden/>
          </w:rPr>
          <w:t>179</w:t>
        </w:r>
        <w:r>
          <w:rPr>
            <w:webHidden/>
          </w:rPr>
          <w:fldChar w:fldCharType="end"/>
        </w:r>
      </w:hyperlink>
    </w:p>
    <w:p w14:paraId="001231FB" w14:textId="0CD067E7"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52" w:history="1">
        <w:r w:rsidRPr="00491FE3">
          <w:rPr>
            <w:rStyle w:val="Hyperlink"/>
          </w:rPr>
          <w:t>Appendix B – Listing of toxicological endpoints</w:t>
        </w:r>
        <w:r>
          <w:rPr>
            <w:webHidden/>
          </w:rPr>
          <w:tab/>
        </w:r>
        <w:r>
          <w:rPr>
            <w:webHidden/>
          </w:rPr>
          <w:fldChar w:fldCharType="begin"/>
        </w:r>
        <w:r>
          <w:rPr>
            <w:webHidden/>
          </w:rPr>
          <w:instrText xml:space="preserve"> PAGEREF _Toc216695652 \h </w:instrText>
        </w:r>
        <w:r>
          <w:rPr>
            <w:webHidden/>
          </w:rPr>
        </w:r>
        <w:r>
          <w:rPr>
            <w:webHidden/>
          </w:rPr>
          <w:fldChar w:fldCharType="separate"/>
        </w:r>
        <w:r w:rsidR="003861AC">
          <w:rPr>
            <w:webHidden/>
          </w:rPr>
          <w:t>182</w:t>
        </w:r>
        <w:r>
          <w:rPr>
            <w:webHidden/>
          </w:rPr>
          <w:fldChar w:fldCharType="end"/>
        </w:r>
      </w:hyperlink>
    </w:p>
    <w:p w14:paraId="55140994" w14:textId="48CA0029" w:rsidR="008B1ACD" w:rsidRDefault="008B1ACD">
      <w:pPr>
        <w:pStyle w:val="TOC2"/>
        <w:rPr>
          <w:rFonts w:eastAsiaTheme="minorEastAsia"/>
          <w:b w:val="0"/>
          <w:color w:val="auto"/>
          <w:sz w:val="24"/>
          <w:lang w:eastAsia="en-AU"/>
        </w:rPr>
      </w:pPr>
      <w:hyperlink w:anchor="_Toc216695653" w:history="1">
        <w:r w:rsidRPr="00491FE3">
          <w:rPr>
            <w:rStyle w:val="Hyperlink"/>
          </w:rPr>
          <w:t>Coumatetralyl</w:t>
        </w:r>
        <w:r>
          <w:rPr>
            <w:webHidden/>
          </w:rPr>
          <w:tab/>
        </w:r>
        <w:r>
          <w:rPr>
            <w:webHidden/>
          </w:rPr>
          <w:fldChar w:fldCharType="begin"/>
        </w:r>
        <w:r>
          <w:rPr>
            <w:webHidden/>
          </w:rPr>
          <w:instrText xml:space="preserve"> PAGEREF _Toc216695653 \h </w:instrText>
        </w:r>
        <w:r>
          <w:rPr>
            <w:webHidden/>
          </w:rPr>
        </w:r>
        <w:r>
          <w:rPr>
            <w:webHidden/>
          </w:rPr>
          <w:fldChar w:fldCharType="separate"/>
        </w:r>
        <w:r w:rsidR="003861AC">
          <w:rPr>
            <w:webHidden/>
          </w:rPr>
          <w:t>182</w:t>
        </w:r>
        <w:r>
          <w:rPr>
            <w:webHidden/>
          </w:rPr>
          <w:fldChar w:fldCharType="end"/>
        </w:r>
      </w:hyperlink>
    </w:p>
    <w:p w14:paraId="7CC050B9" w14:textId="0CBED411" w:rsidR="008B1ACD" w:rsidRDefault="008B1ACD">
      <w:pPr>
        <w:pStyle w:val="TOC2"/>
        <w:rPr>
          <w:rFonts w:eastAsiaTheme="minorEastAsia"/>
          <w:b w:val="0"/>
          <w:color w:val="auto"/>
          <w:sz w:val="24"/>
          <w:lang w:eastAsia="en-AU"/>
        </w:rPr>
      </w:pPr>
      <w:hyperlink w:anchor="_Toc216695654" w:history="1">
        <w:r w:rsidRPr="00491FE3">
          <w:rPr>
            <w:rStyle w:val="Hyperlink"/>
          </w:rPr>
          <w:t>Diphacinone</w:t>
        </w:r>
        <w:r>
          <w:rPr>
            <w:webHidden/>
          </w:rPr>
          <w:tab/>
        </w:r>
        <w:r>
          <w:rPr>
            <w:webHidden/>
          </w:rPr>
          <w:fldChar w:fldCharType="begin"/>
        </w:r>
        <w:r>
          <w:rPr>
            <w:webHidden/>
          </w:rPr>
          <w:instrText xml:space="preserve"> PAGEREF _Toc216695654 \h </w:instrText>
        </w:r>
        <w:r>
          <w:rPr>
            <w:webHidden/>
          </w:rPr>
        </w:r>
        <w:r>
          <w:rPr>
            <w:webHidden/>
          </w:rPr>
          <w:fldChar w:fldCharType="separate"/>
        </w:r>
        <w:r w:rsidR="003861AC">
          <w:rPr>
            <w:webHidden/>
          </w:rPr>
          <w:t>184</w:t>
        </w:r>
        <w:r>
          <w:rPr>
            <w:webHidden/>
          </w:rPr>
          <w:fldChar w:fldCharType="end"/>
        </w:r>
      </w:hyperlink>
    </w:p>
    <w:p w14:paraId="78E5CE80" w14:textId="42179E36" w:rsidR="008B1ACD" w:rsidRDefault="008B1ACD">
      <w:pPr>
        <w:pStyle w:val="TOC2"/>
        <w:rPr>
          <w:rFonts w:eastAsiaTheme="minorEastAsia"/>
          <w:b w:val="0"/>
          <w:color w:val="auto"/>
          <w:sz w:val="24"/>
          <w:lang w:eastAsia="en-AU"/>
        </w:rPr>
      </w:pPr>
      <w:hyperlink w:anchor="_Toc216695655" w:history="1">
        <w:r w:rsidRPr="00491FE3">
          <w:rPr>
            <w:rStyle w:val="Hyperlink"/>
          </w:rPr>
          <w:t>Brodifacoum</w:t>
        </w:r>
        <w:r>
          <w:rPr>
            <w:webHidden/>
          </w:rPr>
          <w:tab/>
        </w:r>
        <w:r>
          <w:rPr>
            <w:webHidden/>
          </w:rPr>
          <w:fldChar w:fldCharType="begin"/>
        </w:r>
        <w:r>
          <w:rPr>
            <w:webHidden/>
          </w:rPr>
          <w:instrText xml:space="preserve"> PAGEREF _Toc216695655 \h </w:instrText>
        </w:r>
        <w:r>
          <w:rPr>
            <w:webHidden/>
          </w:rPr>
        </w:r>
        <w:r>
          <w:rPr>
            <w:webHidden/>
          </w:rPr>
          <w:fldChar w:fldCharType="separate"/>
        </w:r>
        <w:r w:rsidR="003861AC">
          <w:rPr>
            <w:webHidden/>
          </w:rPr>
          <w:t>186</w:t>
        </w:r>
        <w:r>
          <w:rPr>
            <w:webHidden/>
          </w:rPr>
          <w:fldChar w:fldCharType="end"/>
        </w:r>
      </w:hyperlink>
    </w:p>
    <w:p w14:paraId="23300A19" w14:textId="45A7FE8B" w:rsidR="008B1ACD" w:rsidRDefault="008B1ACD">
      <w:pPr>
        <w:pStyle w:val="TOC2"/>
        <w:rPr>
          <w:rFonts w:eastAsiaTheme="minorEastAsia"/>
          <w:b w:val="0"/>
          <w:color w:val="auto"/>
          <w:sz w:val="24"/>
          <w:lang w:eastAsia="en-AU"/>
        </w:rPr>
      </w:pPr>
      <w:hyperlink w:anchor="_Toc216695656" w:history="1">
        <w:r w:rsidRPr="00491FE3">
          <w:rPr>
            <w:rStyle w:val="Hyperlink"/>
          </w:rPr>
          <w:t>Bromadiolone</w:t>
        </w:r>
        <w:r>
          <w:rPr>
            <w:webHidden/>
          </w:rPr>
          <w:tab/>
        </w:r>
        <w:r>
          <w:rPr>
            <w:webHidden/>
          </w:rPr>
          <w:fldChar w:fldCharType="begin"/>
        </w:r>
        <w:r>
          <w:rPr>
            <w:webHidden/>
          </w:rPr>
          <w:instrText xml:space="preserve"> PAGEREF _Toc216695656 \h </w:instrText>
        </w:r>
        <w:r>
          <w:rPr>
            <w:webHidden/>
          </w:rPr>
        </w:r>
        <w:r>
          <w:rPr>
            <w:webHidden/>
          </w:rPr>
          <w:fldChar w:fldCharType="separate"/>
        </w:r>
        <w:r w:rsidR="003861AC">
          <w:rPr>
            <w:webHidden/>
          </w:rPr>
          <w:t>191</w:t>
        </w:r>
        <w:r>
          <w:rPr>
            <w:webHidden/>
          </w:rPr>
          <w:fldChar w:fldCharType="end"/>
        </w:r>
      </w:hyperlink>
    </w:p>
    <w:p w14:paraId="050035D4" w14:textId="30AD2C5F" w:rsidR="008B1ACD" w:rsidRDefault="008B1ACD">
      <w:pPr>
        <w:pStyle w:val="TOC2"/>
        <w:rPr>
          <w:rFonts w:eastAsiaTheme="minorEastAsia"/>
          <w:b w:val="0"/>
          <w:color w:val="auto"/>
          <w:sz w:val="24"/>
          <w:lang w:eastAsia="en-AU"/>
        </w:rPr>
      </w:pPr>
      <w:hyperlink w:anchor="_Toc216695657" w:history="1">
        <w:r w:rsidRPr="00491FE3">
          <w:rPr>
            <w:rStyle w:val="Hyperlink"/>
          </w:rPr>
          <w:t>Difenacoum</w:t>
        </w:r>
        <w:r>
          <w:rPr>
            <w:webHidden/>
          </w:rPr>
          <w:tab/>
        </w:r>
        <w:r>
          <w:rPr>
            <w:webHidden/>
          </w:rPr>
          <w:fldChar w:fldCharType="begin"/>
        </w:r>
        <w:r>
          <w:rPr>
            <w:webHidden/>
          </w:rPr>
          <w:instrText xml:space="preserve"> PAGEREF _Toc216695657 \h </w:instrText>
        </w:r>
        <w:r>
          <w:rPr>
            <w:webHidden/>
          </w:rPr>
        </w:r>
        <w:r>
          <w:rPr>
            <w:webHidden/>
          </w:rPr>
          <w:fldChar w:fldCharType="separate"/>
        </w:r>
        <w:r w:rsidR="003861AC">
          <w:rPr>
            <w:webHidden/>
          </w:rPr>
          <w:t>194</w:t>
        </w:r>
        <w:r>
          <w:rPr>
            <w:webHidden/>
          </w:rPr>
          <w:fldChar w:fldCharType="end"/>
        </w:r>
      </w:hyperlink>
    </w:p>
    <w:p w14:paraId="741DCA33" w14:textId="5C2D94F2" w:rsidR="008B1ACD" w:rsidRDefault="008B1ACD">
      <w:pPr>
        <w:pStyle w:val="TOC2"/>
        <w:rPr>
          <w:rFonts w:eastAsiaTheme="minorEastAsia"/>
          <w:b w:val="0"/>
          <w:color w:val="auto"/>
          <w:sz w:val="24"/>
          <w:lang w:eastAsia="en-AU"/>
        </w:rPr>
      </w:pPr>
      <w:hyperlink w:anchor="_Toc216695658" w:history="1">
        <w:r w:rsidRPr="00491FE3">
          <w:rPr>
            <w:rStyle w:val="Hyperlink"/>
          </w:rPr>
          <w:t>Difethialone</w:t>
        </w:r>
        <w:r>
          <w:rPr>
            <w:webHidden/>
          </w:rPr>
          <w:tab/>
        </w:r>
        <w:r>
          <w:rPr>
            <w:webHidden/>
          </w:rPr>
          <w:fldChar w:fldCharType="begin"/>
        </w:r>
        <w:r>
          <w:rPr>
            <w:webHidden/>
          </w:rPr>
          <w:instrText xml:space="preserve"> PAGEREF _Toc216695658 \h </w:instrText>
        </w:r>
        <w:r>
          <w:rPr>
            <w:webHidden/>
          </w:rPr>
        </w:r>
        <w:r>
          <w:rPr>
            <w:webHidden/>
          </w:rPr>
          <w:fldChar w:fldCharType="separate"/>
        </w:r>
        <w:r w:rsidR="003861AC">
          <w:rPr>
            <w:webHidden/>
          </w:rPr>
          <w:t>196</w:t>
        </w:r>
        <w:r>
          <w:rPr>
            <w:webHidden/>
          </w:rPr>
          <w:fldChar w:fldCharType="end"/>
        </w:r>
      </w:hyperlink>
    </w:p>
    <w:p w14:paraId="35E2EB9B" w14:textId="3C8F8A6B" w:rsidR="008B1ACD" w:rsidRDefault="008B1ACD">
      <w:pPr>
        <w:pStyle w:val="TOC2"/>
        <w:rPr>
          <w:rFonts w:eastAsiaTheme="minorEastAsia"/>
          <w:b w:val="0"/>
          <w:color w:val="auto"/>
          <w:sz w:val="24"/>
          <w:lang w:eastAsia="en-AU"/>
        </w:rPr>
      </w:pPr>
      <w:hyperlink w:anchor="_Toc216695659" w:history="1">
        <w:r w:rsidRPr="00491FE3">
          <w:rPr>
            <w:rStyle w:val="Hyperlink"/>
          </w:rPr>
          <w:t>Flocoumafen</w:t>
        </w:r>
        <w:r>
          <w:rPr>
            <w:webHidden/>
          </w:rPr>
          <w:tab/>
        </w:r>
        <w:r>
          <w:rPr>
            <w:webHidden/>
          </w:rPr>
          <w:fldChar w:fldCharType="begin"/>
        </w:r>
        <w:r>
          <w:rPr>
            <w:webHidden/>
          </w:rPr>
          <w:instrText xml:space="preserve"> PAGEREF _Toc216695659 \h </w:instrText>
        </w:r>
        <w:r>
          <w:rPr>
            <w:webHidden/>
          </w:rPr>
        </w:r>
        <w:r>
          <w:rPr>
            <w:webHidden/>
          </w:rPr>
          <w:fldChar w:fldCharType="separate"/>
        </w:r>
        <w:r w:rsidR="003861AC">
          <w:rPr>
            <w:webHidden/>
          </w:rPr>
          <w:t>197</w:t>
        </w:r>
        <w:r>
          <w:rPr>
            <w:webHidden/>
          </w:rPr>
          <w:fldChar w:fldCharType="end"/>
        </w:r>
      </w:hyperlink>
    </w:p>
    <w:p w14:paraId="5D75747F" w14:textId="38B39835"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60" w:history="1">
        <w:r w:rsidRPr="00491FE3">
          <w:rPr>
            <w:rStyle w:val="Hyperlink"/>
          </w:rPr>
          <w:t>Acronyms and Abbreviations</w:t>
        </w:r>
        <w:r>
          <w:rPr>
            <w:webHidden/>
          </w:rPr>
          <w:tab/>
        </w:r>
        <w:r>
          <w:rPr>
            <w:webHidden/>
          </w:rPr>
          <w:fldChar w:fldCharType="begin"/>
        </w:r>
        <w:r>
          <w:rPr>
            <w:webHidden/>
          </w:rPr>
          <w:instrText xml:space="preserve"> PAGEREF _Toc216695660 \h </w:instrText>
        </w:r>
        <w:r>
          <w:rPr>
            <w:webHidden/>
          </w:rPr>
        </w:r>
        <w:r>
          <w:rPr>
            <w:webHidden/>
          </w:rPr>
          <w:fldChar w:fldCharType="separate"/>
        </w:r>
        <w:r w:rsidR="003861AC">
          <w:rPr>
            <w:webHidden/>
          </w:rPr>
          <w:t>198</w:t>
        </w:r>
        <w:r>
          <w:rPr>
            <w:webHidden/>
          </w:rPr>
          <w:fldChar w:fldCharType="end"/>
        </w:r>
      </w:hyperlink>
    </w:p>
    <w:p w14:paraId="7E030825" w14:textId="07F56FB1"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61" w:history="1">
        <w:r w:rsidRPr="00491FE3">
          <w:rPr>
            <w:rStyle w:val="Hyperlink"/>
          </w:rPr>
          <w:t>Glossary</w:t>
        </w:r>
        <w:r>
          <w:rPr>
            <w:webHidden/>
          </w:rPr>
          <w:tab/>
        </w:r>
        <w:r>
          <w:rPr>
            <w:webHidden/>
          </w:rPr>
          <w:fldChar w:fldCharType="begin"/>
        </w:r>
        <w:r>
          <w:rPr>
            <w:webHidden/>
          </w:rPr>
          <w:instrText xml:space="preserve"> PAGEREF _Toc216695661 \h </w:instrText>
        </w:r>
        <w:r>
          <w:rPr>
            <w:webHidden/>
          </w:rPr>
        </w:r>
        <w:r>
          <w:rPr>
            <w:webHidden/>
          </w:rPr>
          <w:fldChar w:fldCharType="separate"/>
        </w:r>
        <w:r w:rsidR="003861AC">
          <w:rPr>
            <w:webHidden/>
          </w:rPr>
          <w:t>201</w:t>
        </w:r>
        <w:r>
          <w:rPr>
            <w:webHidden/>
          </w:rPr>
          <w:fldChar w:fldCharType="end"/>
        </w:r>
      </w:hyperlink>
    </w:p>
    <w:p w14:paraId="555C75BE" w14:textId="1116E27B" w:rsidR="008B1ACD" w:rsidRDefault="008B1ACD">
      <w:pPr>
        <w:pStyle w:val="TOC1"/>
        <w:rPr>
          <w:rFonts w:asciiTheme="minorHAnsi" w:eastAsiaTheme="minorEastAsia" w:hAnsiTheme="minorHAnsi" w:cstheme="minorBidi"/>
          <w:bCs w:val="0"/>
          <w:color w:val="auto"/>
          <w:kern w:val="2"/>
          <w:sz w:val="24"/>
          <w:szCs w:val="24"/>
          <w:lang w:eastAsia="en-AU"/>
        </w:rPr>
      </w:pPr>
      <w:hyperlink w:anchor="_Toc216695662" w:history="1">
        <w:r w:rsidRPr="00491FE3">
          <w:rPr>
            <w:rStyle w:val="Hyperlink"/>
          </w:rPr>
          <w:t>References</w:t>
        </w:r>
        <w:r>
          <w:rPr>
            <w:webHidden/>
          </w:rPr>
          <w:tab/>
        </w:r>
        <w:r>
          <w:rPr>
            <w:webHidden/>
          </w:rPr>
          <w:fldChar w:fldCharType="begin"/>
        </w:r>
        <w:r>
          <w:rPr>
            <w:webHidden/>
          </w:rPr>
          <w:instrText xml:space="preserve"> PAGEREF _Toc216695662 \h </w:instrText>
        </w:r>
        <w:r>
          <w:rPr>
            <w:webHidden/>
          </w:rPr>
        </w:r>
        <w:r>
          <w:rPr>
            <w:webHidden/>
          </w:rPr>
          <w:fldChar w:fldCharType="separate"/>
        </w:r>
        <w:r w:rsidR="003861AC">
          <w:rPr>
            <w:webHidden/>
          </w:rPr>
          <w:t>206</w:t>
        </w:r>
        <w:r>
          <w:rPr>
            <w:webHidden/>
          </w:rPr>
          <w:fldChar w:fldCharType="end"/>
        </w:r>
      </w:hyperlink>
    </w:p>
    <w:p w14:paraId="300FD506" w14:textId="571DCF11" w:rsidR="00231A63" w:rsidRDefault="00B05454">
      <w:pPr>
        <w:pStyle w:val="TableofFigures"/>
        <w:rPr>
          <w:rFonts w:ascii="Trebuchet MS" w:hAnsi="Trebuchet MS"/>
          <w:b/>
          <w:caps/>
          <w:color w:val="00747A" w:themeColor="background2"/>
          <w:szCs w:val="30"/>
        </w:rPr>
      </w:pPr>
      <w:r>
        <w:rPr>
          <w:rFonts w:ascii="Trebuchet MS" w:hAnsi="Trebuchet MS"/>
          <w:b/>
          <w:caps/>
          <w:color w:val="00747A" w:themeColor="background2"/>
          <w:szCs w:val="30"/>
        </w:rPr>
        <w:fldChar w:fldCharType="end"/>
      </w:r>
    </w:p>
    <w:p w14:paraId="7F753544" w14:textId="77777777" w:rsidR="00231A63" w:rsidRPr="00377F3A" w:rsidRDefault="00B05454">
      <w:pPr>
        <w:pStyle w:val="TableofFigures"/>
        <w:rPr>
          <w:rFonts w:ascii="Franklin Gothic Medium" w:hAnsi="Franklin Gothic Medium" w:cs="Arial"/>
          <w:bCs/>
          <w:noProof w:val="0"/>
          <w:color w:val="5C2946"/>
          <w:kern w:val="20"/>
          <w:sz w:val="32"/>
          <w:szCs w:val="20"/>
          <w:u w:color="000000"/>
        </w:rPr>
      </w:pPr>
      <w:r w:rsidRPr="00377F3A">
        <w:rPr>
          <w:rFonts w:ascii="Franklin Gothic Medium" w:hAnsi="Franklin Gothic Medium" w:cs="Arial"/>
          <w:bCs/>
          <w:noProof w:val="0"/>
          <w:color w:val="5C2946"/>
          <w:kern w:val="20"/>
          <w:sz w:val="32"/>
          <w:szCs w:val="20"/>
          <w:u w:color="000000"/>
        </w:rPr>
        <w:t>List of tables</w:t>
      </w:r>
    </w:p>
    <w:p w14:paraId="37524AE8" w14:textId="729019F9" w:rsidR="008B1ACD" w:rsidRDefault="00B05454">
      <w:pPr>
        <w:pStyle w:val="TableofFigures"/>
        <w:rPr>
          <w:rFonts w:eastAsiaTheme="minorEastAsia"/>
          <w:sz w:val="24"/>
          <w:lang w:eastAsia="en-AU"/>
        </w:rPr>
      </w:pPr>
      <w:r>
        <w:rPr>
          <w:rFonts w:ascii="Franklin Gothic Medium" w:hAnsi="Franklin Gothic Medium" w:cs="Times New Roman"/>
          <w:bCs/>
          <w:color w:val="00747A" w:themeColor="background2"/>
          <w:kern w:val="0"/>
          <w:sz w:val="32"/>
          <w:szCs w:val="20"/>
        </w:rPr>
        <w:fldChar w:fldCharType="begin"/>
      </w:r>
      <w:r>
        <w:rPr>
          <w:color w:val="00747A" w:themeColor="background2"/>
        </w:rPr>
        <w:instrText xml:space="preserve"> TOC \h \z \c "Table" </w:instrText>
      </w:r>
      <w:r>
        <w:rPr>
          <w:rFonts w:ascii="Franklin Gothic Medium" w:hAnsi="Franklin Gothic Medium" w:cs="Times New Roman"/>
          <w:bCs/>
          <w:color w:val="00747A" w:themeColor="background2"/>
          <w:kern w:val="0"/>
          <w:sz w:val="32"/>
          <w:szCs w:val="20"/>
        </w:rPr>
        <w:fldChar w:fldCharType="separate"/>
      </w:r>
      <w:hyperlink w:anchor="_Toc216695663" w:history="1">
        <w:r w:rsidR="008B1ACD" w:rsidRPr="007053AD">
          <w:rPr>
            <w:rStyle w:val="Hyperlink"/>
          </w:rPr>
          <w:t>Table 1: Nomenclature and structural formula of the active constituent brodifacoum</w:t>
        </w:r>
        <w:r w:rsidR="008B1ACD">
          <w:rPr>
            <w:webHidden/>
          </w:rPr>
          <w:tab/>
        </w:r>
        <w:r w:rsidR="008B1ACD">
          <w:rPr>
            <w:webHidden/>
          </w:rPr>
          <w:fldChar w:fldCharType="begin"/>
        </w:r>
        <w:r w:rsidR="008B1ACD">
          <w:rPr>
            <w:webHidden/>
          </w:rPr>
          <w:instrText xml:space="preserve"> PAGEREF _Toc216695663 \h </w:instrText>
        </w:r>
        <w:r w:rsidR="008B1ACD">
          <w:rPr>
            <w:webHidden/>
          </w:rPr>
        </w:r>
        <w:r w:rsidR="008B1ACD">
          <w:rPr>
            <w:webHidden/>
          </w:rPr>
          <w:fldChar w:fldCharType="separate"/>
        </w:r>
        <w:r w:rsidR="003861AC">
          <w:rPr>
            <w:webHidden/>
          </w:rPr>
          <w:t>12</w:t>
        </w:r>
        <w:r w:rsidR="008B1ACD">
          <w:rPr>
            <w:webHidden/>
          </w:rPr>
          <w:fldChar w:fldCharType="end"/>
        </w:r>
      </w:hyperlink>
    </w:p>
    <w:p w14:paraId="6B1074CE" w14:textId="6D735DC4" w:rsidR="008B1ACD" w:rsidRDefault="008B1ACD">
      <w:pPr>
        <w:pStyle w:val="TableofFigures"/>
        <w:rPr>
          <w:rFonts w:eastAsiaTheme="minorEastAsia"/>
          <w:sz w:val="24"/>
          <w:lang w:eastAsia="en-AU"/>
        </w:rPr>
      </w:pPr>
      <w:hyperlink w:anchor="_Toc216695664" w:history="1">
        <w:r w:rsidRPr="007053AD">
          <w:rPr>
            <w:rStyle w:val="Hyperlink"/>
          </w:rPr>
          <w:t>Table 2 Key physicochemical properties of the active constituent brodifacoum</w:t>
        </w:r>
        <w:r>
          <w:rPr>
            <w:webHidden/>
          </w:rPr>
          <w:tab/>
        </w:r>
        <w:r>
          <w:rPr>
            <w:webHidden/>
          </w:rPr>
          <w:fldChar w:fldCharType="begin"/>
        </w:r>
        <w:r>
          <w:rPr>
            <w:webHidden/>
          </w:rPr>
          <w:instrText xml:space="preserve"> PAGEREF _Toc216695664 \h </w:instrText>
        </w:r>
        <w:r>
          <w:rPr>
            <w:webHidden/>
          </w:rPr>
        </w:r>
        <w:r>
          <w:rPr>
            <w:webHidden/>
          </w:rPr>
          <w:fldChar w:fldCharType="separate"/>
        </w:r>
        <w:r w:rsidR="003861AC">
          <w:rPr>
            <w:webHidden/>
          </w:rPr>
          <w:t>13</w:t>
        </w:r>
        <w:r>
          <w:rPr>
            <w:webHidden/>
          </w:rPr>
          <w:fldChar w:fldCharType="end"/>
        </w:r>
      </w:hyperlink>
    </w:p>
    <w:p w14:paraId="715DEA76" w14:textId="41A711CD" w:rsidR="008B1ACD" w:rsidRDefault="008B1ACD">
      <w:pPr>
        <w:pStyle w:val="TableofFigures"/>
        <w:rPr>
          <w:rFonts w:eastAsiaTheme="minorEastAsia"/>
          <w:sz w:val="24"/>
          <w:lang w:eastAsia="en-AU"/>
        </w:rPr>
      </w:pPr>
      <w:hyperlink w:anchor="_Toc216695665" w:history="1">
        <w:r w:rsidRPr="007053AD">
          <w:rPr>
            <w:rStyle w:val="Hyperlink"/>
          </w:rPr>
          <w:t>Table 3 Current active approvals for brodifacoum</w:t>
        </w:r>
        <w:r>
          <w:rPr>
            <w:webHidden/>
          </w:rPr>
          <w:tab/>
        </w:r>
        <w:r>
          <w:rPr>
            <w:webHidden/>
          </w:rPr>
          <w:fldChar w:fldCharType="begin"/>
        </w:r>
        <w:r>
          <w:rPr>
            <w:webHidden/>
          </w:rPr>
          <w:instrText xml:space="preserve"> PAGEREF _Toc216695665 \h </w:instrText>
        </w:r>
        <w:r>
          <w:rPr>
            <w:webHidden/>
          </w:rPr>
        </w:r>
        <w:r>
          <w:rPr>
            <w:webHidden/>
          </w:rPr>
          <w:fldChar w:fldCharType="separate"/>
        </w:r>
        <w:r w:rsidR="003861AC">
          <w:rPr>
            <w:webHidden/>
          </w:rPr>
          <w:t>15</w:t>
        </w:r>
        <w:r>
          <w:rPr>
            <w:webHidden/>
          </w:rPr>
          <w:fldChar w:fldCharType="end"/>
        </w:r>
      </w:hyperlink>
    </w:p>
    <w:p w14:paraId="3AF892CD" w14:textId="055AA5D7" w:rsidR="008B1ACD" w:rsidRDefault="008B1ACD">
      <w:pPr>
        <w:pStyle w:val="TableofFigures"/>
        <w:rPr>
          <w:rFonts w:eastAsiaTheme="minorEastAsia"/>
          <w:sz w:val="24"/>
          <w:lang w:eastAsia="en-AU"/>
        </w:rPr>
      </w:pPr>
      <w:hyperlink w:anchor="_Toc216695666" w:history="1">
        <w:r w:rsidRPr="007053AD">
          <w:rPr>
            <w:rStyle w:val="Hyperlink"/>
          </w:rPr>
          <w:t>Table 4: The Active Constituent Standards specification for brodifacoum</w:t>
        </w:r>
        <w:r>
          <w:rPr>
            <w:webHidden/>
          </w:rPr>
          <w:tab/>
        </w:r>
        <w:r>
          <w:rPr>
            <w:webHidden/>
          </w:rPr>
          <w:fldChar w:fldCharType="begin"/>
        </w:r>
        <w:r>
          <w:rPr>
            <w:webHidden/>
          </w:rPr>
          <w:instrText xml:space="preserve"> PAGEREF _Toc216695666 \h </w:instrText>
        </w:r>
        <w:r>
          <w:rPr>
            <w:webHidden/>
          </w:rPr>
        </w:r>
        <w:r>
          <w:rPr>
            <w:webHidden/>
          </w:rPr>
          <w:fldChar w:fldCharType="separate"/>
        </w:r>
        <w:r w:rsidR="003861AC">
          <w:rPr>
            <w:webHidden/>
          </w:rPr>
          <w:t>15</w:t>
        </w:r>
        <w:r>
          <w:rPr>
            <w:webHidden/>
          </w:rPr>
          <w:fldChar w:fldCharType="end"/>
        </w:r>
      </w:hyperlink>
    </w:p>
    <w:p w14:paraId="6D248588" w14:textId="60EE4AD1" w:rsidR="008B1ACD" w:rsidRDefault="008B1ACD">
      <w:pPr>
        <w:pStyle w:val="TableofFigures"/>
        <w:rPr>
          <w:rFonts w:eastAsiaTheme="minorEastAsia"/>
          <w:sz w:val="24"/>
          <w:lang w:eastAsia="en-AU"/>
        </w:rPr>
      </w:pPr>
      <w:hyperlink w:anchor="_Toc216695667" w:history="1">
        <w:r w:rsidRPr="007053AD">
          <w:rPr>
            <w:rStyle w:val="Hyperlink"/>
          </w:rPr>
          <w:t>Table 5: FAO specification for brodifacoum Technical Concentrate</w:t>
        </w:r>
        <w:r>
          <w:rPr>
            <w:webHidden/>
          </w:rPr>
          <w:tab/>
        </w:r>
        <w:r>
          <w:rPr>
            <w:webHidden/>
          </w:rPr>
          <w:fldChar w:fldCharType="begin"/>
        </w:r>
        <w:r>
          <w:rPr>
            <w:webHidden/>
          </w:rPr>
          <w:instrText xml:space="preserve"> PAGEREF _Toc216695667 \h </w:instrText>
        </w:r>
        <w:r>
          <w:rPr>
            <w:webHidden/>
          </w:rPr>
        </w:r>
        <w:r>
          <w:rPr>
            <w:webHidden/>
          </w:rPr>
          <w:fldChar w:fldCharType="separate"/>
        </w:r>
        <w:r w:rsidR="003861AC">
          <w:rPr>
            <w:webHidden/>
          </w:rPr>
          <w:t>15</w:t>
        </w:r>
        <w:r>
          <w:rPr>
            <w:webHidden/>
          </w:rPr>
          <w:fldChar w:fldCharType="end"/>
        </w:r>
      </w:hyperlink>
    </w:p>
    <w:p w14:paraId="2D23A20D" w14:textId="4765E8EC" w:rsidR="008B1ACD" w:rsidRDefault="008B1ACD">
      <w:pPr>
        <w:pStyle w:val="TableofFigures"/>
        <w:rPr>
          <w:rFonts w:eastAsiaTheme="minorEastAsia"/>
          <w:sz w:val="24"/>
          <w:lang w:eastAsia="en-AU"/>
        </w:rPr>
      </w:pPr>
      <w:hyperlink w:anchor="_Toc216695668" w:history="1">
        <w:r w:rsidRPr="007053AD">
          <w:rPr>
            <w:rStyle w:val="Hyperlink"/>
          </w:rPr>
          <w:t>Table 6: Proposed APVMA Specification for Brodifacoum Manufacturing Concentrates</w:t>
        </w:r>
        <w:r>
          <w:rPr>
            <w:webHidden/>
          </w:rPr>
          <w:tab/>
        </w:r>
        <w:r>
          <w:rPr>
            <w:webHidden/>
          </w:rPr>
          <w:fldChar w:fldCharType="begin"/>
        </w:r>
        <w:r>
          <w:rPr>
            <w:webHidden/>
          </w:rPr>
          <w:instrText xml:space="preserve"> PAGEREF _Toc216695668 \h </w:instrText>
        </w:r>
        <w:r>
          <w:rPr>
            <w:webHidden/>
          </w:rPr>
        </w:r>
        <w:r>
          <w:rPr>
            <w:webHidden/>
          </w:rPr>
          <w:fldChar w:fldCharType="separate"/>
        </w:r>
        <w:r w:rsidR="003861AC">
          <w:rPr>
            <w:webHidden/>
          </w:rPr>
          <w:t>16</w:t>
        </w:r>
        <w:r>
          <w:rPr>
            <w:webHidden/>
          </w:rPr>
          <w:fldChar w:fldCharType="end"/>
        </w:r>
      </w:hyperlink>
    </w:p>
    <w:p w14:paraId="4B0C9913" w14:textId="09CAFD2B" w:rsidR="008B1ACD" w:rsidRDefault="008B1ACD">
      <w:pPr>
        <w:pStyle w:val="TableofFigures"/>
        <w:rPr>
          <w:rFonts w:eastAsiaTheme="minorEastAsia"/>
          <w:sz w:val="24"/>
          <w:lang w:eastAsia="en-AU"/>
        </w:rPr>
      </w:pPr>
      <w:hyperlink w:anchor="_Toc216695669" w:history="1">
        <w:r w:rsidRPr="007053AD">
          <w:rPr>
            <w:rStyle w:val="Hyperlink"/>
          </w:rPr>
          <w:t>Table 7: Nomenclature and structural formula of the active constituent bromadiolone</w:t>
        </w:r>
        <w:r>
          <w:rPr>
            <w:webHidden/>
          </w:rPr>
          <w:tab/>
        </w:r>
        <w:r>
          <w:rPr>
            <w:webHidden/>
          </w:rPr>
          <w:fldChar w:fldCharType="begin"/>
        </w:r>
        <w:r>
          <w:rPr>
            <w:webHidden/>
          </w:rPr>
          <w:instrText xml:space="preserve"> PAGEREF _Toc216695669 \h </w:instrText>
        </w:r>
        <w:r>
          <w:rPr>
            <w:webHidden/>
          </w:rPr>
        </w:r>
        <w:r>
          <w:rPr>
            <w:webHidden/>
          </w:rPr>
          <w:fldChar w:fldCharType="separate"/>
        </w:r>
        <w:r w:rsidR="003861AC">
          <w:rPr>
            <w:webHidden/>
          </w:rPr>
          <w:t>17</w:t>
        </w:r>
        <w:r>
          <w:rPr>
            <w:webHidden/>
          </w:rPr>
          <w:fldChar w:fldCharType="end"/>
        </w:r>
      </w:hyperlink>
    </w:p>
    <w:p w14:paraId="3D594B43" w14:textId="1A7B71EF" w:rsidR="008B1ACD" w:rsidRDefault="008B1ACD">
      <w:pPr>
        <w:pStyle w:val="TableofFigures"/>
        <w:rPr>
          <w:rFonts w:eastAsiaTheme="minorEastAsia"/>
          <w:sz w:val="24"/>
          <w:lang w:eastAsia="en-AU"/>
        </w:rPr>
      </w:pPr>
      <w:hyperlink w:anchor="_Toc216695670" w:history="1">
        <w:r w:rsidRPr="007053AD">
          <w:rPr>
            <w:rStyle w:val="Hyperlink"/>
          </w:rPr>
          <w:t>Table 8: Key physicochemical properties of the active constituent bromadiolone</w:t>
        </w:r>
        <w:r>
          <w:rPr>
            <w:webHidden/>
          </w:rPr>
          <w:tab/>
        </w:r>
        <w:r>
          <w:rPr>
            <w:webHidden/>
          </w:rPr>
          <w:fldChar w:fldCharType="begin"/>
        </w:r>
        <w:r>
          <w:rPr>
            <w:webHidden/>
          </w:rPr>
          <w:instrText xml:space="preserve"> PAGEREF _Toc216695670 \h </w:instrText>
        </w:r>
        <w:r>
          <w:rPr>
            <w:webHidden/>
          </w:rPr>
        </w:r>
        <w:r>
          <w:rPr>
            <w:webHidden/>
          </w:rPr>
          <w:fldChar w:fldCharType="separate"/>
        </w:r>
        <w:r w:rsidR="003861AC">
          <w:rPr>
            <w:webHidden/>
          </w:rPr>
          <w:t>17</w:t>
        </w:r>
        <w:r>
          <w:rPr>
            <w:webHidden/>
          </w:rPr>
          <w:fldChar w:fldCharType="end"/>
        </w:r>
      </w:hyperlink>
    </w:p>
    <w:p w14:paraId="25A92F9E" w14:textId="6FA57ABB" w:rsidR="008B1ACD" w:rsidRDefault="008B1ACD">
      <w:pPr>
        <w:pStyle w:val="TableofFigures"/>
        <w:rPr>
          <w:rFonts w:eastAsiaTheme="minorEastAsia"/>
          <w:sz w:val="24"/>
          <w:lang w:eastAsia="en-AU"/>
        </w:rPr>
      </w:pPr>
      <w:hyperlink w:anchor="_Toc216695671" w:history="1">
        <w:r w:rsidRPr="007053AD">
          <w:rPr>
            <w:rStyle w:val="Hyperlink"/>
          </w:rPr>
          <w:t>Table 9: Current active constituent approvals for bromadiolone</w:t>
        </w:r>
        <w:r>
          <w:rPr>
            <w:webHidden/>
          </w:rPr>
          <w:tab/>
        </w:r>
        <w:r>
          <w:rPr>
            <w:webHidden/>
          </w:rPr>
          <w:fldChar w:fldCharType="begin"/>
        </w:r>
        <w:r>
          <w:rPr>
            <w:webHidden/>
          </w:rPr>
          <w:instrText xml:space="preserve"> PAGEREF _Toc216695671 \h </w:instrText>
        </w:r>
        <w:r>
          <w:rPr>
            <w:webHidden/>
          </w:rPr>
        </w:r>
        <w:r>
          <w:rPr>
            <w:webHidden/>
          </w:rPr>
          <w:fldChar w:fldCharType="separate"/>
        </w:r>
        <w:r w:rsidR="003861AC">
          <w:rPr>
            <w:webHidden/>
          </w:rPr>
          <w:t>20</w:t>
        </w:r>
        <w:r>
          <w:rPr>
            <w:webHidden/>
          </w:rPr>
          <w:fldChar w:fldCharType="end"/>
        </w:r>
      </w:hyperlink>
    </w:p>
    <w:p w14:paraId="669497EA" w14:textId="69047215" w:rsidR="008B1ACD" w:rsidRDefault="008B1ACD">
      <w:pPr>
        <w:pStyle w:val="TableofFigures"/>
        <w:rPr>
          <w:rFonts w:eastAsiaTheme="minorEastAsia"/>
          <w:sz w:val="24"/>
          <w:lang w:eastAsia="en-AU"/>
        </w:rPr>
      </w:pPr>
      <w:hyperlink w:anchor="_Toc216695672" w:history="1">
        <w:r w:rsidRPr="007053AD">
          <w:rPr>
            <w:rStyle w:val="Hyperlink"/>
          </w:rPr>
          <w:t>Table 10: The Active Constituent Standards specification for bromadiolone</w:t>
        </w:r>
        <w:r>
          <w:rPr>
            <w:webHidden/>
          </w:rPr>
          <w:tab/>
        </w:r>
        <w:r>
          <w:rPr>
            <w:webHidden/>
          </w:rPr>
          <w:fldChar w:fldCharType="begin"/>
        </w:r>
        <w:r>
          <w:rPr>
            <w:webHidden/>
          </w:rPr>
          <w:instrText xml:space="preserve"> PAGEREF _Toc216695672 \h </w:instrText>
        </w:r>
        <w:r>
          <w:rPr>
            <w:webHidden/>
          </w:rPr>
        </w:r>
        <w:r>
          <w:rPr>
            <w:webHidden/>
          </w:rPr>
          <w:fldChar w:fldCharType="separate"/>
        </w:r>
        <w:r w:rsidR="003861AC">
          <w:rPr>
            <w:webHidden/>
          </w:rPr>
          <w:t>20</w:t>
        </w:r>
        <w:r>
          <w:rPr>
            <w:webHidden/>
          </w:rPr>
          <w:fldChar w:fldCharType="end"/>
        </w:r>
      </w:hyperlink>
    </w:p>
    <w:p w14:paraId="6D94CBD7" w14:textId="2071CD14" w:rsidR="008B1ACD" w:rsidRDefault="008B1ACD">
      <w:pPr>
        <w:pStyle w:val="TableofFigures"/>
        <w:rPr>
          <w:rFonts w:eastAsiaTheme="minorEastAsia"/>
          <w:sz w:val="24"/>
          <w:lang w:eastAsia="en-AU"/>
        </w:rPr>
      </w:pPr>
      <w:hyperlink w:anchor="_Toc216695673" w:history="1">
        <w:r w:rsidRPr="007053AD">
          <w:rPr>
            <w:rStyle w:val="Hyperlink"/>
          </w:rPr>
          <w:t>Table 11: Proposed APVMA Specification for Bromadiolone Manufacturing Concentrate</w:t>
        </w:r>
        <w:r>
          <w:rPr>
            <w:webHidden/>
          </w:rPr>
          <w:tab/>
        </w:r>
        <w:r>
          <w:rPr>
            <w:webHidden/>
          </w:rPr>
          <w:fldChar w:fldCharType="begin"/>
        </w:r>
        <w:r>
          <w:rPr>
            <w:webHidden/>
          </w:rPr>
          <w:instrText xml:space="preserve"> PAGEREF _Toc216695673 \h </w:instrText>
        </w:r>
        <w:r>
          <w:rPr>
            <w:webHidden/>
          </w:rPr>
        </w:r>
        <w:r>
          <w:rPr>
            <w:webHidden/>
          </w:rPr>
          <w:fldChar w:fldCharType="separate"/>
        </w:r>
        <w:r w:rsidR="003861AC">
          <w:rPr>
            <w:webHidden/>
          </w:rPr>
          <w:t>21</w:t>
        </w:r>
        <w:r>
          <w:rPr>
            <w:webHidden/>
          </w:rPr>
          <w:fldChar w:fldCharType="end"/>
        </w:r>
      </w:hyperlink>
    </w:p>
    <w:p w14:paraId="005CDD29" w14:textId="37F5A76D" w:rsidR="008B1ACD" w:rsidRDefault="008B1ACD">
      <w:pPr>
        <w:pStyle w:val="TableofFigures"/>
        <w:rPr>
          <w:rFonts w:eastAsiaTheme="minorEastAsia"/>
          <w:sz w:val="24"/>
          <w:lang w:eastAsia="en-AU"/>
        </w:rPr>
      </w:pPr>
      <w:hyperlink w:anchor="_Toc216695674" w:history="1">
        <w:r w:rsidRPr="007053AD">
          <w:rPr>
            <w:rStyle w:val="Hyperlink"/>
          </w:rPr>
          <w:t>Table 12: Nomenclature and structural formula of the active constituent coumatetralyl</w:t>
        </w:r>
        <w:r>
          <w:rPr>
            <w:webHidden/>
          </w:rPr>
          <w:tab/>
        </w:r>
        <w:r>
          <w:rPr>
            <w:webHidden/>
          </w:rPr>
          <w:fldChar w:fldCharType="begin"/>
        </w:r>
        <w:r>
          <w:rPr>
            <w:webHidden/>
          </w:rPr>
          <w:instrText xml:space="preserve"> PAGEREF _Toc216695674 \h </w:instrText>
        </w:r>
        <w:r>
          <w:rPr>
            <w:webHidden/>
          </w:rPr>
        </w:r>
        <w:r>
          <w:rPr>
            <w:webHidden/>
          </w:rPr>
          <w:fldChar w:fldCharType="separate"/>
        </w:r>
        <w:r w:rsidR="003861AC">
          <w:rPr>
            <w:webHidden/>
          </w:rPr>
          <w:t>21</w:t>
        </w:r>
        <w:r>
          <w:rPr>
            <w:webHidden/>
          </w:rPr>
          <w:fldChar w:fldCharType="end"/>
        </w:r>
      </w:hyperlink>
    </w:p>
    <w:p w14:paraId="059D30A9" w14:textId="2C1C8C0C" w:rsidR="008B1ACD" w:rsidRDefault="008B1ACD">
      <w:pPr>
        <w:pStyle w:val="TableofFigures"/>
        <w:rPr>
          <w:rFonts w:eastAsiaTheme="minorEastAsia"/>
          <w:sz w:val="24"/>
          <w:lang w:eastAsia="en-AU"/>
        </w:rPr>
      </w:pPr>
      <w:hyperlink w:anchor="_Toc216695675" w:history="1">
        <w:r w:rsidRPr="007053AD">
          <w:rPr>
            <w:rStyle w:val="Hyperlink"/>
          </w:rPr>
          <w:t>Table 13: Key physicochemical properties of the active constituent coumatetralyl</w:t>
        </w:r>
        <w:r>
          <w:rPr>
            <w:webHidden/>
          </w:rPr>
          <w:tab/>
        </w:r>
        <w:r>
          <w:rPr>
            <w:webHidden/>
          </w:rPr>
          <w:fldChar w:fldCharType="begin"/>
        </w:r>
        <w:r>
          <w:rPr>
            <w:webHidden/>
          </w:rPr>
          <w:instrText xml:space="preserve"> PAGEREF _Toc216695675 \h </w:instrText>
        </w:r>
        <w:r>
          <w:rPr>
            <w:webHidden/>
          </w:rPr>
        </w:r>
        <w:r>
          <w:rPr>
            <w:webHidden/>
          </w:rPr>
          <w:fldChar w:fldCharType="separate"/>
        </w:r>
        <w:r w:rsidR="003861AC">
          <w:rPr>
            <w:webHidden/>
          </w:rPr>
          <w:t>22</w:t>
        </w:r>
        <w:r>
          <w:rPr>
            <w:webHidden/>
          </w:rPr>
          <w:fldChar w:fldCharType="end"/>
        </w:r>
      </w:hyperlink>
    </w:p>
    <w:p w14:paraId="7A6070CD" w14:textId="41D43E1C" w:rsidR="008B1ACD" w:rsidRDefault="008B1ACD">
      <w:pPr>
        <w:pStyle w:val="TableofFigures"/>
        <w:rPr>
          <w:rFonts w:eastAsiaTheme="minorEastAsia"/>
          <w:sz w:val="24"/>
          <w:lang w:eastAsia="en-AU"/>
        </w:rPr>
      </w:pPr>
      <w:hyperlink w:anchor="_Toc216695676" w:history="1">
        <w:r w:rsidRPr="007053AD">
          <w:rPr>
            <w:rStyle w:val="Hyperlink"/>
          </w:rPr>
          <w:t>Table 14: Current active constituent active constituent approvals for coumatetralyl</w:t>
        </w:r>
        <w:r>
          <w:rPr>
            <w:webHidden/>
          </w:rPr>
          <w:tab/>
        </w:r>
        <w:r>
          <w:rPr>
            <w:webHidden/>
          </w:rPr>
          <w:fldChar w:fldCharType="begin"/>
        </w:r>
        <w:r>
          <w:rPr>
            <w:webHidden/>
          </w:rPr>
          <w:instrText xml:space="preserve"> PAGEREF _Toc216695676 \h </w:instrText>
        </w:r>
        <w:r>
          <w:rPr>
            <w:webHidden/>
          </w:rPr>
        </w:r>
        <w:r>
          <w:rPr>
            <w:webHidden/>
          </w:rPr>
          <w:fldChar w:fldCharType="separate"/>
        </w:r>
        <w:r w:rsidR="003861AC">
          <w:rPr>
            <w:webHidden/>
          </w:rPr>
          <w:t>23</w:t>
        </w:r>
        <w:r>
          <w:rPr>
            <w:webHidden/>
          </w:rPr>
          <w:fldChar w:fldCharType="end"/>
        </w:r>
      </w:hyperlink>
    </w:p>
    <w:p w14:paraId="60D45388" w14:textId="1C26669E" w:rsidR="008B1ACD" w:rsidRDefault="008B1ACD">
      <w:pPr>
        <w:pStyle w:val="TableofFigures"/>
        <w:rPr>
          <w:rFonts w:eastAsiaTheme="minorEastAsia"/>
          <w:sz w:val="24"/>
          <w:lang w:eastAsia="en-AU"/>
        </w:rPr>
      </w:pPr>
      <w:hyperlink w:anchor="_Toc216695677" w:history="1">
        <w:r w:rsidRPr="007053AD">
          <w:rPr>
            <w:rStyle w:val="Hyperlink"/>
          </w:rPr>
          <w:t>Table 15: The Active Constituent Standards specification for coumatetralyl</w:t>
        </w:r>
        <w:r>
          <w:rPr>
            <w:webHidden/>
          </w:rPr>
          <w:tab/>
        </w:r>
        <w:r>
          <w:rPr>
            <w:webHidden/>
          </w:rPr>
          <w:fldChar w:fldCharType="begin"/>
        </w:r>
        <w:r>
          <w:rPr>
            <w:webHidden/>
          </w:rPr>
          <w:instrText xml:space="preserve"> PAGEREF _Toc216695677 \h </w:instrText>
        </w:r>
        <w:r>
          <w:rPr>
            <w:webHidden/>
          </w:rPr>
        </w:r>
        <w:r>
          <w:rPr>
            <w:webHidden/>
          </w:rPr>
          <w:fldChar w:fldCharType="separate"/>
        </w:r>
        <w:r w:rsidR="003861AC">
          <w:rPr>
            <w:webHidden/>
          </w:rPr>
          <w:t>24</w:t>
        </w:r>
        <w:r>
          <w:rPr>
            <w:webHidden/>
          </w:rPr>
          <w:fldChar w:fldCharType="end"/>
        </w:r>
      </w:hyperlink>
    </w:p>
    <w:p w14:paraId="4C95610C" w14:textId="6C5E2A6E" w:rsidR="008B1ACD" w:rsidRDefault="008B1ACD">
      <w:pPr>
        <w:pStyle w:val="TableofFigures"/>
        <w:rPr>
          <w:rFonts w:eastAsiaTheme="minorEastAsia"/>
          <w:sz w:val="24"/>
          <w:lang w:eastAsia="en-AU"/>
        </w:rPr>
      </w:pPr>
      <w:hyperlink w:anchor="_Toc216695678" w:history="1">
        <w:r w:rsidRPr="007053AD">
          <w:rPr>
            <w:rStyle w:val="Hyperlink"/>
          </w:rPr>
          <w:t>Table 16: Nomenclature and structural formula of the active constituent difenacoum</w:t>
        </w:r>
        <w:r>
          <w:rPr>
            <w:webHidden/>
          </w:rPr>
          <w:tab/>
        </w:r>
        <w:r>
          <w:rPr>
            <w:webHidden/>
          </w:rPr>
          <w:fldChar w:fldCharType="begin"/>
        </w:r>
        <w:r>
          <w:rPr>
            <w:webHidden/>
          </w:rPr>
          <w:instrText xml:space="preserve"> PAGEREF _Toc216695678 \h </w:instrText>
        </w:r>
        <w:r>
          <w:rPr>
            <w:webHidden/>
          </w:rPr>
        </w:r>
        <w:r>
          <w:rPr>
            <w:webHidden/>
          </w:rPr>
          <w:fldChar w:fldCharType="separate"/>
        </w:r>
        <w:r w:rsidR="003861AC">
          <w:rPr>
            <w:webHidden/>
          </w:rPr>
          <w:t>24</w:t>
        </w:r>
        <w:r>
          <w:rPr>
            <w:webHidden/>
          </w:rPr>
          <w:fldChar w:fldCharType="end"/>
        </w:r>
      </w:hyperlink>
    </w:p>
    <w:p w14:paraId="19B8DEA1" w14:textId="4544CD0A" w:rsidR="008B1ACD" w:rsidRDefault="008B1ACD">
      <w:pPr>
        <w:pStyle w:val="TableofFigures"/>
        <w:rPr>
          <w:rFonts w:eastAsiaTheme="minorEastAsia"/>
          <w:sz w:val="24"/>
          <w:lang w:eastAsia="en-AU"/>
        </w:rPr>
      </w:pPr>
      <w:hyperlink w:anchor="_Toc216695679" w:history="1">
        <w:r w:rsidRPr="007053AD">
          <w:rPr>
            <w:rStyle w:val="Hyperlink"/>
          </w:rPr>
          <w:t>Table 17: Key physicochemical properties of the active constituent difenacoum</w:t>
        </w:r>
        <w:r>
          <w:rPr>
            <w:webHidden/>
          </w:rPr>
          <w:tab/>
        </w:r>
        <w:r>
          <w:rPr>
            <w:webHidden/>
          </w:rPr>
          <w:fldChar w:fldCharType="begin"/>
        </w:r>
        <w:r>
          <w:rPr>
            <w:webHidden/>
          </w:rPr>
          <w:instrText xml:space="preserve"> PAGEREF _Toc216695679 \h </w:instrText>
        </w:r>
        <w:r>
          <w:rPr>
            <w:webHidden/>
          </w:rPr>
        </w:r>
        <w:r>
          <w:rPr>
            <w:webHidden/>
          </w:rPr>
          <w:fldChar w:fldCharType="separate"/>
        </w:r>
        <w:r w:rsidR="003861AC">
          <w:rPr>
            <w:webHidden/>
          </w:rPr>
          <w:t>25</w:t>
        </w:r>
        <w:r>
          <w:rPr>
            <w:webHidden/>
          </w:rPr>
          <w:fldChar w:fldCharType="end"/>
        </w:r>
      </w:hyperlink>
    </w:p>
    <w:p w14:paraId="64419516" w14:textId="2FC15676" w:rsidR="008B1ACD" w:rsidRDefault="008B1ACD">
      <w:pPr>
        <w:pStyle w:val="TableofFigures"/>
        <w:rPr>
          <w:rFonts w:eastAsiaTheme="minorEastAsia"/>
          <w:sz w:val="24"/>
          <w:lang w:eastAsia="en-AU"/>
        </w:rPr>
      </w:pPr>
      <w:hyperlink w:anchor="_Toc216695680" w:history="1">
        <w:r w:rsidRPr="007053AD">
          <w:rPr>
            <w:rStyle w:val="Hyperlink"/>
          </w:rPr>
          <w:t>Table 18: Current active constituent approvals for difenacoum</w:t>
        </w:r>
        <w:r>
          <w:rPr>
            <w:webHidden/>
          </w:rPr>
          <w:tab/>
        </w:r>
        <w:r>
          <w:rPr>
            <w:webHidden/>
          </w:rPr>
          <w:fldChar w:fldCharType="begin"/>
        </w:r>
        <w:r>
          <w:rPr>
            <w:webHidden/>
          </w:rPr>
          <w:instrText xml:space="preserve"> PAGEREF _Toc216695680 \h </w:instrText>
        </w:r>
        <w:r>
          <w:rPr>
            <w:webHidden/>
          </w:rPr>
        </w:r>
        <w:r>
          <w:rPr>
            <w:webHidden/>
          </w:rPr>
          <w:fldChar w:fldCharType="separate"/>
        </w:r>
        <w:r w:rsidR="003861AC">
          <w:rPr>
            <w:webHidden/>
          </w:rPr>
          <w:t>25</w:t>
        </w:r>
        <w:r>
          <w:rPr>
            <w:webHidden/>
          </w:rPr>
          <w:fldChar w:fldCharType="end"/>
        </w:r>
      </w:hyperlink>
    </w:p>
    <w:p w14:paraId="43015B96" w14:textId="608678C6" w:rsidR="008B1ACD" w:rsidRDefault="008B1ACD">
      <w:pPr>
        <w:pStyle w:val="TableofFigures"/>
        <w:rPr>
          <w:rFonts w:eastAsiaTheme="minorEastAsia"/>
          <w:sz w:val="24"/>
          <w:lang w:eastAsia="en-AU"/>
        </w:rPr>
      </w:pPr>
      <w:hyperlink w:anchor="_Toc216695681" w:history="1">
        <w:r w:rsidRPr="007053AD">
          <w:rPr>
            <w:rStyle w:val="Hyperlink"/>
          </w:rPr>
          <w:t>Table 19: The Active Constituent Standards specification for difenacoum</w:t>
        </w:r>
        <w:r>
          <w:rPr>
            <w:webHidden/>
          </w:rPr>
          <w:tab/>
        </w:r>
        <w:r>
          <w:rPr>
            <w:webHidden/>
          </w:rPr>
          <w:fldChar w:fldCharType="begin"/>
        </w:r>
        <w:r>
          <w:rPr>
            <w:webHidden/>
          </w:rPr>
          <w:instrText xml:space="preserve"> PAGEREF _Toc216695681 \h </w:instrText>
        </w:r>
        <w:r>
          <w:rPr>
            <w:webHidden/>
          </w:rPr>
        </w:r>
        <w:r>
          <w:rPr>
            <w:webHidden/>
          </w:rPr>
          <w:fldChar w:fldCharType="separate"/>
        </w:r>
        <w:r w:rsidR="003861AC">
          <w:rPr>
            <w:webHidden/>
          </w:rPr>
          <w:t>26</w:t>
        </w:r>
        <w:r>
          <w:rPr>
            <w:webHidden/>
          </w:rPr>
          <w:fldChar w:fldCharType="end"/>
        </w:r>
      </w:hyperlink>
    </w:p>
    <w:p w14:paraId="2623673B" w14:textId="61C61D64" w:rsidR="008B1ACD" w:rsidRDefault="008B1ACD">
      <w:pPr>
        <w:pStyle w:val="TableofFigures"/>
        <w:rPr>
          <w:rFonts w:eastAsiaTheme="minorEastAsia"/>
          <w:sz w:val="24"/>
          <w:lang w:eastAsia="en-AU"/>
        </w:rPr>
      </w:pPr>
      <w:hyperlink w:anchor="_Toc216695682" w:history="1">
        <w:r w:rsidRPr="007053AD">
          <w:rPr>
            <w:rStyle w:val="Hyperlink"/>
          </w:rPr>
          <w:t>Table 20: Proposed APVMA specification for difenacoum manufacturing concentrates</w:t>
        </w:r>
        <w:r>
          <w:rPr>
            <w:webHidden/>
          </w:rPr>
          <w:tab/>
        </w:r>
        <w:r>
          <w:rPr>
            <w:webHidden/>
          </w:rPr>
          <w:fldChar w:fldCharType="begin"/>
        </w:r>
        <w:r>
          <w:rPr>
            <w:webHidden/>
          </w:rPr>
          <w:instrText xml:space="preserve"> PAGEREF _Toc216695682 \h </w:instrText>
        </w:r>
        <w:r>
          <w:rPr>
            <w:webHidden/>
          </w:rPr>
        </w:r>
        <w:r>
          <w:rPr>
            <w:webHidden/>
          </w:rPr>
          <w:fldChar w:fldCharType="separate"/>
        </w:r>
        <w:r w:rsidR="003861AC">
          <w:rPr>
            <w:webHidden/>
          </w:rPr>
          <w:t>26</w:t>
        </w:r>
        <w:r>
          <w:rPr>
            <w:webHidden/>
          </w:rPr>
          <w:fldChar w:fldCharType="end"/>
        </w:r>
      </w:hyperlink>
    </w:p>
    <w:p w14:paraId="373BFED4" w14:textId="44819CE9" w:rsidR="008B1ACD" w:rsidRDefault="008B1ACD">
      <w:pPr>
        <w:pStyle w:val="TableofFigures"/>
        <w:rPr>
          <w:rFonts w:eastAsiaTheme="minorEastAsia"/>
          <w:sz w:val="24"/>
          <w:lang w:eastAsia="en-AU"/>
        </w:rPr>
      </w:pPr>
      <w:hyperlink w:anchor="_Toc216695683" w:history="1">
        <w:r w:rsidRPr="007053AD">
          <w:rPr>
            <w:rStyle w:val="Hyperlink"/>
          </w:rPr>
          <w:t>Table 21: Nomenclature and structural formula of the active constituent difethialone</w:t>
        </w:r>
        <w:r>
          <w:rPr>
            <w:webHidden/>
          </w:rPr>
          <w:tab/>
        </w:r>
        <w:r>
          <w:rPr>
            <w:webHidden/>
          </w:rPr>
          <w:fldChar w:fldCharType="begin"/>
        </w:r>
        <w:r>
          <w:rPr>
            <w:webHidden/>
          </w:rPr>
          <w:instrText xml:space="preserve"> PAGEREF _Toc216695683 \h </w:instrText>
        </w:r>
        <w:r>
          <w:rPr>
            <w:webHidden/>
          </w:rPr>
        </w:r>
        <w:r>
          <w:rPr>
            <w:webHidden/>
          </w:rPr>
          <w:fldChar w:fldCharType="separate"/>
        </w:r>
        <w:r w:rsidR="003861AC">
          <w:rPr>
            <w:webHidden/>
          </w:rPr>
          <w:t>27</w:t>
        </w:r>
        <w:r>
          <w:rPr>
            <w:webHidden/>
          </w:rPr>
          <w:fldChar w:fldCharType="end"/>
        </w:r>
      </w:hyperlink>
    </w:p>
    <w:p w14:paraId="13ABCDEE" w14:textId="6E47F053" w:rsidR="008B1ACD" w:rsidRDefault="008B1ACD">
      <w:pPr>
        <w:pStyle w:val="TableofFigures"/>
        <w:rPr>
          <w:rFonts w:eastAsiaTheme="minorEastAsia"/>
          <w:sz w:val="24"/>
          <w:lang w:eastAsia="en-AU"/>
        </w:rPr>
      </w:pPr>
      <w:hyperlink w:anchor="_Toc216695684" w:history="1">
        <w:r w:rsidRPr="007053AD">
          <w:rPr>
            <w:rStyle w:val="Hyperlink"/>
          </w:rPr>
          <w:t>Table 22: Key physicochemical properties of the active constituent difethialone</w:t>
        </w:r>
        <w:r>
          <w:rPr>
            <w:webHidden/>
          </w:rPr>
          <w:tab/>
        </w:r>
        <w:r>
          <w:rPr>
            <w:webHidden/>
          </w:rPr>
          <w:fldChar w:fldCharType="begin"/>
        </w:r>
        <w:r>
          <w:rPr>
            <w:webHidden/>
          </w:rPr>
          <w:instrText xml:space="preserve"> PAGEREF _Toc216695684 \h </w:instrText>
        </w:r>
        <w:r>
          <w:rPr>
            <w:webHidden/>
          </w:rPr>
        </w:r>
        <w:r>
          <w:rPr>
            <w:webHidden/>
          </w:rPr>
          <w:fldChar w:fldCharType="separate"/>
        </w:r>
        <w:r w:rsidR="003861AC">
          <w:rPr>
            <w:webHidden/>
          </w:rPr>
          <w:t>28</w:t>
        </w:r>
        <w:r>
          <w:rPr>
            <w:webHidden/>
          </w:rPr>
          <w:fldChar w:fldCharType="end"/>
        </w:r>
      </w:hyperlink>
    </w:p>
    <w:p w14:paraId="4107DECE" w14:textId="785F45F2" w:rsidR="008B1ACD" w:rsidRDefault="008B1ACD">
      <w:pPr>
        <w:pStyle w:val="TableofFigures"/>
        <w:rPr>
          <w:rFonts w:eastAsiaTheme="minorEastAsia"/>
          <w:sz w:val="24"/>
          <w:lang w:eastAsia="en-AU"/>
        </w:rPr>
      </w:pPr>
      <w:hyperlink w:anchor="_Toc216695685" w:history="1">
        <w:r w:rsidRPr="007053AD">
          <w:rPr>
            <w:rStyle w:val="Hyperlink"/>
          </w:rPr>
          <w:t>Table 23: Current active constituent active constituent approval for difethialone</w:t>
        </w:r>
        <w:r>
          <w:rPr>
            <w:webHidden/>
          </w:rPr>
          <w:tab/>
        </w:r>
        <w:r>
          <w:rPr>
            <w:webHidden/>
          </w:rPr>
          <w:fldChar w:fldCharType="begin"/>
        </w:r>
        <w:r>
          <w:rPr>
            <w:webHidden/>
          </w:rPr>
          <w:instrText xml:space="preserve"> PAGEREF _Toc216695685 \h </w:instrText>
        </w:r>
        <w:r>
          <w:rPr>
            <w:webHidden/>
          </w:rPr>
        </w:r>
        <w:r>
          <w:rPr>
            <w:webHidden/>
          </w:rPr>
          <w:fldChar w:fldCharType="separate"/>
        </w:r>
        <w:r w:rsidR="003861AC">
          <w:rPr>
            <w:webHidden/>
          </w:rPr>
          <w:t>28</w:t>
        </w:r>
        <w:r>
          <w:rPr>
            <w:webHidden/>
          </w:rPr>
          <w:fldChar w:fldCharType="end"/>
        </w:r>
      </w:hyperlink>
    </w:p>
    <w:p w14:paraId="65FB5947" w14:textId="1FBED25E" w:rsidR="008B1ACD" w:rsidRDefault="008B1ACD">
      <w:pPr>
        <w:pStyle w:val="TableofFigures"/>
        <w:rPr>
          <w:rFonts w:eastAsiaTheme="minorEastAsia"/>
          <w:sz w:val="24"/>
          <w:lang w:eastAsia="en-AU"/>
        </w:rPr>
      </w:pPr>
      <w:hyperlink w:anchor="_Toc216695686" w:history="1">
        <w:r w:rsidRPr="007053AD">
          <w:rPr>
            <w:rStyle w:val="Hyperlink"/>
          </w:rPr>
          <w:t>Table 24: The Active Constituent Standards specification for difethialone</w:t>
        </w:r>
        <w:r>
          <w:rPr>
            <w:webHidden/>
          </w:rPr>
          <w:tab/>
        </w:r>
        <w:r>
          <w:rPr>
            <w:webHidden/>
          </w:rPr>
          <w:fldChar w:fldCharType="begin"/>
        </w:r>
        <w:r>
          <w:rPr>
            <w:webHidden/>
          </w:rPr>
          <w:instrText xml:space="preserve"> PAGEREF _Toc216695686 \h </w:instrText>
        </w:r>
        <w:r>
          <w:rPr>
            <w:webHidden/>
          </w:rPr>
        </w:r>
        <w:r>
          <w:rPr>
            <w:webHidden/>
          </w:rPr>
          <w:fldChar w:fldCharType="separate"/>
        </w:r>
        <w:r w:rsidR="003861AC">
          <w:rPr>
            <w:webHidden/>
          </w:rPr>
          <w:t>28</w:t>
        </w:r>
        <w:r>
          <w:rPr>
            <w:webHidden/>
          </w:rPr>
          <w:fldChar w:fldCharType="end"/>
        </w:r>
      </w:hyperlink>
    </w:p>
    <w:p w14:paraId="769CEDD4" w14:textId="6EB177D2" w:rsidR="008B1ACD" w:rsidRDefault="008B1ACD">
      <w:pPr>
        <w:pStyle w:val="TableofFigures"/>
        <w:rPr>
          <w:rFonts w:eastAsiaTheme="minorEastAsia"/>
          <w:sz w:val="24"/>
          <w:lang w:eastAsia="en-AU"/>
        </w:rPr>
      </w:pPr>
      <w:hyperlink w:anchor="_Toc216695687" w:history="1">
        <w:r w:rsidRPr="007053AD">
          <w:rPr>
            <w:rStyle w:val="Hyperlink"/>
          </w:rPr>
          <w:t>Table 25: Nomenclature and structural formula of the active constituent diphacinone</w:t>
        </w:r>
        <w:r>
          <w:rPr>
            <w:webHidden/>
          </w:rPr>
          <w:tab/>
        </w:r>
        <w:r>
          <w:rPr>
            <w:webHidden/>
          </w:rPr>
          <w:fldChar w:fldCharType="begin"/>
        </w:r>
        <w:r>
          <w:rPr>
            <w:webHidden/>
          </w:rPr>
          <w:instrText xml:space="preserve"> PAGEREF _Toc216695687 \h </w:instrText>
        </w:r>
        <w:r>
          <w:rPr>
            <w:webHidden/>
          </w:rPr>
        </w:r>
        <w:r>
          <w:rPr>
            <w:webHidden/>
          </w:rPr>
          <w:fldChar w:fldCharType="separate"/>
        </w:r>
        <w:r w:rsidR="003861AC">
          <w:rPr>
            <w:webHidden/>
          </w:rPr>
          <w:t>29</w:t>
        </w:r>
        <w:r>
          <w:rPr>
            <w:webHidden/>
          </w:rPr>
          <w:fldChar w:fldCharType="end"/>
        </w:r>
      </w:hyperlink>
    </w:p>
    <w:p w14:paraId="7D5CD393" w14:textId="4B543A01" w:rsidR="008B1ACD" w:rsidRDefault="008B1ACD">
      <w:pPr>
        <w:pStyle w:val="TableofFigures"/>
        <w:rPr>
          <w:rFonts w:eastAsiaTheme="minorEastAsia"/>
          <w:sz w:val="24"/>
          <w:lang w:eastAsia="en-AU"/>
        </w:rPr>
      </w:pPr>
      <w:hyperlink w:anchor="_Toc216695688" w:history="1">
        <w:r w:rsidRPr="007053AD">
          <w:rPr>
            <w:rStyle w:val="Hyperlink"/>
          </w:rPr>
          <w:t>Table 26: Key physicochemical properties of the active constituent diphacinone</w:t>
        </w:r>
        <w:r>
          <w:rPr>
            <w:webHidden/>
          </w:rPr>
          <w:tab/>
        </w:r>
        <w:r>
          <w:rPr>
            <w:webHidden/>
          </w:rPr>
          <w:fldChar w:fldCharType="begin"/>
        </w:r>
        <w:r>
          <w:rPr>
            <w:webHidden/>
          </w:rPr>
          <w:instrText xml:space="preserve"> PAGEREF _Toc216695688 \h </w:instrText>
        </w:r>
        <w:r>
          <w:rPr>
            <w:webHidden/>
          </w:rPr>
        </w:r>
        <w:r>
          <w:rPr>
            <w:webHidden/>
          </w:rPr>
          <w:fldChar w:fldCharType="separate"/>
        </w:r>
        <w:r w:rsidR="003861AC">
          <w:rPr>
            <w:webHidden/>
          </w:rPr>
          <w:t>30</w:t>
        </w:r>
        <w:r>
          <w:rPr>
            <w:webHidden/>
          </w:rPr>
          <w:fldChar w:fldCharType="end"/>
        </w:r>
      </w:hyperlink>
    </w:p>
    <w:p w14:paraId="6D2DAE74" w14:textId="7542D7C3" w:rsidR="008B1ACD" w:rsidRDefault="008B1ACD">
      <w:pPr>
        <w:pStyle w:val="TableofFigures"/>
        <w:rPr>
          <w:rFonts w:eastAsiaTheme="minorEastAsia"/>
          <w:sz w:val="24"/>
          <w:lang w:eastAsia="en-AU"/>
        </w:rPr>
      </w:pPr>
      <w:hyperlink w:anchor="_Toc216695689" w:history="1">
        <w:r w:rsidRPr="007053AD">
          <w:rPr>
            <w:rStyle w:val="Hyperlink"/>
          </w:rPr>
          <w:t>Table 27: Current active constituent active constituent approval for diphacinone</w:t>
        </w:r>
        <w:r>
          <w:rPr>
            <w:webHidden/>
          </w:rPr>
          <w:tab/>
        </w:r>
        <w:r>
          <w:rPr>
            <w:webHidden/>
          </w:rPr>
          <w:fldChar w:fldCharType="begin"/>
        </w:r>
        <w:r>
          <w:rPr>
            <w:webHidden/>
          </w:rPr>
          <w:instrText xml:space="preserve"> PAGEREF _Toc216695689 \h </w:instrText>
        </w:r>
        <w:r>
          <w:rPr>
            <w:webHidden/>
          </w:rPr>
        </w:r>
        <w:r>
          <w:rPr>
            <w:webHidden/>
          </w:rPr>
          <w:fldChar w:fldCharType="separate"/>
        </w:r>
        <w:r w:rsidR="003861AC">
          <w:rPr>
            <w:webHidden/>
          </w:rPr>
          <w:t>31</w:t>
        </w:r>
        <w:r>
          <w:rPr>
            <w:webHidden/>
          </w:rPr>
          <w:fldChar w:fldCharType="end"/>
        </w:r>
      </w:hyperlink>
    </w:p>
    <w:p w14:paraId="0C8A8251" w14:textId="0CE96B99" w:rsidR="008B1ACD" w:rsidRDefault="008B1ACD">
      <w:pPr>
        <w:pStyle w:val="TableofFigures"/>
        <w:rPr>
          <w:rFonts w:eastAsiaTheme="minorEastAsia"/>
          <w:sz w:val="24"/>
          <w:lang w:eastAsia="en-AU"/>
        </w:rPr>
      </w:pPr>
      <w:hyperlink w:anchor="_Toc216695690" w:history="1">
        <w:r w:rsidRPr="007053AD">
          <w:rPr>
            <w:rStyle w:val="Hyperlink"/>
          </w:rPr>
          <w:t>Table 28: The Active Constituent Standard for diphacinone active constituent</w:t>
        </w:r>
        <w:r>
          <w:rPr>
            <w:webHidden/>
          </w:rPr>
          <w:tab/>
        </w:r>
        <w:r>
          <w:rPr>
            <w:webHidden/>
          </w:rPr>
          <w:fldChar w:fldCharType="begin"/>
        </w:r>
        <w:r>
          <w:rPr>
            <w:webHidden/>
          </w:rPr>
          <w:instrText xml:space="preserve"> PAGEREF _Toc216695690 \h </w:instrText>
        </w:r>
        <w:r>
          <w:rPr>
            <w:webHidden/>
          </w:rPr>
        </w:r>
        <w:r>
          <w:rPr>
            <w:webHidden/>
          </w:rPr>
          <w:fldChar w:fldCharType="separate"/>
        </w:r>
        <w:r w:rsidR="003861AC">
          <w:rPr>
            <w:webHidden/>
          </w:rPr>
          <w:t>31</w:t>
        </w:r>
        <w:r>
          <w:rPr>
            <w:webHidden/>
          </w:rPr>
          <w:fldChar w:fldCharType="end"/>
        </w:r>
      </w:hyperlink>
    </w:p>
    <w:p w14:paraId="38B61FBD" w14:textId="0CAEF6AF" w:rsidR="008B1ACD" w:rsidRDefault="008B1ACD">
      <w:pPr>
        <w:pStyle w:val="TableofFigures"/>
        <w:rPr>
          <w:rFonts w:eastAsiaTheme="minorEastAsia"/>
          <w:sz w:val="24"/>
          <w:lang w:eastAsia="en-AU"/>
        </w:rPr>
      </w:pPr>
      <w:hyperlink w:anchor="_Toc216695691" w:history="1">
        <w:r w:rsidRPr="007053AD">
          <w:rPr>
            <w:rStyle w:val="Hyperlink"/>
          </w:rPr>
          <w:t>Table 29: Nomenclature and structural formula of the active constituent flocoumafen</w:t>
        </w:r>
        <w:r>
          <w:rPr>
            <w:webHidden/>
          </w:rPr>
          <w:tab/>
        </w:r>
        <w:r>
          <w:rPr>
            <w:webHidden/>
          </w:rPr>
          <w:fldChar w:fldCharType="begin"/>
        </w:r>
        <w:r>
          <w:rPr>
            <w:webHidden/>
          </w:rPr>
          <w:instrText xml:space="preserve"> PAGEREF _Toc216695691 \h </w:instrText>
        </w:r>
        <w:r>
          <w:rPr>
            <w:webHidden/>
          </w:rPr>
        </w:r>
        <w:r>
          <w:rPr>
            <w:webHidden/>
          </w:rPr>
          <w:fldChar w:fldCharType="separate"/>
        </w:r>
        <w:r w:rsidR="003861AC">
          <w:rPr>
            <w:webHidden/>
          </w:rPr>
          <w:t>31</w:t>
        </w:r>
        <w:r>
          <w:rPr>
            <w:webHidden/>
          </w:rPr>
          <w:fldChar w:fldCharType="end"/>
        </w:r>
      </w:hyperlink>
    </w:p>
    <w:p w14:paraId="3DEC65FC" w14:textId="6DDEDB0B" w:rsidR="008B1ACD" w:rsidRDefault="008B1ACD">
      <w:pPr>
        <w:pStyle w:val="TableofFigures"/>
        <w:rPr>
          <w:rFonts w:eastAsiaTheme="minorEastAsia"/>
          <w:sz w:val="24"/>
          <w:lang w:eastAsia="en-AU"/>
        </w:rPr>
      </w:pPr>
      <w:hyperlink w:anchor="_Toc216695692" w:history="1">
        <w:r w:rsidRPr="007053AD">
          <w:rPr>
            <w:rStyle w:val="Hyperlink"/>
          </w:rPr>
          <w:t>Table 30: Key physicochemical properties of the active constituent flocoumafen</w:t>
        </w:r>
        <w:r>
          <w:rPr>
            <w:webHidden/>
          </w:rPr>
          <w:tab/>
        </w:r>
        <w:r>
          <w:rPr>
            <w:webHidden/>
          </w:rPr>
          <w:fldChar w:fldCharType="begin"/>
        </w:r>
        <w:r>
          <w:rPr>
            <w:webHidden/>
          </w:rPr>
          <w:instrText xml:space="preserve"> PAGEREF _Toc216695692 \h </w:instrText>
        </w:r>
        <w:r>
          <w:rPr>
            <w:webHidden/>
          </w:rPr>
        </w:r>
        <w:r>
          <w:rPr>
            <w:webHidden/>
          </w:rPr>
          <w:fldChar w:fldCharType="separate"/>
        </w:r>
        <w:r w:rsidR="003861AC">
          <w:rPr>
            <w:webHidden/>
          </w:rPr>
          <w:t>32</w:t>
        </w:r>
        <w:r>
          <w:rPr>
            <w:webHidden/>
          </w:rPr>
          <w:fldChar w:fldCharType="end"/>
        </w:r>
      </w:hyperlink>
    </w:p>
    <w:p w14:paraId="31114399" w14:textId="49AB9A31" w:rsidR="008B1ACD" w:rsidRDefault="008B1ACD">
      <w:pPr>
        <w:pStyle w:val="TableofFigures"/>
        <w:rPr>
          <w:rFonts w:eastAsiaTheme="minorEastAsia"/>
          <w:sz w:val="24"/>
          <w:lang w:eastAsia="en-AU"/>
        </w:rPr>
      </w:pPr>
      <w:hyperlink w:anchor="_Toc216695693" w:history="1">
        <w:r w:rsidRPr="007053AD">
          <w:rPr>
            <w:rStyle w:val="Hyperlink"/>
          </w:rPr>
          <w:t>Table 31: Current active constituent approvals for flocoumafen</w:t>
        </w:r>
        <w:r>
          <w:rPr>
            <w:webHidden/>
          </w:rPr>
          <w:tab/>
        </w:r>
        <w:r>
          <w:rPr>
            <w:webHidden/>
          </w:rPr>
          <w:fldChar w:fldCharType="begin"/>
        </w:r>
        <w:r>
          <w:rPr>
            <w:webHidden/>
          </w:rPr>
          <w:instrText xml:space="preserve"> PAGEREF _Toc216695693 \h </w:instrText>
        </w:r>
        <w:r>
          <w:rPr>
            <w:webHidden/>
          </w:rPr>
        </w:r>
        <w:r>
          <w:rPr>
            <w:webHidden/>
          </w:rPr>
          <w:fldChar w:fldCharType="separate"/>
        </w:r>
        <w:r w:rsidR="003861AC">
          <w:rPr>
            <w:webHidden/>
          </w:rPr>
          <w:t>33</w:t>
        </w:r>
        <w:r>
          <w:rPr>
            <w:webHidden/>
          </w:rPr>
          <w:fldChar w:fldCharType="end"/>
        </w:r>
      </w:hyperlink>
    </w:p>
    <w:p w14:paraId="7E5B1042" w14:textId="602EF0BD" w:rsidR="008B1ACD" w:rsidRDefault="008B1ACD">
      <w:pPr>
        <w:pStyle w:val="TableofFigures"/>
        <w:rPr>
          <w:rFonts w:eastAsiaTheme="minorEastAsia"/>
          <w:sz w:val="24"/>
          <w:lang w:eastAsia="en-AU"/>
        </w:rPr>
      </w:pPr>
      <w:hyperlink w:anchor="_Toc216695694" w:history="1">
        <w:r w:rsidRPr="007053AD">
          <w:rPr>
            <w:rStyle w:val="Hyperlink"/>
          </w:rPr>
          <w:t>Table 32: The Active Constituent Standards specification for flocoumafen</w:t>
        </w:r>
        <w:r>
          <w:rPr>
            <w:webHidden/>
          </w:rPr>
          <w:tab/>
        </w:r>
        <w:r>
          <w:rPr>
            <w:webHidden/>
          </w:rPr>
          <w:fldChar w:fldCharType="begin"/>
        </w:r>
        <w:r>
          <w:rPr>
            <w:webHidden/>
          </w:rPr>
          <w:instrText xml:space="preserve"> PAGEREF _Toc216695694 \h </w:instrText>
        </w:r>
        <w:r>
          <w:rPr>
            <w:webHidden/>
          </w:rPr>
        </w:r>
        <w:r>
          <w:rPr>
            <w:webHidden/>
          </w:rPr>
          <w:fldChar w:fldCharType="separate"/>
        </w:r>
        <w:r w:rsidR="003861AC">
          <w:rPr>
            <w:webHidden/>
          </w:rPr>
          <w:t>34</w:t>
        </w:r>
        <w:r>
          <w:rPr>
            <w:webHidden/>
          </w:rPr>
          <w:fldChar w:fldCharType="end"/>
        </w:r>
      </w:hyperlink>
    </w:p>
    <w:p w14:paraId="068B9F5A" w14:textId="541CEFD9" w:rsidR="008B1ACD" w:rsidRDefault="008B1ACD">
      <w:pPr>
        <w:pStyle w:val="TableofFigures"/>
        <w:rPr>
          <w:rFonts w:eastAsiaTheme="minorEastAsia"/>
          <w:sz w:val="24"/>
          <w:lang w:eastAsia="en-AU"/>
        </w:rPr>
      </w:pPr>
      <w:hyperlink w:anchor="_Toc216695695" w:history="1">
        <w:r w:rsidRPr="007053AD">
          <w:rPr>
            <w:rStyle w:val="Hyperlink"/>
          </w:rPr>
          <w:t>Table 33: Nomenclature and structural formula of the active constituent warfarin</w:t>
        </w:r>
        <w:r>
          <w:rPr>
            <w:webHidden/>
          </w:rPr>
          <w:tab/>
        </w:r>
        <w:r>
          <w:rPr>
            <w:webHidden/>
          </w:rPr>
          <w:fldChar w:fldCharType="begin"/>
        </w:r>
        <w:r>
          <w:rPr>
            <w:webHidden/>
          </w:rPr>
          <w:instrText xml:space="preserve"> PAGEREF _Toc216695695 \h </w:instrText>
        </w:r>
        <w:r>
          <w:rPr>
            <w:webHidden/>
          </w:rPr>
        </w:r>
        <w:r>
          <w:rPr>
            <w:webHidden/>
          </w:rPr>
          <w:fldChar w:fldCharType="separate"/>
        </w:r>
        <w:r w:rsidR="003861AC">
          <w:rPr>
            <w:webHidden/>
          </w:rPr>
          <w:t>34</w:t>
        </w:r>
        <w:r>
          <w:rPr>
            <w:webHidden/>
          </w:rPr>
          <w:fldChar w:fldCharType="end"/>
        </w:r>
      </w:hyperlink>
    </w:p>
    <w:p w14:paraId="356CFE69" w14:textId="7169A681" w:rsidR="008B1ACD" w:rsidRDefault="008B1ACD">
      <w:pPr>
        <w:pStyle w:val="TableofFigures"/>
        <w:rPr>
          <w:rFonts w:eastAsiaTheme="minorEastAsia"/>
          <w:sz w:val="24"/>
          <w:lang w:eastAsia="en-AU"/>
        </w:rPr>
      </w:pPr>
      <w:hyperlink w:anchor="_Toc216695696" w:history="1">
        <w:r w:rsidRPr="007053AD">
          <w:rPr>
            <w:rStyle w:val="Hyperlink"/>
          </w:rPr>
          <w:t>Table 34: Key physicochemical properties of the active constituent warfarin</w:t>
        </w:r>
        <w:r>
          <w:rPr>
            <w:webHidden/>
          </w:rPr>
          <w:tab/>
        </w:r>
        <w:r>
          <w:rPr>
            <w:webHidden/>
          </w:rPr>
          <w:fldChar w:fldCharType="begin"/>
        </w:r>
        <w:r>
          <w:rPr>
            <w:webHidden/>
          </w:rPr>
          <w:instrText xml:space="preserve"> PAGEREF _Toc216695696 \h </w:instrText>
        </w:r>
        <w:r>
          <w:rPr>
            <w:webHidden/>
          </w:rPr>
        </w:r>
        <w:r>
          <w:rPr>
            <w:webHidden/>
          </w:rPr>
          <w:fldChar w:fldCharType="separate"/>
        </w:r>
        <w:r w:rsidR="003861AC">
          <w:rPr>
            <w:webHidden/>
          </w:rPr>
          <w:t>35</w:t>
        </w:r>
        <w:r>
          <w:rPr>
            <w:webHidden/>
          </w:rPr>
          <w:fldChar w:fldCharType="end"/>
        </w:r>
      </w:hyperlink>
    </w:p>
    <w:p w14:paraId="3168DD42" w14:textId="253BB3F6" w:rsidR="008B1ACD" w:rsidRDefault="008B1ACD">
      <w:pPr>
        <w:pStyle w:val="TableofFigures"/>
        <w:rPr>
          <w:rFonts w:eastAsiaTheme="minorEastAsia"/>
          <w:sz w:val="24"/>
          <w:lang w:eastAsia="en-AU"/>
        </w:rPr>
      </w:pPr>
      <w:hyperlink w:anchor="_Toc216695697" w:history="1">
        <w:r w:rsidRPr="007053AD">
          <w:rPr>
            <w:rStyle w:val="Hyperlink"/>
          </w:rPr>
          <w:t>Table 35: Current active constituent active constituent approval for warfarin</w:t>
        </w:r>
        <w:r>
          <w:rPr>
            <w:webHidden/>
          </w:rPr>
          <w:tab/>
        </w:r>
        <w:r>
          <w:rPr>
            <w:webHidden/>
          </w:rPr>
          <w:fldChar w:fldCharType="begin"/>
        </w:r>
        <w:r>
          <w:rPr>
            <w:webHidden/>
          </w:rPr>
          <w:instrText xml:space="preserve"> PAGEREF _Toc216695697 \h </w:instrText>
        </w:r>
        <w:r>
          <w:rPr>
            <w:webHidden/>
          </w:rPr>
        </w:r>
        <w:r>
          <w:rPr>
            <w:webHidden/>
          </w:rPr>
          <w:fldChar w:fldCharType="separate"/>
        </w:r>
        <w:r w:rsidR="003861AC">
          <w:rPr>
            <w:webHidden/>
          </w:rPr>
          <w:t>35</w:t>
        </w:r>
        <w:r>
          <w:rPr>
            <w:webHidden/>
          </w:rPr>
          <w:fldChar w:fldCharType="end"/>
        </w:r>
      </w:hyperlink>
    </w:p>
    <w:p w14:paraId="1EFD0206" w14:textId="390FCC08" w:rsidR="008B1ACD" w:rsidRDefault="008B1ACD">
      <w:pPr>
        <w:pStyle w:val="TableofFigures"/>
        <w:rPr>
          <w:rFonts w:eastAsiaTheme="minorEastAsia"/>
          <w:sz w:val="24"/>
          <w:lang w:eastAsia="en-AU"/>
        </w:rPr>
      </w:pPr>
      <w:hyperlink w:anchor="_Toc216695698" w:history="1">
        <w:r w:rsidRPr="007053AD">
          <w:rPr>
            <w:rStyle w:val="Hyperlink"/>
          </w:rPr>
          <w:t>Table 36: The Active Constituent Standards specification for warfarin active constituent</w:t>
        </w:r>
        <w:r>
          <w:rPr>
            <w:webHidden/>
          </w:rPr>
          <w:tab/>
        </w:r>
        <w:r>
          <w:rPr>
            <w:webHidden/>
          </w:rPr>
          <w:fldChar w:fldCharType="begin"/>
        </w:r>
        <w:r>
          <w:rPr>
            <w:webHidden/>
          </w:rPr>
          <w:instrText xml:space="preserve"> PAGEREF _Toc216695698 \h </w:instrText>
        </w:r>
        <w:r>
          <w:rPr>
            <w:webHidden/>
          </w:rPr>
        </w:r>
        <w:r>
          <w:rPr>
            <w:webHidden/>
          </w:rPr>
          <w:fldChar w:fldCharType="separate"/>
        </w:r>
        <w:r w:rsidR="003861AC">
          <w:rPr>
            <w:webHidden/>
          </w:rPr>
          <w:t>36</w:t>
        </w:r>
        <w:r>
          <w:rPr>
            <w:webHidden/>
          </w:rPr>
          <w:fldChar w:fldCharType="end"/>
        </w:r>
      </w:hyperlink>
    </w:p>
    <w:p w14:paraId="6B4359DF" w14:textId="2D969583" w:rsidR="008B1ACD" w:rsidRDefault="008B1ACD">
      <w:pPr>
        <w:pStyle w:val="TableofFigures"/>
        <w:rPr>
          <w:rFonts w:eastAsiaTheme="minorEastAsia"/>
          <w:sz w:val="24"/>
          <w:lang w:eastAsia="en-AU"/>
        </w:rPr>
      </w:pPr>
      <w:hyperlink w:anchor="_Toc216695699" w:history="1">
        <w:r w:rsidRPr="007053AD">
          <w:rPr>
            <w:rStyle w:val="Hyperlink"/>
          </w:rPr>
          <w:t>Table 37: Current registered products containing brodifacoum</w:t>
        </w:r>
        <w:r>
          <w:rPr>
            <w:webHidden/>
          </w:rPr>
          <w:tab/>
        </w:r>
        <w:r>
          <w:rPr>
            <w:webHidden/>
          </w:rPr>
          <w:fldChar w:fldCharType="begin"/>
        </w:r>
        <w:r>
          <w:rPr>
            <w:webHidden/>
          </w:rPr>
          <w:instrText xml:space="preserve"> PAGEREF _Toc216695699 \h </w:instrText>
        </w:r>
        <w:r>
          <w:rPr>
            <w:webHidden/>
          </w:rPr>
        </w:r>
        <w:r>
          <w:rPr>
            <w:webHidden/>
          </w:rPr>
          <w:fldChar w:fldCharType="separate"/>
        </w:r>
        <w:r w:rsidR="003861AC">
          <w:rPr>
            <w:webHidden/>
          </w:rPr>
          <w:t>37</w:t>
        </w:r>
        <w:r>
          <w:rPr>
            <w:webHidden/>
          </w:rPr>
          <w:fldChar w:fldCharType="end"/>
        </w:r>
      </w:hyperlink>
    </w:p>
    <w:p w14:paraId="11DBBAF9" w14:textId="683A52B8" w:rsidR="008B1ACD" w:rsidRDefault="008B1ACD">
      <w:pPr>
        <w:pStyle w:val="TableofFigures"/>
        <w:rPr>
          <w:rFonts w:eastAsiaTheme="minorEastAsia"/>
          <w:sz w:val="24"/>
          <w:lang w:eastAsia="en-AU"/>
        </w:rPr>
      </w:pPr>
      <w:hyperlink w:anchor="_Toc216695700" w:history="1">
        <w:r w:rsidRPr="007053AD">
          <w:rPr>
            <w:rStyle w:val="Hyperlink"/>
          </w:rPr>
          <w:t>Table 38: Current registered products containing bromadiolone</w:t>
        </w:r>
        <w:r>
          <w:rPr>
            <w:webHidden/>
          </w:rPr>
          <w:tab/>
        </w:r>
        <w:r>
          <w:rPr>
            <w:webHidden/>
          </w:rPr>
          <w:fldChar w:fldCharType="begin"/>
        </w:r>
        <w:r>
          <w:rPr>
            <w:webHidden/>
          </w:rPr>
          <w:instrText xml:space="preserve"> PAGEREF _Toc216695700 \h </w:instrText>
        </w:r>
        <w:r>
          <w:rPr>
            <w:webHidden/>
          </w:rPr>
        </w:r>
        <w:r>
          <w:rPr>
            <w:webHidden/>
          </w:rPr>
          <w:fldChar w:fldCharType="separate"/>
        </w:r>
        <w:r w:rsidR="003861AC">
          <w:rPr>
            <w:webHidden/>
          </w:rPr>
          <w:t>44</w:t>
        </w:r>
        <w:r>
          <w:rPr>
            <w:webHidden/>
          </w:rPr>
          <w:fldChar w:fldCharType="end"/>
        </w:r>
      </w:hyperlink>
    </w:p>
    <w:p w14:paraId="35A098C8" w14:textId="0FF5726A" w:rsidR="008B1ACD" w:rsidRDefault="008B1ACD">
      <w:pPr>
        <w:pStyle w:val="TableofFigures"/>
        <w:rPr>
          <w:rFonts w:eastAsiaTheme="minorEastAsia"/>
          <w:sz w:val="24"/>
          <w:lang w:eastAsia="en-AU"/>
        </w:rPr>
      </w:pPr>
      <w:hyperlink w:anchor="_Toc216695701" w:history="1">
        <w:r w:rsidRPr="007053AD">
          <w:rPr>
            <w:rStyle w:val="Hyperlink"/>
          </w:rPr>
          <w:t>Table 39: Current registered products containing both bromadiolone and difenacoum</w:t>
        </w:r>
        <w:r>
          <w:rPr>
            <w:webHidden/>
          </w:rPr>
          <w:tab/>
        </w:r>
        <w:r>
          <w:rPr>
            <w:webHidden/>
          </w:rPr>
          <w:fldChar w:fldCharType="begin"/>
        </w:r>
        <w:r>
          <w:rPr>
            <w:webHidden/>
          </w:rPr>
          <w:instrText xml:space="preserve"> PAGEREF _Toc216695701 \h </w:instrText>
        </w:r>
        <w:r>
          <w:rPr>
            <w:webHidden/>
          </w:rPr>
        </w:r>
        <w:r>
          <w:rPr>
            <w:webHidden/>
          </w:rPr>
          <w:fldChar w:fldCharType="separate"/>
        </w:r>
        <w:r w:rsidR="003861AC">
          <w:rPr>
            <w:webHidden/>
          </w:rPr>
          <w:t>46</w:t>
        </w:r>
        <w:r>
          <w:rPr>
            <w:webHidden/>
          </w:rPr>
          <w:fldChar w:fldCharType="end"/>
        </w:r>
      </w:hyperlink>
    </w:p>
    <w:p w14:paraId="6D11FE94" w14:textId="001CDAFF" w:rsidR="008B1ACD" w:rsidRDefault="008B1ACD">
      <w:pPr>
        <w:pStyle w:val="TableofFigures"/>
        <w:rPr>
          <w:rFonts w:eastAsiaTheme="minorEastAsia"/>
          <w:sz w:val="24"/>
          <w:lang w:eastAsia="en-AU"/>
        </w:rPr>
      </w:pPr>
      <w:hyperlink w:anchor="_Toc216695702" w:history="1">
        <w:r w:rsidRPr="007053AD">
          <w:rPr>
            <w:rStyle w:val="Hyperlink"/>
          </w:rPr>
          <w:t>Table 40: Current registered products containing coumatetralyl</w:t>
        </w:r>
        <w:r>
          <w:rPr>
            <w:webHidden/>
          </w:rPr>
          <w:tab/>
        </w:r>
        <w:r>
          <w:rPr>
            <w:webHidden/>
          </w:rPr>
          <w:fldChar w:fldCharType="begin"/>
        </w:r>
        <w:r>
          <w:rPr>
            <w:webHidden/>
          </w:rPr>
          <w:instrText xml:space="preserve"> PAGEREF _Toc216695702 \h </w:instrText>
        </w:r>
        <w:r>
          <w:rPr>
            <w:webHidden/>
          </w:rPr>
        </w:r>
        <w:r>
          <w:rPr>
            <w:webHidden/>
          </w:rPr>
          <w:fldChar w:fldCharType="separate"/>
        </w:r>
        <w:r w:rsidR="003861AC">
          <w:rPr>
            <w:webHidden/>
          </w:rPr>
          <w:t>47</w:t>
        </w:r>
        <w:r>
          <w:rPr>
            <w:webHidden/>
          </w:rPr>
          <w:fldChar w:fldCharType="end"/>
        </w:r>
      </w:hyperlink>
    </w:p>
    <w:p w14:paraId="6660705F" w14:textId="133BE95A" w:rsidR="008B1ACD" w:rsidRDefault="008B1ACD">
      <w:pPr>
        <w:pStyle w:val="TableofFigures"/>
        <w:rPr>
          <w:rFonts w:eastAsiaTheme="minorEastAsia"/>
          <w:sz w:val="24"/>
          <w:lang w:eastAsia="en-AU"/>
        </w:rPr>
      </w:pPr>
      <w:hyperlink w:anchor="_Toc216695703" w:history="1">
        <w:r w:rsidRPr="007053AD">
          <w:rPr>
            <w:rStyle w:val="Hyperlink"/>
          </w:rPr>
          <w:t>Table 41: Current registered products containing difenacoum</w:t>
        </w:r>
        <w:r>
          <w:rPr>
            <w:webHidden/>
          </w:rPr>
          <w:tab/>
        </w:r>
        <w:r>
          <w:rPr>
            <w:webHidden/>
          </w:rPr>
          <w:fldChar w:fldCharType="begin"/>
        </w:r>
        <w:r>
          <w:rPr>
            <w:webHidden/>
          </w:rPr>
          <w:instrText xml:space="preserve"> PAGEREF _Toc216695703 \h </w:instrText>
        </w:r>
        <w:r>
          <w:rPr>
            <w:webHidden/>
          </w:rPr>
        </w:r>
        <w:r>
          <w:rPr>
            <w:webHidden/>
          </w:rPr>
          <w:fldChar w:fldCharType="separate"/>
        </w:r>
        <w:r w:rsidR="003861AC">
          <w:rPr>
            <w:webHidden/>
          </w:rPr>
          <w:t>48</w:t>
        </w:r>
        <w:r>
          <w:rPr>
            <w:webHidden/>
          </w:rPr>
          <w:fldChar w:fldCharType="end"/>
        </w:r>
      </w:hyperlink>
    </w:p>
    <w:p w14:paraId="1CC3C90D" w14:textId="0446F955" w:rsidR="008B1ACD" w:rsidRDefault="008B1ACD">
      <w:pPr>
        <w:pStyle w:val="TableofFigures"/>
        <w:rPr>
          <w:rFonts w:eastAsiaTheme="minorEastAsia"/>
          <w:sz w:val="24"/>
          <w:lang w:eastAsia="en-AU"/>
        </w:rPr>
      </w:pPr>
      <w:hyperlink w:anchor="_Toc216695704" w:history="1">
        <w:r w:rsidRPr="007053AD">
          <w:rPr>
            <w:rStyle w:val="Hyperlink"/>
          </w:rPr>
          <w:t>Table 42: Current registered products containing difethialone</w:t>
        </w:r>
        <w:r>
          <w:rPr>
            <w:webHidden/>
          </w:rPr>
          <w:tab/>
        </w:r>
        <w:r>
          <w:rPr>
            <w:webHidden/>
          </w:rPr>
          <w:fldChar w:fldCharType="begin"/>
        </w:r>
        <w:r>
          <w:rPr>
            <w:webHidden/>
          </w:rPr>
          <w:instrText xml:space="preserve"> PAGEREF _Toc216695704 \h </w:instrText>
        </w:r>
        <w:r>
          <w:rPr>
            <w:webHidden/>
          </w:rPr>
        </w:r>
        <w:r>
          <w:rPr>
            <w:webHidden/>
          </w:rPr>
          <w:fldChar w:fldCharType="separate"/>
        </w:r>
        <w:r w:rsidR="003861AC">
          <w:rPr>
            <w:webHidden/>
          </w:rPr>
          <w:t>51</w:t>
        </w:r>
        <w:r>
          <w:rPr>
            <w:webHidden/>
          </w:rPr>
          <w:fldChar w:fldCharType="end"/>
        </w:r>
      </w:hyperlink>
    </w:p>
    <w:p w14:paraId="1E04B7B7" w14:textId="4030C0A1" w:rsidR="008B1ACD" w:rsidRDefault="008B1ACD">
      <w:pPr>
        <w:pStyle w:val="TableofFigures"/>
        <w:rPr>
          <w:rFonts w:eastAsiaTheme="minorEastAsia"/>
          <w:sz w:val="24"/>
          <w:lang w:eastAsia="en-AU"/>
        </w:rPr>
      </w:pPr>
      <w:hyperlink w:anchor="_Toc216695705" w:history="1">
        <w:r w:rsidRPr="007053AD">
          <w:rPr>
            <w:rStyle w:val="Hyperlink"/>
          </w:rPr>
          <w:t>Table 43: Current registered products containing diphacinone</w:t>
        </w:r>
        <w:r>
          <w:rPr>
            <w:webHidden/>
          </w:rPr>
          <w:tab/>
        </w:r>
        <w:r>
          <w:rPr>
            <w:webHidden/>
          </w:rPr>
          <w:fldChar w:fldCharType="begin"/>
        </w:r>
        <w:r>
          <w:rPr>
            <w:webHidden/>
          </w:rPr>
          <w:instrText xml:space="preserve"> PAGEREF _Toc216695705 \h </w:instrText>
        </w:r>
        <w:r>
          <w:rPr>
            <w:webHidden/>
          </w:rPr>
        </w:r>
        <w:r>
          <w:rPr>
            <w:webHidden/>
          </w:rPr>
          <w:fldChar w:fldCharType="separate"/>
        </w:r>
        <w:r w:rsidR="003861AC">
          <w:rPr>
            <w:webHidden/>
          </w:rPr>
          <w:t>52</w:t>
        </w:r>
        <w:r>
          <w:rPr>
            <w:webHidden/>
          </w:rPr>
          <w:fldChar w:fldCharType="end"/>
        </w:r>
      </w:hyperlink>
    </w:p>
    <w:p w14:paraId="36089F9A" w14:textId="1A93A434" w:rsidR="008B1ACD" w:rsidRDefault="008B1ACD">
      <w:pPr>
        <w:pStyle w:val="TableofFigures"/>
        <w:rPr>
          <w:rFonts w:eastAsiaTheme="minorEastAsia"/>
          <w:sz w:val="24"/>
          <w:lang w:eastAsia="en-AU"/>
        </w:rPr>
      </w:pPr>
      <w:hyperlink w:anchor="_Toc216695706" w:history="1">
        <w:r w:rsidRPr="007053AD">
          <w:rPr>
            <w:rStyle w:val="Hyperlink"/>
          </w:rPr>
          <w:t>Table 44: Current registered products containing flocoumafen</w:t>
        </w:r>
        <w:r>
          <w:rPr>
            <w:webHidden/>
          </w:rPr>
          <w:tab/>
        </w:r>
        <w:r>
          <w:rPr>
            <w:webHidden/>
          </w:rPr>
          <w:fldChar w:fldCharType="begin"/>
        </w:r>
        <w:r>
          <w:rPr>
            <w:webHidden/>
          </w:rPr>
          <w:instrText xml:space="preserve"> PAGEREF _Toc216695706 \h </w:instrText>
        </w:r>
        <w:r>
          <w:rPr>
            <w:webHidden/>
          </w:rPr>
        </w:r>
        <w:r>
          <w:rPr>
            <w:webHidden/>
          </w:rPr>
          <w:fldChar w:fldCharType="separate"/>
        </w:r>
        <w:r w:rsidR="003861AC">
          <w:rPr>
            <w:webHidden/>
          </w:rPr>
          <w:t>52</w:t>
        </w:r>
        <w:r>
          <w:rPr>
            <w:webHidden/>
          </w:rPr>
          <w:fldChar w:fldCharType="end"/>
        </w:r>
      </w:hyperlink>
    </w:p>
    <w:p w14:paraId="03DFB2A9" w14:textId="3A6DC1B6" w:rsidR="008B1ACD" w:rsidRDefault="008B1ACD">
      <w:pPr>
        <w:pStyle w:val="TableofFigures"/>
        <w:rPr>
          <w:rFonts w:eastAsiaTheme="minorEastAsia"/>
          <w:sz w:val="24"/>
          <w:lang w:eastAsia="en-AU"/>
        </w:rPr>
      </w:pPr>
      <w:hyperlink w:anchor="_Toc216695707" w:history="1">
        <w:r w:rsidRPr="007053AD">
          <w:rPr>
            <w:rStyle w:val="Hyperlink"/>
          </w:rPr>
          <w:t>Table 45 Current registered products containing warfarin</w:t>
        </w:r>
        <w:r>
          <w:rPr>
            <w:webHidden/>
          </w:rPr>
          <w:tab/>
        </w:r>
        <w:r>
          <w:rPr>
            <w:webHidden/>
          </w:rPr>
          <w:fldChar w:fldCharType="begin"/>
        </w:r>
        <w:r>
          <w:rPr>
            <w:webHidden/>
          </w:rPr>
          <w:instrText xml:space="preserve"> PAGEREF _Toc216695707 \h </w:instrText>
        </w:r>
        <w:r>
          <w:rPr>
            <w:webHidden/>
          </w:rPr>
        </w:r>
        <w:r>
          <w:rPr>
            <w:webHidden/>
          </w:rPr>
          <w:fldChar w:fldCharType="separate"/>
        </w:r>
        <w:r w:rsidR="003861AC">
          <w:rPr>
            <w:webHidden/>
          </w:rPr>
          <w:t>53</w:t>
        </w:r>
        <w:r>
          <w:rPr>
            <w:webHidden/>
          </w:rPr>
          <w:fldChar w:fldCharType="end"/>
        </w:r>
      </w:hyperlink>
    </w:p>
    <w:p w14:paraId="37D5BD76" w14:textId="543092DD" w:rsidR="008B1ACD" w:rsidRDefault="008B1ACD">
      <w:pPr>
        <w:pStyle w:val="TableofFigures"/>
        <w:rPr>
          <w:rFonts w:eastAsiaTheme="minorEastAsia"/>
          <w:sz w:val="24"/>
          <w:lang w:eastAsia="en-AU"/>
        </w:rPr>
      </w:pPr>
      <w:hyperlink w:anchor="_Toc216695708" w:history="1">
        <w:r w:rsidRPr="007053AD">
          <w:rPr>
            <w:rStyle w:val="Hyperlink"/>
          </w:rPr>
          <w:t>Table 46: Use rates in and around buildings</w:t>
        </w:r>
        <w:r>
          <w:rPr>
            <w:webHidden/>
          </w:rPr>
          <w:tab/>
        </w:r>
        <w:r>
          <w:rPr>
            <w:webHidden/>
          </w:rPr>
          <w:fldChar w:fldCharType="begin"/>
        </w:r>
        <w:r>
          <w:rPr>
            <w:webHidden/>
          </w:rPr>
          <w:instrText xml:space="preserve"> PAGEREF _Toc216695708 \h </w:instrText>
        </w:r>
        <w:r>
          <w:rPr>
            <w:webHidden/>
          </w:rPr>
        </w:r>
        <w:r>
          <w:rPr>
            <w:webHidden/>
          </w:rPr>
          <w:fldChar w:fldCharType="separate"/>
        </w:r>
        <w:r w:rsidR="003861AC">
          <w:rPr>
            <w:webHidden/>
          </w:rPr>
          <w:t>64</w:t>
        </w:r>
        <w:r>
          <w:rPr>
            <w:webHidden/>
          </w:rPr>
          <w:fldChar w:fldCharType="end"/>
        </w:r>
      </w:hyperlink>
    </w:p>
    <w:p w14:paraId="1DD216F6" w14:textId="344A373A" w:rsidR="008B1ACD" w:rsidRDefault="008B1ACD">
      <w:pPr>
        <w:pStyle w:val="TableofFigures"/>
        <w:rPr>
          <w:rFonts w:eastAsiaTheme="minorEastAsia"/>
          <w:sz w:val="24"/>
          <w:lang w:eastAsia="en-AU"/>
        </w:rPr>
      </w:pPr>
      <w:hyperlink w:anchor="_Toc216695709" w:history="1">
        <w:r w:rsidRPr="007053AD">
          <w:rPr>
            <w:rStyle w:val="Hyperlink"/>
          </w:rPr>
          <w:t>Table 47: Use rates in agricultural crops</w:t>
        </w:r>
        <w:r>
          <w:rPr>
            <w:webHidden/>
          </w:rPr>
          <w:tab/>
        </w:r>
        <w:r>
          <w:rPr>
            <w:webHidden/>
          </w:rPr>
          <w:fldChar w:fldCharType="begin"/>
        </w:r>
        <w:r>
          <w:rPr>
            <w:webHidden/>
          </w:rPr>
          <w:instrText xml:space="preserve"> PAGEREF _Toc216695709 \h </w:instrText>
        </w:r>
        <w:r>
          <w:rPr>
            <w:webHidden/>
          </w:rPr>
        </w:r>
        <w:r>
          <w:rPr>
            <w:webHidden/>
          </w:rPr>
          <w:fldChar w:fldCharType="separate"/>
        </w:r>
        <w:r w:rsidR="003861AC">
          <w:rPr>
            <w:webHidden/>
          </w:rPr>
          <w:t>65</w:t>
        </w:r>
        <w:r>
          <w:rPr>
            <w:webHidden/>
          </w:rPr>
          <w:fldChar w:fldCharType="end"/>
        </w:r>
      </w:hyperlink>
    </w:p>
    <w:p w14:paraId="1FC78C99" w14:textId="029EF884" w:rsidR="008B1ACD" w:rsidRDefault="008B1ACD">
      <w:pPr>
        <w:pStyle w:val="TableofFigures"/>
        <w:rPr>
          <w:rFonts w:eastAsiaTheme="minorEastAsia"/>
          <w:sz w:val="24"/>
          <w:lang w:eastAsia="en-AU"/>
        </w:rPr>
      </w:pPr>
      <w:hyperlink w:anchor="_Toc216695710" w:history="1">
        <w:r w:rsidRPr="007053AD">
          <w:rPr>
            <w:rStyle w:val="Hyperlink"/>
          </w:rPr>
          <w:t>Table 48: Use rates in sewers</w:t>
        </w:r>
        <w:r>
          <w:rPr>
            <w:webHidden/>
          </w:rPr>
          <w:tab/>
        </w:r>
        <w:r>
          <w:rPr>
            <w:webHidden/>
          </w:rPr>
          <w:fldChar w:fldCharType="begin"/>
        </w:r>
        <w:r>
          <w:rPr>
            <w:webHidden/>
          </w:rPr>
          <w:instrText xml:space="preserve"> PAGEREF _Toc216695710 \h </w:instrText>
        </w:r>
        <w:r>
          <w:rPr>
            <w:webHidden/>
          </w:rPr>
        </w:r>
        <w:r>
          <w:rPr>
            <w:webHidden/>
          </w:rPr>
          <w:fldChar w:fldCharType="separate"/>
        </w:r>
        <w:r w:rsidR="003861AC">
          <w:rPr>
            <w:webHidden/>
          </w:rPr>
          <w:t>65</w:t>
        </w:r>
        <w:r>
          <w:rPr>
            <w:webHidden/>
          </w:rPr>
          <w:fldChar w:fldCharType="end"/>
        </w:r>
      </w:hyperlink>
    </w:p>
    <w:p w14:paraId="45698A05" w14:textId="3B513D6E" w:rsidR="008B1ACD" w:rsidRDefault="008B1ACD">
      <w:pPr>
        <w:pStyle w:val="TableofFigures"/>
        <w:rPr>
          <w:rFonts w:eastAsiaTheme="minorEastAsia"/>
          <w:sz w:val="24"/>
          <w:lang w:eastAsia="en-AU"/>
        </w:rPr>
      </w:pPr>
      <w:hyperlink w:anchor="_Toc216695711" w:history="1">
        <w:r w:rsidRPr="007053AD">
          <w:rPr>
            <w:rStyle w:val="Hyperlink"/>
          </w:rPr>
          <w:t>Table 49: Relevant scenarios for assessing non-target primary and secondary poisoning</w:t>
        </w:r>
        <w:r>
          <w:rPr>
            <w:webHidden/>
          </w:rPr>
          <w:tab/>
        </w:r>
        <w:r>
          <w:rPr>
            <w:webHidden/>
          </w:rPr>
          <w:fldChar w:fldCharType="begin"/>
        </w:r>
        <w:r>
          <w:rPr>
            <w:webHidden/>
          </w:rPr>
          <w:instrText xml:space="preserve"> PAGEREF _Toc216695711 \h </w:instrText>
        </w:r>
        <w:r>
          <w:rPr>
            <w:webHidden/>
          </w:rPr>
        </w:r>
        <w:r>
          <w:rPr>
            <w:webHidden/>
          </w:rPr>
          <w:fldChar w:fldCharType="separate"/>
        </w:r>
        <w:r w:rsidR="003861AC">
          <w:rPr>
            <w:webHidden/>
          </w:rPr>
          <w:t>66</w:t>
        </w:r>
        <w:r>
          <w:rPr>
            <w:webHidden/>
          </w:rPr>
          <w:fldChar w:fldCharType="end"/>
        </w:r>
      </w:hyperlink>
    </w:p>
    <w:p w14:paraId="7CE0C3BF" w14:textId="5EA53742" w:rsidR="008B1ACD" w:rsidRDefault="008B1ACD">
      <w:pPr>
        <w:pStyle w:val="TableofFigures"/>
        <w:rPr>
          <w:rFonts w:eastAsiaTheme="minorEastAsia"/>
          <w:sz w:val="24"/>
          <w:lang w:eastAsia="en-AU"/>
        </w:rPr>
      </w:pPr>
      <w:hyperlink w:anchor="_Toc216695712" w:history="1">
        <w:r w:rsidRPr="007053AD">
          <w:rPr>
            <w:rStyle w:val="Hyperlink"/>
          </w:rPr>
          <w:t>Table 50: Relevant scenarios for exposure of aquatic species</w:t>
        </w:r>
        <w:r>
          <w:rPr>
            <w:webHidden/>
          </w:rPr>
          <w:tab/>
        </w:r>
        <w:r>
          <w:rPr>
            <w:webHidden/>
          </w:rPr>
          <w:fldChar w:fldCharType="begin"/>
        </w:r>
        <w:r>
          <w:rPr>
            <w:webHidden/>
          </w:rPr>
          <w:instrText xml:space="preserve"> PAGEREF _Toc216695712 \h </w:instrText>
        </w:r>
        <w:r>
          <w:rPr>
            <w:webHidden/>
          </w:rPr>
        </w:r>
        <w:r>
          <w:rPr>
            <w:webHidden/>
          </w:rPr>
          <w:fldChar w:fldCharType="separate"/>
        </w:r>
        <w:r w:rsidR="003861AC">
          <w:rPr>
            <w:webHidden/>
          </w:rPr>
          <w:t>71</w:t>
        </w:r>
        <w:r>
          <w:rPr>
            <w:webHidden/>
          </w:rPr>
          <w:fldChar w:fldCharType="end"/>
        </w:r>
      </w:hyperlink>
    </w:p>
    <w:p w14:paraId="55C25FBC" w14:textId="2437A274" w:rsidR="008B1ACD" w:rsidRDefault="008B1ACD">
      <w:pPr>
        <w:pStyle w:val="TableofFigures"/>
        <w:rPr>
          <w:rFonts w:eastAsiaTheme="minorEastAsia"/>
          <w:sz w:val="24"/>
          <w:lang w:eastAsia="en-AU"/>
        </w:rPr>
      </w:pPr>
      <w:hyperlink w:anchor="_Toc216695713" w:history="1">
        <w:r w:rsidRPr="007053AD">
          <w:rPr>
            <w:rStyle w:val="Hyperlink"/>
          </w:rPr>
          <w:t>Table 51: Default input parameters for predicting surface water concentrations (use in sewers)</w:t>
        </w:r>
        <w:r>
          <w:rPr>
            <w:webHidden/>
          </w:rPr>
          <w:tab/>
        </w:r>
        <w:r>
          <w:rPr>
            <w:webHidden/>
          </w:rPr>
          <w:fldChar w:fldCharType="begin"/>
        </w:r>
        <w:r>
          <w:rPr>
            <w:webHidden/>
          </w:rPr>
          <w:instrText xml:space="preserve"> PAGEREF _Toc216695713 \h </w:instrText>
        </w:r>
        <w:r>
          <w:rPr>
            <w:webHidden/>
          </w:rPr>
        </w:r>
        <w:r>
          <w:rPr>
            <w:webHidden/>
          </w:rPr>
          <w:fldChar w:fldCharType="separate"/>
        </w:r>
        <w:r w:rsidR="003861AC">
          <w:rPr>
            <w:webHidden/>
          </w:rPr>
          <w:t>72</w:t>
        </w:r>
        <w:r>
          <w:rPr>
            <w:webHidden/>
          </w:rPr>
          <w:fldChar w:fldCharType="end"/>
        </w:r>
      </w:hyperlink>
    </w:p>
    <w:p w14:paraId="1CDF9820" w14:textId="50639BF0" w:rsidR="008B1ACD" w:rsidRDefault="008B1ACD">
      <w:pPr>
        <w:pStyle w:val="TableofFigures"/>
        <w:rPr>
          <w:rFonts w:eastAsiaTheme="minorEastAsia"/>
          <w:sz w:val="24"/>
          <w:lang w:eastAsia="en-AU"/>
        </w:rPr>
      </w:pPr>
      <w:hyperlink w:anchor="_Toc216695714" w:history="1">
        <w:r w:rsidRPr="007053AD">
          <w:rPr>
            <w:rStyle w:val="Hyperlink"/>
          </w:rPr>
          <w:t>Table 52: Predicted surface water concentrations (use in sewers)</w:t>
        </w:r>
        <w:r>
          <w:rPr>
            <w:webHidden/>
          </w:rPr>
          <w:tab/>
        </w:r>
        <w:r>
          <w:rPr>
            <w:webHidden/>
          </w:rPr>
          <w:fldChar w:fldCharType="begin"/>
        </w:r>
        <w:r>
          <w:rPr>
            <w:webHidden/>
          </w:rPr>
          <w:instrText xml:space="preserve"> PAGEREF _Toc216695714 \h </w:instrText>
        </w:r>
        <w:r>
          <w:rPr>
            <w:webHidden/>
          </w:rPr>
        </w:r>
        <w:r>
          <w:rPr>
            <w:webHidden/>
          </w:rPr>
          <w:fldChar w:fldCharType="separate"/>
        </w:r>
        <w:r w:rsidR="003861AC">
          <w:rPr>
            <w:webHidden/>
          </w:rPr>
          <w:t>72</w:t>
        </w:r>
        <w:r>
          <w:rPr>
            <w:webHidden/>
          </w:rPr>
          <w:fldChar w:fldCharType="end"/>
        </w:r>
      </w:hyperlink>
    </w:p>
    <w:p w14:paraId="48DBBB85" w14:textId="08F4ACE4" w:rsidR="008B1ACD" w:rsidRDefault="008B1ACD">
      <w:pPr>
        <w:pStyle w:val="TableofFigures"/>
        <w:rPr>
          <w:rFonts w:eastAsiaTheme="minorEastAsia"/>
          <w:sz w:val="24"/>
          <w:lang w:eastAsia="en-AU"/>
        </w:rPr>
      </w:pPr>
      <w:hyperlink w:anchor="_Toc216695715" w:history="1">
        <w:r w:rsidRPr="007053AD">
          <w:rPr>
            <w:rStyle w:val="Hyperlink"/>
          </w:rPr>
          <w:t>Table 53: Risks of anticoagulant rodenticides to aquatic species</w:t>
        </w:r>
        <w:r>
          <w:rPr>
            <w:webHidden/>
          </w:rPr>
          <w:tab/>
        </w:r>
        <w:r>
          <w:rPr>
            <w:webHidden/>
          </w:rPr>
          <w:fldChar w:fldCharType="begin"/>
        </w:r>
        <w:r>
          <w:rPr>
            <w:webHidden/>
          </w:rPr>
          <w:instrText xml:space="preserve"> PAGEREF _Toc216695715 \h </w:instrText>
        </w:r>
        <w:r>
          <w:rPr>
            <w:webHidden/>
          </w:rPr>
        </w:r>
        <w:r>
          <w:rPr>
            <w:webHidden/>
          </w:rPr>
          <w:fldChar w:fldCharType="separate"/>
        </w:r>
        <w:r w:rsidR="003861AC">
          <w:rPr>
            <w:webHidden/>
          </w:rPr>
          <w:t>73</w:t>
        </w:r>
        <w:r>
          <w:rPr>
            <w:webHidden/>
          </w:rPr>
          <w:fldChar w:fldCharType="end"/>
        </w:r>
      </w:hyperlink>
    </w:p>
    <w:p w14:paraId="30B5CA7D" w14:textId="6CD44EE8" w:rsidR="008B1ACD" w:rsidRDefault="008B1ACD">
      <w:pPr>
        <w:pStyle w:val="TableofFigures"/>
        <w:rPr>
          <w:rFonts w:eastAsiaTheme="minorEastAsia"/>
          <w:sz w:val="24"/>
          <w:lang w:eastAsia="en-AU"/>
        </w:rPr>
      </w:pPr>
      <w:hyperlink w:anchor="_Toc216695716" w:history="1">
        <w:r w:rsidRPr="007053AD">
          <w:rPr>
            <w:rStyle w:val="Hyperlink"/>
          </w:rPr>
          <w:t>Table 54: Relevant scenarios for exposure of soil organisms</w:t>
        </w:r>
        <w:r>
          <w:rPr>
            <w:webHidden/>
          </w:rPr>
          <w:tab/>
        </w:r>
        <w:r>
          <w:rPr>
            <w:webHidden/>
          </w:rPr>
          <w:fldChar w:fldCharType="begin"/>
        </w:r>
        <w:r>
          <w:rPr>
            <w:webHidden/>
          </w:rPr>
          <w:instrText xml:space="preserve"> PAGEREF _Toc216695716 \h </w:instrText>
        </w:r>
        <w:r>
          <w:rPr>
            <w:webHidden/>
          </w:rPr>
        </w:r>
        <w:r>
          <w:rPr>
            <w:webHidden/>
          </w:rPr>
          <w:fldChar w:fldCharType="separate"/>
        </w:r>
        <w:r w:rsidR="003861AC">
          <w:rPr>
            <w:webHidden/>
          </w:rPr>
          <w:t>74</w:t>
        </w:r>
        <w:r>
          <w:rPr>
            <w:webHidden/>
          </w:rPr>
          <w:fldChar w:fldCharType="end"/>
        </w:r>
      </w:hyperlink>
    </w:p>
    <w:p w14:paraId="4925E9D6" w14:textId="7101C505" w:rsidR="008B1ACD" w:rsidRDefault="008B1ACD">
      <w:pPr>
        <w:pStyle w:val="TableofFigures"/>
        <w:rPr>
          <w:rFonts w:eastAsiaTheme="minorEastAsia"/>
          <w:sz w:val="24"/>
          <w:lang w:eastAsia="en-AU"/>
        </w:rPr>
      </w:pPr>
      <w:hyperlink w:anchor="_Toc216695717" w:history="1">
        <w:r w:rsidRPr="007053AD">
          <w:rPr>
            <w:rStyle w:val="Hyperlink"/>
          </w:rPr>
          <w:t>Table 55: Default input parameters for predicting soil concentrations</w:t>
        </w:r>
        <w:r>
          <w:rPr>
            <w:webHidden/>
          </w:rPr>
          <w:tab/>
        </w:r>
        <w:r>
          <w:rPr>
            <w:webHidden/>
          </w:rPr>
          <w:fldChar w:fldCharType="begin"/>
        </w:r>
        <w:r>
          <w:rPr>
            <w:webHidden/>
          </w:rPr>
          <w:instrText xml:space="preserve"> PAGEREF _Toc216695717 \h </w:instrText>
        </w:r>
        <w:r>
          <w:rPr>
            <w:webHidden/>
          </w:rPr>
        </w:r>
        <w:r>
          <w:rPr>
            <w:webHidden/>
          </w:rPr>
          <w:fldChar w:fldCharType="separate"/>
        </w:r>
        <w:r w:rsidR="003861AC">
          <w:rPr>
            <w:webHidden/>
          </w:rPr>
          <w:t>74</w:t>
        </w:r>
        <w:r>
          <w:rPr>
            <w:webHidden/>
          </w:rPr>
          <w:fldChar w:fldCharType="end"/>
        </w:r>
      </w:hyperlink>
    </w:p>
    <w:p w14:paraId="4E889B12" w14:textId="7CD9E490" w:rsidR="008B1ACD" w:rsidRDefault="008B1ACD">
      <w:pPr>
        <w:pStyle w:val="TableofFigures"/>
        <w:rPr>
          <w:rFonts w:eastAsiaTheme="minorEastAsia"/>
          <w:sz w:val="24"/>
          <w:lang w:eastAsia="en-AU"/>
        </w:rPr>
      </w:pPr>
      <w:hyperlink w:anchor="_Toc216695718" w:history="1">
        <w:r w:rsidRPr="007053AD">
          <w:rPr>
            <w:rStyle w:val="Hyperlink"/>
          </w:rPr>
          <w:t>Table 56: Predicted soil concentrations</w:t>
        </w:r>
        <w:r>
          <w:rPr>
            <w:webHidden/>
          </w:rPr>
          <w:tab/>
        </w:r>
        <w:r>
          <w:rPr>
            <w:webHidden/>
          </w:rPr>
          <w:fldChar w:fldCharType="begin"/>
        </w:r>
        <w:r>
          <w:rPr>
            <w:webHidden/>
          </w:rPr>
          <w:instrText xml:space="preserve"> PAGEREF _Toc216695718 \h </w:instrText>
        </w:r>
        <w:r>
          <w:rPr>
            <w:webHidden/>
          </w:rPr>
        </w:r>
        <w:r>
          <w:rPr>
            <w:webHidden/>
          </w:rPr>
          <w:fldChar w:fldCharType="separate"/>
        </w:r>
        <w:r w:rsidR="003861AC">
          <w:rPr>
            <w:webHidden/>
          </w:rPr>
          <w:t>75</w:t>
        </w:r>
        <w:r>
          <w:rPr>
            <w:webHidden/>
          </w:rPr>
          <w:fldChar w:fldCharType="end"/>
        </w:r>
      </w:hyperlink>
    </w:p>
    <w:p w14:paraId="69B1E3B1" w14:textId="1949DF1E" w:rsidR="008B1ACD" w:rsidRDefault="008B1ACD">
      <w:pPr>
        <w:pStyle w:val="TableofFigures"/>
        <w:rPr>
          <w:rFonts w:eastAsiaTheme="minorEastAsia"/>
          <w:sz w:val="24"/>
          <w:lang w:eastAsia="en-AU"/>
        </w:rPr>
      </w:pPr>
      <w:hyperlink w:anchor="_Toc216695719" w:history="1">
        <w:r w:rsidRPr="007053AD">
          <w:rPr>
            <w:rStyle w:val="Hyperlink"/>
          </w:rPr>
          <w:t>Table 57: Risks of anticoagulant rodenticides to soil organisms</w:t>
        </w:r>
        <w:r>
          <w:rPr>
            <w:webHidden/>
          </w:rPr>
          <w:tab/>
        </w:r>
        <w:r>
          <w:rPr>
            <w:webHidden/>
          </w:rPr>
          <w:fldChar w:fldCharType="begin"/>
        </w:r>
        <w:r>
          <w:rPr>
            <w:webHidden/>
          </w:rPr>
          <w:instrText xml:space="preserve"> PAGEREF _Toc216695719 \h </w:instrText>
        </w:r>
        <w:r>
          <w:rPr>
            <w:webHidden/>
          </w:rPr>
        </w:r>
        <w:r>
          <w:rPr>
            <w:webHidden/>
          </w:rPr>
          <w:fldChar w:fldCharType="separate"/>
        </w:r>
        <w:r w:rsidR="003861AC">
          <w:rPr>
            <w:webHidden/>
          </w:rPr>
          <w:t>78</w:t>
        </w:r>
        <w:r>
          <w:rPr>
            <w:webHidden/>
          </w:rPr>
          <w:fldChar w:fldCharType="end"/>
        </w:r>
      </w:hyperlink>
    </w:p>
    <w:p w14:paraId="6878FB8E" w14:textId="43891420" w:rsidR="008B1ACD" w:rsidRDefault="008B1ACD">
      <w:pPr>
        <w:pStyle w:val="TableofFigures"/>
        <w:rPr>
          <w:rFonts w:eastAsiaTheme="minorEastAsia"/>
          <w:sz w:val="24"/>
          <w:lang w:eastAsia="en-AU"/>
        </w:rPr>
      </w:pPr>
      <w:hyperlink w:anchor="_Toc216695720" w:history="1">
        <w:r w:rsidRPr="007053AD">
          <w:rPr>
            <w:rStyle w:val="Hyperlink"/>
          </w:rPr>
          <w:t>Table 58: Relevant scenarios for exposure of sewage treatment plant (STP)</w:t>
        </w:r>
        <w:r>
          <w:rPr>
            <w:webHidden/>
          </w:rPr>
          <w:tab/>
        </w:r>
        <w:r>
          <w:rPr>
            <w:webHidden/>
          </w:rPr>
          <w:fldChar w:fldCharType="begin"/>
        </w:r>
        <w:r>
          <w:rPr>
            <w:webHidden/>
          </w:rPr>
          <w:instrText xml:space="preserve"> PAGEREF _Toc216695720 \h </w:instrText>
        </w:r>
        <w:r>
          <w:rPr>
            <w:webHidden/>
          </w:rPr>
        </w:r>
        <w:r>
          <w:rPr>
            <w:webHidden/>
          </w:rPr>
          <w:fldChar w:fldCharType="separate"/>
        </w:r>
        <w:r w:rsidR="003861AC">
          <w:rPr>
            <w:webHidden/>
          </w:rPr>
          <w:t>78</w:t>
        </w:r>
        <w:r>
          <w:rPr>
            <w:webHidden/>
          </w:rPr>
          <w:fldChar w:fldCharType="end"/>
        </w:r>
      </w:hyperlink>
    </w:p>
    <w:p w14:paraId="045752E7" w14:textId="344DB8B5" w:rsidR="008B1ACD" w:rsidRDefault="008B1ACD">
      <w:pPr>
        <w:pStyle w:val="TableofFigures"/>
        <w:rPr>
          <w:rFonts w:eastAsiaTheme="minorEastAsia"/>
          <w:sz w:val="24"/>
          <w:lang w:eastAsia="en-AU"/>
        </w:rPr>
      </w:pPr>
      <w:hyperlink w:anchor="_Toc216695721" w:history="1">
        <w:r w:rsidRPr="007053AD">
          <w:rPr>
            <w:rStyle w:val="Hyperlink"/>
          </w:rPr>
          <w:t>Table 59: Risks of anticoagulant rodenticides to biological methods of sewage treatment</w:t>
        </w:r>
        <w:r>
          <w:rPr>
            <w:webHidden/>
          </w:rPr>
          <w:tab/>
        </w:r>
        <w:r>
          <w:rPr>
            <w:webHidden/>
          </w:rPr>
          <w:fldChar w:fldCharType="begin"/>
        </w:r>
        <w:r>
          <w:rPr>
            <w:webHidden/>
          </w:rPr>
          <w:instrText xml:space="preserve"> PAGEREF _Toc216695721 \h </w:instrText>
        </w:r>
        <w:r>
          <w:rPr>
            <w:webHidden/>
          </w:rPr>
        </w:r>
        <w:r>
          <w:rPr>
            <w:webHidden/>
          </w:rPr>
          <w:fldChar w:fldCharType="separate"/>
        </w:r>
        <w:r w:rsidR="003861AC">
          <w:rPr>
            <w:webHidden/>
          </w:rPr>
          <w:t>79</w:t>
        </w:r>
        <w:r>
          <w:rPr>
            <w:webHidden/>
          </w:rPr>
          <w:fldChar w:fldCharType="end"/>
        </w:r>
      </w:hyperlink>
    </w:p>
    <w:p w14:paraId="25141301" w14:textId="1F549EB9" w:rsidR="008B1ACD" w:rsidRDefault="008B1ACD">
      <w:pPr>
        <w:pStyle w:val="TableofFigures"/>
        <w:rPr>
          <w:rFonts w:eastAsiaTheme="minorEastAsia"/>
          <w:sz w:val="24"/>
          <w:lang w:eastAsia="en-AU"/>
        </w:rPr>
      </w:pPr>
      <w:hyperlink w:anchor="_Toc216695722" w:history="1">
        <w:r w:rsidRPr="007053AD">
          <w:rPr>
            <w:rStyle w:val="Hyperlink"/>
          </w:rPr>
          <w:t>Table 60: Parameters, assumptions and models used in risk assessment for rodenticide users</w:t>
        </w:r>
        <w:r>
          <w:rPr>
            <w:webHidden/>
          </w:rPr>
          <w:tab/>
        </w:r>
        <w:r>
          <w:rPr>
            <w:webHidden/>
          </w:rPr>
          <w:fldChar w:fldCharType="begin"/>
        </w:r>
        <w:r>
          <w:rPr>
            <w:webHidden/>
          </w:rPr>
          <w:instrText xml:space="preserve"> PAGEREF _Toc216695722 \h </w:instrText>
        </w:r>
        <w:r>
          <w:rPr>
            <w:webHidden/>
          </w:rPr>
        </w:r>
        <w:r>
          <w:rPr>
            <w:webHidden/>
          </w:rPr>
          <w:fldChar w:fldCharType="separate"/>
        </w:r>
        <w:r w:rsidR="003861AC">
          <w:rPr>
            <w:webHidden/>
          </w:rPr>
          <w:t>92</w:t>
        </w:r>
        <w:r>
          <w:rPr>
            <w:webHidden/>
          </w:rPr>
          <w:fldChar w:fldCharType="end"/>
        </w:r>
      </w:hyperlink>
    </w:p>
    <w:p w14:paraId="0E29D1DA" w14:textId="707AECA3" w:rsidR="008B1ACD" w:rsidRDefault="008B1ACD">
      <w:pPr>
        <w:pStyle w:val="TableofFigures"/>
        <w:rPr>
          <w:rFonts w:eastAsiaTheme="minorEastAsia"/>
          <w:sz w:val="24"/>
          <w:lang w:eastAsia="en-AU"/>
        </w:rPr>
      </w:pPr>
      <w:hyperlink w:anchor="_Toc216695723" w:history="1">
        <w:r w:rsidRPr="007053AD">
          <w:rPr>
            <w:rStyle w:val="Hyperlink"/>
          </w:rPr>
          <w:t>Table 61: Exposures for professional uses of FGARs using broadcast loose bait products</w:t>
        </w:r>
        <w:r>
          <w:rPr>
            <w:webHidden/>
          </w:rPr>
          <w:tab/>
        </w:r>
        <w:r>
          <w:rPr>
            <w:webHidden/>
          </w:rPr>
          <w:fldChar w:fldCharType="begin"/>
        </w:r>
        <w:r>
          <w:rPr>
            <w:webHidden/>
          </w:rPr>
          <w:instrText xml:space="preserve"> PAGEREF _Toc216695723 \h </w:instrText>
        </w:r>
        <w:r>
          <w:rPr>
            <w:webHidden/>
          </w:rPr>
        </w:r>
        <w:r>
          <w:rPr>
            <w:webHidden/>
          </w:rPr>
          <w:fldChar w:fldCharType="separate"/>
        </w:r>
        <w:r w:rsidR="003861AC">
          <w:rPr>
            <w:webHidden/>
          </w:rPr>
          <w:t>93</w:t>
        </w:r>
        <w:r>
          <w:rPr>
            <w:webHidden/>
          </w:rPr>
          <w:fldChar w:fldCharType="end"/>
        </w:r>
      </w:hyperlink>
    </w:p>
    <w:p w14:paraId="75644C6B" w14:textId="265E70C3" w:rsidR="008B1ACD" w:rsidRDefault="008B1ACD">
      <w:pPr>
        <w:pStyle w:val="TableofFigures"/>
        <w:rPr>
          <w:rFonts w:eastAsiaTheme="minorEastAsia"/>
          <w:sz w:val="24"/>
          <w:lang w:eastAsia="en-AU"/>
        </w:rPr>
      </w:pPr>
      <w:hyperlink w:anchor="_Toc216695724" w:history="1">
        <w:r w:rsidRPr="007053AD">
          <w:rPr>
            <w:rStyle w:val="Hyperlink"/>
          </w:rPr>
          <w:t>Table 62: Exposures for professional users of FGARs using loose bait products in refillable bait stations</w:t>
        </w:r>
        <w:r>
          <w:rPr>
            <w:webHidden/>
          </w:rPr>
          <w:tab/>
        </w:r>
        <w:r>
          <w:rPr>
            <w:webHidden/>
          </w:rPr>
          <w:fldChar w:fldCharType="begin"/>
        </w:r>
        <w:r>
          <w:rPr>
            <w:webHidden/>
          </w:rPr>
          <w:instrText xml:space="preserve"> PAGEREF _Toc216695724 \h </w:instrText>
        </w:r>
        <w:r>
          <w:rPr>
            <w:webHidden/>
          </w:rPr>
        </w:r>
        <w:r>
          <w:rPr>
            <w:webHidden/>
          </w:rPr>
          <w:fldChar w:fldCharType="separate"/>
        </w:r>
        <w:r w:rsidR="003861AC">
          <w:rPr>
            <w:webHidden/>
          </w:rPr>
          <w:t>93</w:t>
        </w:r>
        <w:r>
          <w:rPr>
            <w:webHidden/>
          </w:rPr>
          <w:fldChar w:fldCharType="end"/>
        </w:r>
      </w:hyperlink>
    </w:p>
    <w:p w14:paraId="23D495DD" w14:textId="20E2FF88" w:rsidR="008B1ACD" w:rsidRDefault="008B1ACD">
      <w:pPr>
        <w:pStyle w:val="TableofFigures"/>
        <w:rPr>
          <w:rFonts w:eastAsiaTheme="minorEastAsia"/>
          <w:sz w:val="24"/>
          <w:lang w:eastAsia="en-AU"/>
        </w:rPr>
      </w:pPr>
      <w:hyperlink w:anchor="_Toc216695725" w:history="1">
        <w:r w:rsidRPr="007053AD">
          <w:rPr>
            <w:rStyle w:val="Hyperlink"/>
          </w:rPr>
          <w:t>Table 63: Exposures for professional uses of SGARs using broadcast loose bait products</w:t>
        </w:r>
        <w:r>
          <w:rPr>
            <w:webHidden/>
          </w:rPr>
          <w:tab/>
        </w:r>
        <w:r>
          <w:rPr>
            <w:webHidden/>
          </w:rPr>
          <w:fldChar w:fldCharType="begin"/>
        </w:r>
        <w:r>
          <w:rPr>
            <w:webHidden/>
          </w:rPr>
          <w:instrText xml:space="preserve"> PAGEREF _Toc216695725 \h </w:instrText>
        </w:r>
        <w:r>
          <w:rPr>
            <w:webHidden/>
          </w:rPr>
        </w:r>
        <w:r>
          <w:rPr>
            <w:webHidden/>
          </w:rPr>
          <w:fldChar w:fldCharType="separate"/>
        </w:r>
        <w:r w:rsidR="003861AC">
          <w:rPr>
            <w:webHidden/>
          </w:rPr>
          <w:t>93</w:t>
        </w:r>
        <w:r>
          <w:rPr>
            <w:webHidden/>
          </w:rPr>
          <w:fldChar w:fldCharType="end"/>
        </w:r>
      </w:hyperlink>
    </w:p>
    <w:p w14:paraId="2D8615D4" w14:textId="0BAD67FD" w:rsidR="008B1ACD" w:rsidRDefault="008B1ACD">
      <w:pPr>
        <w:pStyle w:val="TableofFigures"/>
        <w:rPr>
          <w:rFonts w:eastAsiaTheme="minorEastAsia"/>
          <w:sz w:val="24"/>
          <w:lang w:eastAsia="en-AU"/>
        </w:rPr>
      </w:pPr>
      <w:hyperlink w:anchor="_Toc216695726" w:history="1">
        <w:r w:rsidRPr="007053AD">
          <w:rPr>
            <w:rStyle w:val="Hyperlink"/>
          </w:rPr>
          <w:t>Table 64: Exposures for professional users of SGARs using loose bait products in refillable bait stations</w:t>
        </w:r>
        <w:r>
          <w:rPr>
            <w:webHidden/>
          </w:rPr>
          <w:tab/>
        </w:r>
        <w:r>
          <w:rPr>
            <w:webHidden/>
          </w:rPr>
          <w:fldChar w:fldCharType="begin"/>
        </w:r>
        <w:r>
          <w:rPr>
            <w:webHidden/>
          </w:rPr>
          <w:instrText xml:space="preserve"> PAGEREF _Toc216695726 \h </w:instrText>
        </w:r>
        <w:r>
          <w:rPr>
            <w:webHidden/>
          </w:rPr>
        </w:r>
        <w:r>
          <w:rPr>
            <w:webHidden/>
          </w:rPr>
          <w:fldChar w:fldCharType="separate"/>
        </w:r>
        <w:r w:rsidR="003861AC">
          <w:rPr>
            <w:webHidden/>
          </w:rPr>
          <w:t>94</w:t>
        </w:r>
        <w:r>
          <w:rPr>
            <w:webHidden/>
          </w:rPr>
          <w:fldChar w:fldCharType="end"/>
        </w:r>
      </w:hyperlink>
    </w:p>
    <w:p w14:paraId="0C0037FE" w14:textId="0984A990" w:rsidR="008B1ACD" w:rsidRDefault="008B1ACD">
      <w:pPr>
        <w:pStyle w:val="TableofFigures"/>
        <w:rPr>
          <w:rFonts w:eastAsiaTheme="minorEastAsia"/>
          <w:sz w:val="24"/>
          <w:lang w:eastAsia="en-AU"/>
        </w:rPr>
      </w:pPr>
      <w:hyperlink w:anchor="_Toc216695727" w:history="1">
        <w:r w:rsidRPr="007053AD">
          <w:rPr>
            <w:rStyle w:val="Hyperlink"/>
          </w:rPr>
          <w:t>Table 65: Exposures for non-professional users of FGAR loose bait products.</w:t>
        </w:r>
        <w:r>
          <w:rPr>
            <w:webHidden/>
          </w:rPr>
          <w:tab/>
        </w:r>
        <w:r>
          <w:rPr>
            <w:webHidden/>
          </w:rPr>
          <w:fldChar w:fldCharType="begin"/>
        </w:r>
        <w:r>
          <w:rPr>
            <w:webHidden/>
          </w:rPr>
          <w:instrText xml:space="preserve"> PAGEREF _Toc216695727 \h </w:instrText>
        </w:r>
        <w:r>
          <w:rPr>
            <w:webHidden/>
          </w:rPr>
        </w:r>
        <w:r>
          <w:rPr>
            <w:webHidden/>
          </w:rPr>
          <w:fldChar w:fldCharType="separate"/>
        </w:r>
        <w:r w:rsidR="003861AC">
          <w:rPr>
            <w:webHidden/>
          </w:rPr>
          <w:t>94</w:t>
        </w:r>
        <w:r>
          <w:rPr>
            <w:webHidden/>
          </w:rPr>
          <w:fldChar w:fldCharType="end"/>
        </w:r>
      </w:hyperlink>
    </w:p>
    <w:p w14:paraId="7F70B3CE" w14:textId="0DBD7711" w:rsidR="008B1ACD" w:rsidRDefault="008B1ACD">
      <w:pPr>
        <w:pStyle w:val="TableofFigures"/>
        <w:rPr>
          <w:rFonts w:eastAsiaTheme="minorEastAsia"/>
          <w:sz w:val="24"/>
          <w:lang w:eastAsia="en-AU"/>
        </w:rPr>
      </w:pPr>
      <w:hyperlink w:anchor="_Toc216695728" w:history="1">
        <w:r w:rsidRPr="007053AD">
          <w:rPr>
            <w:rStyle w:val="Hyperlink"/>
          </w:rPr>
          <w:t>Table 66: Exposures for non-professional users of SGAR loose bait products.</w:t>
        </w:r>
        <w:r>
          <w:rPr>
            <w:webHidden/>
          </w:rPr>
          <w:tab/>
        </w:r>
        <w:r>
          <w:rPr>
            <w:webHidden/>
          </w:rPr>
          <w:fldChar w:fldCharType="begin"/>
        </w:r>
        <w:r>
          <w:rPr>
            <w:webHidden/>
          </w:rPr>
          <w:instrText xml:space="preserve"> PAGEREF _Toc216695728 \h </w:instrText>
        </w:r>
        <w:r>
          <w:rPr>
            <w:webHidden/>
          </w:rPr>
        </w:r>
        <w:r>
          <w:rPr>
            <w:webHidden/>
          </w:rPr>
          <w:fldChar w:fldCharType="separate"/>
        </w:r>
        <w:r w:rsidR="003861AC">
          <w:rPr>
            <w:webHidden/>
          </w:rPr>
          <w:t>94</w:t>
        </w:r>
        <w:r>
          <w:rPr>
            <w:webHidden/>
          </w:rPr>
          <w:fldChar w:fldCharType="end"/>
        </w:r>
      </w:hyperlink>
    </w:p>
    <w:p w14:paraId="21AEF04E" w14:textId="287BB543" w:rsidR="008B1ACD" w:rsidRDefault="008B1ACD">
      <w:pPr>
        <w:pStyle w:val="TableofFigures"/>
        <w:rPr>
          <w:rFonts w:eastAsiaTheme="minorEastAsia"/>
          <w:sz w:val="24"/>
          <w:lang w:eastAsia="en-AU"/>
        </w:rPr>
      </w:pPr>
      <w:hyperlink w:anchor="_Toc216695729" w:history="1">
        <w:r w:rsidRPr="007053AD">
          <w:rPr>
            <w:rStyle w:val="Hyperlink"/>
          </w:rPr>
          <w:t>Table 67: Active constituent concentration of brodifacoum, bromadiolone, flocoumafen and coumatetralyl products in sachets or place packs</w:t>
        </w:r>
        <w:r>
          <w:rPr>
            <w:webHidden/>
          </w:rPr>
          <w:tab/>
        </w:r>
        <w:r>
          <w:rPr>
            <w:webHidden/>
          </w:rPr>
          <w:fldChar w:fldCharType="begin"/>
        </w:r>
        <w:r>
          <w:rPr>
            <w:webHidden/>
          </w:rPr>
          <w:instrText xml:space="preserve"> PAGEREF _Toc216695729 \h </w:instrText>
        </w:r>
        <w:r>
          <w:rPr>
            <w:webHidden/>
          </w:rPr>
        </w:r>
        <w:r>
          <w:rPr>
            <w:webHidden/>
          </w:rPr>
          <w:fldChar w:fldCharType="separate"/>
        </w:r>
        <w:r w:rsidR="003861AC">
          <w:rPr>
            <w:webHidden/>
          </w:rPr>
          <w:t>96</w:t>
        </w:r>
        <w:r>
          <w:rPr>
            <w:webHidden/>
          </w:rPr>
          <w:fldChar w:fldCharType="end"/>
        </w:r>
      </w:hyperlink>
    </w:p>
    <w:p w14:paraId="4F45AD96" w14:textId="7DFF29E9" w:rsidR="008B1ACD" w:rsidRDefault="008B1ACD">
      <w:pPr>
        <w:pStyle w:val="TableofFigures"/>
        <w:rPr>
          <w:rFonts w:eastAsiaTheme="minorEastAsia"/>
          <w:sz w:val="24"/>
          <w:lang w:eastAsia="en-AU"/>
        </w:rPr>
      </w:pPr>
      <w:hyperlink w:anchor="_Toc216695730" w:history="1">
        <w:r w:rsidRPr="007053AD">
          <w:rPr>
            <w:rStyle w:val="Hyperlink"/>
          </w:rPr>
          <w:t>Table 68: Active constituent concentration of difenacoum products in sachets or place packs</w:t>
        </w:r>
        <w:r>
          <w:rPr>
            <w:webHidden/>
          </w:rPr>
          <w:tab/>
        </w:r>
        <w:r>
          <w:rPr>
            <w:webHidden/>
          </w:rPr>
          <w:fldChar w:fldCharType="begin"/>
        </w:r>
        <w:r>
          <w:rPr>
            <w:webHidden/>
          </w:rPr>
          <w:instrText xml:space="preserve"> PAGEREF _Toc216695730 \h </w:instrText>
        </w:r>
        <w:r>
          <w:rPr>
            <w:webHidden/>
          </w:rPr>
        </w:r>
        <w:r>
          <w:rPr>
            <w:webHidden/>
          </w:rPr>
          <w:fldChar w:fldCharType="separate"/>
        </w:r>
        <w:r w:rsidR="003861AC">
          <w:rPr>
            <w:webHidden/>
          </w:rPr>
          <w:t>97</w:t>
        </w:r>
        <w:r>
          <w:rPr>
            <w:webHidden/>
          </w:rPr>
          <w:fldChar w:fldCharType="end"/>
        </w:r>
      </w:hyperlink>
    </w:p>
    <w:p w14:paraId="3F2137BF" w14:textId="7C07BF82" w:rsidR="008B1ACD" w:rsidRDefault="008B1ACD">
      <w:pPr>
        <w:pStyle w:val="TableofFigures"/>
        <w:rPr>
          <w:rFonts w:eastAsiaTheme="minorEastAsia"/>
          <w:sz w:val="24"/>
          <w:lang w:eastAsia="en-AU"/>
        </w:rPr>
      </w:pPr>
      <w:hyperlink w:anchor="_Toc216695731" w:history="1">
        <w:r w:rsidRPr="007053AD">
          <w:rPr>
            <w:rStyle w:val="Hyperlink"/>
          </w:rPr>
          <w:t>Table 69: Active constituent concentration of products in sachets or place packs</w:t>
        </w:r>
        <w:r>
          <w:rPr>
            <w:webHidden/>
          </w:rPr>
          <w:tab/>
        </w:r>
        <w:r>
          <w:rPr>
            <w:webHidden/>
          </w:rPr>
          <w:fldChar w:fldCharType="begin"/>
        </w:r>
        <w:r>
          <w:rPr>
            <w:webHidden/>
          </w:rPr>
          <w:instrText xml:space="preserve"> PAGEREF _Toc216695731 \h </w:instrText>
        </w:r>
        <w:r>
          <w:rPr>
            <w:webHidden/>
          </w:rPr>
        </w:r>
        <w:r>
          <w:rPr>
            <w:webHidden/>
          </w:rPr>
          <w:fldChar w:fldCharType="separate"/>
        </w:r>
        <w:r w:rsidR="003861AC">
          <w:rPr>
            <w:webHidden/>
          </w:rPr>
          <w:t>97</w:t>
        </w:r>
        <w:r>
          <w:rPr>
            <w:webHidden/>
          </w:rPr>
          <w:fldChar w:fldCharType="end"/>
        </w:r>
      </w:hyperlink>
    </w:p>
    <w:p w14:paraId="78647592" w14:textId="606CB480" w:rsidR="008B1ACD" w:rsidRDefault="008B1ACD">
      <w:pPr>
        <w:pStyle w:val="TableofFigures"/>
        <w:rPr>
          <w:rFonts w:eastAsiaTheme="minorEastAsia"/>
          <w:sz w:val="24"/>
          <w:lang w:eastAsia="en-AU"/>
        </w:rPr>
      </w:pPr>
      <w:hyperlink w:anchor="_Toc216695732" w:history="1">
        <w:r w:rsidRPr="007053AD">
          <w:rPr>
            <w:rStyle w:val="Hyperlink"/>
          </w:rPr>
          <w:t>Table 70: Active constituent concentration of products in block formulation</w:t>
        </w:r>
        <w:r>
          <w:rPr>
            <w:webHidden/>
          </w:rPr>
          <w:tab/>
        </w:r>
        <w:r>
          <w:rPr>
            <w:webHidden/>
          </w:rPr>
          <w:fldChar w:fldCharType="begin"/>
        </w:r>
        <w:r>
          <w:rPr>
            <w:webHidden/>
          </w:rPr>
          <w:instrText xml:space="preserve"> PAGEREF _Toc216695732 \h </w:instrText>
        </w:r>
        <w:r>
          <w:rPr>
            <w:webHidden/>
          </w:rPr>
        </w:r>
        <w:r>
          <w:rPr>
            <w:webHidden/>
          </w:rPr>
          <w:fldChar w:fldCharType="separate"/>
        </w:r>
        <w:r w:rsidR="003861AC">
          <w:rPr>
            <w:webHidden/>
          </w:rPr>
          <w:t>98</w:t>
        </w:r>
        <w:r>
          <w:rPr>
            <w:webHidden/>
          </w:rPr>
          <w:fldChar w:fldCharType="end"/>
        </w:r>
      </w:hyperlink>
    </w:p>
    <w:p w14:paraId="40FF646A" w14:textId="7C35143A" w:rsidR="008B1ACD" w:rsidRDefault="008B1ACD">
      <w:pPr>
        <w:pStyle w:val="TableofFigures"/>
        <w:rPr>
          <w:rFonts w:eastAsiaTheme="minorEastAsia"/>
          <w:sz w:val="24"/>
          <w:lang w:eastAsia="en-AU"/>
        </w:rPr>
      </w:pPr>
      <w:hyperlink w:anchor="_Toc216695733" w:history="1">
        <w:r w:rsidRPr="007053AD">
          <w:rPr>
            <w:rStyle w:val="Hyperlink"/>
          </w:rPr>
          <w:t>Table 71: Active constituent concentration of brodifacoum, bromadiolone, coumatetralyl and diphacinone products in loose pellets/grain formulations</w:t>
        </w:r>
        <w:r>
          <w:rPr>
            <w:webHidden/>
          </w:rPr>
          <w:tab/>
        </w:r>
        <w:r>
          <w:rPr>
            <w:webHidden/>
          </w:rPr>
          <w:fldChar w:fldCharType="begin"/>
        </w:r>
        <w:r>
          <w:rPr>
            <w:webHidden/>
          </w:rPr>
          <w:instrText xml:space="preserve"> PAGEREF _Toc216695733 \h </w:instrText>
        </w:r>
        <w:r>
          <w:rPr>
            <w:webHidden/>
          </w:rPr>
        </w:r>
        <w:r>
          <w:rPr>
            <w:webHidden/>
          </w:rPr>
          <w:fldChar w:fldCharType="separate"/>
        </w:r>
        <w:r w:rsidR="003861AC">
          <w:rPr>
            <w:webHidden/>
          </w:rPr>
          <w:t>99</w:t>
        </w:r>
        <w:r>
          <w:rPr>
            <w:webHidden/>
          </w:rPr>
          <w:fldChar w:fldCharType="end"/>
        </w:r>
      </w:hyperlink>
    </w:p>
    <w:p w14:paraId="20BC1272" w14:textId="4AFA3840" w:rsidR="008B1ACD" w:rsidRDefault="008B1ACD">
      <w:pPr>
        <w:pStyle w:val="TableofFigures"/>
        <w:rPr>
          <w:rFonts w:eastAsiaTheme="minorEastAsia"/>
          <w:sz w:val="24"/>
          <w:lang w:eastAsia="en-AU"/>
        </w:rPr>
      </w:pPr>
      <w:hyperlink w:anchor="_Toc216695734" w:history="1">
        <w:r w:rsidRPr="007053AD">
          <w:rPr>
            <w:rStyle w:val="Hyperlink"/>
          </w:rPr>
          <w:t>Table 72: Active constituent concentration of difenacoum and difethialone products in loose pellets/grain formulations</w:t>
        </w:r>
        <w:r>
          <w:rPr>
            <w:webHidden/>
          </w:rPr>
          <w:tab/>
        </w:r>
        <w:r>
          <w:rPr>
            <w:webHidden/>
          </w:rPr>
          <w:fldChar w:fldCharType="begin"/>
        </w:r>
        <w:r>
          <w:rPr>
            <w:webHidden/>
          </w:rPr>
          <w:instrText xml:space="preserve"> PAGEREF _Toc216695734 \h </w:instrText>
        </w:r>
        <w:r>
          <w:rPr>
            <w:webHidden/>
          </w:rPr>
        </w:r>
        <w:r>
          <w:rPr>
            <w:webHidden/>
          </w:rPr>
          <w:fldChar w:fldCharType="separate"/>
        </w:r>
        <w:r w:rsidR="003861AC">
          <w:rPr>
            <w:webHidden/>
          </w:rPr>
          <w:t>99</w:t>
        </w:r>
        <w:r>
          <w:rPr>
            <w:webHidden/>
          </w:rPr>
          <w:fldChar w:fldCharType="end"/>
        </w:r>
      </w:hyperlink>
    </w:p>
    <w:p w14:paraId="6A1C7461" w14:textId="2763F932" w:rsidR="008B1ACD" w:rsidRDefault="008B1ACD">
      <w:pPr>
        <w:pStyle w:val="TableofFigures"/>
        <w:rPr>
          <w:rFonts w:eastAsiaTheme="minorEastAsia"/>
          <w:sz w:val="24"/>
          <w:lang w:eastAsia="en-AU"/>
        </w:rPr>
      </w:pPr>
      <w:hyperlink w:anchor="_Toc216695735" w:history="1">
        <w:r w:rsidRPr="007053AD">
          <w:rPr>
            <w:rStyle w:val="Hyperlink"/>
          </w:rPr>
          <w:t>Table 73: Active constituent concentration of products as a paste formulation for use in a caulking gun</w:t>
        </w:r>
        <w:r>
          <w:rPr>
            <w:webHidden/>
          </w:rPr>
          <w:tab/>
        </w:r>
        <w:r>
          <w:rPr>
            <w:webHidden/>
          </w:rPr>
          <w:fldChar w:fldCharType="begin"/>
        </w:r>
        <w:r>
          <w:rPr>
            <w:webHidden/>
          </w:rPr>
          <w:instrText xml:space="preserve"> PAGEREF _Toc216695735 \h </w:instrText>
        </w:r>
        <w:r>
          <w:rPr>
            <w:webHidden/>
          </w:rPr>
        </w:r>
        <w:r>
          <w:rPr>
            <w:webHidden/>
          </w:rPr>
          <w:fldChar w:fldCharType="separate"/>
        </w:r>
        <w:r w:rsidR="003861AC">
          <w:rPr>
            <w:webHidden/>
          </w:rPr>
          <w:t>100</w:t>
        </w:r>
        <w:r>
          <w:rPr>
            <w:webHidden/>
          </w:rPr>
          <w:fldChar w:fldCharType="end"/>
        </w:r>
      </w:hyperlink>
    </w:p>
    <w:p w14:paraId="60A9ACB1" w14:textId="767BD792" w:rsidR="008B1ACD" w:rsidRDefault="008B1ACD">
      <w:pPr>
        <w:pStyle w:val="TableofFigures"/>
        <w:rPr>
          <w:rFonts w:eastAsiaTheme="minorEastAsia"/>
          <w:sz w:val="24"/>
          <w:lang w:eastAsia="en-AU"/>
        </w:rPr>
      </w:pPr>
      <w:hyperlink w:anchor="_Toc216695736" w:history="1">
        <w:r w:rsidRPr="007053AD">
          <w:rPr>
            <w:rStyle w:val="Hyperlink"/>
          </w:rPr>
          <w:t>Table 74: Health-based guidance values recommended for publication on the APVMA website</w:t>
        </w:r>
        <w:r>
          <w:rPr>
            <w:webHidden/>
          </w:rPr>
          <w:tab/>
        </w:r>
        <w:r>
          <w:rPr>
            <w:webHidden/>
          </w:rPr>
          <w:fldChar w:fldCharType="begin"/>
        </w:r>
        <w:r>
          <w:rPr>
            <w:webHidden/>
          </w:rPr>
          <w:instrText xml:space="preserve"> PAGEREF _Toc216695736 \h </w:instrText>
        </w:r>
        <w:r>
          <w:rPr>
            <w:webHidden/>
          </w:rPr>
        </w:r>
        <w:r>
          <w:rPr>
            <w:webHidden/>
          </w:rPr>
          <w:fldChar w:fldCharType="separate"/>
        </w:r>
        <w:r w:rsidR="003861AC">
          <w:rPr>
            <w:webHidden/>
          </w:rPr>
          <w:t>102</w:t>
        </w:r>
        <w:r>
          <w:rPr>
            <w:webHidden/>
          </w:rPr>
          <w:fldChar w:fldCharType="end"/>
        </w:r>
      </w:hyperlink>
    </w:p>
    <w:p w14:paraId="6852DB04" w14:textId="021EA846" w:rsidR="008B1ACD" w:rsidRDefault="008B1ACD">
      <w:pPr>
        <w:pStyle w:val="TableofFigures"/>
        <w:rPr>
          <w:rFonts w:eastAsiaTheme="minorEastAsia"/>
          <w:sz w:val="24"/>
          <w:lang w:eastAsia="en-AU"/>
        </w:rPr>
      </w:pPr>
      <w:hyperlink w:anchor="_Toc216695737" w:history="1">
        <w:r w:rsidRPr="007053AD">
          <w:rPr>
            <w:rStyle w:val="Hyperlink"/>
          </w:rPr>
          <w:t>Table 75: Restraints and critical comments associated with specific products field crop uses (52098 52182, 82217, 86417).</w:t>
        </w:r>
        <w:r>
          <w:rPr>
            <w:webHidden/>
          </w:rPr>
          <w:tab/>
        </w:r>
        <w:r>
          <w:rPr>
            <w:webHidden/>
          </w:rPr>
          <w:fldChar w:fldCharType="begin"/>
        </w:r>
        <w:r>
          <w:rPr>
            <w:webHidden/>
          </w:rPr>
          <w:instrText xml:space="preserve"> PAGEREF _Toc216695737 \h </w:instrText>
        </w:r>
        <w:r>
          <w:rPr>
            <w:webHidden/>
          </w:rPr>
        </w:r>
        <w:r>
          <w:rPr>
            <w:webHidden/>
          </w:rPr>
          <w:fldChar w:fldCharType="separate"/>
        </w:r>
        <w:r w:rsidR="003861AC">
          <w:rPr>
            <w:webHidden/>
          </w:rPr>
          <w:t>105</w:t>
        </w:r>
        <w:r>
          <w:rPr>
            <w:webHidden/>
          </w:rPr>
          <w:fldChar w:fldCharType="end"/>
        </w:r>
      </w:hyperlink>
    </w:p>
    <w:p w14:paraId="4DA904B0" w14:textId="08D002B5" w:rsidR="008B1ACD" w:rsidRDefault="008B1ACD">
      <w:pPr>
        <w:pStyle w:val="TableofFigures"/>
        <w:rPr>
          <w:rFonts w:eastAsiaTheme="minorEastAsia"/>
          <w:sz w:val="24"/>
          <w:lang w:eastAsia="en-AU"/>
        </w:rPr>
      </w:pPr>
      <w:hyperlink w:anchor="_Toc216695738" w:history="1">
        <w:r w:rsidRPr="007053AD">
          <w:rPr>
            <w:rStyle w:val="Hyperlink"/>
          </w:rPr>
          <w:t>Table 76: Restraint statements for in-field anticoagulant rodentice use</w:t>
        </w:r>
        <w:r>
          <w:rPr>
            <w:webHidden/>
          </w:rPr>
          <w:tab/>
        </w:r>
        <w:r>
          <w:rPr>
            <w:webHidden/>
          </w:rPr>
          <w:fldChar w:fldCharType="begin"/>
        </w:r>
        <w:r>
          <w:rPr>
            <w:webHidden/>
          </w:rPr>
          <w:instrText xml:space="preserve"> PAGEREF _Toc216695738 \h </w:instrText>
        </w:r>
        <w:r>
          <w:rPr>
            <w:webHidden/>
          </w:rPr>
        </w:r>
        <w:r>
          <w:rPr>
            <w:webHidden/>
          </w:rPr>
          <w:fldChar w:fldCharType="separate"/>
        </w:r>
        <w:r w:rsidR="003861AC">
          <w:rPr>
            <w:webHidden/>
          </w:rPr>
          <w:t>105</w:t>
        </w:r>
        <w:r>
          <w:rPr>
            <w:webHidden/>
          </w:rPr>
          <w:fldChar w:fldCharType="end"/>
        </w:r>
      </w:hyperlink>
    </w:p>
    <w:p w14:paraId="6825C4C7" w14:textId="5E0F5211" w:rsidR="008B1ACD" w:rsidRDefault="008B1ACD">
      <w:pPr>
        <w:pStyle w:val="TableofFigures"/>
        <w:rPr>
          <w:rFonts w:eastAsiaTheme="minorEastAsia"/>
          <w:sz w:val="24"/>
          <w:lang w:eastAsia="en-AU"/>
        </w:rPr>
      </w:pPr>
      <w:hyperlink w:anchor="_Toc216695739" w:history="1">
        <w:r w:rsidRPr="007053AD">
          <w:rPr>
            <w:rStyle w:val="Hyperlink"/>
          </w:rPr>
          <w:t>Table 77: Critical comment statements for in-field anticoagulant rodenticide use</w:t>
        </w:r>
        <w:r>
          <w:rPr>
            <w:webHidden/>
          </w:rPr>
          <w:tab/>
        </w:r>
        <w:r>
          <w:rPr>
            <w:webHidden/>
          </w:rPr>
          <w:fldChar w:fldCharType="begin"/>
        </w:r>
        <w:r>
          <w:rPr>
            <w:webHidden/>
          </w:rPr>
          <w:instrText xml:space="preserve"> PAGEREF _Toc216695739 \h </w:instrText>
        </w:r>
        <w:r>
          <w:rPr>
            <w:webHidden/>
          </w:rPr>
        </w:r>
        <w:r>
          <w:rPr>
            <w:webHidden/>
          </w:rPr>
          <w:fldChar w:fldCharType="separate"/>
        </w:r>
        <w:r w:rsidR="003861AC">
          <w:rPr>
            <w:webHidden/>
          </w:rPr>
          <w:t>106</w:t>
        </w:r>
        <w:r>
          <w:rPr>
            <w:webHidden/>
          </w:rPr>
          <w:fldChar w:fldCharType="end"/>
        </w:r>
      </w:hyperlink>
    </w:p>
    <w:p w14:paraId="0BFAF544" w14:textId="1431EEE6" w:rsidR="008B1ACD" w:rsidRDefault="008B1ACD">
      <w:pPr>
        <w:pStyle w:val="TableofFigures"/>
        <w:rPr>
          <w:rFonts w:eastAsiaTheme="minorEastAsia"/>
          <w:sz w:val="24"/>
          <w:lang w:eastAsia="en-AU"/>
        </w:rPr>
      </w:pPr>
      <w:hyperlink w:anchor="_Toc216695740" w:history="1">
        <w:r w:rsidRPr="007053AD">
          <w:rPr>
            <w:rStyle w:val="Hyperlink"/>
          </w:rPr>
          <w:t>Table 78: Restraint statements for anticoagulant rodenticide use in and around buildings</w:t>
        </w:r>
        <w:r>
          <w:rPr>
            <w:webHidden/>
          </w:rPr>
          <w:tab/>
        </w:r>
        <w:r>
          <w:rPr>
            <w:webHidden/>
          </w:rPr>
          <w:fldChar w:fldCharType="begin"/>
        </w:r>
        <w:r>
          <w:rPr>
            <w:webHidden/>
          </w:rPr>
          <w:instrText xml:space="preserve"> PAGEREF _Toc216695740 \h </w:instrText>
        </w:r>
        <w:r>
          <w:rPr>
            <w:webHidden/>
          </w:rPr>
        </w:r>
        <w:r>
          <w:rPr>
            <w:webHidden/>
          </w:rPr>
          <w:fldChar w:fldCharType="separate"/>
        </w:r>
        <w:r w:rsidR="003861AC">
          <w:rPr>
            <w:webHidden/>
          </w:rPr>
          <w:t>107</w:t>
        </w:r>
        <w:r>
          <w:rPr>
            <w:webHidden/>
          </w:rPr>
          <w:fldChar w:fldCharType="end"/>
        </w:r>
      </w:hyperlink>
    </w:p>
    <w:p w14:paraId="359FE58E" w14:textId="46EC7106" w:rsidR="008B1ACD" w:rsidRDefault="008B1ACD">
      <w:pPr>
        <w:pStyle w:val="TableofFigures"/>
        <w:rPr>
          <w:rFonts w:eastAsiaTheme="minorEastAsia"/>
          <w:sz w:val="24"/>
          <w:lang w:eastAsia="en-AU"/>
        </w:rPr>
      </w:pPr>
      <w:hyperlink w:anchor="_Toc216695741" w:history="1">
        <w:r w:rsidRPr="007053AD">
          <w:rPr>
            <w:rStyle w:val="Hyperlink"/>
          </w:rPr>
          <w:t>Table 79: Critical comments for anticoagulant rodenticides use in and around commercial buildings</w:t>
        </w:r>
        <w:r>
          <w:rPr>
            <w:webHidden/>
          </w:rPr>
          <w:tab/>
        </w:r>
        <w:r>
          <w:rPr>
            <w:webHidden/>
          </w:rPr>
          <w:fldChar w:fldCharType="begin"/>
        </w:r>
        <w:r>
          <w:rPr>
            <w:webHidden/>
          </w:rPr>
          <w:instrText xml:space="preserve"> PAGEREF _Toc216695741 \h </w:instrText>
        </w:r>
        <w:r>
          <w:rPr>
            <w:webHidden/>
          </w:rPr>
        </w:r>
        <w:r>
          <w:rPr>
            <w:webHidden/>
          </w:rPr>
          <w:fldChar w:fldCharType="separate"/>
        </w:r>
        <w:r w:rsidR="003861AC">
          <w:rPr>
            <w:webHidden/>
          </w:rPr>
          <w:t>107</w:t>
        </w:r>
        <w:r>
          <w:rPr>
            <w:webHidden/>
          </w:rPr>
          <w:fldChar w:fldCharType="end"/>
        </w:r>
      </w:hyperlink>
    </w:p>
    <w:p w14:paraId="523646BC" w14:textId="08FCBAB7" w:rsidR="008B1ACD" w:rsidRDefault="008B1ACD">
      <w:pPr>
        <w:pStyle w:val="TableofFigures"/>
        <w:rPr>
          <w:rFonts w:eastAsiaTheme="minorEastAsia"/>
          <w:sz w:val="24"/>
          <w:lang w:eastAsia="en-AU"/>
        </w:rPr>
      </w:pPr>
      <w:hyperlink w:anchor="_Toc216695742" w:history="1">
        <w:r w:rsidRPr="007053AD">
          <w:rPr>
            <w:rStyle w:val="Hyperlink"/>
          </w:rPr>
          <w:t>Table 80: Summary of Monitoring Data in Australin reptiles. APVMA Environment Report - Anticoagulant rodenticides - Fate and behaviour in the environment</w:t>
        </w:r>
        <w:r>
          <w:rPr>
            <w:webHidden/>
          </w:rPr>
          <w:tab/>
        </w:r>
        <w:r>
          <w:rPr>
            <w:webHidden/>
          </w:rPr>
          <w:fldChar w:fldCharType="begin"/>
        </w:r>
        <w:r>
          <w:rPr>
            <w:webHidden/>
          </w:rPr>
          <w:instrText xml:space="preserve"> PAGEREF _Toc216695742 \h </w:instrText>
        </w:r>
        <w:r>
          <w:rPr>
            <w:webHidden/>
          </w:rPr>
        </w:r>
        <w:r>
          <w:rPr>
            <w:webHidden/>
          </w:rPr>
          <w:fldChar w:fldCharType="separate"/>
        </w:r>
        <w:r w:rsidR="003861AC">
          <w:rPr>
            <w:webHidden/>
          </w:rPr>
          <w:t>109</w:t>
        </w:r>
        <w:r>
          <w:rPr>
            <w:webHidden/>
          </w:rPr>
          <w:fldChar w:fldCharType="end"/>
        </w:r>
      </w:hyperlink>
    </w:p>
    <w:p w14:paraId="07448573" w14:textId="56725D6F" w:rsidR="008B1ACD" w:rsidRDefault="008B1ACD">
      <w:pPr>
        <w:pStyle w:val="TableofFigures"/>
        <w:rPr>
          <w:rFonts w:eastAsiaTheme="minorEastAsia"/>
          <w:sz w:val="24"/>
          <w:lang w:eastAsia="en-AU"/>
        </w:rPr>
      </w:pPr>
      <w:hyperlink w:anchor="_Toc216695743" w:history="1">
        <w:r w:rsidRPr="007053AD">
          <w:rPr>
            <w:rStyle w:val="Hyperlink"/>
          </w:rPr>
          <w:t>Table 81: Comparison between Australian and Codex MRLs: anticoagulant rodenticides.</w:t>
        </w:r>
        <w:r>
          <w:rPr>
            <w:webHidden/>
          </w:rPr>
          <w:tab/>
        </w:r>
        <w:r>
          <w:rPr>
            <w:webHidden/>
          </w:rPr>
          <w:fldChar w:fldCharType="begin"/>
        </w:r>
        <w:r>
          <w:rPr>
            <w:webHidden/>
          </w:rPr>
          <w:instrText xml:space="preserve"> PAGEREF _Toc216695743 \h </w:instrText>
        </w:r>
        <w:r>
          <w:rPr>
            <w:webHidden/>
          </w:rPr>
        </w:r>
        <w:r>
          <w:rPr>
            <w:webHidden/>
          </w:rPr>
          <w:fldChar w:fldCharType="separate"/>
        </w:r>
        <w:r w:rsidR="003861AC">
          <w:rPr>
            <w:webHidden/>
          </w:rPr>
          <w:t>111</w:t>
        </w:r>
        <w:r>
          <w:rPr>
            <w:webHidden/>
          </w:rPr>
          <w:fldChar w:fldCharType="end"/>
        </w:r>
      </w:hyperlink>
    </w:p>
    <w:p w14:paraId="6AC03683" w14:textId="09235139" w:rsidR="008B1ACD" w:rsidRDefault="008B1ACD">
      <w:pPr>
        <w:pStyle w:val="TableofFigures"/>
        <w:rPr>
          <w:rFonts w:eastAsiaTheme="minorEastAsia"/>
          <w:sz w:val="24"/>
          <w:lang w:eastAsia="en-AU"/>
        </w:rPr>
      </w:pPr>
      <w:hyperlink w:anchor="_Toc216695744" w:history="1">
        <w:r w:rsidRPr="007053AD">
          <w:rPr>
            <w:rStyle w:val="Hyperlink"/>
          </w:rPr>
          <w:t>Table 82: Table 1 entries in the APVMA MRL Standard relevant to the current reconsideration</w:t>
        </w:r>
        <w:r>
          <w:rPr>
            <w:webHidden/>
          </w:rPr>
          <w:tab/>
        </w:r>
        <w:r>
          <w:rPr>
            <w:webHidden/>
          </w:rPr>
          <w:fldChar w:fldCharType="begin"/>
        </w:r>
        <w:r>
          <w:rPr>
            <w:webHidden/>
          </w:rPr>
          <w:instrText xml:space="preserve"> PAGEREF _Toc216695744 \h </w:instrText>
        </w:r>
        <w:r>
          <w:rPr>
            <w:webHidden/>
          </w:rPr>
        </w:r>
        <w:r>
          <w:rPr>
            <w:webHidden/>
          </w:rPr>
          <w:fldChar w:fldCharType="separate"/>
        </w:r>
        <w:r w:rsidR="003861AC">
          <w:rPr>
            <w:webHidden/>
          </w:rPr>
          <w:t>113</w:t>
        </w:r>
        <w:r>
          <w:rPr>
            <w:webHidden/>
          </w:rPr>
          <w:fldChar w:fldCharType="end"/>
        </w:r>
      </w:hyperlink>
    </w:p>
    <w:p w14:paraId="6AF82018" w14:textId="4855F26F" w:rsidR="008B1ACD" w:rsidRDefault="008B1ACD">
      <w:pPr>
        <w:pStyle w:val="TableofFigures"/>
        <w:rPr>
          <w:rFonts w:eastAsiaTheme="minorEastAsia"/>
          <w:sz w:val="24"/>
          <w:lang w:eastAsia="en-AU"/>
        </w:rPr>
      </w:pPr>
      <w:hyperlink w:anchor="_Toc216695745" w:history="1">
        <w:r w:rsidRPr="007053AD">
          <w:rPr>
            <w:rStyle w:val="Hyperlink"/>
          </w:rPr>
          <w:t>Table 83: Restraints and critical comments required for supported uses in cropping situations</w:t>
        </w:r>
        <w:r>
          <w:rPr>
            <w:webHidden/>
          </w:rPr>
          <w:tab/>
        </w:r>
        <w:r>
          <w:rPr>
            <w:webHidden/>
          </w:rPr>
          <w:fldChar w:fldCharType="begin"/>
        </w:r>
        <w:r>
          <w:rPr>
            <w:webHidden/>
          </w:rPr>
          <w:instrText xml:space="preserve"> PAGEREF _Toc216695745 \h </w:instrText>
        </w:r>
        <w:r>
          <w:rPr>
            <w:webHidden/>
          </w:rPr>
        </w:r>
        <w:r>
          <w:rPr>
            <w:webHidden/>
          </w:rPr>
          <w:fldChar w:fldCharType="separate"/>
        </w:r>
        <w:r w:rsidR="003861AC">
          <w:rPr>
            <w:webHidden/>
          </w:rPr>
          <w:t>116</w:t>
        </w:r>
        <w:r>
          <w:rPr>
            <w:webHidden/>
          </w:rPr>
          <w:fldChar w:fldCharType="end"/>
        </w:r>
      </w:hyperlink>
    </w:p>
    <w:p w14:paraId="4BF4371F" w14:textId="23CBDA1F" w:rsidR="008B1ACD" w:rsidRDefault="008B1ACD">
      <w:pPr>
        <w:pStyle w:val="TableofFigures"/>
        <w:rPr>
          <w:rFonts w:eastAsiaTheme="minorEastAsia"/>
          <w:sz w:val="24"/>
          <w:lang w:eastAsia="en-AU"/>
        </w:rPr>
      </w:pPr>
      <w:hyperlink w:anchor="_Toc216695746" w:history="1">
        <w:r w:rsidRPr="007053AD">
          <w:rPr>
            <w:rStyle w:val="Hyperlink"/>
          </w:rPr>
          <w:t>Table 84: Restraints and critical comments required for supported uses in and around buildings</w:t>
        </w:r>
        <w:r>
          <w:rPr>
            <w:webHidden/>
          </w:rPr>
          <w:tab/>
        </w:r>
        <w:r>
          <w:rPr>
            <w:webHidden/>
          </w:rPr>
          <w:fldChar w:fldCharType="begin"/>
        </w:r>
        <w:r>
          <w:rPr>
            <w:webHidden/>
          </w:rPr>
          <w:instrText xml:space="preserve"> PAGEREF _Toc216695746 \h </w:instrText>
        </w:r>
        <w:r>
          <w:rPr>
            <w:webHidden/>
          </w:rPr>
        </w:r>
        <w:r>
          <w:rPr>
            <w:webHidden/>
          </w:rPr>
          <w:fldChar w:fldCharType="separate"/>
        </w:r>
        <w:r w:rsidR="003861AC">
          <w:rPr>
            <w:webHidden/>
          </w:rPr>
          <w:t>116</w:t>
        </w:r>
        <w:r>
          <w:rPr>
            <w:webHidden/>
          </w:rPr>
          <w:fldChar w:fldCharType="end"/>
        </w:r>
      </w:hyperlink>
    </w:p>
    <w:p w14:paraId="72F38A95" w14:textId="44A8C4C8" w:rsidR="008B1ACD" w:rsidRDefault="008B1ACD">
      <w:pPr>
        <w:pStyle w:val="TableofFigures"/>
        <w:rPr>
          <w:rFonts w:eastAsiaTheme="minorEastAsia"/>
          <w:sz w:val="24"/>
          <w:lang w:eastAsia="en-AU"/>
        </w:rPr>
      </w:pPr>
      <w:hyperlink w:anchor="_Toc216695747" w:history="1">
        <w:r w:rsidRPr="007053AD">
          <w:rPr>
            <w:rStyle w:val="Hyperlink"/>
          </w:rPr>
          <w:t>Table 85: Coumatetralyl – Physical and chemical properties</w:t>
        </w:r>
        <w:r>
          <w:rPr>
            <w:webHidden/>
          </w:rPr>
          <w:tab/>
        </w:r>
        <w:r>
          <w:rPr>
            <w:webHidden/>
          </w:rPr>
          <w:fldChar w:fldCharType="begin"/>
        </w:r>
        <w:r>
          <w:rPr>
            <w:webHidden/>
          </w:rPr>
          <w:instrText xml:space="preserve"> PAGEREF _Toc216695747 \h </w:instrText>
        </w:r>
        <w:r>
          <w:rPr>
            <w:webHidden/>
          </w:rPr>
        </w:r>
        <w:r>
          <w:rPr>
            <w:webHidden/>
          </w:rPr>
          <w:fldChar w:fldCharType="separate"/>
        </w:r>
        <w:r w:rsidR="003861AC">
          <w:rPr>
            <w:webHidden/>
          </w:rPr>
          <w:t>118</w:t>
        </w:r>
        <w:r>
          <w:rPr>
            <w:webHidden/>
          </w:rPr>
          <w:fldChar w:fldCharType="end"/>
        </w:r>
      </w:hyperlink>
    </w:p>
    <w:p w14:paraId="04186CAB" w14:textId="10555BBA" w:rsidR="008B1ACD" w:rsidRDefault="008B1ACD">
      <w:pPr>
        <w:pStyle w:val="TableofFigures"/>
        <w:rPr>
          <w:rFonts w:eastAsiaTheme="minorEastAsia"/>
          <w:sz w:val="24"/>
          <w:lang w:eastAsia="en-AU"/>
        </w:rPr>
      </w:pPr>
      <w:hyperlink w:anchor="_Toc216695748" w:history="1">
        <w:r w:rsidRPr="007053AD">
          <w:rPr>
            <w:rStyle w:val="Hyperlink"/>
          </w:rPr>
          <w:t>Table 86: Coumatetralyl – Fate and behaviour in environmental media</w:t>
        </w:r>
        <w:r>
          <w:rPr>
            <w:webHidden/>
          </w:rPr>
          <w:tab/>
        </w:r>
        <w:r>
          <w:rPr>
            <w:webHidden/>
          </w:rPr>
          <w:fldChar w:fldCharType="begin"/>
        </w:r>
        <w:r>
          <w:rPr>
            <w:webHidden/>
          </w:rPr>
          <w:instrText xml:space="preserve"> PAGEREF _Toc216695748 \h </w:instrText>
        </w:r>
        <w:r>
          <w:rPr>
            <w:webHidden/>
          </w:rPr>
        </w:r>
        <w:r>
          <w:rPr>
            <w:webHidden/>
          </w:rPr>
          <w:fldChar w:fldCharType="separate"/>
        </w:r>
        <w:r w:rsidR="003861AC">
          <w:rPr>
            <w:webHidden/>
          </w:rPr>
          <w:t>118</w:t>
        </w:r>
        <w:r>
          <w:rPr>
            <w:webHidden/>
          </w:rPr>
          <w:fldChar w:fldCharType="end"/>
        </w:r>
      </w:hyperlink>
    </w:p>
    <w:p w14:paraId="380D9D62" w14:textId="3DDF54DB" w:rsidR="008B1ACD" w:rsidRDefault="008B1ACD">
      <w:pPr>
        <w:pStyle w:val="TableofFigures"/>
        <w:rPr>
          <w:rFonts w:eastAsiaTheme="minorEastAsia"/>
          <w:sz w:val="24"/>
          <w:lang w:eastAsia="en-AU"/>
        </w:rPr>
      </w:pPr>
      <w:hyperlink w:anchor="_Toc216695749" w:history="1">
        <w:r w:rsidRPr="007053AD">
          <w:rPr>
            <w:rStyle w:val="Hyperlink"/>
          </w:rPr>
          <w:t>Table 87: Coumatetralyl – Residues monitoring data</w:t>
        </w:r>
        <w:r>
          <w:rPr>
            <w:webHidden/>
          </w:rPr>
          <w:tab/>
        </w:r>
        <w:r>
          <w:rPr>
            <w:webHidden/>
          </w:rPr>
          <w:fldChar w:fldCharType="begin"/>
        </w:r>
        <w:r>
          <w:rPr>
            <w:webHidden/>
          </w:rPr>
          <w:instrText xml:space="preserve"> PAGEREF _Toc216695749 \h </w:instrText>
        </w:r>
        <w:r>
          <w:rPr>
            <w:webHidden/>
          </w:rPr>
        </w:r>
        <w:r>
          <w:rPr>
            <w:webHidden/>
          </w:rPr>
          <w:fldChar w:fldCharType="separate"/>
        </w:r>
        <w:r w:rsidR="003861AC">
          <w:rPr>
            <w:webHidden/>
          </w:rPr>
          <w:t>120</w:t>
        </w:r>
        <w:r>
          <w:rPr>
            <w:webHidden/>
          </w:rPr>
          <w:fldChar w:fldCharType="end"/>
        </w:r>
      </w:hyperlink>
    </w:p>
    <w:p w14:paraId="7D5B9A74" w14:textId="621EFCFC" w:rsidR="008B1ACD" w:rsidRDefault="008B1ACD">
      <w:pPr>
        <w:pStyle w:val="TableofFigures"/>
        <w:rPr>
          <w:rFonts w:eastAsiaTheme="minorEastAsia"/>
          <w:sz w:val="24"/>
          <w:lang w:eastAsia="en-AU"/>
        </w:rPr>
      </w:pPr>
      <w:hyperlink w:anchor="_Toc216695750" w:history="1">
        <w:r w:rsidRPr="007053AD">
          <w:rPr>
            <w:rStyle w:val="Hyperlink"/>
          </w:rPr>
          <w:t>Table 88: Coumatetralyl – Primary poisoning studies on terrestrial vertebrates</w:t>
        </w:r>
        <w:r>
          <w:rPr>
            <w:webHidden/>
          </w:rPr>
          <w:tab/>
        </w:r>
        <w:r>
          <w:rPr>
            <w:webHidden/>
          </w:rPr>
          <w:fldChar w:fldCharType="begin"/>
        </w:r>
        <w:r>
          <w:rPr>
            <w:webHidden/>
          </w:rPr>
          <w:instrText xml:space="preserve"> PAGEREF _Toc216695750 \h </w:instrText>
        </w:r>
        <w:r>
          <w:rPr>
            <w:webHidden/>
          </w:rPr>
        </w:r>
        <w:r>
          <w:rPr>
            <w:webHidden/>
          </w:rPr>
          <w:fldChar w:fldCharType="separate"/>
        </w:r>
        <w:r w:rsidR="003861AC">
          <w:rPr>
            <w:webHidden/>
          </w:rPr>
          <w:t>122</w:t>
        </w:r>
        <w:r>
          <w:rPr>
            <w:webHidden/>
          </w:rPr>
          <w:fldChar w:fldCharType="end"/>
        </w:r>
      </w:hyperlink>
    </w:p>
    <w:p w14:paraId="3E415CE3" w14:textId="71FDE0AA" w:rsidR="008B1ACD" w:rsidRDefault="008B1ACD">
      <w:pPr>
        <w:pStyle w:val="TableofFigures"/>
        <w:rPr>
          <w:rFonts w:eastAsiaTheme="minorEastAsia"/>
          <w:sz w:val="24"/>
          <w:lang w:eastAsia="en-AU"/>
        </w:rPr>
      </w:pPr>
      <w:hyperlink w:anchor="_Toc216695751" w:history="1">
        <w:r w:rsidRPr="007053AD">
          <w:rPr>
            <w:rStyle w:val="Hyperlink"/>
          </w:rPr>
          <w:t>Table 89: Coumatetralyl – Secondary poisoning studies on terrestrial vertebrates</w:t>
        </w:r>
        <w:r>
          <w:rPr>
            <w:webHidden/>
          </w:rPr>
          <w:tab/>
        </w:r>
        <w:r>
          <w:rPr>
            <w:webHidden/>
          </w:rPr>
          <w:fldChar w:fldCharType="begin"/>
        </w:r>
        <w:r>
          <w:rPr>
            <w:webHidden/>
          </w:rPr>
          <w:instrText xml:space="preserve"> PAGEREF _Toc216695751 \h </w:instrText>
        </w:r>
        <w:r>
          <w:rPr>
            <w:webHidden/>
          </w:rPr>
        </w:r>
        <w:r>
          <w:rPr>
            <w:webHidden/>
          </w:rPr>
          <w:fldChar w:fldCharType="separate"/>
        </w:r>
        <w:r w:rsidR="003861AC">
          <w:rPr>
            <w:webHidden/>
          </w:rPr>
          <w:t>123</w:t>
        </w:r>
        <w:r>
          <w:rPr>
            <w:webHidden/>
          </w:rPr>
          <w:fldChar w:fldCharType="end"/>
        </w:r>
      </w:hyperlink>
    </w:p>
    <w:p w14:paraId="6C9536F8" w14:textId="39C2E78D" w:rsidR="008B1ACD" w:rsidRDefault="008B1ACD">
      <w:pPr>
        <w:pStyle w:val="TableofFigures"/>
        <w:rPr>
          <w:rFonts w:eastAsiaTheme="minorEastAsia"/>
          <w:sz w:val="24"/>
          <w:lang w:eastAsia="en-AU"/>
        </w:rPr>
      </w:pPr>
      <w:hyperlink w:anchor="_Toc216695752" w:history="1">
        <w:r w:rsidRPr="007053AD">
          <w:rPr>
            <w:rStyle w:val="Hyperlink"/>
          </w:rPr>
          <w:t>Table 90: Coumatetralyl – Field studies and adverse incidents involving terrestrial vertebrates from approved or unspecified use</w:t>
        </w:r>
        <w:r>
          <w:rPr>
            <w:webHidden/>
          </w:rPr>
          <w:tab/>
        </w:r>
        <w:r>
          <w:rPr>
            <w:webHidden/>
          </w:rPr>
          <w:fldChar w:fldCharType="begin"/>
        </w:r>
        <w:r>
          <w:rPr>
            <w:webHidden/>
          </w:rPr>
          <w:instrText xml:space="preserve"> PAGEREF _Toc216695752 \h </w:instrText>
        </w:r>
        <w:r>
          <w:rPr>
            <w:webHidden/>
          </w:rPr>
        </w:r>
        <w:r>
          <w:rPr>
            <w:webHidden/>
          </w:rPr>
          <w:fldChar w:fldCharType="separate"/>
        </w:r>
        <w:r w:rsidR="003861AC">
          <w:rPr>
            <w:webHidden/>
          </w:rPr>
          <w:t>124</w:t>
        </w:r>
        <w:r>
          <w:rPr>
            <w:webHidden/>
          </w:rPr>
          <w:fldChar w:fldCharType="end"/>
        </w:r>
      </w:hyperlink>
    </w:p>
    <w:p w14:paraId="336AC560" w14:textId="16F43FBE" w:rsidR="008B1ACD" w:rsidRDefault="008B1ACD">
      <w:pPr>
        <w:pStyle w:val="TableofFigures"/>
        <w:rPr>
          <w:rFonts w:eastAsiaTheme="minorEastAsia"/>
          <w:sz w:val="24"/>
          <w:lang w:eastAsia="en-AU"/>
        </w:rPr>
      </w:pPr>
      <w:hyperlink w:anchor="_Toc216695753" w:history="1">
        <w:r w:rsidRPr="007053AD">
          <w:rPr>
            <w:rStyle w:val="Hyperlink"/>
          </w:rPr>
          <w:t>Table 91: Coumatetralyl – Effects on aquatic species</w:t>
        </w:r>
        <w:r>
          <w:rPr>
            <w:webHidden/>
          </w:rPr>
          <w:tab/>
        </w:r>
        <w:r>
          <w:rPr>
            <w:webHidden/>
          </w:rPr>
          <w:fldChar w:fldCharType="begin"/>
        </w:r>
        <w:r>
          <w:rPr>
            <w:webHidden/>
          </w:rPr>
          <w:instrText xml:space="preserve"> PAGEREF _Toc216695753 \h </w:instrText>
        </w:r>
        <w:r>
          <w:rPr>
            <w:webHidden/>
          </w:rPr>
        </w:r>
        <w:r>
          <w:rPr>
            <w:webHidden/>
          </w:rPr>
          <w:fldChar w:fldCharType="separate"/>
        </w:r>
        <w:r w:rsidR="003861AC">
          <w:rPr>
            <w:webHidden/>
          </w:rPr>
          <w:t>125</w:t>
        </w:r>
        <w:r>
          <w:rPr>
            <w:webHidden/>
          </w:rPr>
          <w:fldChar w:fldCharType="end"/>
        </w:r>
      </w:hyperlink>
    </w:p>
    <w:p w14:paraId="2222C254" w14:textId="6DB7A0C0" w:rsidR="008B1ACD" w:rsidRDefault="008B1ACD">
      <w:pPr>
        <w:pStyle w:val="TableofFigures"/>
        <w:rPr>
          <w:rFonts w:eastAsiaTheme="minorEastAsia"/>
          <w:sz w:val="24"/>
          <w:lang w:eastAsia="en-AU"/>
        </w:rPr>
      </w:pPr>
      <w:hyperlink w:anchor="_Toc216695754" w:history="1">
        <w:r w:rsidRPr="007053AD">
          <w:rPr>
            <w:rStyle w:val="Hyperlink"/>
          </w:rPr>
          <w:t>Table 92: Coumatetralyl – Effects on bees</w:t>
        </w:r>
        <w:r>
          <w:rPr>
            <w:webHidden/>
          </w:rPr>
          <w:tab/>
        </w:r>
        <w:r>
          <w:rPr>
            <w:webHidden/>
          </w:rPr>
          <w:fldChar w:fldCharType="begin"/>
        </w:r>
        <w:r>
          <w:rPr>
            <w:webHidden/>
          </w:rPr>
          <w:instrText xml:space="preserve"> PAGEREF _Toc216695754 \h </w:instrText>
        </w:r>
        <w:r>
          <w:rPr>
            <w:webHidden/>
          </w:rPr>
        </w:r>
        <w:r>
          <w:rPr>
            <w:webHidden/>
          </w:rPr>
          <w:fldChar w:fldCharType="separate"/>
        </w:r>
        <w:r w:rsidR="003861AC">
          <w:rPr>
            <w:webHidden/>
          </w:rPr>
          <w:t>125</w:t>
        </w:r>
        <w:r>
          <w:rPr>
            <w:webHidden/>
          </w:rPr>
          <w:fldChar w:fldCharType="end"/>
        </w:r>
      </w:hyperlink>
    </w:p>
    <w:p w14:paraId="2A85CAD0" w14:textId="3EB2A3CF" w:rsidR="008B1ACD" w:rsidRDefault="008B1ACD">
      <w:pPr>
        <w:pStyle w:val="TableofFigures"/>
        <w:rPr>
          <w:rFonts w:eastAsiaTheme="minorEastAsia"/>
          <w:sz w:val="24"/>
          <w:lang w:eastAsia="en-AU"/>
        </w:rPr>
      </w:pPr>
      <w:hyperlink w:anchor="_Toc216695755" w:history="1">
        <w:r w:rsidRPr="007053AD">
          <w:rPr>
            <w:rStyle w:val="Hyperlink"/>
          </w:rPr>
          <w:t>Table 93: Coumatetralyl – Effects on soil organisms</w:t>
        </w:r>
        <w:r>
          <w:rPr>
            <w:webHidden/>
          </w:rPr>
          <w:tab/>
        </w:r>
        <w:r>
          <w:rPr>
            <w:webHidden/>
          </w:rPr>
          <w:fldChar w:fldCharType="begin"/>
        </w:r>
        <w:r>
          <w:rPr>
            <w:webHidden/>
          </w:rPr>
          <w:instrText xml:space="preserve"> PAGEREF _Toc216695755 \h </w:instrText>
        </w:r>
        <w:r>
          <w:rPr>
            <w:webHidden/>
          </w:rPr>
        </w:r>
        <w:r>
          <w:rPr>
            <w:webHidden/>
          </w:rPr>
          <w:fldChar w:fldCharType="separate"/>
        </w:r>
        <w:r w:rsidR="003861AC">
          <w:rPr>
            <w:webHidden/>
          </w:rPr>
          <w:t>125</w:t>
        </w:r>
        <w:r>
          <w:rPr>
            <w:webHidden/>
          </w:rPr>
          <w:fldChar w:fldCharType="end"/>
        </w:r>
      </w:hyperlink>
    </w:p>
    <w:p w14:paraId="69C24D2D" w14:textId="3840DD54" w:rsidR="008B1ACD" w:rsidRDefault="008B1ACD">
      <w:pPr>
        <w:pStyle w:val="TableofFigures"/>
        <w:rPr>
          <w:rFonts w:eastAsiaTheme="minorEastAsia"/>
          <w:sz w:val="24"/>
          <w:lang w:eastAsia="en-AU"/>
        </w:rPr>
      </w:pPr>
      <w:hyperlink w:anchor="_Toc216695756" w:history="1">
        <w:r w:rsidRPr="007053AD">
          <w:rPr>
            <w:rStyle w:val="Hyperlink"/>
          </w:rPr>
          <w:t>Table 94: Coumatetralyl – Effects on biological methods of sewage treatment</w:t>
        </w:r>
        <w:r>
          <w:rPr>
            <w:webHidden/>
          </w:rPr>
          <w:tab/>
        </w:r>
        <w:r>
          <w:rPr>
            <w:webHidden/>
          </w:rPr>
          <w:fldChar w:fldCharType="begin"/>
        </w:r>
        <w:r>
          <w:rPr>
            <w:webHidden/>
          </w:rPr>
          <w:instrText xml:space="preserve"> PAGEREF _Toc216695756 \h </w:instrText>
        </w:r>
        <w:r>
          <w:rPr>
            <w:webHidden/>
          </w:rPr>
        </w:r>
        <w:r>
          <w:rPr>
            <w:webHidden/>
          </w:rPr>
          <w:fldChar w:fldCharType="separate"/>
        </w:r>
        <w:r w:rsidR="003861AC">
          <w:rPr>
            <w:webHidden/>
          </w:rPr>
          <w:t>125</w:t>
        </w:r>
        <w:r>
          <w:rPr>
            <w:webHidden/>
          </w:rPr>
          <w:fldChar w:fldCharType="end"/>
        </w:r>
      </w:hyperlink>
    </w:p>
    <w:p w14:paraId="5E17995A" w14:textId="2B6205FB" w:rsidR="008B1ACD" w:rsidRDefault="008B1ACD">
      <w:pPr>
        <w:pStyle w:val="TableofFigures"/>
        <w:rPr>
          <w:rFonts w:eastAsiaTheme="minorEastAsia"/>
          <w:sz w:val="24"/>
          <w:lang w:eastAsia="en-AU"/>
        </w:rPr>
      </w:pPr>
      <w:hyperlink w:anchor="_Toc216695757" w:history="1">
        <w:r w:rsidRPr="007053AD">
          <w:rPr>
            <w:rStyle w:val="Hyperlink"/>
          </w:rPr>
          <w:t>Table 95: Diphacinone – Physical and chemical properties</w:t>
        </w:r>
        <w:r>
          <w:rPr>
            <w:webHidden/>
          </w:rPr>
          <w:tab/>
        </w:r>
        <w:r>
          <w:rPr>
            <w:webHidden/>
          </w:rPr>
          <w:fldChar w:fldCharType="begin"/>
        </w:r>
        <w:r>
          <w:rPr>
            <w:webHidden/>
          </w:rPr>
          <w:instrText xml:space="preserve"> PAGEREF _Toc216695757 \h </w:instrText>
        </w:r>
        <w:r>
          <w:rPr>
            <w:webHidden/>
          </w:rPr>
        </w:r>
        <w:r>
          <w:rPr>
            <w:webHidden/>
          </w:rPr>
          <w:fldChar w:fldCharType="separate"/>
        </w:r>
        <w:r w:rsidR="003861AC">
          <w:rPr>
            <w:webHidden/>
          </w:rPr>
          <w:t>125</w:t>
        </w:r>
        <w:r>
          <w:rPr>
            <w:webHidden/>
          </w:rPr>
          <w:fldChar w:fldCharType="end"/>
        </w:r>
      </w:hyperlink>
    </w:p>
    <w:p w14:paraId="4A630203" w14:textId="21F90843" w:rsidR="008B1ACD" w:rsidRDefault="008B1ACD">
      <w:pPr>
        <w:pStyle w:val="TableofFigures"/>
        <w:rPr>
          <w:rFonts w:eastAsiaTheme="minorEastAsia"/>
          <w:sz w:val="24"/>
          <w:lang w:eastAsia="en-AU"/>
        </w:rPr>
      </w:pPr>
      <w:hyperlink w:anchor="_Toc216695758" w:history="1">
        <w:r w:rsidRPr="007053AD">
          <w:rPr>
            <w:rStyle w:val="Hyperlink"/>
          </w:rPr>
          <w:t>Table 96: Diphacinone – Fate and behaviour in environmental media</w:t>
        </w:r>
        <w:r>
          <w:rPr>
            <w:webHidden/>
          </w:rPr>
          <w:tab/>
        </w:r>
        <w:r>
          <w:rPr>
            <w:webHidden/>
          </w:rPr>
          <w:fldChar w:fldCharType="begin"/>
        </w:r>
        <w:r>
          <w:rPr>
            <w:webHidden/>
          </w:rPr>
          <w:instrText xml:space="preserve"> PAGEREF _Toc216695758 \h </w:instrText>
        </w:r>
        <w:r>
          <w:rPr>
            <w:webHidden/>
          </w:rPr>
        </w:r>
        <w:r>
          <w:rPr>
            <w:webHidden/>
          </w:rPr>
          <w:fldChar w:fldCharType="separate"/>
        </w:r>
        <w:r w:rsidR="003861AC">
          <w:rPr>
            <w:webHidden/>
          </w:rPr>
          <w:t>126</w:t>
        </w:r>
        <w:r>
          <w:rPr>
            <w:webHidden/>
          </w:rPr>
          <w:fldChar w:fldCharType="end"/>
        </w:r>
      </w:hyperlink>
    </w:p>
    <w:p w14:paraId="535111A5" w14:textId="51C0F689" w:rsidR="008B1ACD" w:rsidRDefault="008B1ACD">
      <w:pPr>
        <w:pStyle w:val="TableofFigures"/>
        <w:rPr>
          <w:rFonts w:eastAsiaTheme="minorEastAsia"/>
          <w:sz w:val="24"/>
          <w:lang w:eastAsia="en-AU"/>
        </w:rPr>
      </w:pPr>
      <w:hyperlink w:anchor="_Toc216695759" w:history="1">
        <w:r w:rsidRPr="007053AD">
          <w:rPr>
            <w:rStyle w:val="Hyperlink"/>
          </w:rPr>
          <w:t>Table 97: Diphacinone – Residues monitoring data</w:t>
        </w:r>
        <w:r>
          <w:rPr>
            <w:webHidden/>
          </w:rPr>
          <w:tab/>
        </w:r>
        <w:r>
          <w:rPr>
            <w:webHidden/>
          </w:rPr>
          <w:fldChar w:fldCharType="begin"/>
        </w:r>
        <w:r>
          <w:rPr>
            <w:webHidden/>
          </w:rPr>
          <w:instrText xml:space="preserve"> PAGEREF _Toc216695759 \h </w:instrText>
        </w:r>
        <w:r>
          <w:rPr>
            <w:webHidden/>
          </w:rPr>
        </w:r>
        <w:r>
          <w:rPr>
            <w:webHidden/>
          </w:rPr>
          <w:fldChar w:fldCharType="separate"/>
        </w:r>
        <w:r w:rsidR="003861AC">
          <w:rPr>
            <w:webHidden/>
          </w:rPr>
          <w:t>127</w:t>
        </w:r>
        <w:r>
          <w:rPr>
            <w:webHidden/>
          </w:rPr>
          <w:fldChar w:fldCharType="end"/>
        </w:r>
      </w:hyperlink>
    </w:p>
    <w:p w14:paraId="681EB7A3" w14:textId="1E3C0DA5" w:rsidR="008B1ACD" w:rsidRDefault="008B1ACD">
      <w:pPr>
        <w:pStyle w:val="TableofFigures"/>
        <w:rPr>
          <w:rFonts w:eastAsiaTheme="minorEastAsia"/>
          <w:sz w:val="24"/>
          <w:lang w:eastAsia="en-AU"/>
        </w:rPr>
      </w:pPr>
      <w:hyperlink w:anchor="_Toc216695760" w:history="1">
        <w:r w:rsidRPr="007053AD">
          <w:rPr>
            <w:rStyle w:val="Hyperlink"/>
          </w:rPr>
          <w:t>Table 98: Diphacinone – Primary poisoning studies on terrestrial vertebrates</w:t>
        </w:r>
        <w:r>
          <w:rPr>
            <w:webHidden/>
          </w:rPr>
          <w:tab/>
        </w:r>
        <w:r>
          <w:rPr>
            <w:webHidden/>
          </w:rPr>
          <w:fldChar w:fldCharType="begin"/>
        </w:r>
        <w:r>
          <w:rPr>
            <w:webHidden/>
          </w:rPr>
          <w:instrText xml:space="preserve"> PAGEREF _Toc216695760 \h </w:instrText>
        </w:r>
        <w:r>
          <w:rPr>
            <w:webHidden/>
          </w:rPr>
        </w:r>
        <w:r>
          <w:rPr>
            <w:webHidden/>
          </w:rPr>
          <w:fldChar w:fldCharType="separate"/>
        </w:r>
        <w:r w:rsidR="003861AC">
          <w:rPr>
            <w:webHidden/>
          </w:rPr>
          <w:t>129</w:t>
        </w:r>
        <w:r>
          <w:rPr>
            <w:webHidden/>
          </w:rPr>
          <w:fldChar w:fldCharType="end"/>
        </w:r>
      </w:hyperlink>
    </w:p>
    <w:p w14:paraId="7D77DA1A" w14:textId="4BB3E7C4" w:rsidR="008B1ACD" w:rsidRDefault="008B1ACD">
      <w:pPr>
        <w:pStyle w:val="TableofFigures"/>
        <w:rPr>
          <w:rFonts w:eastAsiaTheme="minorEastAsia"/>
          <w:sz w:val="24"/>
          <w:lang w:eastAsia="en-AU"/>
        </w:rPr>
      </w:pPr>
      <w:hyperlink w:anchor="_Toc216695761" w:history="1">
        <w:r w:rsidRPr="007053AD">
          <w:rPr>
            <w:rStyle w:val="Hyperlink"/>
          </w:rPr>
          <w:t>Table 99: Diphacinone – Secondary poisoning studies on terrestrial vertebrates</w:t>
        </w:r>
        <w:r>
          <w:rPr>
            <w:webHidden/>
          </w:rPr>
          <w:tab/>
        </w:r>
        <w:r>
          <w:rPr>
            <w:webHidden/>
          </w:rPr>
          <w:fldChar w:fldCharType="begin"/>
        </w:r>
        <w:r>
          <w:rPr>
            <w:webHidden/>
          </w:rPr>
          <w:instrText xml:space="preserve"> PAGEREF _Toc216695761 \h </w:instrText>
        </w:r>
        <w:r>
          <w:rPr>
            <w:webHidden/>
          </w:rPr>
        </w:r>
        <w:r>
          <w:rPr>
            <w:webHidden/>
          </w:rPr>
          <w:fldChar w:fldCharType="separate"/>
        </w:r>
        <w:r w:rsidR="003861AC">
          <w:rPr>
            <w:webHidden/>
          </w:rPr>
          <w:t>130</w:t>
        </w:r>
        <w:r>
          <w:rPr>
            <w:webHidden/>
          </w:rPr>
          <w:fldChar w:fldCharType="end"/>
        </w:r>
      </w:hyperlink>
    </w:p>
    <w:p w14:paraId="79F71B3E" w14:textId="5AA0805F" w:rsidR="008B1ACD" w:rsidRDefault="008B1ACD">
      <w:pPr>
        <w:pStyle w:val="TableofFigures"/>
        <w:rPr>
          <w:rFonts w:eastAsiaTheme="minorEastAsia"/>
          <w:sz w:val="24"/>
          <w:lang w:eastAsia="en-AU"/>
        </w:rPr>
      </w:pPr>
      <w:hyperlink w:anchor="_Toc216695762" w:history="1">
        <w:r w:rsidRPr="007053AD">
          <w:rPr>
            <w:rStyle w:val="Hyperlink"/>
          </w:rPr>
          <w:t>Table 100: Diphacinone – Field studies and adverse incidents involving terrestrial vertebrates from approved or unspecified use</w:t>
        </w:r>
        <w:r>
          <w:rPr>
            <w:webHidden/>
          </w:rPr>
          <w:tab/>
        </w:r>
        <w:r>
          <w:rPr>
            <w:webHidden/>
          </w:rPr>
          <w:fldChar w:fldCharType="begin"/>
        </w:r>
        <w:r>
          <w:rPr>
            <w:webHidden/>
          </w:rPr>
          <w:instrText xml:space="preserve"> PAGEREF _Toc216695762 \h </w:instrText>
        </w:r>
        <w:r>
          <w:rPr>
            <w:webHidden/>
          </w:rPr>
        </w:r>
        <w:r>
          <w:rPr>
            <w:webHidden/>
          </w:rPr>
          <w:fldChar w:fldCharType="separate"/>
        </w:r>
        <w:r w:rsidR="003861AC">
          <w:rPr>
            <w:webHidden/>
          </w:rPr>
          <w:t>130</w:t>
        </w:r>
        <w:r>
          <w:rPr>
            <w:webHidden/>
          </w:rPr>
          <w:fldChar w:fldCharType="end"/>
        </w:r>
      </w:hyperlink>
    </w:p>
    <w:p w14:paraId="17DD06D9" w14:textId="1EFEF4C7" w:rsidR="008B1ACD" w:rsidRDefault="008B1ACD">
      <w:pPr>
        <w:pStyle w:val="TableofFigures"/>
        <w:rPr>
          <w:rFonts w:eastAsiaTheme="minorEastAsia"/>
          <w:sz w:val="24"/>
          <w:lang w:eastAsia="en-AU"/>
        </w:rPr>
      </w:pPr>
      <w:hyperlink w:anchor="_Toc216695763" w:history="1">
        <w:r w:rsidRPr="007053AD">
          <w:rPr>
            <w:rStyle w:val="Hyperlink"/>
          </w:rPr>
          <w:t>Table 101: Diphacinone – Effects on aquatic species</w:t>
        </w:r>
        <w:r>
          <w:rPr>
            <w:webHidden/>
          </w:rPr>
          <w:tab/>
        </w:r>
        <w:r>
          <w:rPr>
            <w:webHidden/>
          </w:rPr>
          <w:fldChar w:fldCharType="begin"/>
        </w:r>
        <w:r>
          <w:rPr>
            <w:webHidden/>
          </w:rPr>
          <w:instrText xml:space="preserve"> PAGEREF _Toc216695763 \h </w:instrText>
        </w:r>
        <w:r>
          <w:rPr>
            <w:webHidden/>
          </w:rPr>
        </w:r>
        <w:r>
          <w:rPr>
            <w:webHidden/>
          </w:rPr>
          <w:fldChar w:fldCharType="separate"/>
        </w:r>
        <w:r w:rsidR="003861AC">
          <w:rPr>
            <w:webHidden/>
          </w:rPr>
          <w:t>130</w:t>
        </w:r>
        <w:r>
          <w:rPr>
            <w:webHidden/>
          </w:rPr>
          <w:fldChar w:fldCharType="end"/>
        </w:r>
      </w:hyperlink>
    </w:p>
    <w:p w14:paraId="155C66E9" w14:textId="65811E2D" w:rsidR="008B1ACD" w:rsidRDefault="008B1ACD">
      <w:pPr>
        <w:pStyle w:val="TableofFigures"/>
        <w:rPr>
          <w:rFonts w:eastAsiaTheme="minorEastAsia"/>
          <w:sz w:val="24"/>
          <w:lang w:eastAsia="en-AU"/>
        </w:rPr>
      </w:pPr>
      <w:hyperlink w:anchor="_Toc216695764" w:history="1">
        <w:r w:rsidRPr="007053AD">
          <w:rPr>
            <w:rStyle w:val="Hyperlink"/>
          </w:rPr>
          <w:t>Table 102: Warfarin – Fate and behaviour in environmental media</w:t>
        </w:r>
        <w:r>
          <w:rPr>
            <w:webHidden/>
          </w:rPr>
          <w:tab/>
        </w:r>
        <w:r>
          <w:rPr>
            <w:webHidden/>
          </w:rPr>
          <w:fldChar w:fldCharType="begin"/>
        </w:r>
        <w:r>
          <w:rPr>
            <w:webHidden/>
          </w:rPr>
          <w:instrText xml:space="preserve"> PAGEREF _Toc216695764 \h </w:instrText>
        </w:r>
        <w:r>
          <w:rPr>
            <w:webHidden/>
          </w:rPr>
        </w:r>
        <w:r>
          <w:rPr>
            <w:webHidden/>
          </w:rPr>
          <w:fldChar w:fldCharType="separate"/>
        </w:r>
        <w:r w:rsidR="003861AC">
          <w:rPr>
            <w:webHidden/>
          </w:rPr>
          <w:t>130</w:t>
        </w:r>
        <w:r>
          <w:rPr>
            <w:webHidden/>
          </w:rPr>
          <w:fldChar w:fldCharType="end"/>
        </w:r>
      </w:hyperlink>
    </w:p>
    <w:p w14:paraId="14E4B557" w14:textId="44BB4168" w:rsidR="008B1ACD" w:rsidRDefault="008B1ACD">
      <w:pPr>
        <w:pStyle w:val="TableofFigures"/>
        <w:rPr>
          <w:rFonts w:eastAsiaTheme="minorEastAsia"/>
          <w:sz w:val="24"/>
          <w:lang w:eastAsia="en-AU"/>
        </w:rPr>
      </w:pPr>
      <w:hyperlink w:anchor="_Toc216695765" w:history="1">
        <w:r w:rsidRPr="007053AD">
          <w:rPr>
            <w:rStyle w:val="Hyperlink"/>
          </w:rPr>
          <w:t>Table 103: Warfarin – Residues monitoring data</w:t>
        </w:r>
        <w:r>
          <w:rPr>
            <w:webHidden/>
          </w:rPr>
          <w:tab/>
        </w:r>
        <w:r>
          <w:rPr>
            <w:webHidden/>
          </w:rPr>
          <w:fldChar w:fldCharType="begin"/>
        </w:r>
        <w:r>
          <w:rPr>
            <w:webHidden/>
          </w:rPr>
          <w:instrText xml:space="preserve"> PAGEREF _Toc216695765 \h </w:instrText>
        </w:r>
        <w:r>
          <w:rPr>
            <w:webHidden/>
          </w:rPr>
        </w:r>
        <w:r>
          <w:rPr>
            <w:webHidden/>
          </w:rPr>
          <w:fldChar w:fldCharType="separate"/>
        </w:r>
        <w:r w:rsidR="003861AC">
          <w:rPr>
            <w:webHidden/>
          </w:rPr>
          <w:t>131</w:t>
        </w:r>
        <w:r>
          <w:rPr>
            <w:webHidden/>
          </w:rPr>
          <w:fldChar w:fldCharType="end"/>
        </w:r>
      </w:hyperlink>
    </w:p>
    <w:p w14:paraId="250D8307" w14:textId="620460C9" w:rsidR="008B1ACD" w:rsidRDefault="008B1ACD">
      <w:pPr>
        <w:pStyle w:val="TableofFigures"/>
        <w:rPr>
          <w:rFonts w:eastAsiaTheme="minorEastAsia"/>
          <w:sz w:val="24"/>
          <w:lang w:eastAsia="en-AU"/>
        </w:rPr>
      </w:pPr>
      <w:hyperlink w:anchor="_Toc216695766" w:history="1">
        <w:r w:rsidRPr="007053AD">
          <w:rPr>
            <w:rStyle w:val="Hyperlink"/>
          </w:rPr>
          <w:t>Table 104: Warfarin – Primary poisoning studies on terrestrial vertebrates</w:t>
        </w:r>
        <w:r>
          <w:rPr>
            <w:webHidden/>
          </w:rPr>
          <w:tab/>
        </w:r>
        <w:r>
          <w:rPr>
            <w:webHidden/>
          </w:rPr>
          <w:fldChar w:fldCharType="begin"/>
        </w:r>
        <w:r>
          <w:rPr>
            <w:webHidden/>
          </w:rPr>
          <w:instrText xml:space="preserve"> PAGEREF _Toc216695766 \h </w:instrText>
        </w:r>
        <w:r>
          <w:rPr>
            <w:webHidden/>
          </w:rPr>
        </w:r>
        <w:r>
          <w:rPr>
            <w:webHidden/>
          </w:rPr>
          <w:fldChar w:fldCharType="separate"/>
        </w:r>
        <w:r w:rsidR="003861AC">
          <w:rPr>
            <w:webHidden/>
          </w:rPr>
          <w:t>134</w:t>
        </w:r>
        <w:r>
          <w:rPr>
            <w:webHidden/>
          </w:rPr>
          <w:fldChar w:fldCharType="end"/>
        </w:r>
      </w:hyperlink>
    </w:p>
    <w:p w14:paraId="126874C5" w14:textId="2D8143B9" w:rsidR="008B1ACD" w:rsidRDefault="008B1ACD">
      <w:pPr>
        <w:pStyle w:val="TableofFigures"/>
        <w:rPr>
          <w:rFonts w:eastAsiaTheme="minorEastAsia"/>
          <w:sz w:val="24"/>
          <w:lang w:eastAsia="en-AU"/>
        </w:rPr>
      </w:pPr>
      <w:hyperlink w:anchor="_Toc216695767" w:history="1">
        <w:r w:rsidRPr="007053AD">
          <w:rPr>
            <w:rStyle w:val="Hyperlink"/>
          </w:rPr>
          <w:t>Table 105: Warfarin – Secondary poisoning studies on terrestrial vertebrates</w:t>
        </w:r>
        <w:r>
          <w:rPr>
            <w:webHidden/>
          </w:rPr>
          <w:tab/>
        </w:r>
        <w:r>
          <w:rPr>
            <w:webHidden/>
          </w:rPr>
          <w:fldChar w:fldCharType="begin"/>
        </w:r>
        <w:r>
          <w:rPr>
            <w:webHidden/>
          </w:rPr>
          <w:instrText xml:space="preserve"> PAGEREF _Toc216695767 \h </w:instrText>
        </w:r>
        <w:r>
          <w:rPr>
            <w:webHidden/>
          </w:rPr>
        </w:r>
        <w:r>
          <w:rPr>
            <w:webHidden/>
          </w:rPr>
          <w:fldChar w:fldCharType="separate"/>
        </w:r>
        <w:r w:rsidR="003861AC">
          <w:rPr>
            <w:webHidden/>
          </w:rPr>
          <w:t>134</w:t>
        </w:r>
        <w:r>
          <w:rPr>
            <w:webHidden/>
          </w:rPr>
          <w:fldChar w:fldCharType="end"/>
        </w:r>
      </w:hyperlink>
    </w:p>
    <w:p w14:paraId="4C545925" w14:textId="1FD2B6BD" w:rsidR="008B1ACD" w:rsidRDefault="008B1ACD">
      <w:pPr>
        <w:pStyle w:val="TableofFigures"/>
        <w:rPr>
          <w:rFonts w:eastAsiaTheme="minorEastAsia"/>
          <w:sz w:val="24"/>
          <w:lang w:eastAsia="en-AU"/>
        </w:rPr>
      </w:pPr>
      <w:hyperlink w:anchor="_Toc216695768" w:history="1">
        <w:r w:rsidRPr="007053AD">
          <w:rPr>
            <w:rStyle w:val="Hyperlink"/>
          </w:rPr>
          <w:t>Table 106: Warfarin – Field studies and adverse incidents involving terrestrial vertebrates from approved or unspecified use</w:t>
        </w:r>
        <w:r>
          <w:rPr>
            <w:webHidden/>
          </w:rPr>
          <w:tab/>
        </w:r>
        <w:r>
          <w:rPr>
            <w:webHidden/>
          </w:rPr>
          <w:fldChar w:fldCharType="begin"/>
        </w:r>
        <w:r>
          <w:rPr>
            <w:webHidden/>
          </w:rPr>
          <w:instrText xml:space="preserve"> PAGEREF _Toc216695768 \h </w:instrText>
        </w:r>
        <w:r>
          <w:rPr>
            <w:webHidden/>
          </w:rPr>
        </w:r>
        <w:r>
          <w:rPr>
            <w:webHidden/>
          </w:rPr>
          <w:fldChar w:fldCharType="separate"/>
        </w:r>
        <w:r w:rsidR="003861AC">
          <w:rPr>
            <w:webHidden/>
          </w:rPr>
          <w:t>135</w:t>
        </w:r>
        <w:r>
          <w:rPr>
            <w:webHidden/>
          </w:rPr>
          <w:fldChar w:fldCharType="end"/>
        </w:r>
      </w:hyperlink>
    </w:p>
    <w:p w14:paraId="5AECC764" w14:textId="6921A810" w:rsidR="008B1ACD" w:rsidRDefault="008B1ACD">
      <w:pPr>
        <w:pStyle w:val="TableofFigures"/>
        <w:rPr>
          <w:rFonts w:eastAsiaTheme="minorEastAsia"/>
          <w:sz w:val="24"/>
          <w:lang w:eastAsia="en-AU"/>
        </w:rPr>
      </w:pPr>
      <w:hyperlink w:anchor="_Toc216695769" w:history="1">
        <w:r w:rsidRPr="007053AD">
          <w:rPr>
            <w:rStyle w:val="Hyperlink"/>
          </w:rPr>
          <w:t>Table 107: Brodifacoum – Physical and chemical properties</w:t>
        </w:r>
        <w:r>
          <w:rPr>
            <w:webHidden/>
          </w:rPr>
          <w:tab/>
        </w:r>
        <w:r>
          <w:rPr>
            <w:webHidden/>
          </w:rPr>
          <w:fldChar w:fldCharType="begin"/>
        </w:r>
        <w:r>
          <w:rPr>
            <w:webHidden/>
          </w:rPr>
          <w:instrText xml:space="preserve"> PAGEREF _Toc216695769 \h </w:instrText>
        </w:r>
        <w:r>
          <w:rPr>
            <w:webHidden/>
          </w:rPr>
        </w:r>
        <w:r>
          <w:rPr>
            <w:webHidden/>
          </w:rPr>
          <w:fldChar w:fldCharType="separate"/>
        </w:r>
        <w:r w:rsidR="003861AC">
          <w:rPr>
            <w:webHidden/>
          </w:rPr>
          <w:t>135</w:t>
        </w:r>
        <w:r>
          <w:rPr>
            <w:webHidden/>
          </w:rPr>
          <w:fldChar w:fldCharType="end"/>
        </w:r>
      </w:hyperlink>
    </w:p>
    <w:p w14:paraId="48AA3732" w14:textId="722AC48F" w:rsidR="008B1ACD" w:rsidRDefault="008B1ACD">
      <w:pPr>
        <w:pStyle w:val="TableofFigures"/>
        <w:rPr>
          <w:rFonts w:eastAsiaTheme="minorEastAsia"/>
          <w:sz w:val="24"/>
          <w:lang w:eastAsia="en-AU"/>
        </w:rPr>
      </w:pPr>
      <w:hyperlink w:anchor="_Toc216695770" w:history="1">
        <w:r w:rsidRPr="007053AD">
          <w:rPr>
            <w:rStyle w:val="Hyperlink"/>
          </w:rPr>
          <w:t>Table 108: Brodifacoum – Fate and behaviour in environmental media</w:t>
        </w:r>
        <w:r>
          <w:rPr>
            <w:webHidden/>
          </w:rPr>
          <w:tab/>
        </w:r>
        <w:r>
          <w:rPr>
            <w:webHidden/>
          </w:rPr>
          <w:fldChar w:fldCharType="begin"/>
        </w:r>
        <w:r>
          <w:rPr>
            <w:webHidden/>
          </w:rPr>
          <w:instrText xml:space="preserve"> PAGEREF _Toc216695770 \h </w:instrText>
        </w:r>
        <w:r>
          <w:rPr>
            <w:webHidden/>
          </w:rPr>
        </w:r>
        <w:r>
          <w:rPr>
            <w:webHidden/>
          </w:rPr>
          <w:fldChar w:fldCharType="separate"/>
        </w:r>
        <w:r w:rsidR="003861AC">
          <w:rPr>
            <w:webHidden/>
          </w:rPr>
          <w:t>136</w:t>
        </w:r>
        <w:r>
          <w:rPr>
            <w:webHidden/>
          </w:rPr>
          <w:fldChar w:fldCharType="end"/>
        </w:r>
      </w:hyperlink>
    </w:p>
    <w:p w14:paraId="45145A45" w14:textId="01DDAA33" w:rsidR="008B1ACD" w:rsidRDefault="008B1ACD">
      <w:pPr>
        <w:pStyle w:val="TableofFigures"/>
        <w:rPr>
          <w:rFonts w:eastAsiaTheme="minorEastAsia"/>
          <w:sz w:val="24"/>
          <w:lang w:eastAsia="en-AU"/>
        </w:rPr>
      </w:pPr>
      <w:hyperlink w:anchor="_Toc216695771" w:history="1">
        <w:r w:rsidRPr="007053AD">
          <w:rPr>
            <w:rStyle w:val="Hyperlink"/>
          </w:rPr>
          <w:t>Table 109: Brodifacoum – Residues monitoring data</w:t>
        </w:r>
        <w:r>
          <w:rPr>
            <w:webHidden/>
          </w:rPr>
          <w:tab/>
        </w:r>
        <w:r>
          <w:rPr>
            <w:webHidden/>
          </w:rPr>
          <w:fldChar w:fldCharType="begin"/>
        </w:r>
        <w:r>
          <w:rPr>
            <w:webHidden/>
          </w:rPr>
          <w:instrText xml:space="preserve"> PAGEREF _Toc216695771 \h </w:instrText>
        </w:r>
        <w:r>
          <w:rPr>
            <w:webHidden/>
          </w:rPr>
        </w:r>
        <w:r>
          <w:rPr>
            <w:webHidden/>
          </w:rPr>
          <w:fldChar w:fldCharType="separate"/>
        </w:r>
        <w:r w:rsidR="003861AC">
          <w:rPr>
            <w:webHidden/>
          </w:rPr>
          <w:t>137</w:t>
        </w:r>
        <w:r>
          <w:rPr>
            <w:webHidden/>
          </w:rPr>
          <w:fldChar w:fldCharType="end"/>
        </w:r>
      </w:hyperlink>
    </w:p>
    <w:p w14:paraId="38D7F27E" w14:textId="69DF6C1B" w:rsidR="008B1ACD" w:rsidRDefault="008B1ACD">
      <w:pPr>
        <w:pStyle w:val="TableofFigures"/>
        <w:rPr>
          <w:rFonts w:eastAsiaTheme="minorEastAsia"/>
          <w:sz w:val="24"/>
          <w:lang w:eastAsia="en-AU"/>
        </w:rPr>
      </w:pPr>
      <w:hyperlink w:anchor="_Toc216695772" w:history="1">
        <w:r w:rsidRPr="007053AD">
          <w:rPr>
            <w:rStyle w:val="Hyperlink"/>
          </w:rPr>
          <w:t>Table 110: Brodifacoum – Primary poisoning studies on terrestrial vertebrates</w:t>
        </w:r>
        <w:r>
          <w:rPr>
            <w:webHidden/>
          </w:rPr>
          <w:tab/>
        </w:r>
        <w:r>
          <w:rPr>
            <w:webHidden/>
          </w:rPr>
          <w:fldChar w:fldCharType="begin"/>
        </w:r>
        <w:r>
          <w:rPr>
            <w:webHidden/>
          </w:rPr>
          <w:instrText xml:space="preserve"> PAGEREF _Toc216695772 \h </w:instrText>
        </w:r>
        <w:r>
          <w:rPr>
            <w:webHidden/>
          </w:rPr>
        </w:r>
        <w:r>
          <w:rPr>
            <w:webHidden/>
          </w:rPr>
          <w:fldChar w:fldCharType="separate"/>
        </w:r>
        <w:r w:rsidR="003861AC">
          <w:rPr>
            <w:webHidden/>
          </w:rPr>
          <w:t>142</w:t>
        </w:r>
        <w:r>
          <w:rPr>
            <w:webHidden/>
          </w:rPr>
          <w:fldChar w:fldCharType="end"/>
        </w:r>
      </w:hyperlink>
    </w:p>
    <w:p w14:paraId="4F7E950D" w14:textId="1B31FAAD" w:rsidR="008B1ACD" w:rsidRDefault="008B1ACD">
      <w:pPr>
        <w:pStyle w:val="TableofFigures"/>
        <w:rPr>
          <w:rFonts w:eastAsiaTheme="minorEastAsia"/>
          <w:sz w:val="24"/>
          <w:lang w:eastAsia="en-AU"/>
        </w:rPr>
      </w:pPr>
      <w:hyperlink w:anchor="_Toc216695773" w:history="1">
        <w:r w:rsidRPr="007053AD">
          <w:rPr>
            <w:rStyle w:val="Hyperlink"/>
          </w:rPr>
          <w:t>Table 111: Brodifacoum – Secondary poisoning studies on terrestrial vertebrates</w:t>
        </w:r>
        <w:r>
          <w:rPr>
            <w:webHidden/>
          </w:rPr>
          <w:tab/>
        </w:r>
        <w:r>
          <w:rPr>
            <w:webHidden/>
          </w:rPr>
          <w:fldChar w:fldCharType="begin"/>
        </w:r>
        <w:r>
          <w:rPr>
            <w:webHidden/>
          </w:rPr>
          <w:instrText xml:space="preserve"> PAGEREF _Toc216695773 \h </w:instrText>
        </w:r>
        <w:r>
          <w:rPr>
            <w:webHidden/>
          </w:rPr>
        </w:r>
        <w:r>
          <w:rPr>
            <w:webHidden/>
          </w:rPr>
          <w:fldChar w:fldCharType="separate"/>
        </w:r>
        <w:r w:rsidR="003861AC">
          <w:rPr>
            <w:webHidden/>
          </w:rPr>
          <w:t>143</w:t>
        </w:r>
        <w:r>
          <w:rPr>
            <w:webHidden/>
          </w:rPr>
          <w:fldChar w:fldCharType="end"/>
        </w:r>
      </w:hyperlink>
    </w:p>
    <w:p w14:paraId="4629064A" w14:textId="7A65C3AC" w:rsidR="008B1ACD" w:rsidRDefault="008B1ACD">
      <w:pPr>
        <w:pStyle w:val="TableofFigures"/>
        <w:rPr>
          <w:rFonts w:eastAsiaTheme="minorEastAsia"/>
          <w:sz w:val="24"/>
          <w:lang w:eastAsia="en-AU"/>
        </w:rPr>
      </w:pPr>
      <w:hyperlink w:anchor="_Toc216695774" w:history="1">
        <w:r w:rsidRPr="007053AD">
          <w:rPr>
            <w:rStyle w:val="Hyperlink"/>
          </w:rPr>
          <w:t>Table 112: Brodifacoum – Field studies and adverse incidents involving terrestrial vertebrates from approved or unspecified use</w:t>
        </w:r>
        <w:r>
          <w:rPr>
            <w:webHidden/>
          </w:rPr>
          <w:tab/>
        </w:r>
        <w:r>
          <w:rPr>
            <w:webHidden/>
          </w:rPr>
          <w:fldChar w:fldCharType="begin"/>
        </w:r>
        <w:r>
          <w:rPr>
            <w:webHidden/>
          </w:rPr>
          <w:instrText xml:space="preserve"> PAGEREF _Toc216695774 \h </w:instrText>
        </w:r>
        <w:r>
          <w:rPr>
            <w:webHidden/>
          </w:rPr>
        </w:r>
        <w:r>
          <w:rPr>
            <w:webHidden/>
          </w:rPr>
          <w:fldChar w:fldCharType="separate"/>
        </w:r>
        <w:r w:rsidR="003861AC">
          <w:rPr>
            <w:webHidden/>
          </w:rPr>
          <w:t>144</w:t>
        </w:r>
        <w:r>
          <w:rPr>
            <w:webHidden/>
          </w:rPr>
          <w:fldChar w:fldCharType="end"/>
        </w:r>
      </w:hyperlink>
    </w:p>
    <w:p w14:paraId="2EE3144F" w14:textId="72C30BFE" w:rsidR="008B1ACD" w:rsidRDefault="008B1ACD">
      <w:pPr>
        <w:pStyle w:val="TableofFigures"/>
        <w:rPr>
          <w:rFonts w:eastAsiaTheme="minorEastAsia"/>
          <w:sz w:val="24"/>
          <w:lang w:eastAsia="en-AU"/>
        </w:rPr>
      </w:pPr>
      <w:hyperlink w:anchor="_Toc216695775" w:history="1">
        <w:r w:rsidRPr="007053AD">
          <w:rPr>
            <w:rStyle w:val="Hyperlink"/>
          </w:rPr>
          <w:t>Table 113: Brodifacoum – Field studies and adverse incidents involving terrestrial vertebrates from rodent eradication and ecological restoration programmes</w:t>
        </w:r>
        <w:r>
          <w:rPr>
            <w:webHidden/>
          </w:rPr>
          <w:tab/>
        </w:r>
        <w:r>
          <w:rPr>
            <w:webHidden/>
          </w:rPr>
          <w:fldChar w:fldCharType="begin"/>
        </w:r>
        <w:r>
          <w:rPr>
            <w:webHidden/>
          </w:rPr>
          <w:instrText xml:space="preserve"> PAGEREF _Toc216695775 \h </w:instrText>
        </w:r>
        <w:r>
          <w:rPr>
            <w:webHidden/>
          </w:rPr>
        </w:r>
        <w:r>
          <w:rPr>
            <w:webHidden/>
          </w:rPr>
          <w:fldChar w:fldCharType="separate"/>
        </w:r>
        <w:r w:rsidR="003861AC">
          <w:rPr>
            <w:webHidden/>
          </w:rPr>
          <w:t>145</w:t>
        </w:r>
        <w:r>
          <w:rPr>
            <w:webHidden/>
          </w:rPr>
          <w:fldChar w:fldCharType="end"/>
        </w:r>
      </w:hyperlink>
    </w:p>
    <w:p w14:paraId="588EE2DB" w14:textId="5F713719" w:rsidR="008B1ACD" w:rsidRDefault="008B1ACD">
      <w:pPr>
        <w:pStyle w:val="TableofFigures"/>
        <w:rPr>
          <w:rFonts w:eastAsiaTheme="minorEastAsia"/>
          <w:sz w:val="24"/>
          <w:lang w:eastAsia="en-AU"/>
        </w:rPr>
      </w:pPr>
      <w:hyperlink w:anchor="_Toc216695776" w:history="1">
        <w:r w:rsidRPr="007053AD">
          <w:rPr>
            <w:rStyle w:val="Hyperlink"/>
          </w:rPr>
          <w:t>Table 114: Brodifacoum – Effects on aquatic species</w:t>
        </w:r>
        <w:r>
          <w:rPr>
            <w:webHidden/>
          </w:rPr>
          <w:tab/>
        </w:r>
        <w:r>
          <w:rPr>
            <w:webHidden/>
          </w:rPr>
          <w:fldChar w:fldCharType="begin"/>
        </w:r>
        <w:r>
          <w:rPr>
            <w:webHidden/>
          </w:rPr>
          <w:instrText xml:space="preserve"> PAGEREF _Toc216695776 \h </w:instrText>
        </w:r>
        <w:r>
          <w:rPr>
            <w:webHidden/>
          </w:rPr>
        </w:r>
        <w:r>
          <w:rPr>
            <w:webHidden/>
          </w:rPr>
          <w:fldChar w:fldCharType="separate"/>
        </w:r>
        <w:r w:rsidR="003861AC">
          <w:rPr>
            <w:webHidden/>
          </w:rPr>
          <w:t>147</w:t>
        </w:r>
        <w:r>
          <w:rPr>
            <w:webHidden/>
          </w:rPr>
          <w:fldChar w:fldCharType="end"/>
        </w:r>
      </w:hyperlink>
    </w:p>
    <w:p w14:paraId="7CA1C252" w14:textId="78DB8D26" w:rsidR="008B1ACD" w:rsidRDefault="008B1ACD">
      <w:pPr>
        <w:pStyle w:val="TableofFigures"/>
        <w:rPr>
          <w:rFonts w:eastAsiaTheme="minorEastAsia"/>
          <w:sz w:val="24"/>
          <w:lang w:eastAsia="en-AU"/>
        </w:rPr>
      </w:pPr>
      <w:hyperlink w:anchor="_Toc216695777" w:history="1">
        <w:r w:rsidRPr="007053AD">
          <w:rPr>
            <w:rStyle w:val="Hyperlink"/>
          </w:rPr>
          <w:t>Table 115: Brodifacoum – Effects on soil organisms</w:t>
        </w:r>
        <w:r>
          <w:rPr>
            <w:webHidden/>
          </w:rPr>
          <w:tab/>
        </w:r>
        <w:r>
          <w:rPr>
            <w:webHidden/>
          </w:rPr>
          <w:fldChar w:fldCharType="begin"/>
        </w:r>
        <w:r>
          <w:rPr>
            <w:webHidden/>
          </w:rPr>
          <w:instrText xml:space="preserve"> PAGEREF _Toc216695777 \h </w:instrText>
        </w:r>
        <w:r>
          <w:rPr>
            <w:webHidden/>
          </w:rPr>
        </w:r>
        <w:r>
          <w:rPr>
            <w:webHidden/>
          </w:rPr>
          <w:fldChar w:fldCharType="separate"/>
        </w:r>
        <w:r w:rsidR="003861AC">
          <w:rPr>
            <w:webHidden/>
          </w:rPr>
          <w:t>147</w:t>
        </w:r>
        <w:r>
          <w:rPr>
            <w:webHidden/>
          </w:rPr>
          <w:fldChar w:fldCharType="end"/>
        </w:r>
      </w:hyperlink>
    </w:p>
    <w:p w14:paraId="64A8D107" w14:textId="64236FE4" w:rsidR="008B1ACD" w:rsidRDefault="008B1ACD">
      <w:pPr>
        <w:pStyle w:val="TableofFigures"/>
        <w:rPr>
          <w:rFonts w:eastAsiaTheme="minorEastAsia"/>
          <w:sz w:val="24"/>
          <w:lang w:eastAsia="en-AU"/>
        </w:rPr>
      </w:pPr>
      <w:hyperlink w:anchor="_Toc216695778" w:history="1">
        <w:r w:rsidRPr="007053AD">
          <w:rPr>
            <w:rStyle w:val="Hyperlink"/>
          </w:rPr>
          <w:t>Table 116: Brodifacoum – Effects on biological methods of sewage treatment</w:t>
        </w:r>
        <w:r>
          <w:rPr>
            <w:webHidden/>
          </w:rPr>
          <w:tab/>
        </w:r>
        <w:r>
          <w:rPr>
            <w:webHidden/>
          </w:rPr>
          <w:fldChar w:fldCharType="begin"/>
        </w:r>
        <w:r>
          <w:rPr>
            <w:webHidden/>
          </w:rPr>
          <w:instrText xml:space="preserve"> PAGEREF _Toc216695778 \h </w:instrText>
        </w:r>
        <w:r>
          <w:rPr>
            <w:webHidden/>
          </w:rPr>
        </w:r>
        <w:r>
          <w:rPr>
            <w:webHidden/>
          </w:rPr>
          <w:fldChar w:fldCharType="separate"/>
        </w:r>
        <w:r w:rsidR="003861AC">
          <w:rPr>
            <w:webHidden/>
          </w:rPr>
          <w:t>147</w:t>
        </w:r>
        <w:r>
          <w:rPr>
            <w:webHidden/>
          </w:rPr>
          <w:fldChar w:fldCharType="end"/>
        </w:r>
      </w:hyperlink>
    </w:p>
    <w:p w14:paraId="3B67E285" w14:textId="119A95A6" w:rsidR="008B1ACD" w:rsidRDefault="008B1ACD">
      <w:pPr>
        <w:pStyle w:val="TableofFigures"/>
        <w:rPr>
          <w:rFonts w:eastAsiaTheme="minorEastAsia"/>
          <w:sz w:val="24"/>
          <w:lang w:eastAsia="en-AU"/>
        </w:rPr>
      </w:pPr>
      <w:hyperlink w:anchor="_Toc216695779" w:history="1">
        <w:r w:rsidRPr="007053AD">
          <w:rPr>
            <w:rStyle w:val="Hyperlink"/>
          </w:rPr>
          <w:t>Table 117: Bromadiolone – Physical and chemical properties</w:t>
        </w:r>
        <w:r>
          <w:rPr>
            <w:webHidden/>
          </w:rPr>
          <w:tab/>
        </w:r>
        <w:r>
          <w:rPr>
            <w:webHidden/>
          </w:rPr>
          <w:fldChar w:fldCharType="begin"/>
        </w:r>
        <w:r>
          <w:rPr>
            <w:webHidden/>
          </w:rPr>
          <w:instrText xml:space="preserve"> PAGEREF _Toc216695779 \h </w:instrText>
        </w:r>
        <w:r>
          <w:rPr>
            <w:webHidden/>
          </w:rPr>
        </w:r>
        <w:r>
          <w:rPr>
            <w:webHidden/>
          </w:rPr>
          <w:fldChar w:fldCharType="separate"/>
        </w:r>
        <w:r w:rsidR="003861AC">
          <w:rPr>
            <w:webHidden/>
          </w:rPr>
          <w:t>148</w:t>
        </w:r>
        <w:r>
          <w:rPr>
            <w:webHidden/>
          </w:rPr>
          <w:fldChar w:fldCharType="end"/>
        </w:r>
      </w:hyperlink>
    </w:p>
    <w:p w14:paraId="1B69CE27" w14:textId="27A19E3D" w:rsidR="008B1ACD" w:rsidRDefault="008B1ACD">
      <w:pPr>
        <w:pStyle w:val="TableofFigures"/>
        <w:rPr>
          <w:rFonts w:eastAsiaTheme="minorEastAsia"/>
          <w:sz w:val="24"/>
          <w:lang w:eastAsia="en-AU"/>
        </w:rPr>
      </w:pPr>
      <w:hyperlink w:anchor="_Toc216695780" w:history="1">
        <w:r w:rsidRPr="007053AD">
          <w:rPr>
            <w:rStyle w:val="Hyperlink"/>
          </w:rPr>
          <w:t>Table 118: Bromadiolone – Fate and behaviour in environmental media</w:t>
        </w:r>
        <w:r>
          <w:rPr>
            <w:webHidden/>
          </w:rPr>
          <w:tab/>
        </w:r>
        <w:r>
          <w:rPr>
            <w:webHidden/>
          </w:rPr>
          <w:fldChar w:fldCharType="begin"/>
        </w:r>
        <w:r>
          <w:rPr>
            <w:webHidden/>
          </w:rPr>
          <w:instrText xml:space="preserve"> PAGEREF _Toc216695780 \h </w:instrText>
        </w:r>
        <w:r>
          <w:rPr>
            <w:webHidden/>
          </w:rPr>
        </w:r>
        <w:r>
          <w:rPr>
            <w:webHidden/>
          </w:rPr>
          <w:fldChar w:fldCharType="separate"/>
        </w:r>
        <w:r w:rsidR="003861AC">
          <w:rPr>
            <w:webHidden/>
          </w:rPr>
          <w:t>149</w:t>
        </w:r>
        <w:r>
          <w:rPr>
            <w:webHidden/>
          </w:rPr>
          <w:fldChar w:fldCharType="end"/>
        </w:r>
      </w:hyperlink>
    </w:p>
    <w:p w14:paraId="45166CBC" w14:textId="02B45A71" w:rsidR="008B1ACD" w:rsidRDefault="008B1ACD">
      <w:pPr>
        <w:pStyle w:val="TableofFigures"/>
        <w:rPr>
          <w:rFonts w:eastAsiaTheme="minorEastAsia"/>
          <w:sz w:val="24"/>
          <w:lang w:eastAsia="en-AU"/>
        </w:rPr>
      </w:pPr>
      <w:hyperlink w:anchor="_Toc216695781" w:history="1">
        <w:r w:rsidRPr="007053AD">
          <w:rPr>
            <w:rStyle w:val="Hyperlink"/>
          </w:rPr>
          <w:t>Table 119: Bromadiolone – Residues monitoring data</w:t>
        </w:r>
        <w:r>
          <w:rPr>
            <w:webHidden/>
          </w:rPr>
          <w:tab/>
        </w:r>
        <w:r>
          <w:rPr>
            <w:webHidden/>
          </w:rPr>
          <w:fldChar w:fldCharType="begin"/>
        </w:r>
        <w:r>
          <w:rPr>
            <w:webHidden/>
          </w:rPr>
          <w:instrText xml:space="preserve"> PAGEREF _Toc216695781 \h </w:instrText>
        </w:r>
        <w:r>
          <w:rPr>
            <w:webHidden/>
          </w:rPr>
        </w:r>
        <w:r>
          <w:rPr>
            <w:webHidden/>
          </w:rPr>
          <w:fldChar w:fldCharType="separate"/>
        </w:r>
        <w:r w:rsidR="003861AC">
          <w:rPr>
            <w:webHidden/>
          </w:rPr>
          <w:t>151</w:t>
        </w:r>
        <w:r>
          <w:rPr>
            <w:webHidden/>
          </w:rPr>
          <w:fldChar w:fldCharType="end"/>
        </w:r>
      </w:hyperlink>
    </w:p>
    <w:p w14:paraId="0856357A" w14:textId="45F51C9D" w:rsidR="008B1ACD" w:rsidRDefault="008B1ACD">
      <w:pPr>
        <w:pStyle w:val="TableofFigures"/>
        <w:rPr>
          <w:rFonts w:eastAsiaTheme="minorEastAsia"/>
          <w:sz w:val="24"/>
          <w:lang w:eastAsia="en-AU"/>
        </w:rPr>
      </w:pPr>
      <w:hyperlink w:anchor="_Toc216695782" w:history="1">
        <w:r w:rsidRPr="007053AD">
          <w:rPr>
            <w:rStyle w:val="Hyperlink"/>
          </w:rPr>
          <w:t>Table 120: Bromadiolone – Primary poisoning studies on terrestrial vertebrates</w:t>
        </w:r>
        <w:r>
          <w:rPr>
            <w:webHidden/>
          </w:rPr>
          <w:tab/>
        </w:r>
        <w:r>
          <w:rPr>
            <w:webHidden/>
          </w:rPr>
          <w:fldChar w:fldCharType="begin"/>
        </w:r>
        <w:r>
          <w:rPr>
            <w:webHidden/>
          </w:rPr>
          <w:instrText xml:space="preserve"> PAGEREF _Toc216695782 \h </w:instrText>
        </w:r>
        <w:r>
          <w:rPr>
            <w:webHidden/>
          </w:rPr>
        </w:r>
        <w:r>
          <w:rPr>
            <w:webHidden/>
          </w:rPr>
          <w:fldChar w:fldCharType="separate"/>
        </w:r>
        <w:r w:rsidR="003861AC">
          <w:rPr>
            <w:webHidden/>
          </w:rPr>
          <w:t>155</w:t>
        </w:r>
        <w:r>
          <w:rPr>
            <w:webHidden/>
          </w:rPr>
          <w:fldChar w:fldCharType="end"/>
        </w:r>
      </w:hyperlink>
    </w:p>
    <w:p w14:paraId="6E4E403E" w14:textId="2778FFE2" w:rsidR="008B1ACD" w:rsidRDefault="008B1ACD">
      <w:pPr>
        <w:pStyle w:val="TableofFigures"/>
        <w:rPr>
          <w:rFonts w:eastAsiaTheme="minorEastAsia"/>
          <w:sz w:val="24"/>
          <w:lang w:eastAsia="en-AU"/>
        </w:rPr>
      </w:pPr>
      <w:hyperlink w:anchor="_Toc216695783" w:history="1">
        <w:r w:rsidRPr="007053AD">
          <w:rPr>
            <w:rStyle w:val="Hyperlink"/>
          </w:rPr>
          <w:t>Table 121: Bromadiolone – Secondary poisoning studies on terrestrial vertebrates</w:t>
        </w:r>
        <w:r>
          <w:rPr>
            <w:webHidden/>
          </w:rPr>
          <w:tab/>
        </w:r>
        <w:r>
          <w:rPr>
            <w:webHidden/>
          </w:rPr>
          <w:fldChar w:fldCharType="begin"/>
        </w:r>
        <w:r>
          <w:rPr>
            <w:webHidden/>
          </w:rPr>
          <w:instrText xml:space="preserve"> PAGEREF _Toc216695783 \h </w:instrText>
        </w:r>
        <w:r>
          <w:rPr>
            <w:webHidden/>
          </w:rPr>
        </w:r>
        <w:r>
          <w:rPr>
            <w:webHidden/>
          </w:rPr>
          <w:fldChar w:fldCharType="separate"/>
        </w:r>
        <w:r w:rsidR="003861AC">
          <w:rPr>
            <w:webHidden/>
          </w:rPr>
          <w:t>156</w:t>
        </w:r>
        <w:r>
          <w:rPr>
            <w:webHidden/>
          </w:rPr>
          <w:fldChar w:fldCharType="end"/>
        </w:r>
      </w:hyperlink>
    </w:p>
    <w:p w14:paraId="4B0369D5" w14:textId="78697CD7" w:rsidR="008B1ACD" w:rsidRDefault="008B1ACD">
      <w:pPr>
        <w:pStyle w:val="TableofFigures"/>
        <w:rPr>
          <w:rFonts w:eastAsiaTheme="minorEastAsia"/>
          <w:sz w:val="24"/>
          <w:lang w:eastAsia="en-AU"/>
        </w:rPr>
      </w:pPr>
      <w:hyperlink w:anchor="_Toc216695784" w:history="1">
        <w:r w:rsidRPr="007053AD">
          <w:rPr>
            <w:rStyle w:val="Hyperlink"/>
          </w:rPr>
          <w:t>Table 122: Bromadiolone – Field studies and adverse incidents involving terrestrial vertebrates from approved or unspecified use</w:t>
        </w:r>
        <w:r>
          <w:rPr>
            <w:webHidden/>
          </w:rPr>
          <w:tab/>
        </w:r>
        <w:r>
          <w:rPr>
            <w:webHidden/>
          </w:rPr>
          <w:fldChar w:fldCharType="begin"/>
        </w:r>
        <w:r>
          <w:rPr>
            <w:webHidden/>
          </w:rPr>
          <w:instrText xml:space="preserve"> PAGEREF _Toc216695784 \h </w:instrText>
        </w:r>
        <w:r>
          <w:rPr>
            <w:webHidden/>
          </w:rPr>
        </w:r>
        <w:r>
          <w:rPr>
            <w:webHidden/>
          </w:rPr>
          <w:fldChar w:fldCharType="separate"/>
        </w:r>
        <w:r w:rsidR="003861AC">
          <w:rPr>
            <w:webHidden/>
          </w:rPr>
          <w:t>157</w:t>
        </w:r>
        <w:r>
          <w:rPr>
            <w:webHidden/>
          </w:rPr>
          <w:fldChar w:fldCharType="end"/>
        </w:r>
      </w:hyperlink>
    </w:p>
    <w:p w14:paraId="5CFFEC04" w14:textId="1D62DCD6" w:rsidR="008B1ACD" w:rsidRDefault="008B1ACD">
      <w:pPr>
        <w:pStyle w:val="TableofFigures"/>
        <w:rPr>
          <w:rFonts w:eastAsiaTheme="minorEastAsia"/>
          <w:sz w:val="24"/>
          <w:lang w:eastAsia="en-AU"/>
        </w:rPr>
      </w:pPr>
      <w:hyperlink w:anchor="_Toc216695785" w:history="1">
        <w:r w:rsidRPr="007053AD">
          <w:rPr>
            <w:rStyle w:val="Hyperlink"/>
          </w:rPr>
          <w:t>Table 123: Bromadiolone – Effects on aquatic species</w:t>
        </w:r>
        <w:r>
          <w:rPr>
            <w:webHidden/>
          </w:rPr>
          <w:tab/>
        </w:r>
        <w:r>
          <w:rPr>
            <w:webHidden/>
          </w:rPr>
          <w:fldChar w:fldCharType="begin"/>
        </w:r>
        <w:r>
          <w:rPr>
            <w:webHidden/>
          </w:rPr>
          <w:instrText xml:space="preserve"> PAGEREF _Toc216695785 \h </w:instrText>
        </w:r>
        <w:r>
          <w:rPr>
            <w:webHidden/>
          </w:rPr>
        </w:r>
        <w:r>
          <w:rPr>
            <w:webHidden/>
          </w:rPr>
          <w:fldChar w:fldCharType="separate"/>
        </w:r>
        <w:r w:rsidR="003861AC">
          <w:rPr>
            <w:webHidden/>
          </w:rPr>
          <w:t>159</w:t>
        </w:r>
        <w:r>
          <w:rPr>
            <w:webHidden/>
          </w:rPr>
          <w:fldChar w:fldCharType="end"/>
        </w:r>
      </w:hyperlink>
    </w:p>
    <w:p w14:paraId="610E34E9" w14:textId="5259BD40" w:rsidR="008B1ACD" w:rsidRDefault="008B1ACD">
      <w:pPr>
        <w:pStyle w:val="TableofFigures"/>
        <w:rPr>
          <w:rFonts w:eastAsiaTheme="minorEastAsia"/>
          <w:sz w:val="24"/>
          <w:lang w:eastAsia="en-AU"/>
        </w:rPr>
      </w:pPr>
      <w:hyperlink w:anchor="_Toc216695786" w:history="1">
        <w:r w:rsidRPr="007053AD">
          <w:rPr>
            <w:rStyle w:val="Hyperlink"/>
          </w:rPr>
          <w:t>Table 124: Bromadiolone – Effects on soil organisms</w:t>
        </w:r>
        <w:r>
          <w:rPr>
            <w:webHidden/>
          </w:rPr>
          <w:tab/>
        </w:r>
        <w:r>
          <w:rPr>
            <w:webHidden/>
          </w:rPr>
          <w:fldChar w:fldCharType="begin"/>
        </w:r>
        <w:r>
          <w:rPr>
            <w:webHidden/>
          </w:rPr>
          <w:instrText xml:space="preserve"> PAGEREF _Toc216695786 \h </w:instrText>
        </w:r>
        <w:r>
          <w:rPr>
            <w:webHidden/>
          </w:rPr>
        </w:r>
        <w:r>
          <w:rPr>
            <w:webHidden/>
          </w:rPr>
          <w:fldChar w:fldCharType="separate"/>
        </w:r>
        <w:r w:rsidR="003861AC">
          <w:rPr>
            <w:webHidden/>
          </w:rPr>
          <w:t>160</w:t>
        </w:r>
        <w:r>
          <w:rPr>
            <w:webHidden/>
          </w:rPr>
          <w:fldChar w:fldCharType="end"/>
        </w:r>
      </w:hyperlink>
    </w:p>
    <w:p w14:paraId="7910B837" w14:textId="357F990F" w:rsidR="008B1ACD" w:rsidRDefault="008B1ACD">
      <w:pPr>
        <w:pStyle w:val="TableofFigures"/>
        <w:rPr>
          <w:rFonts w:eastAsiaTheme="minorEastAsia"/>
          <w:sz w:val="24"/>
          <w:lang w:eastAsia="en-AU"/>
        </w:rPr>
      </w:pPr>
      <w:hyperlink w:anchor="_Toc216695787" w:history="1">
        <w:r w:rsidRPr="007053AD">
          <w:rPr>
            <w:rStyle w:val="Hyperlink"/>
          </w:rPr>
          <w:t>Table 125: Bromadiolone – Effects on biological methods of sewage treatment</w:t>
        </w:r>
        <w:r>
          <w:rPr>
            <w:webHidden/>
          </w:rPr>
          <w:tab/>
        </w:r>
        <w:r>
          <w:rPr>
            <w:webHidden/>
          </w:rPr>
          <w:fldChar w:fldCharType="begin"/>
        </w:r>
        <w:r>
          <w:rPr>
            <w:webHidden/>
          </w:rPr>
          <w:instrText xml:space="preserve"> PAGEREF _Toc216695787 \h </w:instrText>
        </w:r>
        <w:r>
          <w:rPr>
            <w:webHidden/>
          </w:rPr>
        </w:r>
        <w:r>
          <w:rPr>
            <w:webHidden/>
          </w:rPr>
          <w:fldChar w:fldCharType="separate"/>
        </w:r>
        <w:r w:rsidR="003861AC">
          <w:rPr>
            <w:webHidden/>
          </w:rPr>
          <w:t>160</w:t>
        </w:r>
        <w:r>
          <w:rPr>
            <w:webHidden/>
          </w:rPr>
          <w:fldChar w:fldCharType="end"/>
        </w:r>
      </w:hyperlink>
    </w:p>
    <w:p w14:paraId="11781390" w14:textId="0900E379" w:rsidR="008B1ACD" w:rsidRDefault="008B1ACD">
      <w:pPr>
        <w:pStyle w:val="TableofFigures"/>
        <w:rPr>
          <w:rFonts w:eastAsiaTheme="minorEastAsia"/>
          <w:sz w:val="24"/>
          <w:lang w:eastAsia="en-AU"/>
        </w:rPr>
      </w:pPr>
      <w:hyperlink w:anchor="_Toc216695788" w:history="1">
        <w:r w:rsidRPr="007053AD">
          <w:rPr>
            <w:rStyle w:val="Hyperlink"/>
          </w:rPr>
          <w:t>Table 126: Difenacoum – Physical and chemical properties of difenacoum</w:t>
        </w:r>
        <w:r>
          <w:rPr>
            <w:webHidden/>
          </w:rPr>
          <w:tab/>
        </w:r>
        <w:r>
          <w:rPr>
            <w:webHidden/>
          </w:rPr>
          <w:fldChar w:fldCharType="begin"/>
        </w:r>
        <w:r>
          <w:rPr>
            <w:webHidden/>
          </w:rPr>
          <w:instrText xml:space="preserve"> PAGEREF _Toc216695788 \h </w:instrText>
        </w:r>
        <w:r>
          <w:rPr>
            <w:webHidden/>
          </w:rPr>
        </w:r>
        <w:r>
          <w:rPr>
            <w:webHidden/>
          </w:rPr>
          <w:fldChar w:fldCharType="separate"/>
        </w:r>
        <w:r w:rsidR="003861AC">
          <w:rPr>
            <w:webHidden/>
          </w:rPr>
          <w:t>160</w:t>
        </w:r>
        <w:r>
          <w:rPr>
            <w:webHidden/>
          </w:rPr>
          <w:fldChar w:fldCharType="end"/>
        </w:r>
      </w:hyperlink>
    </w:p>
    <w:p w14:paraId="46933F46" w14:textId="1F9F8B58" w:rsidR="008B1ACD" w:rsidRDefault="008B1ACD">
      <w:pPr>
        <w:pStyle w:val="TableofFigures"/>
        <w:rPr>
          <w:rFonts w:eastAsiaTheme="minorEastAsia"/>
          <w:sz w:val="24"/>
          <w:lang w:eastAsia="en-AU"/>
        </w:rPr>
      </w:pPr>
      <w:hyperlink w:anchor="_Toc216695789" w:history="1">
        <w:r w:rsidRPr="007053AD">
          <w:rPr>
            <w:rStyle w:val="Hyperlink"/>
          </w:rPr>
          <w:t>Table 127: Difenacoum – Fate and behaviour in environmental media</w:t>
        </w:r>
        <w:r>
          <w:rPr>
            <w:webHidden/>
          </w:rPr>
          <w:tab/>
        </w:r>
        <w:r>
          <w:rPr>
            <w:webHidden/>
          </w:rPr>
          <w:fldChar w:fldCharType="begin"/>
        </w:r>
        <w:r>
          <w:rPr>
            <w:webHidden/>
          </w:rPr>
          <w:instrText xml:space="preserve"> PAGEREF _Toc216695789 \h </w:instrText>
        </w:r>
        <w:r>
          <w:rPr>
            <w:webHidden/>
          </w:rPr>
        </w:r>
        <w:r>
          <w:rPr>
            <w:webHidden/>
          </w:rPr>
          <w:fldChar w:fldCharType="separate"/>
        </w:r>
        <w:r w:rsidR="003861AC">
          <w:rPr>
            <w:webHidden/>
          </w:rPr>
          <w:t>161</w:t>
        </w:r>
        <w:r>
          <w:rPr>
            <w:webHidden/>
          </w:rPr>
          <w:fldChar w:fldCharType="end"/>
        </w:r>
      </w:hyperlink>
    </w:p>
    <w:p w14:paraId="19EF309B" w14:textId="1ECCD013" w:rsidR="008B1ACD" w:rsidRDefault="008B1ACD">
      <w:pPr>
        <w:pStyle w:val="TableofFigures"/>
        <w:rPr>
          <w:rFonts w:eastAsiaTheme="minorEastAsia"/>
          <w:sz w:val="24"/>
          <w:lang w:eastAsia="en-AU"/>
        </w:rPr>
      </w:pPr>
      <w:hyperlink w:anchor="_Toc216695790" w:history="1">
        <w:r w:rsidRPr="007053AD">
          <w:rPr>
            <w:rStyle w:val="Hyperlink"/>
          </w:rPr>
          <w:t>Table 128: Difenacoum – Residues monitoring data</w:t>
        </w:r>
        <w:r>
          <w:rPr>
            <w:webHidden/>
          </w:rPr>
          <w:tab/>
        </w:r>
        <w:r>
          <w:rPr>
            <w:webHidden/>
          </w:rPr>
          <w:fldChar w:fldCharType="begin"/>
        </w:r>
        <w:r>
          <w:rPr>
            <w:webHidden/>
          </w:rPr>
          <w:instrText xml:space="preserve"> PAGEREF _Toc216695790 \h </w:instrText>
        </w:r>
        <w:r>
          <w:rPr>
            <w:webHidden/>
          </w:rPr>
        </w:r>
        <w:r>
          <w:rPr>
            <w:webHidden/>
          </w:rPr>
          <w:fldChar w:fldCharType="separate"/>
        </w:r>
        <w:r w:rsidR="003861AC">
          <w:rPr>
            <w:webHidden/>
          </w:rPr>
          <w:t>162</w:t>
        </w:r>
        <w:r>
          <w:rPr>
            <w:webHidden/>
          </w:rPr>
          <w:fldChar w:fldCharType="end"/>
        </w:r>
      </w:hyperlink>
    </w:p>
    <w:p w14:paraId="08286B6D" w14:textId="536FA0D5" w:rsidR="008B1ACD" w:rsidRDefault="008B1ACD">
      <w:pPr>
        <w:pStyle w:val="TableofFigures"/>
        <w:rPr>
          <w:rFonts w:eastAsiaTheme="minorEastAsia"/>
          <w:sz w:val="24"/>
          <w:lang w:eastAsia="en-AU"/>
        </w:rPr>
      </w:pPr>
      <w:hyperlink w:anchor="_Toc216695791" w:history="1">
        <w:r w:rsidRPr="007053AD">
          <w:rPr>
            <w:rStyle w:val="Hyperlink"/>
          </w:rPr>
          <w:t>Table 129: Difenacoum – Primary poisoning studies on terrestrial vertebrates</w:t>
        </w:r>
        <w:r>
          <w:rPr>
            <w:webHidden/>
          </w:rPr>
          <w:tab/>
        </w:r>
        <w:r>
          <w:rPr>
            <w:webHidden/>
          </w:rPr>
          <w:fldChar w:fldCharType="begin"/>
        </w:r>
        <w:r>
          <w:rPr>
            <w:webHidden/>
          </w:rPr>
          <w:instrText xml:space="preserve"> PAGEREF _Toc216695791 \h </w:instrText>
        </w:r>
        <w:r>
          <w:rPr>
            <w:webHidden/>
          </w:rPr>
        </w:r>
        <w:r>
          <w:rPr>
            <w:webHidden/>
          </w:rPr>
          <w:fldChar w:fldCharType="separate"/>
        </w:r>
        <w:r w:rsidR="003861AC">
          <w:rPr>
            <w:webHidden/>
          </w:rPr>
          <w:t>166</w:t>
        </w:r>
        <w:r>
          <w:rPr>
            <w:webHidden/>
          </w:rPr>
          <w:fldChar w:fldCharType="end"/>
        </w:r>
      </w:hyperlink>
    </w:p>
    <w:p w14:paraId="11ADE228" w14:textId="6B024B06" w:rsidR="008B1ACD" w:rsidRDefault="008B1ACD">
      <w:pPr>
        <w:pStyle w:val="TableofFigures"/>
        <w:rPr>
          <w:rFonts w:eastAsiaTheme="minorEastAsia"/>
          <w:sz w:val="24"/>
          <w:lang w:eastAsia="en-AU"/>
        </w:rPr>
      </w:pPr>
      <w:hyperlink w:anchor="_Toc216695792" w:history="1">
        <w:r w:rsidRPr="007053AD">
          <w:rPr>
            <w:rStyle w:val="Hyperlink"/>
          </w:rPr>
          <w:t>Table 130: Difenacoum – Secondary poisoning studies on terrestrial vertebrates</w:t>
        </w:r>
        <w:r>
          <w:rPr>
            <w:webHidden/>
          </w:rPr>
          <w:tab/>
        </w:r>
        <w:r>
          <w:rPr>
            <w:webHidden/>
          </w:rPr>
          <w:fldChar w:fldCharType="begin"/>
        </w:r>
        <w:r>
          <w:rPr>
            <w:webHidden/>
          </w:rPr>
          <w:instrText xml:space="preserve"> PAGEREF _Toc216695792 \h </w:instrText>
        </w:r>
        <w:r>
          <w:rPr>
            <w:webHidden/>
          </w:rPr>
        </w:r>
        <w:r>
          <w:rPr>
            <w:webHidden/>
          </w:rPr>
          <w:fldChar w:fldCharType="separate"/>
        </w:r>
        <w:r w:rsidR="003861AC">
          <w:rPr>
            <w:webHidden/>
          </w:rPr>
          <w:t>167</w:t>
        </w:r>
        <w:r>
          <w:rPr>
            <w:webHidden/>
          </w:rPr>
          <w:fldChar w:fldCharType="end"/>
        </w:r>
      </w:hyperlink>
    </w:p>
    <w:p w14:paraId="56C9DCCA" w14:textId="268F9F5B" w:rsidR="008B1ACD" w:rsidRDefault="008B1ACD">
      <w:pPr>
        <w:pStyle w:val="TableofFigures"/>
        <w:rPr>
          <w:rFonts w:eastAsiaTheme="minorEastAsia"/>
          <w:sz w:val="24"/>
          <w:lang w:eastAsia="en-AU"/>
        </w:rPr>
      </w:pPr>
      <w:hyperlink w:anchor="_Toc216695793" w:history="1">
        <w:r w:rsidRPr="007053AD">
          <w:rPr>
            <w:rStyle w:val="Hyperlink"/>
          </w:rPr>
          <w:t>Table 131: Difenacoum – Field studies and adverse incidents involving terrestrial vertebrates from approved or unspecified use</w:t>
        </w:r>
        <w:r>
          <w:rPr>
            <w:webHidden/>
          </w:rPr>
          <w:tab/>
        </w:r>
        <w:r>
          <w:rPr>
            <w:webHidden/>
          </w:rPr>
          <w:fldChar w:fldCharType="begin"/>
        </w:r>
        <w:r>
          <w:rPr>
            <w:webHidden/>
          </w:rPr>
          <w:instrText xml:space="preserve"> PAGEREF _Toc216695793 \h </w:instrText>
        </w:r>
        <w:r>
          <w:rPr>
            <w:webHidden/>
          </w:rPr>
        </w:r>
        <w:r>
          <w:rPr>
            <w:webHidden/>
          </w:rPr>
          <w:fldChar w:fldCharType="separate"/>
        </w:r>
        <w:r w:rsidR="003861AC">
          <w:rPr>
            <w:webHidden/>
          </w:rPr>
          <w:t>167</w:t>
        </w:r>
        <w:r>
          <w:rPr>
            <w:webHidden/>
          </w:rPr>
          <w:fldChar w:fldCharType="end"/>
        </w:r>
      </w:hyperlink>
    </w:p>
    <w:p w14:paraId="19281D6F" w14:textId="4FCAE9D7" w:rsidR="008B1ACD" w:rsidRDefault="008B1ACD">
      <w:pPr>
        <w:pStyle w:val="TableofFigures"/>
        <w:rPr>
          <w:rFonts w:eastAsiaTheme="minorEastAsia"/>
          <w:sz w:val="24"/>
          <w:lang w:eastAsia="en-AU"/>
        </w:rPr>
      </w:pPr>
      <w:hyperlink w:anchor="_Toc216695794" w:history="1">
        <w:r w:rsidRPr="007053AD">
          <w:rPr>
            <w:rStyle w:val="Hyperlink"/>
          </w:rPr>
          <w:t>Table 132: Difenacoum – Effects on aquatic species</w:t>
        </w:r>
        <w:r>
          <w:rPr>
            <w:webHidden/>
          </w:rPr>
          <w:tab/>
        </w:r>
        <w:r>
          <w:rPr>
            <w:webHidden/>
          </w:rPr>
          <w:fldChar w:fldCharType="begin"/>
        </w:r>
        <w:r>
          <w:rPr>
            <w:webHidden/>
          </w:rPr>
          <w:instrText xml:space="preserve"> PAGEREF _Toc216695794 \h </w:instrText>
        </w:r>
        <w:r>
          <w:rPr>
            <w:webHidden/>
          </w:rPr>
        </w:r>
        <w:r>
          <w:rPr>
            <w:webHidden/>
          </w:rPr>
          <w:fldChar w:fldCharType="separate"/>
        </w:r>
        <w:r w:rsidR="003861AC">
          <w:rPr>
            <w:webHidden/>
          </w:rPr>
          <w:t>168</w:t>
        </w:r>
        <w:r>
          <w:rPr>
            <w:webHidden/>
          </w:rPr>
          <w:fldChar w:fldCharType="end"/>
        </w:r>
      </w:hyperlink>
    </w:p>
    <w:p w14:paraId="32FDDBF4" w14:textId="79D04C87" w:rsidR="008B1ACD" w:rsidRDefault="008B1ACD">
      <w:pPr>
        <w:pStyle w:val="TableofFigures"/>
        <w:rPr>
          <w:rFonts w:eastAsiaTheme="minorEastAsia"/>
          <w:sz w:val="24"/>
          <w:lang w:eastAsia="en-AU"/>
        </w:rPr>
      </w:pPr>
      <w:hyperlink w:anchor="_Toc216695795" w:history="1">
        <w:r w:rsidRPr="007053AD">
          <w:rPr>
            <w:rStyle w:val="Hyperlink"/>
          </w:rPr>
          <w:t>Table 133: Difenacoum – Effects on soil organisms</w:t>
        </w:r>
        <w:r>
          <w:rPr>
            <w:webHidden/>
          </w:rPr>
          <w:tab/>
        </w:r>
        <w:r>
          <w:rPr>
            <w:webHidden/>
          </w:rPr>
          <w:fldChar w:fldCharType="begin"/>
        </w:r>
        <w:r>
          <w:rPr>
            <w:webHidden/>
          </w:rPr>
          <w:instrText xml:space="preserve"> PAGEREF _Toc216695795 \h </w:instrText>
        </w:r>
        <w:r>
          <w:rPr>
            <w:webHidden/>
          </w:rPr>
        </w:r>
        <w:r>
          <w:rPr>
            <w:webHidden/>
          </w:rPr>
          <w:fldChar w:fldCharType="separate"/>
        </w:r>
        <w:r w:rsidR="003861AC">
          <w:rPr>
            <w:webHidden/>
          </w:rPr>
          <w:t>169</w:t>
        </w:r>
        <w:r>
          <w:rPr>
            <w:webHidden/>
          </w:rPr>
          <w:fldChar w:fldCharType="end"/>
        </w:r>
      </w:hyperlink>
    </w:p>
    <w:p w14:paraId="4FEBF50F" w14:textId="02F77BA4" w:rsidR="008B1ACD" w:rsidRDefault="008B1ACD">
      <w:pPr>
        <w:pStyle w:val="TableofFigures"/>
        <w:rPr>
          <w:rFonts w:eastAsiaTheme="minorEastAsia"/>
          <w:sz w:val="24"/>
          <w:lang w:eastAsia="en-AU"/>
        </w:rPr>
      </w:pPr>
      <w:hyperlink w:anchor="_Toc216695796" w:history="1">
        <w:r w:rsidRPr="007053AD">
          <w:rPr>
            <w:rStyle w:val="Hyperlink"/>
          </w:rPr>
          <w:t>Table 134: Difenacoum – Effects on biological methods of sewage treatment</w:t>
        </w:r>
        <w:r>
          <w:rPr>
            <w:webHidden/>
          </w:rPr>
          <w:tab/>
        </w:r>
        <w:r>
          <w:rPr>
            <w:webHidden/>
          </w:rPr>
          <w:fldChar w:fldCharType="begin"/>
        </w:r>
        <w:r>
          <w:rPr>
            <w:webHidden/>
          </w:rPr>
          <w:instrText xml:space="preserve"> PAGEREF _Toc216695796 \h </w:instrText>
        </w:r>
        <w:r>
          <w:rPr>
            <w:webHidden/>
          </w:rPr>
        </w:r>
        <w:r>
          <w:rPr>
            <w:webHidden/>
          </w:rPr>
          <w:fldChar w:fldCharType="separate"/>
        </w:r>
        <w:r w:rsidR="003861AC">
          <w:rPr>
            <w:webHidden/>
          </w:rPr>
          <w:t>169</w:t>
        </w:r>
        <w:r>
          <w:rPr>
            <w:webHidden/>
          </w:rPr>
          <w:fldChar w:fldCharType="end"/>
        </w:r>
      </w:hyperlink>
    </w:p>
    <w:p w14:paraId="2A251CFD" w14:textId="4FC962AE" w:rsidR="008B1ACD" w:rsidRDefault="008B1ACD">
      <w:pPr>
        <w:pStyle w:val="TableofFigures"/>
        <w:rPr>
          <w:rFonts w:eastAsiaTheme="minorEastAsia"/>
          <w:sz w:val="24"/>
          <w:lang w:eastAsia="en-AU"/>
        </w:rPr>
      </w:pPr>
      <w:hyperlink w:anchor="_Toc216695797" w:history="1">
        <w:r w:rsidRPr="007053AD">
          <w:rPr>
            <w:rStyle w:val="Hyperlink"/>
          </w:rPr>
          <w:t>Table 135: Difethialone – Fate and behaviour in environmental media</w:t>
        </w:r>
        <w:r>
          <w:rPr>
            <w:webHidden/>
          </w:rPr>
          <w:tab/>
        </w:r>
        <w:r>
          <w:rPr>
            <w:webHidden/>
          </w:rPr>
          <w:fldChar w:fldCharType="begin"/>
        </w:r>
        <w:r>
          <w:rPr>
            <w:webHidden/>
          </w:rPr>
          <w:instrText xml:space="preserve"> PAGEREF _Toc216695797 \h </w:instrText>
        </w:r>
        <w:r>
          <w:rPr>
            <w:webHidden/>
          </w:rPr>
        </w:r>
        <w:r>
          <w:rPr>
            <w:webHidden/>
          </w:rPr>
          <w:fldChar w:fldCharType="separate"/>
        </w:r>
        <w:r w:rsidR="003861AC">
          <w:rPr>
            <w:webHidden/>
          </w:rPr>
          <w:t>169</w:t>
        </w:r>
        <w:r>
          <w:rPr>
            <w:webHidden/>
          </w:rPr>
          <w:fldChar w:fldCharType="end"/>
        </w:r>
      </w:hyperlink>
    </w:p>
    <w:p w14:paraId="6CD5D5E6" w14:textId="32F22BB4" w:rsidR="008B1ACD" w:rsidRDefault="008B1ACD">
      <w:pPr>
        <w:pStyle w:val="TableofFigures"/>
        <w:rPr>
          <w:rFonts w:eastAsiaTheme="minorEastAsia"/>
          <w:sz w:val="24"/>
          <w:lang w:eastAsia="en-AU"/>
        </w:rPr>
      </w:pPr>
      <w:hyperlink w:anchor="_Toc216695798" w:history="1">
        <w:r w:rsidRPr="007053AD">
          <w:rPr>
            <w:rStyle w:val="Hyperlink"/>
          </w:rPr>
          <w:t>Table 136: Difethialone – Residues monitoring data</w:t>
        </w:r>
        <w:r>
          <w:rPr>
            <w:webHidden/>
          </w:rPr>
          <w:tab/>
        </w:r>
        <w:r>
          <w:rPr>
            <w:webHidden/>
          </w:rPr>
          <w:fldChar w:fldCharType="begin"/>
        </w:r>
        <w:r>
          <w:rPr>
            <w:webHidden/>
          </w:rPr>
          <w:instrText xml:space="preserve"> PAGEREF _Toc216695798 \h </w:instrText>
        </w:r>
        <w:r>
          <w:rPr>
            <w:webHidden/>
          </w:rPr>
        </w:r>
        <w:r>
          <w:rPr>
            <w:webHidden/>
          </w:rPr>
          <w:fldChar w:fldCharType="separate"/>
        </w:r>
        <w:r w:rsidR="003861AC">
          <w:rPr>
            <w:webHidden/>
          </w:rPr>
          <w:t>170</w:t>
        </w:r>
        <w:r>
          <w:rPr>
            <w:webHidden/>
          </w:rPr>
          <w:fldChar w:fldCharType="end"/>
        </w:r>
      </w:hyperlink>
    </w:p>
    <w:p w14:paraId="627BB70A" w14:textId="3CFC3E8F" w:rsidR="008B1ACD" w:rsidRDefault="008B1ACD">
      <w:pPr>
        <w:pStyle w:val="TableofFigures"/>
        <w:rPr>
          <w:rFonts w:eastAsiaTheme="minorEastAsia"/>
          <w:sz w:val="24"/>
          <w:lang w:eastAsia="en-AU"/>
        </w:rPr>
      </w:pPr>
      <w:hyperlink w:anchor="_Toc216695799" w:history="1">
        <w:r w:rsidRPr="007053AD">
          <w:rPr>
            <w:rStyle w:val="Hyperlink"/>
          </w:rPr>
          <w:t>Table 137: Difethialone – Primary poisoning studies on terrestrial vertebrates</w:t>
        </w:r>
        <w:r>
          <w:rPr>
            <w:webHidden/>
          </w:rPr>
          <w:tab/>
        </w:r>
        <w:r>
          <w:rPr>
            <w:webHidden/>
          </w:rPr>
          <w:fldChar w:fldCharType="begin"/>
        </w:r>
        <w:r>
          <w:rPr>
            <w:webHidden/>
          </w:rPr>
          <w:instrText xml:space="preserve"> PAGEREF _Toc216695799 \h </w:instrText>
        </w:r>
        <w:r>
          <w:rPr>
            <w:webHidden/>
          </w:rPr>
        </w:r>
        <w:r>
          <w:rPr>
            <w:webHidden/>
          </w:rPr>
          <w:fldChar w:fldCharType="separate"/>
        </w:r>
        <w:r w:rsidR="003861AC">
          <w:rPr>
            <w:webHidden/>
          </w:rPr>
          <w:t>173</w:t>
        </w:r>
        <w:r>
          <w:rPr>
            <w:webHidden/>
          </w:rPr>
          <w:fldChar w:fldCharType="end"/>
        </w:r>
      </w:hyperlink>
    </w:p>
    <w:p w14:paraId="3F29D66C" w14:textId="6B744A9F" w:rsidR="008B1ACD" w:rsidRDefault="008B1ACD">
      <w:pPr>
        <w:pStyle w:val="TableofFigures"/>
        <w:rPr>
          <w:rFonts w:eastAsiaTheme="minorEastAsia"/>
          <w:sz w:val="24"/>
          <w:lang w:eastAsia="en-AU"/>
        </w:rPr>
      </w:pPr>
      <w:hyperlink w:anchor="_Toc216695800" w:history="1">
        <w:r w:rsidRPr="007053AD">
          <w:rPr>
            <w:rStyle w:val="Hyperlink"/>
          </w:rPr>
          <w:t>Table 138: Difethialone – Secondary poisoning studies on terrestrial vertebrates</w:t>
        </w:r>
        <w:r>
          <w:rPr>
            <w:webHidden/>
          </w:rPr>
          <w:tab/>
        </w:r>
        <w:r>
          <w:rPr>
            <w:webHidden/>
          </w:rPr>
          <w:fldChar w:fldCharType="begin"/>
        </w:r>
        <w:r>
          <w:rPr>
            <w:webHidden/>
          </w:rPr>
          <w:instrText xml:space="preserve"> PAGEREF _Toc216695800 \h </w:instrText>
        </w:r>
        <w:r>
          <w:rPr>
            <w:webHidden/>
          </w:rPr>
        </w:r>
        <w:r>
          <w:rPr>
            <w:webHidden/>
          </w:rPr>
          <w:fldChar w:fldCharType="separate"/>
        </w:r>
        <w:r w:rsidR="003861AC">
          <w:rPr>
            <w:webHidden/>
          </w:rPr>
          <w:t>173</w:t>
        </w:r>
        <w:r>
          <w:rPr>
            <w:webHidden/>
          </w:rPr>
          <w:fldChar w:fldCharType="end"/>
        </w:r>
      </w:hyperlink>
    </w:p>
    <w:p w14:paraId="4313B444" w14:textId="5AD23923" w:rsidR="008B1ACD" w:rsidRDefault="008B1ACD">
      <w:pPr>
        <w:pStyle w:val="TableofFigures"/>
        <w:rPr>
          <w:rFonts w:eastAsiaTheme="minorEastAsia"/>
          <w:sz w:val="24"/>
          <w:lang w:eastAsia="en-AU"/>
        </w:rPr>
      </w:pPr>
      <w:hyperlink w:anchor="_Toc216695801" w:history="1">
        <w:r w:rsidRPr="007053AD">
          <w:rPr>
            <w:rStyle w:val="Hyperlink"/>
          </w:rPr>
          <w:t>Table 139: Difethialone – Effects on aquatic species</w:t>
        </w:r>
        <w:r>
          <w:rPr>
            <w:webHidden/>
          </w:rPr>
          <w:tab/>
        </w:r>
        <w:r>
          <w:rPr>
            <w:webHidden/>
          </w:rPr>
          <w:fldChar w:fldCharType="begin"/>
        </w:r>
        <w:r>
          <w:rPr>
            <w:webHidden/>
          </w:rPr>
          <w:instrText xml:space="preserve"> PAGEREF _Toc216695801 \h </w:instrText>
        </w:r>
        <w:r>
          <w:rPr>
            <w:webHidden/>
          </w:rPr>
        </w:r>
        <w:r>
          <w:rPr>
            <w:webHidden/>
          </w:rPr>
          <w:fldChar w:fldCharType="separate"/>
        </w:r>
        <w:r w:rsidR="003861AC">
          <w:rPr>
            <w:webHidden/>
          </w:rPr>
          <w:t>173</w:t>
        </w:r>
        <w:r>
          <w:rPr>
            <w:webHidden/>
          </w:rPr>
          <w:fldChar w:fldCharType="end"/>
        </w:r>
      </w:hyperlink>
    </w:p>
    <w:p w14:paraId="65F77608" w14:textId="2A2C34FA" w:rsidR="008B1ACD" w:rsidRDefault="008B1ACD">
      <w:pPr>
        <w:pStyle w:val="TableofFigures"/>
        <w:rPr>
          <w:rFonts w:eastAsiaTheme="minorEastAsia"/>
          <w:sz w:val="24"/>
          <w:lang w:eastAsia="en-AU"/>
        </w:rPr>
      </w:pPr>
      <w:hyperlink w:anchor="_Toc216695802" w:history="1">
        <w:r w:rsidRPr="007053AD">
          <w:rPr>
            <w:rStyle w:val="Hyperlink"/>
          </w:rPr>
          <w:t>Table 140: Difethialone – Effects on soil organisms</w:t>
        </w:r>
        <w:r>
          <w:rPr>
            <w:webHidden/>
          </w:rPr>
          <w:tab/>
        </w:r>
        <w:r>
          <w:rPr>
            <w:webHidden/>
          </w:rPr>
          <w:fldChar w:fldCharType="begin"/>
        </w:r>
        <w:r>
          <w:rPr>
            <w:webHidden/>
          </w:rPr>
          <w:instrText xml:space="preserve"> PAGEREF _Toc216695802 \h </w:instrText>
        </w:r>
        <w:r>
          <w:rPr>
            <w:webHidden/>
          </w:rPr>
        </w:r>
        <w:r>
          <w:rPr>
            <w:webHidden/>
          </w:rPr>
          <w:fldChar w:fldCharType="separate"/>
        </w:r>
        <w:r w:rsidR="003861AC">
          <w:rPr>
            <w:webHidden/>
          </w:rPr>
          <w:t>174</w:t>
        </w:r>
        <w:r>
          <w:rPr>
            <w:webHidden/>
          </w:rPr>
          <w:fldChar w:fldCharType="end"/>
        </w:r>
      </w:hyperlink>
    </w:p>
    <w:p w14:paraId="61780F3C" w14:textId="7B0D9B1D" w:rsidR="008B1ACD" w:rsidRDefault="008B1ACD">
      <w:pPr>
        <w:pStyle w:val="TableofFigures"/>
        <w:rPr>
          <w:rFonts w:eastAsiaTheme="minorEastAsia"/>
          <w:sz w:val="24"/>
          <w:lang w:eastAsia="en-AU"/>
        </w:rPr>
      </w:pPr>
      <w:hyperlink w:anchor="_Toc216695803" w:history="1">
        <w:r w:rsidRPr="007053AD">
          <w:rPr>
            <w:rStyle w:val="Hyperlink"/>
          </w:rPr>
          <w:t>Table 141: Difethialone – Effects on biological methods of sewage treatment</w:t>
        </w:r>
        <w:r>
          <w:rPr>
            <w:webHidden/>
          </w:rPr>
          <w:tab/>
        </w:r>
        <w:r>
          <w:rPr>
            <w:webHidden/>
          </w:rPr>
          <w:fldChar w:fldCharType="begin"/>
        </w:r>
        <w:r>
          <w:rPr>
            <w:webHidden/>
          </w:rPr>
          <w:instrText xml:space="preserve"> PAGEREF _Toc216695803 \h </w:instrText>
        </w:r>
        <w:r>
          <w:rPr>
            <w:webHidden/>
          </w:rPr>
        </w:r>
        <w:r>
          <w:rPr>
            <w:webHidden/>
          </w:rPr>
          <w:fldChar w:fldCharType="separate"/>
        </w:r>
        <w:r w:rsidR="003861AC">
          <w:rPr>
            <w:webHidden/>
          </w:rPr>
          <w:t>174</w:t>
        </w:r>
        <w:r>
          <w:rPr>
            <w:webHidden/>
          </w:rPr>
          <w:fldChar w:fldCharType="end"/>
        </w:r>
      </w:hyperlink>
    </w:p>
    <w:p w14:paraId="55ED5413" w14:textId="4F1FEC60" w:rsidR="008B1ACD" w:rsidRDefault="008B1ACD">
      <w:pPr>
        <w:pStyle w:val="TableofFigures"/>
        <w:rPr>
          <w:rFonts w:eastAsiaTheme="minorEastAsia"/>
          <w:sz w:val="24"/>
          <w:lang w:eastAsia="en-AU"/>
        </w:rPr>
      </w:pPr>
      <w:hyperlink w:anchor="_Toc216695804" w:history="1">
        <w:r w:rsidRPr="007053AD">
          <w:rPr>
            <w:rStyle w:val="Hyperlink"/>
          </w:rPr>
          <w:t>Table 142: Flocoumafen – Physical and chemical properties</w:t>
        </w:r>
        <w:r>
          <w:rPr>
            <w:webHidden/>
          </w:rPr>
          <w:tab/>
        </w:r>
        <w:r>
          <w:rPr>
            <w:webHidden/>
          </w:rPr>
          <w:fldChar w:fldCharType="begin"/>
        </w:r>
        <w:r>
          <w:rPr>
            <w:webHidden/>
          </w:rPr>
          <w:instrText xml:space="preserve"> PAGEREF _Toc216695804 \h </w:instrText>
        </w:r>
        <w:r>
          <w:rPr>
            <w:webHidden/>
          </w:rPr>
        </w:r>
        <w:r>
          <w:rPr>
            <w:webHidden/>
          </w:rPr>
          <w:fldChar w:fldCharType="separate"/>
        </w:r>
        <w:r w:rsidR="003861AC">
          <w:rPr>
            <w:webHidden/>
          </w:rPr>
          <w:t>174</w:t>
        </w:r>
        <w:r>
          <w:rPr>
            <w:webHidden/>
          </w:rPr>
          <w:fldChar w:fldCharType="end"/>
        </w:r>
      </w:hyperlink>
    </w:p>
    <w:p w14:paraId="0CBF5098" w14:textId="459766C3" w:rsidR="008B1ACD" w:rsidRDefault="008B1ACD">
      <w:pPr>
        <w:pStyle w:val="TableofFigures"/>
        <w:rPr>
          <w:rFonts w:eastAsiaTheme="minorEastAsia"/>
          <w:sz w:val="24"/>
          <w:lang w:eastAsia="en-AU"/>
        </w:rPr>
      </w:pPr>
      <w:hyperlink w:anchor="_Toc216695805" w:history="1">
        <w:r w:rsidRPr="007053AD">
          <w:rPr>
            <w:rStyle w:val="Hyperlink"/>
          </w:rPr>
          <w:t>Table 143: Flocoumafen – Fate and behaviour in environmental media</w:t>
        </w:r>
        <w:r>
          <w:rPr>
            <w:webHidden/>
          </w:rPr>
          <w:tab/>
        </w:r>
        <w:r>
          <w:rPr>
            <w:webHidden/>
          </w:rPr>
          <w:fldChar w:fldCharType="begin"/>
        </w:r>
        <w:r>
          <w:rPr>
            <w:webHidden/>
          </w:rPr>
          <w:instrText xml:space="preserve"> PAGEREF _Toc216695805 \h </w:instrText>
        </w:r>
        <w:r>
          <w:rPr>
            <w:webHidden/>
          </w:rPr>
        </w:r>
        <w:r>
          <w:rPr>
            <w:webHidden/>
          </w:rPr>
          <w:fldChar w:fldCharType="separate"/>
        </w:r>
        <w:r w:rsidR="003861AC">
          <w:rPr>
            <w:webHidden/>
          </w:rPr>
          <w:t>175</w:t>
        </w:r>
        <w:r>
          <w:rPr>
            <w:webHidden/>
          </w:rPr>
          <w:fldChar w:fldCharType="end"/>
        </w:r>
      </w:hyperlink>
    </w:p>
    <w:p w14:paraId="22839C14" w14:textId="3D76574E" w:rsidR="008B1ACD" w:rsidRDefault="008B1ACD">
      <w:pPr>
        <w:pStyle w:val="TableofFigures"/>
        <w:rPr>
          <w:rFonts w:eastAsiaTheme="minorEastAsia"/>
          <w:sz w:val="24"/>
          <w:lang w:eastAsia="en-AU"/>
        </w:rPr>
      </w:pPr>
      <w:hyperlink w:anchor="_Toc216695806" w:history="1">
        <w:r w:rsidRPr="007053AD">
          <w:rPr>
            <w:rStyle w:val="Hyperlink"/>
          </w:rPr>
          <w:t>Table 144: Flocoumafen – Residues monitoring data</w:t>
        </w:r>
        <w:r>
          <w:rPr>
            <w:webHidden/>
          </w:rPr>
          <w:tab/>
        </w:r>
        <w:r>
          <w:rPr>
            <w:webHidden/>
          </w:rPr>
          <w:fldChar w:fldCharType="begin"/>
        </w:r>
        <w:r>
          <w:rPr>
            <w:webHidden/>
          </w:rPr>
          <w:instrText xml:space="preserve"> PAGEREF _Toc216695806 \h </w:instrText>
        </w:r>
        <w:r>
          <w:rPr>
            <w:webHidden/>
          </w:rPr>
        </w:r>
        <w:r>
          <w:rPr>
            <w:webHidden/>
          </w:rPr>
          <w:fldChar w:fldCharType="separate"/>
        </w:r>
        <w:r w:rsidR="003861AC">
          <w:rPr>
            <w:webHidden/>
          </w:rPr>
          <w:t>176</w:t>
        </w:r>
        <w:r>
          <w:rPr>
            <w:webHidden/>
          </w:rPr>
          <w:fldChar w:fldCharType="end"/>
        </w:r>
      </w:hyperlink>
    </w:p>
    <w:p w14:paraId="2E078255" w14:textId="1EF2B44B" w:rsidR="008B1ACD" w:rsidRDefault="008B1ACD">
      <w:pPr>
        <w:pStyle w:val="TableofFigures"/>
        <w:rPr>
          <w:rFonts w:eastAsiaTheme="minorEastAsia"/>
          <w:sz w:val="24"/>
          <w:lang w:eastAsia="en-AU"/>
        </w:rPr>
      </w:pPr>
      <w:hyperlink w:anchor="_Toc216695807" w:history="1">
        <w:r w:rsidRPr="007053AD">
          <w:rPr>
            <w:rStyle w:val="Hyperlink"/>
          </w:rPr>
          <w:t>Table 145: Flocoumafen – Primary poisoning studies on terrestrial vertebrates</w:t>
        </w:r>
        <w:r>
          <w:rPr>
            <w:webHidden/>
          </w:rPr>
          <w:tab/>
        </w:r>
        <w:r>
          <w:rPr>
            <w:webHidden/>
          </w:rPr>
          <w:fldChar w:fldCharType="begin"/>
        </w:r>
        <w:r>
          <w:rPr>
            <w:webHidden/>
          </w:rPr>
          <w:instrText xml:space="preserve"> PAGEREF _Toc216695807 \h </w:instrText>
        </w:r>
        <w:r>
          <w:rPr>
            <w:webHidden/>
          </w:rPr>
        </w:r>
        <w:r>
          <w:rPr>
            <w:webHidden/>
          </w:rPr>
          <w:fldChar w:fldCharType="separate"/>
        </w:r>
        <w:r w:rsidR="003861AC">
          <w:rPr>
            <w:webHidden/>
          </w:rPr>
          <w:t>179</w:t>
        </w:r>
        <w:r>
          <w:rPr>
            <w:webHidden/>
          </w:rPr>
          <w:fldChar w:fldCharType="end"/>
        </w:r>
      </w:hyperlink>
    </w:p>
    <w:p w14:paraId="711FD343" w14:textId="47E57D0E" w:rsidR="008B1ACD" w:rsidRDefault="008B1ACD">
      <w:pPr>
        <w:pStyle w:val="TableofFigures"/>
        <w:rPr>
          <w:rFonts w:eastAsiaTheme="minorEastAsia"/>
          <w:sz w:val="24"/>
          <w:lang w:eastAsia="en-AU"/>
        </w:rPr>
      </w:pPr>
      <w:hyperlink w:anchor="_Toc216695808" w:history="1">
        <w:r w:rsidRPr="007053AD">
          <w:rPr>
            <w:rStyle w:val="Hyperlink"/>
          </w:rPr>
          <w:t>Table 146: Flocoumafen – Secondary poisoning studies on terrestrial vertebrates</w:t>
        </w:r>
        <w:r>
          <w:rPr>
            <w:webHidden/>
          </w:rPr>
          <w:tab/>
        </w:r>
        <w:r>
          <w:rPr>
            <w:webHidden/>
          </w:rPr>
          <w:fldChar w:fldCharType="begin"/>
        </w:r>
        <w:r>
          <w:rPr>
            <w:webHidden/>
          </w:rPr>
          <w:instrText xml:space="preserve"> PAGEREF _Toc216695808 \h </w:instrText>
        </w:r>
        <w:r>
          <w:rPr>
            <w:webHidden/>
          </w:rPr>
        </w:r>
        <w:r>
          <w:rPr>
            <w:webHidden/>
          </w:rPr>
          <w:fldChar w:fldCharType="separate"/>
        </w:r>
        <w:r w:rsidR="003861AC">
          <w:rPr>
            <w:webHidden/>
          </w:rPr>
          <w:t>179</w:t>
        </w:r>
        <w:r>
          <w:rPr>
            <w:webHidden/>
          </w:rPr>
          <w:fldChar w:fldCharType="end"/>
        </w:r>
      </w:hyperlink>
    </w:p>
    <w:p w14:paraId="6CF8B01E" w14:textId="4978967D" w:rsidR="008B1ACD" w:rsidRDefault="008B1ACD">
      <w:pPr>
        <w:pStyle w:val="TableofFigures"/>
        <w:rPr>
          <w:rFonts w:eastAsiaTheme="minorEastAsia"/>
          <w:sz w:val="24"/>
          <w:lang w:eastAsia="en-AU"/>
        </w:rPr>
      </w:pPr>
      <w:hyperlink w:anchor="_Toc216695809" w:history="1">
        <w:r w:rsidRPr="007053AD">
          <w:rPr>
            <w:rStyle w:val="Hyperlink"/>
          </w:rPr>
          <w:t>Table 147: Flocoumafen – Field studies and adverse incidents involving terrestrial vertebrates from approved or unspecified use</w:t>
        </w:r>
        <w:r>
          <w:rPr>
            <w:webHidden/>
          </w:rPr>
          <w:tab/>
        </w:r>
        <w:r>
          <w:rPr>
            <w:webHidden/>
          </w:rPr>
          <w:fldChar w:fldCharType="begin"/>
        </w:r>
        <w:r>
          <w:rPr>
            <w:webHidden/>
          </w:rPr>
          <w:instrText xml:space="preserve"> PAGEREF _Toc216695809 \h </w:instrText>
        </w:r>
        <w:r>
          <w:rPr>
            <w:webHidden/>
          </w:rPr>
        </w:r>
        <w:r>
          <w:rPr>
            <w:webHidden/>
          </w:rPr>
          <w:fldChar w:fldCharType="separate"/>
        </w:r>
        <w:r w:rsidR="003861AC">
          <w:rPr>
            <w:webHidden/>
          </w:rPr>
          <w:t>180</w:t>
        </w:r>
        <w:r>
          <w:rPr>
            <w:webHidden/>
          </w:rPr>
          <w:fldChar w:fldCharType="end"/>
        </w:r>
      </w:hyperlink>
    </w:p>
    <w:p w14:paraId="1B8955A1" w14:textId="44674373" w:rsidR="008B1ACD" w:rsidRDefault="008B1ACD">
      <w:pPr>
        <w:pStyle w:val="TableofFigures"/>
        <w:rPr>
          <w:rFonts w:eastAsiaTheme="minorEastAsia"/>
          <w:sz w:val="24"/>
          <w:lang w:eastAsia="en-AU"/>
        </w:rPr>
      </w:pPr>
      <w:hyperlink w:anchor="_Toc216695810" w:history="1">
        <w:r w:rsidRPr="007053AD">
          <w:rPr>
            <w:rStyle w:val="Hyperlink"/>
          </w:rPr>
          <w:t>Table 148: Flocoumafen – Effects on aquatic species</w:t>
        </w:r>
        <w:r>
          <w:rPr>
            <w:webHidden/>
          </w:rPr>
          <w:tab/>
        </w:r>
        <w:r>
          <w:rPr>
            <w:webHidden/>
          </w:rPr>
          <w:fldChar w:fldCharType="begin"/>
        </w:r>
        <w:r>
          <w:rPr>
            <w:webHidden/>
          </w:rPr>
          <w:instrText xml:space="preserve"> PAGEREF _Toc216695810 \h </w:instrText>
        </w:r>
        <w:r>
          <w:rPr>
            <w:webHidden/>
          </w:rPr>
        </w:r>
        <w:r>
          <w:rPr>
            <w:webHidden/>
          </w:rPr>
          <w:fldChar w:fldCharType="separate"/>
        </w:r>
        <w:r w:rsidR="003861AC">
          <w:rPr>
            <w:webHidden/>
          </w:rPr>
          <w:t>180</w:t>
        </w:r>
        <w:r>
          <w:rPr>
            <w:webHidden/>
          </w:rPr>
          <w:fldChar w:fldCharType="end"/>
        </w:r>
      </w:hyperlink>
    </w:p>
    <w:p w14:paraId="7EA6B629" w14:textId="5BEE4D3B" w:rsidR="008B1ACD" w:rsidRDefault="008B1ACD">
      <w:pPr>
        <w:pStyle w:val="TableofFigures"/>
        <w:rPr>
          <w:rFonts w:eastAsiaTheme="minorEastAsia"/>
          <w:sz w:val="24"/>
          <w:lang w:eastAsia="en-AU"/>
        </w:rPr>
      </w:pPr>
      <w:hyperlink w:anchor="_Toc216695811" w:history="1">
        <w:r w:rsidRPr="007053AD">
          <w:rPr>
            <w:rStyle w:val="Hyperlink"/>
          </w:rPr>
          <w:t>Table 149: Flocoumafen – Effects on soil organisms</w:t>
        </w:r>
        <w:r>
          <w:rPr>
            <w:webHidden/>
          </w:rPr>
          <w:tab/>
        </w:r>
        <w:r>
          <w:rPr>
            <w:webHidden/>
          </w:rPr>
          <w:fldChar w:fldCharType="begin"/>
        </w:r>
        <w:r>
          <w:rPr>
            <w:webHidden/>
          </w:rPr>
          <w:instrText xml:space="preserve"> PAGEREF _Toc216695811 \h </w:instrText>
        </w:r>
        <w:r>
          <w:rPr>
            <w:webHidden/>
          </w:rPr>
        </w:r>
        <w:r>
          <w:rPr>
            <w:webHidden/>
          </w:rPr>
          <w:fldChar w:fldCharType="separate"/>
        </w:r>
        <w:r w:rsidR="003861AC">
          <w:rPr>
            <w:webHidden/>
          </w:rPr>
          <w:t>180</w:t>
        </w:r>
        <w:r>
          <w:rPr>
            <w:webHidden/>
          </w:rPr>
          <w:fldChar w:fldCharType="end"/>
        </w:r>
      </w:hyperlink>
    </w:p>
    <w:p w14:paraId="5CA73755" w14:textId="3D095062" w:rsidR="008B1ACD" w:rsidRDefault="008B1ACD">
      <w:pPr>
        <w:pStyle w:val="TableofFigures"/>
        <w:rPr>
          <w:rFonts w:eastAsiaTheme="minorEastAsia"/>
          <w:sz w:val="24"/>
          <w:lang w:eastAsia="en-AU"/>
        </w:rPr>
      </w:pPr>
      <w:hyperlink w:anchor="_Toc216695812" w:history="1">
        <w:r w:rsidRPr="007053AD">
          <w:rPr>
            <w:rStyle w:val="Hyperlink"/>
          </w:rPr>
          <w:t>Table 150: Flocoumafen – Effects on biological methods of sewage treatment</w:t>
        </w:r>
        <w:r>
          <w:rPr>
            <w:webHidden/>
          </w:rPr>
          <w:tab/>
        </w:r>
        <w:r>
          <w:rPr>
            <w:webHidden/>
          </w:rPr>
          <w:fldChar w:fldCharType="begin"/>
        </w:r>
        <w:r>
          <w:rPr>
            <w:webHidden/>
          </w:rPr>
          <w:instrText xml:space="preserve"> PAGEREF _Toc216695812 \h </w:instrText>
        </w:r>
        <w:r>
          <w:rPr>
            <w:webHidden/>
          </w:rPr>
        </w:r>
        <w:r>
          <w:rPr>
            <w:webHidden/>
          </w:rPr>
          <w:fldChar w:fldCharType="separate"/>
        </w:r>
        <w:r w:rsidR="003861AC">
          <w:rPr>
            <w:webHidden/>
          </w:rPr>
          <w:t>181</w:t>
        </w:r>
        <w:r>
          <w:rPr>
            <w:webHidden/>
          </w:rPr>
          <w:fldChar w:fldCharType="end"/>
        </w:r>
      </w:hyperlink>
    </w:p>
    <w:p w14:paraId="16029C36" w14:textId="05BD8245" w:rsidR="008B1ACD" w:rsidRDefault="008B1ACD">
      <w:pPr>
        <w:pStyle w:val="TableofFigures"/>
        <w:rPr>
          <w:rFonts w:eastAsiaTheme="minorEastAsia"/>
          <w:sz w:val="24"/>
          <w:lang w:eastAsia="en-AU"/>
        </w:rPr>
      </w:pPr>
      <w:hyperlink w:anchor="_Toc216695813" w:history="1">
        <w:r w:rsidRPr="007053AD">
          <w:rPr>
            <w:rStyle w:val="Hyperlink"/>
          </w:rPr>
          <w:t>Table 151: Toxicological endpoints for coumatetralyl active constituent and formulated products</w:t>
        </w:r>
        <w:r>
          <w:rPr>
            <w:webHidden/>
          </w:rPr>
          <w:tab/>
        </w:r>
        <w:r>
          <w:rPr>
            <w:webHidden/>
          </w:rPr>
          <w:fldChar w:fldCharType="begin"/>
        </w:r>
        <w:r>
          <w:rPr>
            <w:webHidden/>
          </w:rPr>
          <w:instrText xml:space="preserve"> PAGEREF _Toc216695813 \h </w:instrText>
        </w:r>
        <w:r>
          <w:rPr>
            <w:webHidden/>
          </w:rPr>
        </w:r>
        <w:r>
          <w:rPr>
            <w:webHidden/>
          </w:rPr>
          <w:fldChar w:fldCharType="separate"/>
        </w:r>
        <w:r w:rsidR="003861AC">
          <w:rPr>
            <w:webHidden/>
          </w:rPr>
          <w:t>182</w:t>
        </w:r>
        <w:r>
          <w:rPr>
            <w:webHidden/>
          </w:rPr>
          <w:fldChar w:fldCharType="end"/>
        </w:r>
      </w:hyperlink>
    </w:p>
    <w:p w14:paraId="7D2F7F68" w14:textId="491A1F23" w:rsidR="008B1ACD" w:rsidRDefault="008B1ACD">
      <w:pPr>
        <w:pStyle w:val="TableofFigures"/>
        <w:rPr>
          <w:rFonts w:eastAsiaTheme="minorEastAsia"/>
          <w:sz w:val="24"/>
          <w:lang w:eastAsia="en-AU"/>
        </w:rPr>
      </w:pPr>
      <w:hyperlink w:anchor="_Toc216695814" w:history="1">
        <w:r w:rsidRPr="007053AD">
          <w:rPr>
            <w:rStyle w:val="Hyperlink"/>
          </w:rPr>
          <w:t>Table 152: Toxicological endpoints for diphacinone active constituent and formulated products</w:t>
        </w:r>
        <w:r>
          <w:rPr>
            <w:webHidden/>
          </w:rPr>
          <w:tab/>
        </w:r>
        <w:r>
          <w:rPr>
            <w:webHidden/>
          </w:rPr>
          <w:fldChar w:fldCharType="begin"/>
        </w:r>
        <w:r>
          <w:rPr>
            <w:webHidden/>
          </w:rPr>
          <w:instrText xml:space="preserve"> PAGEREF _Toc216695814 \h </w:instrText>
        </w:r>
        <w:r>
          <w:rPr>
            <w:webHidden/>
          </w:rPr>
        </w:r>
        <w:r>
          <w:rPr>
            <w:webHidden/>
          </w:rPr>
          <w:fldChar w:fldCharType="separate"/>
        </w:r>
        <w:r w:rsidR="003861AC">
          <w:rPr>
            <w:webHidden/>
          </w:rPr>
          <w:t>184</w:t>
        </w:r>
        <w:r>
          <w:rPr>
            <w:webHidden/>
          </w:rPr>
          <w:fldChar w:fldCharType="end"/>
        </w:r>
      </w:hyperlink>
    </w:p>
    <w:p w14:paraId="2237B70A" w14:textId="72C0A4B1" w:rsidR="008B1ACD" w:rsidRDefault="008B1ACD">
      <w:pPr>
        <w:pStyle w:val="TableofFigures"/>
        <w:rPr>
          <w:rFonts w:eastAsiaTheme="minorEastAsia"/>
          <w:sz w:val="24"/>
          <w:lang w:eastAsia="en-AU"/>
        </w:rPr>
      </w:pPr>
      <w:hyperlink w:anchor="_Toc216695815" w:history="1">
        <w:r w:rsidRPr="007053AD">
          <w:rPr>
            <w:rStyle w:val="Hyperlink"/>
          </w:rPr>
          <w:t>Table 153: Toxicological endpoints for brodifacoum active constituent and formulated products</w:t>
        </w:r>
        <w:r>
          <w:rPr>
            <w:webHidden/>
          </w:rPr>
          <w:tab/>
        </w:r>
        <w:r>
          <w:rPr>
            <w:webHidden/>
          </w:rPr>
          <w:fldChar w:fldCharType="begin"/>
        </w:r>
        <w:r>
          <w:rPr>
            <w:webHidden/>
          </w:rPr>
          <w:instrText xml:space="preserve"> PAGEREF _Toc216695815 \h </w:instrText>
        </w:r>
        <w:r>
          <w:rPr>
            <w:webHidden/>
          </w:rPr>
        </w:r>
        <w:r>
          <w:rPr>
            <w:webHidden/>
          </w:rPr>
          <w:fldChar w:fldCharType="separate"/>
        </w:r>
        <w:r w:rsidR="003861AC">
          <w:rPr>
            <w:webHidden/>
          </w:rPr>
          <w:t>186</w:t>
        </w:r>
        <w:r>
          <w:rPr>
            <w:webHidden/>
          </w:rPr>
          <w:fldChar w:fldCharType="end"/>
        </w:r>
      </w:hyperlink>
    </w:p>
    <w:p w14:paraId="4E75B0A8" w14:textId="01871D23" w:rsidR="008B1ACD" w:rsidRDefault="008B1ACD">
      <w:pPr>
        <w:pStyle w:val="TableofFigures"/>
        <w:rPr>
          <w:rFonts w:eastAsiaTheme="minorEastAsia"/>
          <w:sz w:val="24"/>
          <w:lang w:eastAsia="en-AU"/>
        </w:rPr>
      </w:pPr>
      <w:hyperlink w:anchor="_Toc216695816" w:history="1">
        <w:r w:rsidRPr="007053AD">
          <w:rPr>
            <w:rStyle w:val="Hyperlink"/>
          </w:rPr>
          <w:t>Table 154: Toxicological endpoints for bromadiolone active constituent and formulated products</w:t>
        </w:r>
        <w:r>
          <w:rPr>
            <w:webHidden/>
          </w:rPr>
          <w:tab/>
        </w:r>
        <w:r>
          <w:rPr>
            <w:webHidden/>
          </w:rPr>
          <w:fldChar w:fldCharType="begin"/>
        </w:r>
        <w:r>
          <w:rPr>
            <w:webHidden/>
          </w:rPr>
          <w:instrText xml:space="preserve"> PAGEREF _Toc216695816 \h </w:instrText>
        </w:r>
        <w:r>
          <w:rPr>
            <w:webHidden/>
          </w:rPr>
        </w:r>
        <w:r>
          <w:rPr>
            <w:webHidden/>
          </w:rPr>
          <w:fldChar w:fldCharType="separate"/>
        </w:r>
        <w:r w:rsidR="003861AC">
          <w:rPr>
            <w:webHidden/>
          </w:rPr>
          <w:t>191</w:t>
        </w:r>
        <w:r>
          <w:rPr>
            <w:webHidden/>
          </w:rPr>
          <w:fldChar w:fldCharType="end"/>
        </w:r>
      </w:hyperlink>
    </w:p>
    <w:p w14:paraId="1406F573" w14:textId="333FDEBD" w:rsidR="008B1ACD" w:rsidRDefault="008B1ACD">
      <w:pPr>
        <w:pStyle w:val="TableofFigures"/>
        <w:rPr>
          <w:rFonts w:eastAsiaTheme="minorEastAsia"/>
          <w:sz w:val="24"/>
          <w:lang w:eastAsia="en-AU"/>
        </w:rPr>
      </w:pPr>
      <w:hyperlink w:anchor="_Toc216695817" w:history="1">
        <w:r w:rsidRPr="007053AD">
          <w:rPr>
            <w:rStyle w:val="Hyperlink"/>
          </w:rPr>
          <w:t>Table 155: Toxicological endpoints for difenacoum active constituents and formulated products</w:t>
        </w:r>
        <w:r>
          <w:rPr>
            <w:webHidden/>
          </w:rPr>
          <w:tab/>
        </w:r>
        <w:r>
          <w:rPr>
            <w:webHidden/>
          </w:rPr>
          <w:fldChar w:fldCharType="begin"/>
        </w:r>
        <w:r>
          <w:rPr>
            <w:webHidden/>
          </w:rPr>
          <w:instrText xml:space="preserve"> PAGEREF _Toc216695817 \h </w:instrText>
        </w:r>
        <w:r>
          <w:rPr>
            <w:webHidden/>
          </w:rPr>
        </w:r>
        <w:r>
          <w:rPr>
            <w:webHidden/>
          </w:rPr>
          <w:fldChar w:fldCharType="separate"/>
        </w:r>
        <w:r w:rsidR="003861AC">
          <w:rPr>
            <w:webHidden/>
          </w:rPr>
          <w:t>194</w:t>
        </w:r>
        <w:r>
          <w:rPr>
            <w:webHidden/>
          </w:rPr>
          <w:fldChar w:fldCharType="end"/>
        </w:r>
      </w:hyperlink>
    </w:p>
    <w:p w14:paraId="6A02FD23" w14:textId="1B241020" w:rsidR="008B1ACD" w:rsidRDefault="008B1ACD">
      <w:pPr>
        <w:pStyle w:val="TableofFigures"/>
        <w:rPr>
          <w:rFonts w:eastAsiaTheme="minorEastAsia"/>
          <w:sz w:val="24"/>
          <w:lang w:eastAsia="en-AU"/>
        </w:rPr>
      </w:pPr>
      <w:hyperlink w:anchor="_Toc216695818" w:history="1">
        <w:r w:rsidRPr="007053AD">
          <w:rPr>
            <w:rStyle w:val="Hyperlink"/>
          </w:rPr>
          <w:t>Table 156: Toxicological endpoints for difethialone active constituents and formulated products</w:t>
        </w:r>
        <w:r>
          <w:rPr>
            <w:webHidden/>
          </w:rPr>
          <w:tab/>
        </w:r>
        <w:r>
          <w:rPr>
            <w:webHidden/>
          </w:rPr>
          <w:fldChar w:fldCharType="begin"/>
        </w:r>
        <w:r>
          <w:rPr>
            <w:webHidden/>
          </w:rPr>
          <w:instrText xml:space="preserve"> PAGEREF _Toc216695818 \h </w:instrText>
        </w:r>
        <w:r>
          <w:rPr>
            <w:webHidden/>
          </w:rPr>
        </w:r>
        <w:r>
          <w:rPr>
            <w:webHidden/>
          </w:rPr>
          <w:fldChar w:fldCharType="separate"/>
        </w:r>
        <w:r w:rsidR="003861AC">
          <w:rPr>
            <w:webHidden/>
          </w:rPr>
          <w:t>196</w:t>
        </w:r>
        <w:r>
          <w:rPr>
            <w:webHidden/>
          </w:rPr>
          <w:fldChar w:fldCharType="end"/>
        </w:r>
      </w:hyperlink>
    </w:p>
    <w:p w14:paraId="0FB6290B" w14:textId="67FEEEC5" w:rsidR="008B1ACD" w:rsidRDefault="008B1ACD">
      <w:pPr>
        <w:pStyle w:val="TableofFigures"/>
        <w:rPr>
          <w:rFonts w:eastAsiaTheme="minorEastAsia"/>
          <w:sz w:val="24"/>
          <w:lang w:eastAsia="en-AU"/>
        </w:rPr>
      </w:pPr>
      <w:hyperlink w:anchor="_Toc216695819" w:history="1">
        <w:r w:rsidRPr="007053AD">
          <w:rPr>
            <w:rStyle w:val="Hyperlink"/>
          </w:rPr>
          <w:t>Table 157: Toxicological endpoints for flocoumafen active constituents and formulated products</w:t>
        </w:r>
        <w:r>
          <w:rPr>
            <w:webHidden/>
          </w:rPr>
          <w:tab/>
        </w:r>
        <w:r>
          <w:rPr>
            <w:webHidden/>
          </w:rPr>
          <w:fldChar w:fldCharType="begin"/>
        </w:r>
        <w:r>
          <w:rPr>
            <w:webHidden/>
          </w:rPr>
          <w:instrText xml:space="preserve"> PAGEREF _Toc216695819 \h </w:instrText>
        </w:r>
        <w:r>
          <w:rPr>
            <w:webHidden/>
          </w:rPr>
        </w:r>
        <w:r>
          <w:rPr>
            <w:webHidden/>
          </w:rPr>
          <w:fldChar w:fldCharType="separate"/>
        </w:r>
        <w:r w:rsidR="003861AC">
          <w:rPr>
            <w:webHidden/>
          </w:rPr>
          <w:t>197</w:t>
        </w:r>
        <w:r>
          <w:rPr>
            <w:webHidden/>
          </w:rPr>
          <w:fldChar w:fldCharType="end"/>
        </w:r>
      </w:hyperlink>
    </w:p>
    <w:p w14:paraId="642BE59F" w14:textId="5A51521A" w:rsidR="002A3239" w:rsidRDefault="00B05454" w:rsidP="00B05454">
      <w:pPr>
        <w:pStyle w:val="NormalText"/>
        <w:rPr>
          <w:noProof/>
        </w:rPr>
        <w:sectPr w:rsidR="002A3239" w:rsidSect="00173C61">
          <w:headerReference w:type="even" r:id="rId18"/>
          <w:headerReference w:type="default" r:id="rId19"/>
          <w:footerReference w:type="default" r:id="rId20"/>
          <w:pgSz w:w="11906" w:h="16838" w:code="9"/>
          <w:pgMar w:top="2835" w:right="1134" w:bottom="1134" w:left="1134" w:header="1701" w:footer="680" w:gutter="0"/>
          <w:pgNumType w:fmt="lowerRoman" w:start="2"/>
          <w:cols w:space="708"/>
          <w:docGrid w:linePitch="360"/>
        </w:sectPr>
      </w:pPr>
      <w:r>
        <w:rPr>
          <w:noProof/>
        </w:rPr>
        <w:fldChar w:fldCharType="end"/>
      </w:r>
    </w:p>
    <w:p w14:paraId="03150232" w14:textId="17258980" w:rsidR="002E20AC" w:rsidRPr="00231A63" w:rsidRDefault="002E20AC" w:rsidP="00377F3A">
      <w:pPr>
        <w:pStyle w:val="PreliminariesH1"/>
      </w:pPr>
      <w:bookmarkStart w:id="2" w:name="_Toc234063054"/>
      <w:bookmarkStart w:id="3" w:name="_Toc414373831"/>
      <w:bookmarkStart w:id="4" w:name="_Toc135232585"/>
      <w:bookmarkStart w:id="5" w:name="_Toc214025455"/>
      <w:bookmarkStart w:id="6" w:name="_Toc216695527"/>
      <w:r w:rsidRPr="00231A63">
        <w:lastRenderedPageBreak/>
        <w:t>Preface</w:t>
      </w:r>
      <w:bookmarkEnd w:id="2"/>
      <w:bookmarkEnd w:id="3"/>
      <w:bookmarkEnd w:id="4"/>
      <w:bookmarkEnd w:id="5"/>
      <w:bookmarkEnd w:id="6"/>
    </w:p>
    <w:p w14:paraId="6A68F16C" w14:textId="77777777" w:rsidR="00DE07CF" w:rsidRPr="00835CB9" w:rsidRDefault="00DE07CF" w:rsidP="00377F3A">
      <w:pPr>
        <w:pStyle w:val="NormalText"/>
      </w:pPr>
      <w:r w:rsidRPr="00835CB9">
        <w:t xml:space="preserve">The Australian Pesticides and Veterinary Medicines Authority (APVMA) is an independent statutory authority </w:t>
      </w:r>
      <w:r>
        <w:t>that</w:t>
      </w:r>
      <w:r w:rsidRPr="00835CB9">
        <w:t xml:space="preserve"> administers the National Registration Scheme for Agricultural and Veterinary Chemicals. The</w:t>
      </w:r>
      <w:r>
        <w:t xml:space="preserve"> </w:t>
      </w:r>
      <w:r w:rsidRPr="00835CB9">
        <w:t>APVMA evaluates, registers and regulates agricultural and veterinary (agvet) chemicals up to the point of sale.</w:t>
      </w:r>
      <w:r>
        <w:t xml:space="preserve"> </w:t>
      </w:r>
      <w:r w:rsidRPr="00835CB9">
        <w:t xml:space="preserve">The states and territories are responsible for control of use. Its statutory powers are provided in the Agricultural and Veterinary Chemicals Code (the Agvet Code), which is scheduled to the </w:t>
      </w:r>
      <w:r w:rsidRPr="00141854">
        <w:rPr>
          <w:i/>
          <w:iCs/>
        </w:rPr>
        <w:t xml:space="preserve">Agricultural and Veterinary Chemicals Code </w:t>
      </w:r>
      <w:bookmarkStart w:id="7" w:name="_Hlk151107665"/>
      <w:r w:rsidRPr="00141854">
        <w:rPr>
          <w:i/>
          <w:iCs/>
        </w:rPr>
        <w:t>Act</w:t>
      </w:r>
      <w:bookmarkEnd w:id="7"/>
      <w:r w:rsidRPr="00141854">
        <w:rPr>
          <w:i/>
          <w:iCs/>
        </w:rPr>
        <w:t xml:space="preserve"> 1994</w:t>
      </w:r>
      <w:r w:rsidRPr="00835CB9">
        <w:t>.</w:t>
      </w:r>
    </w:p>
    <w:p w14:paraId="5702BDB6" w14:textId="77777777" w:rsidR="00DE07CF" w:rsidRPr="00835CB9" w:rsidRDefault="00DE07CF" w:rsidP="00377F3A">
      <w:pPr>
        <w:pStyle w:val="NormalText"/>
      </w:pPr>
      <w:r w:rsidRPr="00835CB9">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 The Code provides for the suspension and cancellation of approvals and registrations if it appears to the APVMA that the criteria for approval or registration are not,</w:t>
      </w:r>
      <w:r>
        <w:t xml:space="preserve"> </w:t>
      </w:r>
      <w:r w:rsidRPr="00835CB9">
        <w:t>or are no longer, satisfied (s 41 and s 44 of Part 2, Division 5).</w:t>
      </w:r>
    </w:p>
    <w:p w14:paraId="1F34C42A" w14:textId="77777777" w:rsidR="00DE07CF" w:rsidRPr="00835CB9" w:rsidRDefault="00DE07CF" w:rsidP="00377F3A">
      <w:pPr>
        <w:pStyle w:val="NormalText"/>
      </w:pPr>
      <w:r w:rsidRPr="00835CB9">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465638F4" w14:textId="77777777" w:rsidR="00DE07CF" w:rsidRPr="00835CB9" w:rsidRDefault="00DE07CF" w:rsidP="00377F3A">
      <w:pPr>
        <w:pStyle w:val="NormalText"/>
      </w:pPr>
      <w:r w:rsidRPr="00835CB9">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74D3BD3B" w14:textId="77777777" w:rsidR="00DE07CF" w:rsidRPr="00EF2B5A" w:rsidRDefault="00DE07CF" w:rsidP="00377F3A">
      <w:pPr>
        <w:pStyle w:val="PreliminariesH2"/>
        <w:numPr>
          <w:ilvl w:val="0"/>
          <w:numId w:val="0"/>
        </w:numPr>
      </w:pPr>
      <w:bookmarkStart w:id="8" w:name="_Toc152921582"/>
      <w:bookmarkStart w:id="9" w:name="_Toc214025456"/>
      <w:bookmarkStart w:id="10" w:name="_Toc216695528"/>
      <w:r w:rsidRPr="00EF2B5A">
        <w:t>About this document</w:t>
      </w:r>
      <w:bookmarkEnd w:id="8"/>
      <w:bookmarkEnd w:id="9"/>
      <w:bookmarkEnd w:id="10"/>
    </w:p>
    <w:p w14:paraId="7A0F8368" w14:textId="77777777" w:rsidR="00DE07CF" w:rsidRPr="00835CB9" w:rsidRDefault="00DE07CF" w:rsidP="00377F3A">
      <w:pPr>
        <w:pStyle w:val="NormalText"/>
      </w:pPr>
      <w:r w:rsidRPr="00835CB9">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40311A1A" w14:textId="77777777" w:rsidR="00DE07CF" w:rsidRPr="00835CB9" w:rsidRDefault="00DE07CF" w:rsidP="00377F3A">
      <w:pPr>
        <w:pStyle w:val="NormalText"/>
      </w:pPr>
      <w:r w:rsidRPr="00835CB9">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36C331E2" w14:textId="77777777" w:rsidR="00DE07CF" w:rsidRPr="00835CB9" w:rsidRDefault="00DE07CF" w:rsidP="00DE07CF">
      <w:pPr>
        <w:pStyle w:val="Bullet1"/>
      </w:pPr>
      <w:r w:rsidRPr="00835CB9">
        <w:t>the toxicology of both the active constituent and product</w:t>
      </w:r>
    </w:p>
    <w:p w14:paraId="795D8E27" w14:textId="77777777" w:rsidR="00DE07CF" w:rsidRPr="00835CB9" w:rsidRDefault="00DE07CF" w:rsidP="00DE07CF">
      <w:pPr>
        <w:pStyle w:val="Bullet1"/>
      </w:pPr>
      <w:r w:rsidRPr="00835CB9">
        <w:t>the residues and trade assessment</w:t>
      </w:r>
    </w:p>
    <w:p w14:paraId="15237352" w14:textId="77777777" w:rsidR="00DE07CF" w:rsidRPr="00835CB9" w:rsidRDefault="00DE07CF" w:rsidP="00DE07CF">
      <w:pPr>
        <w:pStyle w:val="Bullet1"/>
      </w:pPr>
      <w:r w:rsidRPr="00835CB9">
        <w:t>occupational exposure aspects</w:t>
      </w:r>
    </w:p>
    <w:p w14:paraId="0C0BBBBA" w14:textId="77777777" w:rsidR="00DE07CF" w:rsidRPr="00835CB9" w:rsidRDefault="00DE07CF" w:rsidP="00DE07CF">
      <w:pPr>
        <w:pStyle w:val="Bullet1"/>
      </w:pPr>
      <w:r w:rsidRPr="00835CB9">
        <w:t>environmental fate, toxicity, potential exposure and hazard</w:t>
      </w:r>
    </w:p>
    <w:p w14:paraId="667831C7" w14:textId="77777777" w:rsidR="00F5191B" w:rsidRDefault="00DE07CF" w:rsidP="00DE07CF">
      <w:pPr>
        <w:pStyle w:val="Bullet1"/>
        <w:sectPr w:rsidR="00F5191B" w:rsidSect="00DE07CF">
          <w:headerReference w:type="default" r:id="rId21"/>
          <w:pgSz w:w="11906" w:h="16838" w:code="9"/>
          <w:pgMar w:top="2835" w:right="1134" w:bottom="1134" w:left="1134" w:header="1701" w:footer="680" w:gutter="0"/>
          <w:pgNumType w:start="1"/>
          <w:cols w:space="708"/>
          <w:docGrid w:linePitch="360"/>
        </w:sectPr>
      </w:pPr>
      <w:r w:rsidRPr="00835CB9">
        <w:t>efficacy and target crop or animal safety.</w:t>
      </w:r>
    </w:p>
    <w:p w14:paraId="5ABB7D1F" w14:textId="77777777" w:rsidR="004A62FF" w:rsidRDefault="004A62FF" w:rsidP="004A62FF">
      <w:pPr>
        <w:pStyle w:val="PreliminariesH1"/>
      </w:pPr>
      <w:bookmarkStart w:id="11" w:name="_Toc192163772"/>
      <w:bookmarkStart w:id="12" w:name="_Toc216695529"/>
      <w:r>
        <w:lastRenderedPageBreak/>
        <w:t>Executive Summary</w:t>
      </w:r>
      <w:bookmarkEnd w:id="11"/>
      <w:bookmarkEnd w:id="12"/>
    </w:p>
    <w:p w14:paraId="65BBE4CD" w14:textId="77777777" w:rsidR="004A62FF" w:rsidRPr="0073446C" w:rsidRDefault="004A62FF" w:rsidP="004A62FF">
      <w:pPr>
        <w:pStyle w:val="PreliminariesH2"/>
        <w:numPr>
          <w:ilvl w:val="0"/>
          <w:numId w:val="0"/>
        </w:numPr>
      </w:pPr>
      <w:bookmarkStart w:id="13" w:name="_Toc216695530"/>
      <w:r w:rsidRPr="0073446C">
        <w:t xml:space="preserve">History of </w:t>
      </w:r>
      <w:r>
        <w:t>Anticoagulant Rodenticides in Australia</w:t>
      </w:r>
      <w:bookmarkEnd w:id="13"/>
    </w:p>
    <w:p w14:paraId="744584CE" w14:textId="77777777" w:rsidR="004A62FF" w:rsidRPr="004A62FF" w:rsidRDefault="004A62FF" w:rsidP="004A62FF">
      <w:pPr>
        <w:pStyle w:val="PreliminariesH3"/>
      </w:pPr>
      <w:bookmarkStart w:id="14" w:name="_Toc216695531"/>
      <w:r w:rsidRPr="004A62FF">
        <w:t>What are anticoagulant rodenticides and how do they work?</w:t>
      </w:r>
      <w:bookmarkEnd w:id="14"/>
    </w:p>
    <w:p w14:paraId="2A04C81A" w14:textId="2A41CA33" w:rsidR="004A62FF" w:rsidRDefault="004A62FF" w:rsidP="004A62FF">
      <w:pPr>
        <w:pStyle w:val="NormalText"/>
      </w:pPr>
      <w:r>
        <w:t xml:space="preserve">The anticoagulant rodenticides are a class of chemicals that are used in Australia as poison baits </w:t>
      </w:r>
      <w:r w:rsidR="00D86C8A">
        <w:t xml:space="preserve">to </w:t>
      </w:r>
      <w:r>
        <w:t xml:space="preserve">kill non-native rats and mice. </w:t>
      </w:r>
      <w:r w:rsidRPr="00F3651A">
        <w:t xml:space="preserve">Anticoagulant rodenticides disrupt normal blood-clotting mechanisms, </w:t>
      </w:r>
      <w:r>
        <w:t>resulting in</w:t>
      </w:r>
      <w:r w:rsidRPr="00F3651A">
        <w:t xml:space="preserve"> capillary damage leading to uncontrolled </w:t>
      </w:r>
      <w:r>
        <w:t>bleeding</w:t>
      </w:r>
      <w:r w:rsidRPr="00F3651A">
        <w:t xml:space="preserve"> and death. </w:t>
      </w:r>
      <w:r>
        <w:t>Rats and mice</w:t>
      </w:r>
      <w:r w:rsidRPr="00F3651A">
        <w:t xml:space="preserve"> typically </w:t>
      </w:r>
      <w:r>
        <w:t xml:space="preserve">die </w:t>
      </w:r>
      <w:r w:rsidRPr="00F3651A">
        <w:t>5 to 10 days after a lethal dose has been consumed. Anticoagulant rodenticides</w:t>
      </w:r>
      <w:r>
        <w:t xml:space="preserve"> baits are available in various forms, ready-to-use baits such as </w:t>
      </w:r>
      <w:r w:rsidRPr="00F3651A">
        <w:t>including blocks, pellets and treated grains</w:t>
      </w:r>
      <w:r>
        <w:t xml:space="preserve"> and</w:t>
      </w:r>
      <w:r w:rsidRPr="00F3651A">
        <w:t xml:space="preserve"> pastes</w:t>
      </w:r>
      <w:r>
        <w:t xml:space="preserve">, and as </w:t>
      </w:r>
      <w:r w:rsidRPr="00F3651A">
        <w:t>liquids and powder</w:t>
      </w:r>
      <w:r>
        <w:t xml:space="preserve"> concentrates for preparing baits by mixing </w:t>
      </w:r>
      <w:r w:rsidRPr="009C0160">
        <w:t xml:space="preserve">with water, or fruit or grain </w:t>
      </w:r>
      <w:r>
        <w:t xml:space="preserve">and/or as high concentration contact baits. </w:t>
      </w:r>
      <w:r w:rsidRPr="00F3651A">
        <w:t xml:space="preserve">There are two </w:t>
      </w:r>
      <w:r>
        <w:t>classes</w:t>
      </w:r>
      <w:r w:rsidRPr="00F3651A">
        <w:t xml:space="preserve"> of anticoagulant rodenticides, which are grouped</w:t>
      </w:r>
      <w:r>
        <w:t xml:space="preserve"> into so-called </w:t>
      </w:r>
      <w:r w:rsidRPr="00F3651A">
        <w:t>first- and second</w:t>
      </w:r>
      <w:r>
        <w:t>-</w:t>
      </w:r>
      <w:r w:rsidRPr="00F3651A">
        <w:t>generation</w:t>
      </w:r>
      <w:r>
        <w:t xml:space="preserve"> anticoagulant rodenticides based on when they were developed</w:t>
      </w:r>
      <w:r w:rsidRPr="00F3651A">
        <w:t>.</w:t>
      </w:r>
    </w:p>
    <w:p w14:paraId="147D4B44" w14:textId="0FA89363" w:rsidR="004A62FF" w:rsidRPr="00F3651A" w:rsidRDefault="004A62FF" w:rsidP="004A62FF">
      <w:pPr>
        <w:pStyle w:val="NormalText"/>
      </w:pPr>
      <w:r>
        <w:t>The first-</w:t>
      </w:r>
      <w:r w:rsidRPr="00F3651A">
        <w:t xml:space="preserve">generation anticoagulant rodenticides (FGARs) </w:t>
      </w:r>
      <w:r>
        <w:t xml:space="preserve">were developed earlier, with the first report of warfarin in 1944. FGARs </w:t>
      </w:r>
      <w:r w:rsidRPr="00F3651A">
        <w:t xml:space="preserve">typically require multiple feeds by the target </w:t>
      </w:r>
      <w:r>
        <w:t>rodent</w:t>
      </w:r>
      <w:r w:rsidRPr="00F3651A">
        <w:t xml:space="preserve"> over several days to deliver a lethal dose. The FGAR active constituents approved by the APVMA are:</w:t>
      </w:r>
    </w:p>
    <w:p w14:paraId="25BD1D90" w14:textId="10594A8C" w:rsidR="004A62FF" w:rsidRPr="00F3651A" w:rsidRDefault="004A62FF" w:rsidP="00F5191B">
      <w:pPr>
        <w:pStyle w:val="Bullet1"/>
      </w:pPr>
      <w:r w:rsidRPr="00F3651A">
        <w:t>Coumatetralyl</w:t>
      </w:r>
    </w:p>
    <w:p w14:paraId="6323D715" w14:textId="4C8DA1A5" w:rsidR="004A62FF" w:rsidRPr="00F3651A" w:rsidRDefault="004A62FF" w:rsidP="00F5191B">
      <w:pPr>
        <w:pStyle w:val="Bullet1"/>
      </w:pPr>
      <w:r w:rsidRPr="00F3651A">
        <w:t>Diphacinone</w:t>
      </w:r>
    </w:p>
    <w:p w14:paraId="70FF1C30" w14:textId="543DEB24" w:rsidR="004A62FF" w:rsidRPr="00F3651A" w:rsidRDefault="004A62FF" w:rsidP="00F5191B">
      <w:pPr>
        <w:pStyle w:val="Bullet1"/>
      </w:pPr>
      <w:r w:rsidRPr="00F3651A">
        <w:t>Warfarin</w:t>
      </w:r>
    </w:p>
    <w:p w14:paraId="05E95C4C" w14:textId="6F4560F0" w:rsidR="004A62FF" w:rsidRPr="00F3651A" w:rsidRDefault="004A62FF" w:rsidP="004A62FF">
      <w:pPr>
        <w:pStyle w:val="NormalText"/>
      </w:pPr>
      <w:r w:rsidRPr="00F3651A">
        <w:t>Second</w:t>
      </w:r>
      <w:r>
        <w:t>-</w:t>
      </w:r>
      <w:r w:rsidRPr="00F3651A">
        <w:t>generation anticoagulant rodenticides (SGARs)</w:t>
      </w:r>
      <w:r>
        <w:t xml:space="preserve"> were developed more recently than FGARs, partly in response to the development of resistance to the FGARs by rats and mice. SGARs </w:t>
      </w:r>
      <w:r w:rsidRPr="00F3651A">
        <w:t>differ</w:t>
      </w:r>
      <w:r>
        <w:t xml:space="preserve"> from FGARs</w:t>
      </w:r>
      <w:r w:rsidRPr="00F3651A">
        <w:t xml:space="preserve"> in that they </w:t>
      </w:r>
      <w:r>
        <w:t>have a higher toxicity, particularly to rats and mice, and can</w:t>
      </w:r>
      <w:r w:rsidRPr="00F3651A">
        <w:t xml:space="preserve"> deliver a lethal dose to the target </w:t>
      </w:r>
      <w:r>
        <w:t>rodent</w:t>
      </w:r>
      <w:r w:rsidRPr="00F3651A">
        <w:t xml:space="preserve"> in a single feed. The SGAR active constituents approved by the APVMA are:</w:t>
      </w:r>
    </w:p>
    <w:p w14:paraId="648670A7" w14:textId="66729C1E" w:rsidR="004A62FF" w:rsidRPr="00F3651A" w:rsidRDefault="004A62FF" w:rsidP="00F5191B">
      <w:pPr>
        <w:pStyle w:val="Bullet1"/>
      </w:pPr>
      <w:r w:rsidRPr="00F3651A">
        <w:t>Brodifacoum</w:t>
      </w:r>
    </w:p>
    <w:p w14:paraId="149C947B" w14:textId="55DC1525" w:rsidR="004A62FF" w:rsidRPr="00F3651A" w:rsidRDefault="004A62FF" w:rsidP="00F5191B">
      <w:pPr>
        <w:pStyle w:val="Bullet1"/>
      </w:pPr>
      <w:r w:rsidRPr="00F3651A">
        <w:t>Bromadiolone</w:t>
      </w:r>
    </w:p>
    <w:p w14:paraId="55F8F60B" w14:textId="77241C02" w:rsidR="004A62FF" w:rsidRPr="00F3651A" w:rsidRDefault="004A62FF" w:rsidP="00F5191B">
      <w:pPr>
        <w:pStyle w:val="Bullet1"/>
      </w:pPr>
      <w:r w:rsidRPr="00F3651A">
        <w:t>Difenacoum</w:t>
      </w:r>
    </w:p>
    <w:p w14:paraId="4B03E926" w14:textId="3F536453" w:rsidR="004A62FF" w:rsidRPr="00F3651A" w:rsidRDefault="004A62FF" w:rsidP="00F5191B">
      <w:pPr>
        <w:pStyle w:val="Bullet1"/>
      </w:pPr>
      <w:r w:rsidRPr="00F3651A">
        <w:t>Ditethialone</w:t>
      </w:r>
    </w:p>
    <w:p w14:paraId="701438E2" w14:textId="189475D0" w:rsidR="004A62FF" w:rsidRDefault="004A62FF" w:rsidP="00F5191B">
      <w:pPr>
        <w:pStyle w:val="Bullet1"/>
      </w:pPr>
      <w:r w:rsidRPr="00F3651A">
        <w:t>Flocoumafen</w:t>
      </w:r>
    </w:p>
    <w:p w14:paraId="52D72D63" w14:textId="662A1D06" w:rsidR="004A62FF" w:rsidRPr="00B63513" w:rsidRDefault="004A62FF" w:rsidP="004A62FF">
      <w:pPr>
        <w:pStyle w:val="NormalText"/>
      </w:pPr>
      <w:r>
        <w:t xml:space="preserve">Although these chemicals have some differences in their properties, they act </w:t>
      </w:r>
      <w:r w:rsidR="00D86C8A">
        <w:t xml:space="preserve">via </w:t>
      </w:r>
      <w:r>
        <w:t>a common mechanism</w:t>
      </w:r>
      <w:r w:rsidRPr="00ED1BD8">
        <w:t xml:space="preserve"> </w:t>
      </w:r>
      <w:r>
        <w:t xml:space="preserve">by </w:t>
      </w:r>
      <w:r w:rsidRPr="00B63513">
        <w:t>binding to the enzyme vitamin K 2,3-epoxide reductase</w:t>
      </w:r>
      <w:r>
        <w:t xml:space="preserve">. This </w:t>
      </w:r>
      <w:r w:rsidRPr="00B63513">
        <w:t>interrupt</w:t>
      </w:r>
      <w:r>
        <w:t>s</w:t>
      </w:r>
      <w:r w:rsidRPr="00B63513">
        <w:t xml:space="preserve"> the</w:t>
      </w:r>
      <w:r>
        <w:t xml:space="preserve"> normal</w:t>
      </w:r>
      <w:r w:rsidRPr="00B63513">
        <w:t xml:space="preserve"> recycling of vitamin K</w:t>
      </w:r>
      <w:r>
        <w:t xml:space="preserve"> within cells</w:t>
      </w:r>
      <w:r w:rsidRPr="00B63513">
        <w:t xml:space="preserve">. </w:t>
      </w:r>
    </w:p>
    <w:p w14:paraId="23F50F66" w14:textId="2049C30E" w:rsidR="004A62FF" w:rsidRDefault="004A62FF" w:rsidP="004A62FF">
      <w:pPr>
        <w:pStyle w:val="NormalText"/>
      </w:pPr>
      <w:r w:rsidRPr="00B63513">
        <w:t xml:space="preserve">Vitamin K is </w:t>
      </w:r>
      <w:r>
        <w:t>essential for cells to make prothrombin and other</w:t>
      </w:r>
      <w:r w:rsidRPr="00B63513">
        <w:t xml:space="preserve"> blood-clotting factors. </w:t>
      </w:r>
      <w:r w:rsidR="00D86C8A">
        <w:t>Interrupting</w:t>
      </w:r>
      <w:r w:rsidR="00D86C8A" w:rsidRPr="00B63513">
        <w:t xml:space="preserve"> </w:t>
      </w:r>
      <w:r w:rsidRPr="00B63513">
        <w:t xml:space="preserve">the recycling of vitamin K </w:t>
      </w:r>
      <w:r w:rsidR="00D86C8A">
        <w:t>prevents</w:t>
      </w:r>
      <w:r w:rsidRPr="00B63513">
        <w:t xml:space="preserve"> blood clotting and </w:t>
      </w:r>
      <w:r>
        <w:t>eventually</w:t>
      </w:r>
      <w:r w:rsidR="00D86C8A">
        <w:t xml:space="preserve"> leads</w:t>
      </w:r>
      <w:r w:rsidRPr="00B63513">
        <w:t xml:space="preserve"> to death from internal or external bleeding, typically several days after consum</w:t>
      </w:r>
      <w:r w:rsidR="00D86C8A">
        <w:t>ption of</w:t>
      </w:r>
      <w:r w:rsidRPr="00B63513">
        <w:t xml:space="preserve"> a lethal dose.</w:t>
      </w:r>
    </w:p>
    <w:p w14:paraId="0B5C8D21" w14:textId="6604481D" w:rsidR="004A62FF" w:rsidRDefault="00D86C8A" w:rsidP="004A62FF">
      <w:pPr>
        <w:pStyle w:val="NormalText"/>
      </w:pPr>
      <w:r>
        <w:t xml:space="preserve">Administration of </w:t>
      </w:r>
      <w:r w:rsidR="004A62FF">
        <w:t xml:space="preserve">Vitamin K </w:t>
      </w:r>
      <w:r>
        <w:t>is</w:t>
      </w:r>
      <w:r w:rsidR="004A62FF">
        <w:t xml:space="preserve"> an</w:t>
      </w:r>
      <w:r>
        <w:t xml:space="preserve"> effective</w:t>
      </w:r>
      <w:r w:rsidR="004A62FF">
        <w:t xml:space="preserve"> antidote to poisoning by anticoagulant rodenticides.</w:t>
      </w:r>
    </w:p>
    <w:p w14:paraId="789EF2FE" w14:textId="77777777" w:rsidR="004A62FF" w:rsidRDefault="004A62FF" w:rsidP="00F5191B">
      <w:pPr>
        <w:pStyle w:val="PreliminariesH3"/>
      </w:pPr>
      <w:bookmarkStart w:id="15" w:name="_Toc216695532"/>
      <w:r w:rsidRPr="00EE1966">
        <w:lastRenderedPageBreak/>
        <w:t>Where and how are anticoagulant rodenticides currently used</w:t>
      </w:r>
      <w:r>
        <w:t xml:space="preserve"> in Australia</w:t>
      </w:r>
      <w:r w:rsidRPr="00EE1966">
        <w:t>?</w:t>
      </w:r>
      <w:bookmarkEnd w:id="15"/>
    </w:p>
    <w:p w14:paraId="04DCE979" w14:textId="78515CBD" w:rsidR="004A62FF" w:rsidRPr="009C0160" w:rsidRDefault="004A62FF" w:rsidP="004A62FF">
      <w:pPr>
        <w:pStyle w:val="NormalText"/>
      </w:pPr>
      <w:r w:rsidRPr="009C0160">
        <w:t>Ready-to-use baits and concentrates containing FGARs and SGARs are registered for use in a limited range of situations to control rats and mice. Apart from a few products containing coumatetralyl</w:t>
      </w:r>
      <w:r w:rsidR="00C07E3A">
        <w:t xml:space="preserve"> that have approved in-crop uses</w:t>
      </w:r>
      <w:r w:rsidRPr="009C0160">
        <w:t xml:space="preserve">, </w:t>
      </w:r>
      <w:r>
        <w:t xml:space="preserve">and a limited number of products with instructions for use in sewers, products containing </w:t>
      </w:r>
      <w:r w:rsidRPr="009C0160">
        <w:t>FGARs and SGARs are registered for use in and around buildings only. The types of buildings where these products may be used include domestic properties, commercial premises, industrial buildings, agricultural/farm buildings, storehouses, warehouses, grain stores, public service buildings such as schools, hospitals and offices, animal husbandry facilities such as stables, milking parlours, cow sheds, poultry sheds, pig arks, any building concerned in the storage, preparation, distribution, sale or consumption of food, and inside any mode of transport including aeroplanes, trains, ships, commercial and private transport vehicles.</w:t>
      </w:r>
    </w:p>
    <w:p w14:paraId="29F5695A" w14:textId="16E67570" w:rsidR="004A62FF" w:rsidRPr="009C0160" w:rsidRDefault="004A62FF" w:rsidP="004A62FF">
      <w:pPr>
        <w:pStyle w:val="NormalText"/>
      </w:pPr>
      <w:r w:rsidRPr="009C0160">
        <w:t>Anticoagulant rodenticide products registered by the APVMA are divided into two group</w:t>
      </w:r>
      <w:r w:rsidR="00C07E3A">
        <w:t xml:space="preserve">s: the first carry </w:t>
      </w:r>
      <w:r w:rsidRPr="009C0160">
        <w:t>instructions for use that are suited to a domestic user</w:t>
      </w:r>
      <w:r w:rsidR="00C07E3A">
        <w:t xml:space="preserve"> while the second are intended for use by</w:t>
      </w:r>
      <w:r w:rsidRPr="009C0160">
        <w:t xml:space="preserve"> a commercial</w:t>
      </w:r>
      <w:r w:rsidR="00C07E3A">
        <w:t>/</w:t>
      </w:r>
      <w:r w:rsidRPr="009C0160">
        <w:t xml:space="preserve">professional user. The instructions for domestic users are presented in an easier to understand format and reflect the type of use that is expected in and around the home. For commercial products, the instructions are more detailed and offer a wider range of situations where the products can be used. There is an assumption that products registered with commercial instructions for use are mainly used by professionals with a level of training in pesticide application, but this is not currently a requirement. A key difference between domestic and commercial </w:t>
      </w:r>
      <w:r>
        <w:t xml:space="preserve">pest-control </w:t>
      </w:r>
      <w:r w:rsidRPr="009C0160">
        <w:t xml:space="preserve">products is the amount of bait in a single container. </w:t>
      </w:r>
      <w:r>
        <w:t>Domestic</w:t>
      </w:r>
      <w:r w:rsidRPr="009C0160">
        <w:t xml:space="preserve"> products are typically limited to less than 1kg of product. Commercial products are available in quantities of up to 140 kg per pack but are more typically registered with pack sizes up to 10 or 20kg.</w:t>
      </w:r>
    </w:p>
    <w:p w14:paraId="46D7637B" w14:textId="7F70E812" w:rsidR="004A62FF" w:rsidRPr="009C0160" w:rsidRDefault="004A62FF" w:rsidP="004A62FF">
      <w:pPr>
        <w:pStyle w:val="NormalText"/>
      </w:pPr>
      <w:r>
        <w:t>It is</w:t>
      </w:r>
      <w:r w:rsidRPr="009C0160">
        <w:t xml:space="preserve"> best practice to place the baits in a tamper</w:t>
      </w:r>
      <w:r>
        <w:t>-</w:t>
      </w:r>
      <w:r w:rsidRPr="009C0160">
        <w:t>resistant (and weather</w:t>
      </w:r>
      <w:r>
        <w:t>-</w:t>
      </w:r>
      <w:r w:rsidRPr="009C0160">
        <w:t>resistant if outdoors) bait station</w:t>
      </w:r>
      <w:r>
        <w:t>; however,</w:t>
      </w:r>
      <w:r w:rsidRPr="009C0160">
        <w:t xml:space="preserve"> many products do not explicitly require this in their approved instructions for use. A range of</w:t>
      </w:r>
      <w:r w:rsidR="00136C92">
        <w:t xml:space="preserve"> currently registered</w:t>
      </w:r>
      <w:r w:rsidRPr="009C0160">
        <w:t xml:space="preserve"> products are intended to be thrown into hard-to-reach spaces, such as wall or ceiling cavities, or placed directly in rat burrows. A limited number of products </w:t>
      </w:r>
      <w:r>
        <w:t xml:space="preserve">that </w:t>
      </w:r>
      <w:r w:rsidRPr="009C0160">
        <w:t>are formulated as loose pellets</w:t>
      </w:r>
      <w:r>
        <w:t xml:space="preserve"> also include</w:t>
      </w:r>
      <w:r w:rsidRPr="009C0160">
        <w:t xml:space="preserve"> instructions </w:t>
      </w:r>
      <w:r w:rsidR="00136C92">
        <w:t>to place</w:t>
      </w:r>
      <w:r w:rsidRPr="009C0160">
        <w:t xml:space="preserve"> small heaps </w:t>
      </w:r>
      <w:r>
        <w:t xml:space="preserve">of bait </w:t>
      </w:r>
      <w:r w:rsidRPr="009C0160">
        <w:t>where rodents are a pest</w:t>
      </w:r>
      <w:r>
        <w:t xml:space="preserve">, and concentrate </w:t>
      </w:r>
      <w:r w:rsidRPr="009C0160">
        <w:t>powder products can also be used as a ‘tracking powder’ that relies on the rodent walking in the powder and then grooming it off their fur.</w:t>
      </w:r>
    </w:p>
    <w:p w14:paraId="501051F4" w14:textId="2F203045" w:rsidR="004A62FF" w:rsidRPr="009C0160" w:rsidRDefault="004A62FF" w:rsidP="004A62FF">
      <w:pPr>
        <w:pStyle w:val="NormalText"/>
      </w:pPr>
      <w:r>
        <w:t xml:space="preserve">The amount of bait required to control a rodent infestation is dependent on the pests to be controlled and the extent of the infestation. </w:t>
      </w:r>
      <w:r w:rsidRPr="009C0160">
        <w:t>The</w:t>
      </w:r>
      <w:r>
        <w:t>refore,</w:t>
      </w:r>
      <w:r w:rsidRPr="009C0160">
        <w:t xml:space="preserve"> instructions on the labels for the products typically indicate a maximum distance between baits/bait stations for rats or mice, but do not specify a maximum number of bait</w:t>
      </w:r>
      <w:r>
        <w:t>s points</w:t>
      </w:r>
      <w:r w:rsidRPr="009C0160">
        <w:t xml:space="preserve"> or duration of treatment</w:t>
      </w:r>
      <w:r>
        <w:t>. This</w:t>
      </w:r>
      <w:r w:rsidRPr="009C0160">
        <w:t xml:space="preserve"> mean</w:t>
      </w:r>
      <w:r>
        <w:t>s</w:t>
      </w:r>
      <w:r w:rsidRPr="009C0160">
        <w:t xml:space="preserve"> there is no specified limit on how much bait may be applie</w:t>
      </w:r>
      <w:r>
        <w:t>d</w:t>
      </w:r>
      <w:r w:rsidRPr="009C0160">
        <w:t xml:space="preserve">. Although the instructions indicate that the anticoagulant rodenticides (except coumatetralyl) are to be used in and around buildings, many products </w:t>
      </w:r>
      <w:r>
        <w:t xml:space="preserve">also </w:t>
      </w:r>
      <w:r w:rsidRPr="009C0160">
        <w:t>do not include specific limits on how far from a building the bait may be placed</w:t>
      </w:r>
      <w:r>
        <w:t xml:space="preserve"> – in particular, if the bait in placed in an enclosed space around buildings</w:t>
      </w:r>
      <w:r w:rsidRPr="009C0160">
        <w:t>.</w:t>
      </w:r>
    </w:p>
    <w:p w14:paraId="1D24E98A" w14:textId="5770FE90" w:rsidR="004A62FF" w:rsidRPr="009C0160" w:rsidRDefault="004A62FF" w:rsidP="004A62FF">
      <w:pPr>
        <w:pStyle w:val="NormalText"/>
      </w:pPr>
      <w:r w:rsidRPr="009C0160">
        <w:t xml:space="preserve">Instructions for how place of baits to prevent access </w:t>
      </w:r>
      <w:r w:rsidR="00136C92">
        <w:t>by</w:t>
      </w:r>
      <w:r w:rsidRPr="009C0160">
        <w:t xml:space="preserve"> non-target animals and children</w:t>
      </w:r>
      <w:r w:rsidR="00136C92">
        <w:t>;</w:t>
      </w:r>
      <w:r w:rsidRPr="009C0160">
        <w:t xml:space="preserve"> </w:t>
      </w:r>
      <w:r w:rsidR="00136C92">
        <w:t xml:space="preserve">to </w:t>
      </w:r>
      <w:r w:rsidRPr="009C0160">
        <w:t>manage/monitor baits during the baiting program</w:t>
      </w:r>
      <w:r w:rsidR="00136C92">
        <w:t>;</w:t>
      </w:r>
      <w:r w:rsidRPr="009C0160">
        <w:t xml:space="preserve"> and to clean up used baits and rodent carcasses after use are </w:t>
      </w:r>
      <w:r>
        <w:t xml:space="preserve">also </w:t>
      </w:r>
      <w:r w:rsidRPr="009C0160">
        <w:t>inconsistent between different products. Products registered recently by the APVMA tend to have more thorough instructions than older products but</w:t>
      </w:r>
      <w:r>
        <w:t>, to date, no</w:t>
      </w:r>
      <w:r w:rsidRPr="009C0160">
        <w:t xml:space="preserve"> standard</w:t>
      </w:r>
      <w:r>
        <w:t>ised</w:t>
      </w:r>
      <w:r w:rsidRPr="009C0160">
        <w:t xml:space="preserve"> instructions</w:t>
      </w:r>
      <w:r>
        <w:t xml:space="preserve"> have been developed and implemented</w:t>
      </w:r>
      <w:r w:rsidRPr="009C0160">
        <w:t>.</w:t>
      </w:r>
    </w:p>
    <w:p w14:paraId="2C201C30" w14:textId="77777777" w:rsidR="004A62FF" w:rsidRDefault="004A62FF" w:rsidP="004A62FF">
      <w:pPr>
        <w:pStyle w:val="PreliminariesH3"/>
      </w:pPr>
      <w:bookmarkStart w:id="16" w:name="_Toc216695533"/>
      <w:r>
        <w:lastRenderedPageBreak/>
        <w:t>How are anticoagulant rodenticides used around the world?</w:t>
      </w:r>
      <w:bookmarkEnd w:id="16"/>
    </w:p>
    <w:p w14:paraId="66E63B19" w14:textId="04987F11" w:rsidR="004A62FF" w:rsidRDefault="004A62FF" w:rsidP="004A62FF">
      <w:pPr>
        <w:pStyle w:val="NormalText"/>
      </w:pPr>
      <w:r w:rsidRPr="006062EF">
        <w:t xml:space="preserve">Anticoagulant </w:t>
      </w:r>
      <w:r>
        <w:t>rodenticides are registered for use in similar situations in many countries around the world. Countries in the European Union, as well as the United Kingdom, the United States of America</w:t>
      </w:r>
      <w:r w:rsidR="00136C92">
        <w:t>,</w:t>
      </w:r>
      <w:r>
        <w:t xml:space="preserve"> and Canada all have products containing FGARs and SGARs available for use. A key difference between Australian products and those used overseas is that products registered for use in Australia are only for use to control rats and mice (specifically black rat; </w:t>
      </w:r>
      <w:r w:rsidRPr="00F13642">
        <w:rPr>
          <w:i/>
          <w:iCs/>
        </w:rPr>
        <w:t>Rattus rattus</w:t>
      </w:r>
      <w:r>
        <w:t xml:space="preserve">, Norway rat; </w:t>
      </w:r>
      <w:r w:rsidRPr="00F13642">
        <w:rPr>
          <w:i/>
          <w:iCs/>
        </w:rPr>
        <w:t>Rattus norvegicus</w:t>
      </w:r>
      <w:r>
        <w:t xml:space="preserve">, and house mouse; </w:t>
      </w:r>
      <w:r w:rsidRPr="00F13642">
        <w:rPr>
          <w:i/>
          <w:iCs/>
        </w:rPr>
        <w:t>Mus musculus</w:t>
      </w:r>
      <w:r>
        <w:t>), while products available in other countries are also approved for control of other rodents in their burrows such as moles, gophers and ground squirrels.</w:t>
      </w:r>
    </w:p>
    <w:p w14:paraId="297609DF" w14:textId="782F6D6A" w:rsidR="004A62FF" w:rsidRPr="00F13642" w:rsidRDefault="004A62FF" w:rsidP="004A62FF">
      <w:pPr>
        <w:pStyle w:val="NormalText"/>
      </w:pPr>
      <w:r>
        <w:t xml:space="preserve">Restrictions put in place in the countries mentioned above following regulatory decisions over recent years have included limiting the types of products available or the situations where the products can be used, and the people who are able to access and use each type of product, to different degrees in each country. Generally, SGARs have more restrictions on their </w:t>
      </w:r>
      <w:r w:rsidRPr="00E10BAD">
        <w:t xml:space="preserve">use, in some cases </w:t>
      </w:r>
      <w:r>
        <w:t xml:space="preserve">with </w:t>
      </w:r>
      <w:r w:rsidRPr="00E10BAD">
        <w:t>only professional users authorised</w:t>
      </w:r>
      <w:r>
        <w:t xml:space="preserve"> to use the baits</w:t>
      </w:r>
      <w:r w:rsidRPr="00E10BAD">
        <w:t>,</w:t>
      </w:r>
      <w:r>
        <w:t xml:space="preserve"> while FGARs remain more widely available but with restrictions related to the amount of product in each package and limitations on where and how they may be used.</w:t>
      </w:r>
    </w:p>
    <w:p w14:paraId="3065770C" w14:textId="77777777" w:rsidR="004A62FF" w:rsidRDefault="004A62FF" w:rsidP="004A62FF">
      <w:pPr>
        <w:pStyle w:val="PreliminariesH2"/>
        <w:numPr>
          <w:ilvl w:val="0"/>
          <w:numId w:val="0"/>
        </w:numPr>
      </w:pPr>
      <w:bookmarkStart w:id="17" w:name="_Toc216695534"/>
      <w:r>
        <w:t>Timeline of the reconsideration</w:t>
      </w:r>
      <w:bookmarkEnd w:id="17"/>
    </w:p>
    <w:p w14:paraId="3F94C254" w14:textId="4E8577D1" w:rsidR="004A62FF" w:rsidRDefault="004A62FF" w:rsidP="004A62FF">
      <w:pPr>
        <w:pStyle w:val="NormalText"/>
      </w:pPr>
      <w:r>
        <w:t>Initially only second-generation anticoagulant rodenticides were nominated for reconsideration due to their higher toxicity and the potential for secondary poisoning caused by predatory animals eating poisoned rodents.</w:t>
      </w:r>
    </w:p>
    <w:p w14:paraId="48EFE87B" w14:textId="77777777" w:rsidR="004A62FF" w:rsidRDefault="004A62FF" w:rsidP="004A62FF">
      <w:pPr>
        <w:pStyle w:val="NormalText"/>
      </w:pPr>
      <w:r>
        <w:t>The APVMA conducted a consultation on how all anticoagulant rodenticides are used and the adequacy of the instructions to prevent unintentional exposure to the products between April and July 2020.</w:t>
      </w:r>
    </w:p>
    <w:p w14:paraId="36B699F7" w14:textId="054E3A36" w:rsidR="004A62FF" w:rsidRDefault="004A62FF" w:rsidP="004A62FF">
      <w:pPr>
        <w:pStyle w:val="NormalText"/>
      </w:pPr>
      <w:r>
        <w:t xml:space="preserve">Following this consultation, a formal reconsideration on both first- and second-generation anticoagulant rodenticides was commenced by issuing a Notice of Reconsideration to holders of product registration and publishing the notice in the </w:t>
      </w:r>
      <w:hyperlink r:id="rId22" w:history="1">
        <w:r w:rsidRPr="00DF7216">
          <w:rPr>
            <w:rStyle w:val="Hyperlink"/>
          </w:rPr>
          <w:t>APVMA Gazette</w:t>
        </w:r>
      </w:hyperlink>
      <w:r>
        <w:t xml:space="preserve"> on 2 November 2021. The Notice of Reconsideration described the matters the APVMA intended to reconsider which included:</w:t>
      </w:r>
    </w:p>
    <w:p w14:paraId="163D660F" w14:textId="2199756F" w:rsidR="004A62FF" w:rsidRDefault="004A62FF">
      <w:pPr>
        <w:pStyle w:val="ListAlpha"/>
        <w:numPr>
          <w:ilvl w:val="0"/>
          <w:numId w:val="14"/>
        </w:numPr>
      </w:pPr>
      <w:r>
        <w:t>environmental safety, including primary and secondary poisoning of non-target domestic animals and</w:t>
      </w:r>
    </w:p>
    <w:p w14:paraId="4C81124F" w14:textId="173AE869" w:rsidR="004A62FF" w:rsidRDefault="004A62FF">
      <w:pPr>
        <w:pStyle w:val="ListAlpha"/>
        <w:numPr>
          <w:ilvl w:val="0"/>
          <w:numId w:val="14"/>
        </w:numPr>
      </w:pPr>
      <w:r>
        <w:t>human health, including worker exposure and public health; and,</w:t>
      </w:r>
    </w:p>
    <w:p w14:paraId="0EA837C5" w14:textId="49F2C9C1" w:rsidR="004A62FF" w:rsidRDefault="004A62FF">
      <w:pPr>
        <w:pStyle w:val="ListAlpha"/>
        <w:numPr>
          <w:ilvl w:val="0"/>
          <w:numId w:val="14"/>
        </w:numPr>
      </w:pPr>
      <w:r>
        <w:t>residues, including livestock and edible wildlife exposure, consumer safety, and trade.</w:t>
      </w:r>
    </w:p>
    <w:p w14:paraId="66703696" w14:textId="2D55621A" w:rsidR="004A62FF" w:rsidRDefault="004A62FF" w:rsidP="004A62FF">
      <w:pPr>
        <w:pStyle w:val="NormalText"/>
      </w:pPr>
      <w:r>
        <w:t>The APVMA invited submissions on the matters it proposed to reconsider between 2 November 2021 and 2 February 2022.</w:t>
      </w:r>
    </w:p>
    <w:p w14:paraId="79EB1745" w14:textId="77777777" w:rsidR="004A62FF" w:rsidRDefault="004A62FF" w:rsidP="004A62FF">
      <w:pPr>
        <w:pStyle w:val="PreliminariesH2"/>
        <w:numPr>
          <w:ilvl w:val="0"/>
          <w:numId w:val="0"/>
        </w:numPr>
      </w:pPr>
      <w:bookmarkStart w:id="18" w:name="_Toc216695535"/>
      <w:r>
        <w:t>Risk assessments completed, information considered and key findings</w:t>
      </w:r>
      <w:bookmarkEnd w:id="18"/>
    </w:p>
    <w:p w14:paraId="4AE898CB" w14:textId="3FA14414" w:rsidR="004A62FF" w:rsidRDefault="004A62FF" w:rsidP="004A62FF">
      <w:pPr>
        <w:pStyle w:val="NormalText"/>
      </w:pPr>
      <w:r w:rsidRPr="00826244">
        <w:t>The APVMA has completed</w:t>
      </w:r>
      <w:r>
        <w:t xml:space="preserve"> risk</w:t>
      </w:r>
      <w:r w:rsidRPr="00826244">
        <w:t xml:space="preserve"> assessments related to four key aspects of the anticoagulant rodenticides: Chemistry and Manufacture, Environment, Toxicology and Human Health</w:t>
      </w:r>
      <w:r>
        <w:t>,</w:t>
      </w:r>
      <w:r w:rsidRPr="00826244">
        <w:t xml:space="preserve"> and Residues and Trade.</w:t>
      </w:r>
    </w:p>
    <w:p w14:paraId="583A7EC8" w14:textId="7FE358A4" w:rsidR="004A62FF" w:rsidRDefault="004A62FF" w:rsidP="004A62FF">
      <w:pPr>
        <w:pStyle w:val="NormalText"/>
      </w:pPr>
      <w:r>
        <w:t xml:space="preserve">In total over 1,700 studies and published scientific articles have been considered during this reconsideration. These studies were submitted in response to the notice of reconsideration or were supplied in support of the original applications for product registration or active constituent approval. Further, a large number of studies were </w:t>
      </w:r>
      <w:r>
        <w:lastRenderedPageBreak/>
        <w:t>sourced independently by the APVMA from the published scientific literature or provided by interested stakeholders during the reconsideration.</w:t>
      </w:r>
    </w:p>
    <w:p w14:paraId="571EB318" w14:textId="77777777" w:rsidR="004A62FF" w:rsidRPr="004F68F4" w:rsidRDefault="004A62FF" w:rsidP="004A62FF">
      <w:pPr>
        <w:pStyle w:val="PreliminariesH3"/>
      </w:pPr>
      <w:bookmarkStart w:id="19" w:name="_Toc216695536"/>
      <w:r w:rsidRPr="004F68F4">
        <w:t>Chemistry and Manufacture</w:t>
      </w:r>
      <w:bookmarkEnd w:id="19"/>
    </w:p>
    <w:p w14:paraId="4FC983E6" w14:textId="4FCC7CDE" w:rsidR="004A62FF" w:rsidRDefault="004A62FF" w:rsidP="004A62FF">
      <w:pPr>
        <w:pStyle w:val="NormalText"/>
        <w:rPr>
          <w:szCs w:val="19"/>
        </w:rPr>
      </w:pPr>
      <w:r>
        <w:t xml:space="preserve">The chemistry and manufacture assessment </w:t>
      </w:r>
      <w:r>
        <w:rPr>
          <w:szCs w:val="19"/>
        </w:rPr>
        <w:t>involved a review of the information submitted in support of the approval of each active constituent or registration of each chemical product, and other information submitted during the reconsideration or sourced by the APVMA, against the matters the APVMA must consider when determining if an active constituent or chemical product meets the safety criteria.</w:t>
      </w:r>
    </w:p>
    <w:p w14:paraId="00D5E2C7" w14:textId="7A1CA4A9" w:rsidR="004A62FF" w:rsidRDefault="004A62FF" w:rsidP="004A62FF">
      <w:pPr>
        <w:pStyle w:val="NormalText"/>
        <w:rPr>
          <w:szCs w:val="19"/>
        </w:rPr>
      </w:pPr>
      <w:r>
        <w:rPr>
          <w:szCs w:val="19"/>
        </w:rPr>
        <w:t>The APVMA considered information relation to the composition of the active constituents, where some are supplied as manufacturing concentrates while others are supplied as technical concentrates, and considered whether there are potential risks related to this when the active constituent is formulated into an end-use product. The APVMA also considered whether there is evidence that products contained suitable dyes and bittering agents, which was identified as an important risk mitigation measure by the human health and environment risk assessments.</w:t>
      </w:r>
    </w:p>
    <w:p w14:paraId="2869A610" w14:textId="77777777" w:rsidR="004A62FF" w:rsidRDefault="004A62FF" w:rsidP="004A62FF">
      <w:pPr>
        <w:pStyle w:val="NormalText"/>
        <w:rPr>
          <w:szCs w:val="19"/>
        </w:rPr>
      </w:pPr>
      <w:r>
        <w:rPr>
          <w:szCs w:val="19"/>
        </w:rPr>
        <w:t>A number of product and active constituents were identified with inconsistencies in the APVMA record that require rectification, however these are not expected to significantly affect the safety of products or products formulated using the active constituents. The chemistry assessment recommended a conditional continuation of these approvals and registrations, requiring the holders to provide any necessary information within a set time from the completion of the reconsideration.</w:t>
      </w:r>
    </w:p>
    <w:p w14:paraId="78148F5F" w14:textId="3A783096" w:rsidR="004A62FF" w:rsidRDefault="004A62FF" w:rsidP="004A62FF">
      <w:pPr>
        <w:pStyle w:val="NormalText"/>
        <w:rPr>
          <w:szCs w:val="19"/>
        </w:rPr>
      </w:pPr>
      <w:r>
        <w:rPr>
          <w:szCs w:val="19"/>
        </w:rPr>
        <w:t xml:space="preserve">Numerous chemical products lacking either a dye or bittering agent, or both, were identified. The human health and environment risk assessments recommended that </w:t>
      </w:r>
      <w:r w:rsidR="002703A0">
        <w:rPr>
          <w:szCs w:val="19"/>
        </w:rPr>
        <w:t xml:space="preserve">the inclusion of </w:t>
      </w:r>
      <w:r>
        <w:rPr>
          <w:szCs w:val="19"/>
        </w:rPr>
        <w:t xml:space="preserve">these </w:t>
      </w:r>
      <w:r w:rsidR="002703A0">
        <w:rPr>
          <w:szCs w:val="19"/>
        </w:rPr>
        <w:t xml:space="preserve">is </w:t>
      </w:r>
      <w:r>
        <w:rPr>
          <w:szCs w:val="19"/>
        </w:rPr>
        <w:t>essential to minimise the likelihood</w:t>
      </w:r>
      <w:r w:rsidR="002703A0">
        <w:rPr>
          <w:szCs w:val="19"/>
        </w:rPr>
        <w:t xml:space="preserve"> and/or extent</w:t>
      </w:r>
      <w:r>
        <w:rPr>
          <w:szCs w:val="19"/>
        </w:rPr>
        <w:t xml:space="preserve"> of unintentional exposur</w:t>
      </w:r>
      <w:r w:rsidR="002703A0">
        <w:rPr>
          <w:szCs w:val="19"/>
        </w:rPr>
        <w:t>e</w:t>
      </w:r>
      <w:r>
        <w:rPr>
          <w:szCs w:val="19"/>
        </w:rPr>
        <w:t>, particularly to children and non-target animals. Noting that</w:t>
      </w:r>
      <w:r w:rsidR="002703A0">
        <w:rPr>
          <w:szCs w:val="19"/>
        </w:rPr>
        <w:t xml:space="preserve"> the </w:t>
      </w:r>
      <w:r>
        <w:rPr>
          <w:szCs w:val="19"/>
        </w:rPr>
        <w:t xml:space="preserve">APVMA </w:t>
      </w:r>
      <w:r w:rsidR="002703A0">
        <w:rPr>
          <w:szCs w:val="19"/>
        </w:rPr>
        <w:t>cannot</w:t>
      </w:r>
      <w:r>
        <w:rPr>
          <w:szCs w:val="19"/>
        </w:rPr>
        <w:t xml:space="preserve"> vary</w:t>
      </w:r>
      <w:r w:rsidR="002703A0">
        <w:rPr>
          <w:szCs w:val="19"/>
        </w:rPr>
        <w:t xml:space="preserve"> the formulation or manufacturing process </w:t>
      </w:r>
      <w:r w:rsidR="00F85D43">
        <w:rPr>
          <w:szCs w:val="19"/>
        </w:rPr>
        <w:t xml:space="preserve">of </w:t>
      </w:r>
      <w:r>
        <w:rPr>
          <w:szCs w:val="19"/>
        </w:rPr>
        <w:t>a chemical</w:t>
      </w:r>
      <w:r w:rsidR="00F85D43">
        <w:rPr>
          <w:szCs w:val="19"/>
        </w:rPr>
        <w:t xml:space="preserve"> product</w:t>
      </w:r>
      <w:r>
        <w:rPr>
          <w:szCs w:val="19"/>
        </w:rPr>
        <w:t xml:space="preserve">, </w:t>
      </w:r>
      <w:r w:rsidR="002703A0">
        <w:rPr>
          <w:szCs w:val="19"/>
        </w:rPr>
        <w:t xml:space="preserve">we are proposing to cancel the registration of </w:t>
      </w:r>
      <w:r>
        <w:rPr>
          <w:szCs w:val="19"/>
        </w:rPr>
        <w:t>products lacking either a dye or bittering agent.</w:t>
      </w:r>
    </w:p>
    <w:p w14:paraId="47CD39DE" w14:textId="77777777" w:rsidR="004A62FF" w:rsidRDefault="004A62FF" w:rsidP="004A62FF">
      <w:pPr>
        <w:pStyle w:val="PreliminariesH3"/>
      </w:pPr>
      <w:bookmarkStart w:id="20" w:name="_Toc216695537"/>
      <w:r>
        <w:t>Environment</w:t>
      </w:r>
      <w:bookmarkEnd w:id="20"/>
    </w:p>
    <w:p w14:paraId="2731CFBE" w14:textId="77777777" w:rsidR="004A62FF" w:rsidRDefault="004A62FF" w:rsidP="004A62FF">
      <w:pPr>
        <w:pStyle w:val="NormalText"/>
      </w:pPr>
      <w:r>
        <w:t>The APVMA’s environment risk assessment covers three key areas in relation to</w:t>
      </w:r>
      <w:r w:rsidRPr="00153B1F">
        <w:t xml:space="preserve"> </w:t>
      </w:r>
      <w:r>
        <w:t>chemical products:</w:t>
      </w:r>
    </w:p>
    <w:p w14:paraId="3CFB7A8C" w14:textId="3C31C315" w:rsidR="004A62FF" w:rsidRDefault="004A62FF" w:rsidP="00F5191B">
      <w:pPr>
        <w:pStyle w:val="Bullet1"/>
      </w:pPr>
      <w:r>
        <w:t xml:space="preserve">Fate and behaviour in the environment, including air, soil and water </w:t>
      </w:r>
    </w:p>
    <w:p w14:paraId="1699347D" w14:textId="31B54EFF" w:rsidR="004A62FF" w:rsidRDefault="004A62FF" w:rsidP="00F5191B">
      <w:pPr>
        <w:pStyle w:val="Bullet1"/>
      </w:pPr>
      <w:r>
        <w:t>Effects of the products on non-target species</w:t>
      </w:r>
    </w:p>
    <w:p w14:paraId="0E7F5AE8" w14:textId="7C61E261" w:rsidR="004A62FF" w:rsidRDefault="004A62FF" w:rsidP="00F5191B">
      <w:pPr>
        <w:pStyle w:val="Bullet1"/>
      </w:pPr>
      <w:r>
        <w:t>Risks to non-target species</w:t>
      </w:r>
    </w:p>
    <w:p w14:paraId="46CF324C" w14:textId="38702A91" w:rsidR="004A62FF" w:rsidRDefault="004A62FF" w:rsidP="004A62FF">
      <w:pPr>
        <w:pStyle w:val="NormalText"/>
      </w:pPr>
      <w:r>
        <w:t>Although a substantial body of data exists relating to the</w:t>
      </w:r>
      <w:r w:rsidR="000B420F">
        <w:t xml:space="preserve"> environmental fate and behaviour of</w:t>
      </w:r>
      <w:r>
        <w:t xml:space="preserve"> anticoagulant rodenticides, assessment of the risks associated with their use presents unique challenges. This is because they are poisons intended to kill rats and mice and therefore are also moderately to highly toxic to other non-target animals including mammals, birds, reptiles, and fish. The use of these products in and around buildings should result in limited opportunities for non-target animals to be exposed to anticoagulant rodenticides, but evidence shows that exposure is occurring. The risk mitigations recommended as a result of these assessments focus on reducing the likelihood of exposure of non-target animals, through either direct exposure to anticoagulant </w:t>
      </w:r>
      <w:r>
        <w:lastRenderedPageBreak/>
        <w:t>rodenticide baits (i.e., primary poisoning) or indirect exposure of predators and scavengers who may eat poisoned animals (i.e., secondary exposure).</w:t>
      </w:r>
    </w:p>
    <w:p w14:paraId="15C97A68" w14:textId="77777777" w:rsidR="004A62FF" w:rsidRDefault="004A62FF" w:rsidP="004A62FF">
      <w:pPr>
        <w:pStyle w:val="PreliminariesH4"/>
      </w:pPr>
      <w:r>
        <w:t>Fate and behaviour of in the environment</w:t>
      </w:r>
    </w:p>
    <w:p w14:paraId="6D69B7BA" w14:textId="222D797F" w:rsidR="004A62FF" w:rsidRDefault="004A62FF" w:rsidP="004A62FF">
      <w:pPr>
        <w:pStyle w:val="NormalText"/>
      </w:pPr>
      <w:r>
        <w:t>The anticoagulant rodenticides share similar properties in relation to the air, soil and water. They have low volatility and are not expected to be present as vapour in air, they have low to moderate solubility in water and slight to moderate potential for mobility in soil (through movement of groundwater). The available information indicates that the anticoagulants rodenticides are not biodegradable (that is, degradable by plants, animals, insects, bacteria or fungi) but can be broken down by exposure to sunlight (photolysis).</w:t>
      </w:r>
    </w:p>
    <w:p w14:paraId="0BBA5382" w14:textId="77777777" w:rsidR="004A62FF" w:rsidRDefault="004A62FF" w:rsidP="004A62FF">
      <w:pPr>
        <w:pStyle w:val="NormalText"/>
      </w:pPr>
      <w:r>
        <w:t>A key difference between the FGARs and SGARs becomes clear when considering their fate in relation to non-target animals. The FGARs are mostly readily absorbed by rats and mice after eating a bait, (except for diphacinone which is rapidly excreted) and residues accumulate in the liver of poisoned animals. The FGARs are broken down in the liver of affected animals with a half-life</w:t>
      </w:r>
      <w:r>
        <w:rPr>
          <w:rStyle w:val="FootnoteReference"/>
        </w:rPr>
        <w:footnoteReference w:id="2"/>
      </w:r>
      <w:r>
        <w:t xml:space="preserve"> ranging from 3 days for diphacinone to a maximum of 67 days for warfarin.</w:t>
      </w:r>
    </w:p>
    <w:p w14:paraId="06225C4D" w14:textId="459ABF37" w:rsidR="004A62FF" w:rsidRDefault="004A62FF" w:rsidP="004A62FF">
      <w:pPr>
        <w:pStyle w:val="NormalText"/>
      </w:pPr>
      <w:r>
        <w:t>The SGARs are similarly readily absorbed once rats or mice eat a bait but have significantly longer half-lives in the liver of poisoned animals, ranging from 29 days for difethialone to 307 days for brodifacoum or 318 days for bromadiolone.</w:t>
      </w:r>
    </w:p>
    <w:p w14:paraId="55816368" w14:textId="1D83162F" w:rsidR="009C1B37" w:rsidRDefault="004A62FF" w:rsidP="004A62FF">
      <w:pPr>
        <w:pStyle w:val="NormalText"/>
      </w:pPr>
      <w:r>
        <w:t>Wildlife monitoring studies conducted in Australia, and internationally, frequently detect anticoagulant rodenticides in non-target animals in the wider environment. In Australia, this includes wildlife that are suspected of eating baits directly, including insects, slugs,</w:t>
      </w:r>
      <w:r w:rsidRPr="0022769F">
        <w:t xml:space="preserve"> </w:t>
      </w:r>
      <w:r>
        <w:t xml:space="preserve">possums and bandicoots, as well as wildlife that are expected to eat rats and mice, including snakes, lizards, quolls, Tasmanian devils, and many birds of prey, and wildlife that may eat other poisons animals, such as frogs with poisoned insect and slugs, carnivorous animals and scavenging birds. </w:t>
      </w:r>
    </w:p>
    <w:p w14:paraId="5D902194" w14:textId="39DFA2FC" w:rsidR="004A62FF" w:rsidRDefault="000B420F" w:rsidP="000B420F">
      <w:pPr>
        <w:pStyle w:val="NormalText"/>
      </w:pPr>
      <w:r>
        <w:t>The most likely route of exposure of carnivorous animals to anticoagulant rodenticides is through secondary exposure</w:t>
      </w:r>
      <w:r w:rsidR="002A08F5">
        <w:t xml:space="preserve"> (i.e.,</w:t>
      </w:r>
      <w:r w:rsidR="009C1B37">
        <w:t xml:space="preserve"> when the carnivorous animal consumes poisoned prey</w:t>
      </w:r>
      <w:r w:rsidR="002A08F5">
        <w:t>)</w:t>
      </w:r>
      <w:r>
        <w:t xml:space="preserve">. The data indicate that </w:t>
      </w:r>
      <w:r w:rsidR="004A62FF">
        <w:t>risk of secondary exposure is correlated with the half-life of the chemical.</w:t>
      </w:r>
      <w:r w:rsidR="004A62FF" w:rsidRPr="00450A51">
        <w:t xml:space="preserve"> </w:t>
      </w:r>
      <w:r w:rsidR="004A62FF">
        <w:t>In some cases, though, such as with scavenging birds</w:t>
      </w:r>
      <w:r w:rsidR="004A62FF" w:rsidRPr="003A0389">
        <w:t xml:space="preserve"> </w:t>
      </w:r>
      <w:r w:rsidR="004A62FF">
        <w:t>including ravens, crows and magpies, it is not clear whether the detection of anticoagulant rodenticides is the result of primary or secondary exposure, or a combination of both.</w:t>
      </w:r>
    </w:p>
    <w:p w14:paraId="7D651A08" w14:textId="77777777" w:rsidR="004A62FF" w:rsidRDefault="004A62FF" w:rsidP="004A62FF">
      <w:pPr>
        <w:pStyle w:val="PreliminariesH4"/>
      </w:pPr>
      <w:r>
        <w:t>Effects of the products on non-target species</w:t>
      </w:r>
    </w:p>
    <w:p w14:paraId="2AA49AFF" w14:textId="5C17842A" w:rsidR="004A62FF" w:rsidRDefault="004A62FF" w:rsidP="004A62FF">
      <w:pPr>
        <w:pStyle w:val="NormalText"/>
      </w:pPr>
      <w:r>
        <w:t>Although FGARs and SGARs all have high acute toxicity to rats and mice, the FGARs require on the order of 10 times more of the active constituent to reach a lethal dose in rats and mice than the SGARs</w:t>
      </w:r>
      <w:r w:rsidR="006156EC">
        <w:t xml:space="preserve">. For example, rat </w:t>
      </w:r>
      <w:r>
        <w:t>LD</w:t>
      </w:r>
      <w:r w:rsidRPr="008756D7">
        <w:rPr>
          <w:vertAlign w:val="subscript"/>
        </w:rPr>
        <w:t>50</w:t>
      </w:r>
      <w:r>
        <w:rPr>
          <w:rStyle w:val="FootnoteReference"/>
        </w:rPr>
        <w:footnoteReference w:id="3"/>
      </w:r>
      <w:r>
        <w:rPr>
          <w:vertAlign w:val="subscript"/>
        </w:rPr>
        <w:t xml:space="preserve"> </w:t>
      </w:r>
      <w:r>
        <w:t xml:space="preserve">values for FGARs </w:t>
      </w:r>
      <w:r w:rsidR="006156EC">
        <w:t xml:space="preserve">range from </w:t>
      </w:r>
      <w:r>
        <w:t>1.9 m</w:t>
      </w:r>
      <w:r w:rsidRPr="0094774B">
        <w:t>illigrams per kilogram of bodyweight</w:t>
      </w:r>
      <w:r>
        <w:t xml:space="preserve"> (mg/kg bw) for diphacinone to 15 mg/kg bw for coumatetralyl. In contrast LD</w:t>
      </w:r>
      <w:r w:rsidRPr="008756D7">
        <w:rPr>
          <w:vertAlign w:val="subscript"/>
        </w:rPr>
        <w:t>50</w:t>
      </w:r>
      <w:r>
        <w:t xml:space="preserve"> values for SGARs range between 0.13 mg/kg bw for difethialone and floucoumafen and 1.3 mg/kg bw for bromadiolone.</w:t>
      </w:r>
    </w:p>
    <w:p w14:paraId="07DAE64E" w14:textId="411E46B6" w:rsidR="004A62FF" w:rsidRDefault="004A62FF" w:rsidP="004A62FF">
      <w:pPr>
        <w:pStyle w:val="NormalText"/>
      </w:pPr>
      <w:r>
        <w:lastRenderedPageBreak/>
        <w:t>The toxicity of the anticoagulant rodenticides to non-target species varies considerably but</w:t>
      </w:r>
      <w:r w:rsidR="006156EC">
        <w:t>,</w:t>
      </w:r>
      <w:r>
        <w:t xml:space="preserve"> as with rats and mice, the toxicity of SGARs to birds and non-rodent mammals is substantially higher than the FGARs. Importantly, studies</w:t>
      </w:r>
      <w:r w:rsidR="006156EC">
        <w:t xml:space="preserve"> indicate secondary exposure of birds (owls) to mice or rats poisoned by </w:t>
      </w:r>
      <w:r>
        <w:t xml:space="preserve">FGARs </w:t>
      </w:r>
      <w:r w:rsidR="006156EC">
        <w:t xml:space="preserve">is </w:t>
      </w:r>
      <w:r>
        <w:t>not likely to result in</w:t>
      </w:r>
      <w:r w:rsidR="006156EC">
        <w:t xml:space="preserve"> death</w:t>
      </w:r>
      <w:r>
        <w:t>, while all SGARs have the potential to lead to lethal secondary poisoning.</w:t>
      </w:r>
    </w:p>
    <w:p w14:paraId="73C2049E" w14:textId="14FD4931" w:rsidR="004A62FF" w:rsidRDefault="004A62FF" w:rsidP="004A62FF">
      <w:pPr>
        <w:pStyle w:val="NormalText"/>
      </w:pPr>
      <w:r>
        <w:t>It was also noted that</w:t>
      </w:r>
      <w:r w:rsidR="006156EC">
        <w:t xml:space="preserve"> — although</w:t>
      </w:r>
      <w:r>
        <w:t xml:space="preserve"> a number of studies </w:t>
      </w:r>
      <w:r w:rsidR="006156EC">
        <w:t>reported</w:t>
      </w:r>
      <w:r>
        <w:t xml:space="preserve"> residues of anticoagulant rodenticides in snakes and lizards</w:t>
      </w:r>
      <w:r w:rsidR="006156EC">
        <w:t xml:space="preserve"> —</w:t>
      </w:r>
      <w:r>
        <w:t xml:space="preserve"> reptiles </w:t>
      </w:r>
      <w:r w:rsidR="006156EC">
        <w:t>generally</w:t>
      </w:r>
      <w:r>
        <w:t xml:space="preserve"> appear to have a high tolerance to the effects of these chemicals and are unlikely to suffer lethal effects due to secondary poisoning.</w:t>
      </w:r>
    </w:p>
    <w:p w14:paraId="01DBCBD2" w14:textId="6D59F04D" w:rsidR="004A62FF" w:rsidRDefault="004A62FF" w:rsidP="004A62FF">
      <w:pPr>
        <w:pStyle w:val="PreliminariesH4"/>
      </w:pPr>
      <w:r>
        <w:t>Risks to non-target species</w:t>
      </w:r>
    </w:p>
    <w:p w14:paraId="6826F780" w14:textId="5149A044" w:rsidR="004A62FF" w:rsidRDefault="004A62FF" w:rsidP="004A62FF">
      <w:pPr>
        <w:pStyle w:val="NormalText"/>
      </w:pPr>
      <w:r>
        <w:t>The risks posed to non-target species by the anticoagulant rodenticide arise from the combination of the way that they are used and the</w:t>
      </w:r>
      <w:r w:rsidR="00B3495D">
        <w:t xml:space="preserve"> impact of the</w:t>
      </w:r>
      <w:r>
        <w:t xml:space="preserve"> toxic effects outlined above. As noted previously, </w:t>
      </w:r>
      <w:r w:rsidR="00B3495D">
        <w:t>with a small number of exceptions</w:t>
      </w:r>
      <w:r>
        <w:t xml:space="preserve">, </w:t>
      </w:r>
      <w:r w:rsidR="00B3495D">
        <w:t xml:space="preserve">most </w:t>
      </w:r>
      <w:r>
        <w:t xml:space="preserve">products containing </w:t>
      </w:r>
      <w:r w:rsidRPr="009C0160">
        <w:t>FGARs and SGARs are registered for use in and around buildings only.</w:t>
      </w:r>
      <w:r>
        <w:t xml:space="preserve"> </w:t>
      </w:r>
    </w:p>
    <w:p w14:paraId="39F1DCE5" w14:textId="13385657" w:rsidR="004A62FF" w:rsidRDefault="006B75CA" w:rsidP="004A62FF">
      <w:pPr>
        <w:pStyle w:val="NormalText"/>
      </w:pPr>
      <w:r>
        <w:t>It is widely accepted that the</w:t>
      </w:r>
      <w:r w:rsidR="000C43C3">
        <w:t xml:space="preserve"> consumption of</w:t>
      </w:r>
      <w:r>
        <w:t xml:space="preserve"> anticoagulant baits (i.e., primary exposure) or the consumption of</w:t>
      </w:r>
      <w:r w:rsidR="004A62FF">
        <w:t xml:space="preserve"> animals poisoned by those chemicals</w:t>
      </w:r>
      <w:r>
        <w:t xml:space="preserve"> (i.e., secondary exposure) </w:t>
      </w:r>
      <w:r w:rsidR="004A62FF">
        <w:t>can result in death.</w:t>
      </w:r>
      <w:r>
        <w:t xml:space="preserve"> As a result, risk assessment calculations to determine acceptable levels of exposure for non-target animals were not undertaken.</w:t>
      </w:r>
    </w:p>
    <w:p w14:paraId="011CDD58" w14:textId="1DF0BF0A" w:rsidR="006B75CA" w:rsidRDefault="004A62FF" w:rsidP="004A62FF">
      <w:pPr>
        <w:pStyle w:val="NormalText"/>
      </w:pPr>
      <w:r>
        <w:t xml:space="preserve">In short, the risks to non-target animals arise from </w:t>
      </w:r>
      <w:r w:rsidR="006B75CA">
        <w:t xml:space="preserve">both </w:t>
      </w:r>
      <w:r>
        <w:t>primary</w:t>
      </w:r>
      <w:r w:rsidR="006B75CA">
        <w:t xml:space="preserve"> and</w:t>
      </w:r>
      <w:r>
        <w:t xml:space="preserve"> exposure</w:t>
      </w:r>
      <w:r w:rsidR="006B75CA">
        <w:t>s. Risks are lowe</w:t>
      </w:r>
      <w:r w:rsidR="001549D4">
        <w:t>r</w:t>
      </w:r>
      <w:r w:rsidR="006B75CA">
        <w:t xml:space="preserve"> when baits are secured in tamper-resistance bait stations that are placed indoors or in close proximity to buildings. </w:t>
      </w:r>
    </w:p>
    <w:p w14:paraId="2A04AC32" w14:textId="1851E2A4" w:rsidR="004A62FF" w:rsidRDefault="006B75CA" w:rsidP="004A62FF">
      <w:pPr>
        <w:pStyle w:val="NormalText"/>
      </w:pPr>
      <w:r>
        <w:t>To</w:t>
      </w:r>
      <w:r w:rsidR="004A62FF">
        <w:t xml:space="preserve"> effectively mitigate the risks to non-target species, a comprehensive risk mitigation strategy is recommended, which encompasses all products to avoid transfer of risk between different anticoagulant rodenticide products. This risk mitigation strategy includes, but is not limited to:</w:t>
      </w:r>
    </w:p>
    <w:p w14:paraId="2D4CE6FF" w14:textId="7098C210" w:rsidR="006B75CA" w:rsidRDefault="004A62FF" w:rsidP="00F5191B">
      <w:pPr>
        <w:pStyle w:val="Bullet1"/>
      </w:pPr>
      <w:r>
        <w:t>Restricting use of products to indoors only for the control of mice and to indoors and within 2 meters from buildings for the control of rats</w:t>
      </w:r>
    </w:p>
    <w:p w14:paraId="58AEDD12" w14:textId="4CD8CCDC" w:rsidR="006B75CA" w:rsidRDefault="006B75CA" w:rsidP="00F5191B">
      <w:pPr>
        <w:pStyle w:val="Bullet1"/>
      </w:pPr>
      <w:r>
        <w:t>P</w:t>
      </w:r>
      <w:r w:rsidR="004A62FF">
        <w:t>rohibiting burrow baiting for the control of rats</w:t>
      </w:r>
    </w:p>
    <w:p w14:paraId="104ED5E1" w14:textId="20B0C2F4" w:rsidR="004A62FF" w:rsidRDefault="006B75CA" w:rsidP="00F5191B">
      <w:pPr>
        <w:pStyle w:val="Bullet1"/>
      </w:pPr>
      <w:r>
        <w:t>M</w:t>
      </w:r>
      <w:r w:rsidR="004A62FF">
        <w:t>andating the use of tamper-resistant bait stations in certain situations</w:t>
      </w:r>
    </w:p>
    <w:p w14:paraId="3B6FD8CD" w14:textId="6B03C36F" w:rsidR="004A62FF" w:rsidRDefault="004A62FF" w:rsidP="00F5191B">
      <w:pPr>
        <w:pStyle w:val="Bullet1"/>
      </w:pPr>
      <w:r>
        <w:t>Limiting supply and use of commercial anticoagulant rodenticide products to trained professionals only and limiting the pack sizes of domestic anticoagulant rodenticide products.</w:t>
      </w:r>
    </w:p>
    <w:p w14:paraId="4CDD15ED" w14:textId="2AD53D83" w:rsidR="004A62FF" w:rsidRDefault="004A62FF" w:rsidP="00F5191B">
      <w:pPr>
        <w:pStyle w:val="Bullet1"/>
      </w:pPr>
      <w:r>
        <w:t>Updated instructions relating to the placement of baits</w:t>
      </w:r>
      <w:r w:rsidRPr="00B60ED4">
        <w:t>, manage</w:t>
      </w:r>
      <w:r>
        <w:t>ment</w:t>
      </w:r>
      <w:r w:rsidRPr="00B60ED4">
        <w:t>/monitor</w:t>
      </w:r>
      <w:r>
        <w:t>ing of</w:t>
      </w:r>
      <w:r w:rsidRPr="00B60ED4">
        <w:t xml:space="preserve"> bait</w:t>
      </w:r>
      <w:r>
        <w:t xml:space="preserve"> stations</w:t>
      </w:r>
      <w:r w:rsidRPr="00B60ED4">
        <w:t xml:space="preserve"> during </w:t>
      </w:r>
      <w:r>
        <w:t xml:space="preserve">treatment, management of dead rodents and other potential poisoned animals during treatment, the expected duration of treatment, and </w:t>
      </w:r>
      <w:r w:rsidR="002D19A0">
        <w:t>clean-up</w:t>
      </w:r>
      <w:r>
        <w:t xml:space="preserve"> of bait/bait stations at the end of treatment.</w:t>
      </w:r>
    </w:p>
    <w:p w14:paraId="589EFCB0" w14:textId="77777777" w:rsidR="004A62FF" w:rsidRDefault="004A62FF" w:rsidP="00F5191B">
      <w:pPr>
        <w:pStyle w:val="Bullet1"/>
      </w:pPr>
      <w:r>
        <w:t>C</w:t>
      </w:r>
      <w:r w:rsidRPr="00736914">
        <w:t>ancel</w:t>
      </w:r>
      <w:r>
        <w:t>lation of</w:t>
      </w:r>
      <w:r w:rsidRPr="00736914">
        <w:t xml:space="preserve"> products that do not contain </w:t>
      </w:r>
      <w:r>
        <w:t xml:space="preserve">both </w:t>
      </w:r>
      <w:r w:rsidRPr="00736914">
        <w:t xml:space="preserve">a bittering agent and </w:t>
      </w:r>
      <w:r>
        <w:t xml:space="preserve">a </w:t>
      </w:r>
      <w:r w:rsidRPr="00736914">
        <w:t>dye, and</w:t>
      </w:r>
      <w:r>
        <w:t xml:space="preserve"> cancellation of</w:t>
      </w:r>
      <w:r w:rsidRPr="00736914">
        <w:t xml:space="preserve"> all liquid and powder bait concentrate products.</w:t>
      </w:r>
    </w:p>
    <w:p w14:paraId="6650D2BD" w14:textId="77777777" w:rsidR="004A62FF" w:rsidRDefault="004A62FF" w:rsidP="004A62FF">
      <w:pPr>
        <w:pStyle w:val="PreliminariesH3"/>
      </w:pPr>
      <w:bookmarkStart w:id="21" w:name="_Toc216695538"/>
      <w:r w:rsidRPr="00826244">
        <w:t>Toxicology and Human Health</w:t>
      </w:r>
      <w:bookmarkEnd w:id="21"/>
    </w:p>
    <w:p w14:paraId="45B17E97" w14:textId="77777777" w:rsidR="004A62FF" w:rsidRDefault="004A62FF" w:rsidP="004A62FF">
      <w:pPr>
        <w:pStyle w:val="NormalText"/>
      </w:pPr>
      <w:r>
        <w:t>The APVMA’s toxicology and human health risk assessment includes consideration of:</w:t>
      </w:r>
    </w:p>
    <w:p w14:paraId="45525034" w14:textId="10F6B787" w:rsidR="004A62FF" w:rsidRDefault="004A62FF" w:rsidP="00F5191B">
      <w:pPr>
        <w:pStyle w:val="Bullet1"/>
      </w:pPr>
      <w:r>
        <w:t>The hazard associated with each of the active constituents is established by considered the available information relating to the toxicity of the anticoagulant rodenticides.</w:t>
      </w:r>
    </w:p>
    <w:p w14:paraId="01DBC392" w14:textId="77777777" w:rsidR="004A62FF" w:rsidRDefault="004A62FF" w:rsidP="00F5191B">
      <w:pPr>
        <w:pStyle w:val="Bullet1"/>
      </w:pPr>
      <w:r>
        <w:lastRenderedPageBreak/>
        <w:t>The risks to people using the product in commercial or domestic situations (including the risks to bystanders) and recommendations to mitigate these risks.</w:t>
      </w:r>
    </w:p>
    <w:p w14:paraId="66EA61FF" w14:textId="29D534AF" w:rsidR="004A62FF" w:rsidRDefault="004A62FF" w:rsidP="004A62FF">
      <w:pPr>
        <w:pStyle w:val="NormalText"/>
      </w:pPr>
      <w:r>
        <w:t>The human health risk assessment also considered relevant tolerable levels for exposure to anticoagulant rodenticides residues through diet, noting that although these products are not intended to be used in crops or on food</w:t>
      </w:r>
      <w:r w:rsidR="002D19A0">
        <w:t>-</w:t>
      </w:r>
      <w:r>
        <w:t>producing animals the potential for accidental contamination remains.</w:t>
      </w:r>
    </w:p>
    <w:p w14:paraId="48BE690D" w14:textId="5980E1E2" w:rsidR="004A62FF" w:rsidRDefault="004A62FF" w:rsidP="004A62FF">
      <w:pPr>
        <w:pStyle w:val="NormalText"/>
      </w:pPr>
      <w:r>
        <w:t>It was noted that the database for assessment of the toxicity of the anticoagulant rodenticides is limited – in particular, for chronic toxicity. However, due to the expected use patterns and limited exposure pathways for humans there were sufficient studies to complete risk assessments for each of the active constituents.</w:t>
      </w:r>
    </w:p>
    <w:p w14:paraId="4BD0FA67" w14:textId="58D16065" w:rsidR="004A62FF" w:rsidRDefault="004A62FF" w:rsidP="004A62FF">
      <w:pPr>
        <w:pStyle w:val="NormalText"/>
      </w:pPr>
      <w:r>
        <w:t>In studies that were considered relevant to human health risk assessments, the FGARs as a group have high acute oral toxicity with acute oral LD</w:t>
      </w:r>
      <w:r w:rsidRPr="004F0852">
        <w:rPr>
          <w:vertAlign w:val="subscript"/>
        </w:rPr>
        <w:t>50</w:t>
      </w:r>
      <w:r>
        <w:t xml:space="preserve"> of the active constituents ranging between 2.1 to 30 mg/kg bw in rats and mice. However, </w:t>
      </w:r>
      <w:r w:rsidR="002D19A0">
        <w:t xml:space="preserve">because </w:t>
      </w:r>
      <w:r>
        <w:t>FGAR products are formulated containing between 0.05 to 0.075% of active constituents, the overall toxicity of the end-use products is considered to be low (LD</w:t>
      </w:r>
      <w:r w:rsidRPr="004F0852">
        <w:rPr>
          <w:vertAlign w:val="subscript"/>
        </w:rPr>
        <w:t>50</w:t>
      </w:r>
      <w:r>
        <w:t xml:space="preserve"> over 5000 mg/kg bw).</w:t>
      </w:r>
    </w:p>
    <w:p w14:paraId="2B2323BA" w14:textId="77777777" w:rsidR="004A62FF" w:rsidRDefault="004A62FF" w:rsidP="004A62FF">
      <w:pPr>
        <w:pStyle w:val="NormalText"/>
      </w:pPr>
      <w:r>
        <w:t>The SGARs as a group also have high acute oral toxicity, with the acute oral LD</w:t>
      </w:r>
      <w:r w:rsidRPr="004F0852">
        <w:rPr>
          <w:vertAlign w:val="subscript"/>
        </w:rPr>
        <w:t>50</w:t>
      </w:r>
      <w:r>
        <w:t xml:space="preserve"> of the active constituents ranging between 0.25 mg/kg bw to 2.6 mg/kg bw. Similarly to the FGARs, products containing SGARs are formulated containing 0.0025 to 0.005% of active constituent and have low toxicity.</w:t>
      </w:r>
    </w:p>
    <w:p w14:paraId="7E1E5608" w14:textId="77777777" w:rsidR="004A62FF" w:rsidRPr="004F68F4" w:rsidRDefault="004A62FF" w:rsidP="004A62FF">
      <w:pPr>
        <w:pStyle w:val="NormalText"/>
      </w:pPr>
      <w:r>
        <w:t>The human health risk assessment also considered information relating to reported unintentional exposure the anticoagulant rodenticides, primarily from published data by the New South Wales Poisons Information Centre hotline relating to calls over the period from 2004 to 2015 and a second analysis of brodifacoum specific data between 2014 and 2016. Overall, these data indicate that there is the potential for exposure of people, particularly children, to these baits; however the vast majority of incidents require no medical treatment, and the overall risk remains low. This can be partly attributed to the low toxicity of the end-use products noted above.</w:t>
      </w:r>
    </w:p>
    <w:p w14:paraId="6CD76B56" w14:textId="37FCB811" w:rsidR="004A62FF" w:rsidRPr="00E518CA" w:rsidRDefault="004A62FF" w:rsidP="004A62FF">
      <w:pPr>
        <w:pStyle w:val="NormalText"/>
      </w:pPr>
      <w:r w:rsidRPr="00E518CA">
        <w:t>Occupational and residential exposure assessments performed in this review revealed that the health risks to users when products are used as directed are very low.</w:t>
      </w:r>
      <w:r>
        <w:t xml:space="preserve"> </w:t>
      </w:r>
      <w:r w:rsidRPr="00E518CA">
        <w:t>Updated safety directions and clearer instructions regarding how to handle the baits, as well as requirement</w:t>
      </w:r>
      <w:r>
        <w:t>s</w:t>
      </w:r>
      <w:r w:rsidRPr="00E518CA">
        <w:t xml:space="preserve"> to use a tamper resistant bait station in all areas accessible to children</w:t>
      </w:r>
      <w:r>
        <w:t xml:space="preserve"> and for all baits to contain </w:t>
      </w:r>
      <w:r w:rsidRPr="00E518CA">
        <w:t>bittering agent</w:t>
      </w:r>
      <w:r>
        <w:t xml:space="preserve"> and dye</w:t>
      </w:r>
      <w:r w:rsidRPr="00E518CA">
        <w:t>, effectively mitigate the risks</w:t>
      </w:r>
      <w:r>
        <w:t xml:space="preserve"> to human health</w:t>
      </w:r>
      <w:r w:rsidRPr="00E518CA">
        <w:t xml:space="preserve"> posed by the use of these products.</w:t>
      </w:r>
    </w:p>
    <w:p w14:paraId="1F3DBAF4" w14:textId="77777777" w:rsidR="004A62FF" w:rsidRDefault="004A62FF" w:rsidP="004A62FF">
      <w:pPr>
        <w:pStyle w:val="PreliminariesH3"/>
      </w:pPr>
      <w:bookmarkStart w:id="22" w:name="_Toc216695539"/>
      <w:r w:rsidRPr="00826244">
        <w:t>Residues and Trade</w:t>
      </w:r>
      <w:bookmarkEnd w:id="22"/>
    </w:p>
    <w:p w14:paraId="1E39EE19" w14:textId="77777777" w:rsidR="004A62FF" w:rsidRDefault="004A62FF" w:rsidP="004A62FF">
      <w:pPr>
        <w:pStyle w:val="NormalText"/>
      </w:pPr>
      <w:r>
        <w:t>Anticoagulant rodenticides are not registered for use in any food producing crop or animal, meaning that any residues present are the result of unintentional contamination, or other off-label use. The APVMA residues risk assessment therefore considered the potential for unintentional contamination of food commodities from all current uses of anticoagulant rodenticides, and if there were any potential associated dietary exposure risks. In particular, it is acknowledged that there have been historical, low-level, detections of residues in farmed pork, and in non-target wild animals that may form part of traditional diets of Australia’s indigenous peoples.</w:t>
      </w:r>
    </w:p>
    <w:p w14:paraId="2F6FE530" w14:textId="6FA95ECE" w:rsidR="004A62FF" w:rsidRDefault="004A62FF" w:rsidP="004A62FF">
      <w:pPr>
        <w:pStyle w:val="NormalText"/>
      </w:pPr>
      <w:r>
        <w:t xml:space="preserve">The APVMA </w:t>
      </w:r>
      <w:r w:rsidR="002D19A0">
        <w:t xml:space="preserve">did not </w:t>
      </w:r>
      <w:r>
        <w:t>complete a dietary exposure risk assessment for the use of anticoagulant rodenticides due to lack of necessary data, such as levels of wildlife contamination or the quantity of wild game consumed in traditional diets. Therefore, a comprehensive risk mitigation strategy is recommended to prevent unintentional contamination. This risk mitigation strategy includes, but is not limited to:</w:t>
      </w:r>
    </w:p>
    <w:p w14:paraId="72B82D70" w14:textId="128F9D3C" w:rsidR="004A62FF" w:rsidRDefault="004A62FF" w:rsidP="00F5191B">
      <w:pPr>
        <w:pStyle w:val="Bullet1"/>
      </w:pPr>
      <w:r>
        <w:lastRenderedPageBreak/>
        <w:t xml:space="preserve">Prohibiting the use of certain anticoagulant rodenticide products </w:t>
      </w:r>
      <w:r w:rsidRPr="006B29E7">
        <w:t>in and around animal, livestock</w:t>
      </w:r>
      <w:r w:rsidR="002D19A0">
        <w:t>,</w:t>
      </w:r>
      <w:r w:rsidRPr="006B29E7">
        <w:t xml:space="preserve"> and poultry houses, associated equipment, and food and feed processing areas.</w:t>
      </w:r>
    </w:p>
    <w:p w14:paraId="1EB41B13" w14:textId="2CB8D70E" w:rsidR="004A62FF" w:rsidRDefault="004A62FF" w:rsidP="00F5191B">
      <w:pPr>
        <w:pStyle w:val="Bullet1"/>
      </w:pPr>
      <w:r>
        <w:t>Updated instructions related the use of products in certain situations where livestock, feed or other food commodities may be vulnerable to contamination, the management of poisoned rodents, the use of products in areas where wildlife may be hunted, and the mandatory use of tamper-resistant and weather-resistant bait stations in certain situations.</w:t>
      </w:r>
    </w:p>
    <w:p w14:paraId="7E7F6544" w14:textId="77777777" w:rsidR="004A62FF" w:rsidRDefault="004A62FF" w:rsidP="004A62FF">
      <w:pPr>
        <w:pStyle w:val="NormalText"/>
      </w:pPr>
      <w:r>
        <w:t>The risks to international trade were not assessed because the instructions for use relate to non-food uses only and as such there should not be residues detected in food commodities.</w:t>
      </w:r>
    </w:p>
    <w:p w14:paraId="392D851E" w14:textId="77777777" w:rsidR="004A62FF" w:rsidRPr="00835CB9" w:rsidRDefault="004A62FF" w:rsidP="004A62FF">
      <w:pPr>
        <w:pStyle w:val="Bullet1"/>
        <w:numPr>
          <w:ilvl w:val="0"/>
          <w:numId w:val="0"/>
        </w:numPr>
        <w:ind w:left="360" w:hanging="360"/>
        <w:sectPr w:rsidR="004A62FF" w:rsidRPr="00835CB9" w:rsidSect="00173C61">
          <w:headerReference w:type="even" r:id="rId23"/>
          <w:headerReference w:type="default" r:id="rId24"/>
          <w:pgSz w:w="11906" w:h="16838" w:code="9"/>
          <w:pgMar w:top="2835" w:right="1134" w:bottom="1134" w:left="1134" w:header="1701" w:footer="680" w:gutter="0"/>
          <w:cols w:space="708"/>
          <w:docGrid w:linePitch="360"/>
        </w:sectPr>
      </w:pPr>
    </w:p>
    <w:p w14:paraId="6A1014FE" w14:textId="306B6172" w:rsidR="002E20AC" w:rsidRDefault="00DE07CF">
      <w:pPr>
        <w:pStyle w:val="Heading1"/>
        <w:numPr>
          <w:ilvl w:val="0"/>
          <w:numId w:val="11"/>
        </w:numPr>
      </w:pPr>
      <w:bookmarkStart w:id="23" w:name="_Toc214025457"/>
      <w:bookmarkStart w:id="24" w:name="_Toc216695540"/>
      <w:r>
        <w:lastRenderedPageBreak/>
        <w:t>Introduction</w:t>
      </w:r>
      <w:bookmarkEnd w:id="23"/>
      <w:bookmarkEnd w:id="24"/>
    </w:p>
    <w:p w14:paraId="6CC0D24B" w14:textId="4A1F095B" w:rsidR="005C0838" w:rsidRPr="00B63513" w:rsidRDefault="00AC10D7" w:rsidP="00BD2F8D">
      <w:pPr>
        <w:pStyle w:val="NormalText"/>
      </w:pPr>
      <w:r w:rsidRPr="00B63513">
        <w:t xml:space="preserve">Anticoagulant rodenticides are vertebrate poisons designed to kill rodents by inhibiting blood clotting mechanisms. </w:t>
      </w:r>
      <w:r w:rsidR="008B07AC" w:rsidRPr="00B63513">
        <w:t xml:space="preserve">These </w:t>
      </w:r>
      <w:r w:rsidR="00B14703" w:rsidRPr="00B63513">
        <w:t>vitamin K antagonists used for rodent control in and around homes, animal and agricultural premises, and commercial and industrial sites. They act by binding to the enzyme vitamin K 2,3-epoxide reductase, interrupting the cellular recycling of vitamin K.</w:t>
      </w:r>
    </w:p>
    <w:p w14:paraId="1D28B47A" w14:textId="23B6B6A9" w:rsidR="00B14703" w:rsidRPr="00B63513" w:rsidRDefault="00B14703" w:rsidP="00BD2F8D">
      <w:pPr>
        <w:pStyle w:val="NormalText"/>
      </w:pPr>
      <w:r w:rsidRPr="00B63513">
        <w:t>Vitamin K in its hydroquinone form is an essential cofactor for the synthesis of functional prothrombin and related blood-clotting factors. Preventing the recycling of vitamin K will prevent blood clotting and lead to death from internal or external bleeding, typically several days after consuming a lethal dose. There are two types of anticoagulant rodenticides as described below.</w:t>
      </w:r>
    </w:p>
    <w:p w14:paraId="775B53D9" w14:textId="338A39A0" w:rsidR="008B07AC" w:rsidRDefault="00AC10D7" w:rsidP="00BD2F8D">
      <w:pPr>
        <w:pStyle w:val="NormalText"/>
      </w:pPr>
      <w:r w:rsidRPr="00B63513">
        <w:t xml:space="preserve">First-generation anticoagulant rodenticides </w:t>
      </w:r>
      <w:r w:rsidR="00415F43" w:rsidRPr="00B63513">
        <w:t>(FGARs)</w:t>
      </w:r>
      <w:r w:rsidR="00B14703" w:rsidRPr="00B63513">
        <w:t xml:space="preserve"> </w:t>
      </w:r>
      <w:r w:rsidRPr="00B63513">
        <w:t xml:space="preserve">include </w:t>
      </w:r>
      <w:r w:rsidR="000A5CA9" w:rsidRPr="00B63513">
        <w:t xml:space="preserve">products with the active constituents </w:t>
      </w:r>
      <w:r w:rsidRPr="00B63513">
        <w:t>coumatetralyl, diphacinone</w:t>
      </w:r>
      <w:r w:rsidR="000A5CA9" w:rsidRPr="00B63513">
        <w:t>,</w:t>
      </w:r>
      <w:r w:rsidRPr="00B63513">
        <w:t xml:space="preserve"> </w:t>
      </w:r>
      <w:r w:rsidR="000A5CA9" w:rsidRPr="00B63513">
        <w:t xml:space="preserve">or </w:t>
      </w:r>
      <w:r w:rsidRPr="00B63513">
        <w:t>warfarin.</w:t>
      </w:r>
      <w:r w:rsidR="000A5CA9" w:rsidRPr="00B63513">
        <w:t xml:space="preserve"> </w:t>
      </w:r>
      <w:r w:rsidR="00415F43" w:rsidRPr="00B63513">
        <w:t>R</w:t>
      </w:r>
      <w:r w:rsidR="000A5CA9" w:rsidRPr="00B63513">
        <w:t xml:space="preserve">epeated bait feedings </w:t>
      </w:r>
      <w:r w:rsidR="00B14703" w:rsidRPr="00B63513">
        <w:t xml:space="preserve">are </w:t>
      </w:r>
      <w:r w:rsidR="00415F43" w:rsidRPr="00B63513">
        <w:t xml:space="preserve">required </w:t>
      </w:r>
      <w:r w:rsidR="000A5CA9" w:rsidRPr="00B63513">
        <w:t>by rodents to reach fatal levels</w:t>
      </w:r>
      <w:r w:rsidR="00A53482">
        <w:t xml:space="preserve"> and require a</w:t>
      </w:r>
      <w:r w:rsidR="008B07AC">
        <w:t xml:space="preserve"> relatively long time from first feeding to target death. </w:t>
      </w:r>
      <w:r w:rsidR="00B64E17" w:rsidRPr="00783306">
        <w:t xml:space="preserve">Second-generation anticoagulant rodenticides </w:t>
      </w:r>
      <w:r w:rsidR="00B64E17">
        <w:t>(</w:t>
      </w:r>
      <w:r w:rsidR="008B07AC">
        <w:t>SGARs</w:t>
      </w:r>
      <w:r w:rsidR="00B64E17">
        <w:t>)</w:t>
      </w:r>
      <w:r w:rsidR="008B07AC">
        <w:t xml:space="preserve"> were formulated to address these concerns and designed to cause death in rodents following a single feeding.</w:t>
      </w:r>
    </w:p>
    <w:p w14:paraId="53C7C1BC" w14:textId="58D18CDC" w:rsidR="00415F43" w:rsidRDefault="00415F43" w:rsidP="00BD2F8D">
      <w:pPr>
        <w:pStyle w:val="NormalText"/>
      </w:pPr>
      <w:r w:rsidRPr="00AE755F">
        <w:t xml:space="preserve">SGARs include </w:t>
      </w:r>
      <w:r w:rsidR="00B14703" w:rsidRPr="00AE755F">
        <w:t xml:space="preserve">products with the active constituents </w:t>
      </w:r>
      <w:r w:rsidR="00AC10D7" w:rsidRPr="00AE755F">
        <w:t xml:space="preserve">brodifacoum, bromadiolone, difenacoum, difethialone and flocoumafen. </w:t>
      </w:r>
      <w:r w:rsidRPr="00AE755F">
        <w:t xml:space="preserve">SGARs were developed to kill rodents </w:t>
      </w:r>
      <w:r w:rsidR="00AE755F" w:rsidRPr="00F74C5C">
        <w:t xml:space="preserve">more rapidly </w:t>
      </w:r>
      <w:r w:rsidRPr="00AE755F">
        <w:t xml:space="preserve">than the </w:t>
      </w:r>
      <w:r w:rsidR="00AE755F">
        <w:t>FGARs</w:t>
      </w:r>
      <w:r w:rsidR="008B07AC" w:rsidRPr="00AE755F">
        <w:t>,</w:t>
      </w:r>
      <w:r w:rsidR="00B14703" w:rsidRPr="00AE755F">
        <w:t xml:space="preserve"> </w:t>
      </w:r>
      <w:r w:rsidR="00A53482">
        <w:t xml:space="preserve">and </w:t>
      </w:r>
      <w:r w:rsidRPr="00AE755F">
        <w:t xml:space="preserve">are capable </w:t>
      </w:r>
      <w:r w:rsidR="008B07AC" w:rsidRPr="00AE755F">
        <w:t xml:space="preserve">of </w:t>
      </w:r>
      <w:r w:rsidRPr="00AE755F">
        <w:t xml:space="preserve">and designed to cause the death of rodents following a single </w:t>
      </w:r>
      <w:r w:rsidR="008B07AC" w:rsidRPr="00AE755F">
        <w:t>feeding</w:t>
      </w:r>
      <w:r w:rsidR="008B07AC">
        <w:t xml:space="preserve">, meaning they </w:t>
      </w:r>
      <w:r w:rsidR="008B07AC" w:rsidRPr="00AE755F">
        <w:t>are considered significantly more toxic than FGARs.</w:t>
      </w:r>
    </w:p>
    <w:p w14:paraId="3A9D9635" w14:textId="77777777" w:rsidR="00294007" w:rsidRPr="00D63217" w:rsidRDefault="00294007" w:rsidP="00294007">
      <w:pPr>
        <w:pStyle w:val="Heading2"/>
      </w:pPr>
      <w:bookmarkStart w:id="25" w:name="_Toc157602742"/>
      <w:bookmarkStart w:id="26" w:name="_Toc172814508"/>
      <w:bookmarkStart w:id="27" w:name="_Toc216695541"/>
      <w:r w:rsidRPr="00D63217">
        <w:t>Purpose of review</w:t>
      </w:r>
      <w:bookmarkEnd w:id="25"/>
      <w:bookmarkEnd w:id="26"/>
      <w:bookmarkEnd w:id="27"/>
    </w:p>
    <w:p w14:paraId="5F83DBB4" w14:textId="5821460D" w:rsidR="00294007" w:rsidRDefault="00294007" w:rsidP="00294007">
      <w:pPr>
        <w:pStyle w:val="NormalText"/>
      </w:pPr>
      <w:r w:rsidRPr="00294007">
        <w:t>The APVMA commenced a reconsideration of anticoagulant rodenticide approvals and registrations</w:t>
      </w:r>
      <w:r w:rsidR="00CE39FD">
        <w:t xml:space="preserve"> under </w:t>
      </w:r>
      <w:r w:rsidR="00CE39FD" w:rsidRPr="00835CB9">
        <w:t xml:space="preserve">Part 2, Division 4 of the Agvet Code </w:t>
      </w:r>
      <w:r>
        <w:t>in November 2021</w:t>
      </w:r>
      <w:r w:rsidRPr="00294007">
        <w:t xml:space="preserve"> because of concerns about potential for unacceptable risks in the following areas:</w:t>
      </w:r>
    </w:p>
    <w:p w14:paraId="14283590" w14:textId="253DDB60" w:rsidR="00294007" w:rsidRPr="00F5191B" w:rsidRDefault="00A137D6" w:rsidP="00F5191B">
      <w:pPr>
        <w:pStyle w:val="Bullet1"/>
      </w:pPr>
      <w:r>
        <w:t>E</w:t>
      </w:r>
      <w:r w:rsidR="00294007" w:rsidRPr="00F5191B">
        <w:t>nvironmental safety, including primary and secondary poisoning of non-target domestic animals and wildlife</w:t>
      </w:r>
    </w:p>
    <w:p w14:paraId="20262B50" w14:textId="5115BF20" w:rsidR="00294007" w:rsidRPr="00F5191B" w:rsidRDefault="00A137D6" w:rsidP="00F5191B">
      <w:pPr>
        <w:pStyle w:val="Bullet1"/>
      </w:pPr>
      <w:r>
        <w:t>H</w:t>
      </w:r>
      <w:r w:rsidR="00294007" w:rsidRPr="00F5191B">
        <w:t>uman health, including worker exposure and public health</w:t>
      </w:r>
    </w:p>
    <w:p w14:paraId="73585814" w14:textId="4A5212E1" w:rsidR="00294007" w:rsidRPr="00F5191B" w:rsidRDefault="00A137D6" w:rsidP="00F5191B">
      <w:pPr>
        <w:pStyle w:val="Bullet1"/>
      </w:pPr>
      <w:r>
        <w:t>R</w:t>
      </w:r>
      <w:r w:rsidR="00294007" w:rsidRPr="00F5191B">
        <w:t>esidues, including livestock and edible wildlife exposure, consumer safety, and trade</w:t>
      </w:r>
    </w:p>
    <w:p w14:paraId="09675A37" w14:textId="38E8EA1C" w:rsidR="00294007" w:rsidRDefault="00294007" w:rsidP="00294007">
      <w:pPr>
        <w:pStyle w:val="NormalText"/>
      </w:pPr>
      <w:r w:rsidRPr="00294007">
        <w:t xml:space="preserve">The APVMA </w:t>
      </w:r>
      <w:r>
        <w:t>has assessed</w:t>
      </w:r>
      <w:r w:rsidRPr="00294007">
        <w:t xml:space="preserve"> the following aspects of active constituent approvals, product registrations and label approvals for the specified anticoagulant rodenticides</w:t>
      </w:r>
      <w:r w:rsidR="00A137D6">
        <w:t>:</w:t>
      </w:r>
    </w:p>
    <w:p w14:paraId="3E3509C3" w14:textId="40D115DE" w:rsidR="00294007" w:rsidRPr="00294007" w:rsidRDefault="00294007" w:rsidP="00294007">
      <w:pPr>
        <w:pStyle w:val="NormalText"/>
      </w:pPr>
      <w:r w:rsidRPr="00294007">
        <w:t>Chemistry</w:t>
      </w:r>
    </w:p>
    <w:p w14:paraId="13C4506A" w14:textId="556976AD" w:rsidR="00294007" w:rsidRPr="00294007" w:rsidRDefault="00294007" w:rsidP="005B27FD">
      <w:pPr>
        <w:pStyle w:val="Bullet1"/>
      </w:pPr>
      <w:r w:rsidRPr="00294007">
        <w:t>The establishment of appropriate standards for manufacturing concentrates</w:t>
      </w:r>
    </w:p>
    <w:p w14:paraId="6D4DAC6D" w14:textId="65C380C3" w:rsidR="00294007" w:rsidRPr="00294007" w:rsidRDefault="00294007" w:rsidP="00294007">
      <w:pPr>
        <w:pStyle w:val="NormalText"/>
      </w:pPr>
      <w:r w:rsidRPr="00294007">
        <w:t>Toxicology</w:t>
      </w:r>
      <w:r w:rsidR="00CE39FD">
        <w:t xml:space="preserve"> and worker health and safety</w:t>
      </w:r>
    </w:p>
    <w:p w14:paraId="57DCBB18" w14:textId="23C06072" w:rsidR="00294007" w:rsidRPr="00294007" w:rsidRDefault="00294007" w:rsidP="005B27FD">
      <w:pPr>
        <w:pStyle w:val="Bullet1"/>
      </w:pPr>
      <w:r w:rsidRPr="00294007">
        <w:t>The safe level of exposure of humans via the oral, dermal and inhalational routes</w:t>
      </w:r>
    </w:p>
    <w:p w14:paraId="4A027E54" w14:textId="5E4B948F" w:rsidR="00294007" w:rsidRPr="00294007" w:rsidRDefault="00CE39FD" w:rsidP="005B27FD">
      <w:pPr>
        <w:pStyle w:val="Bullet1"/>
      </w:pPr>
      <w:r>
        <w:t>Risks to w</w:t>
      </w:r>
      <w:r w:rsidR="00294007" w:rsidRPr="00294007">
        <w:t>orker and public exposure</w:t>
      </w:r>
    </w:p>
    <w:p w14:paraId="5CB54AF5" w14:textId="5A6A0924" w:rsidR="00294007" w:rsidRPr="00294007" w:rsidRDefault="00294007" w:rsidP="005B27FD">
      <w:pPr>
        <w:pStyle w:val="Bullet1"/>
      </w:pPr>
      <w:r w:rsidRPr="00294007">
        <w:t>Risks arising from exposure during handling and</w:t>
      </w:r>
      <w:r w:rsidR="00CE39FD">
        <w:t xml:space="preserve"> bait</w:t>
      </w:r>
      <w:r w:rsidRPr="00294007">
        <w:t xml:space="preserve"> applications</w:t>
      </w:r>
    </w:p>
    <w:p w14:paraId="32098F2B" w14:textId="30ED832B" w:rsidR="00294007" w:rsidRPr="00294007" w:rsidRDefault="00294007" w:rsidP="005B27FD">
      <w:pPr>
        <w:pStyle w:val="Bullet1"/>
      </w:pPr>
      <w:r w:rsidRPr="00294007">
        <w:lastRenderedPageBreak/>
        <w:t>Re-entry exposure risks including exposure in domestic situations</w:t>
      </w:r>
    </w:p>
    <w:p w14:paraId="33C62942" w14:textId="5D2377C8" w:rsidR="00294007" w:rsidRPr="00294007" w:rsidRDefault="00294007" w:rsidP="00294007">
      <w:pPr>
        <w:pStyle w:val="NormalText"/>
      </w:pPr>
      <w:r w:rsidRPr="00294007">
        <w:t>Residues</w:t>
      </w:r>
    </w:p>
    <w:p w14:paraId="54298B23" w14:textId="22CDE157" w:rsidR="00294007" w:rsidRPr="005B27FD" w:rsidRDefault="00294007" w:rsidP="005B27FD">
      <w:pPr>
        <w:pStyle w:val="Bullet1"/>
        <w:rPr>
          <w:rStyle w:val="Bullet1Char"/>
        </w:rPr>
      </w:pPr>
      <w:r>
        <w:rPr>
          <w:rStyle w:val="Bullet1Char"/>
        </w:rPr>
        <w:t>Potential for r</w:t>
      </w:r>
      <w:r w:rsidRPr="005B27FD">
        <w:rPr>
          <w:rStyle w:val="Bullet1Char"/>
        </w:rPr>
        <w:t>esidues in foods through primary and secondary exposure</w:t>
      </w:r>
    </w:p>
    <w:p w14:paraId="58CBA677" w14:textId="6C2B4275" w:rsidR="00294007" w:rsidRPr="00294007" w:rsidRDefault="00294007" w:rsidP="00294007">
      <w:pPr>
        <w:pStyle w:val="NormalText"/>
      </w:pPr>
      <w:r w:rsidRPr="00294007">
        <w:t>Environment</w:t>
      </w:r>
      <w:r>
        <w:t>al safety</w:t>
      </w:r>
    </w:p>
    <w:p w14:paraId="17BDFA86" w14:textId="5232E381" w:rsidR="00294007" w:rsidRPr="00294007" w:rsidRDefault="00CE39FD" w:rsidP="005B27FD">
      <w:pPr>
        <w:pStyle w:val="Bullet1"/>
      </w:pPr>
      <w:r>
        <w:t xml:space="preserve">Risks of </w:t>
      </w:r>
      <w:bookmarkStart w:id="28" w:name="_Hlk215142430"/>
      <w:r>
        <w:t>o</w:t>
      </w:r>
      <w:r w:rsidR="00294007" w:rsidRPr="00294007">
        <w:t>ff</w:t>
      </w:r>
      <w:r>
        <w:t>-</w:t>
      </w:r>
      <w:r w:rsidR="00294007" w:rsidRPr="00294007">
        <w:t>target</w:t>
      </w:r>
      <w:bookmarkEnd w:id="28"/>
      <w:r w:rsidR="00294007">
        <w:t xml:space="preserve"> primary</w:t>
      </w:r>
      <w:r w:rsidR="00294007" w:rsidRPr="00294007">
        <w:t xml:space="preserve"> poisoning</w:t>
      </w:r>
    </w:p>
    <w:p w14:paraId="6E40B19B" w14:textId="48D3417A" w:rsidR="00294007" w:rsidRPr="00294007" w:rsidRDefault="00CE39FD" w:rsidP="005B27FD">
      <w:pPr>
        <w:pStyle w:val="Bullet1"/>
      </w:pPr>
      <w:r>
        <w:t>Risks of o</w:t>
      </w:r>
      <w:r w:rsidRPr="00294007">
        <w:t>ff</w:t>
      </w:r>
      <w:r>
        <w:t>-</w:t>
      </w:r>
      <w:r w:rsidRPr="00294007">
        <w:t xml:space="preserve">target </w:t>
      </w:r>
      <w:r>
        <w:t>s</w:t>
      </w:r>
      <w:r w:rsidR="00294007" w:rsidRPr="00294007">
        <w:t>econdary poisoning</w:t>
      </w:r>
    </w:p>
    <w:p w14:paraId="2CF26A7C" w14:textId="76AB9991" w:rsidR="00A137D6" w:rsidRDefault="00294007" w:rsidP="00294007">
      <w:pPr>
        <w:pStyle w:val="NormalText"/>
        <w:sectPr w:rsidR="00A137D6">
          <w:headerReference w:type="even" r:id="rId25"/>
          <w:headerReference w:type="default" r:id="rId26"/>
          <w:pgSz w:w="11906" w:h="16838" w:code="9"/>
          <w:pgMar w:top="2835" w:right="1134" w:bottom="1134" w:left="1134" w:header="1701" w:footer="680" w:gutter="0"/>
          <w:cols w:space="708"/>
          <w:docGrid w:linePitch="360"/>
        </w:sectPr>
      </w:pPr>
      <w:r w:rsidRPr="00294007">
        <w:t xml:space="preserve">The APVMA </w:t>
      </w:r>
      <w:r>
        <w:t>has</w:t>
      </w:r>
      <w:r w:rsidRPr="00294007">
        <w:t xml:space="preserve"> also consider</w:t>
      </w:r>
      <w:r w:rsidR="00A137D6">
        <w:t>ed</w:t>
      </w:r>
      <w:r w:rsidRPr="00294007">
        <w:t xml:space="preserve"> whether product labels carry adequate instructions and warning statement</w:t>
      </w:r>
      <w:r>
        <w:t>s</w:t>
      </w:r>
      <w:r w:rsidR="00A137D6">
        <w:t>.</w:t>
      </w:r>
    </w:p>
    <w:p w14:paraId="0C234EB2" w14:textId="5F888C8F" w:rsidR="00A31E5D" w:rsidRDefault="00A31E5D" w:rsidP="00A31E5D">
      <w:pPr>
        <w:pStyle w:val="Heading1"/>
      </w:pPr>
      <w:bookmarkStart w:id="29" w:name="_Toc215150598"/>
      <w:bookmarkStart w:id="30" w:name="_Toc215150599"/>
      <w:bookmarkStart w:id="31" w:name="_Toc215150600"/>
      <w:bookmarkStart w:id="32" w:name="_Toc215150601"/>
      <w:bookmarkStart w:id="33" w:name="_Toc215150602"/>
      <w:bookmarkStart w:id="34" w:name="_Toc214025458"/>
      <w:bookmarkStart w:id="35" w:name="_Toc414373837"/>
      <w:bookmarkStart w:id="36" w:name="_Toc135232591"/>
      <w:bookmarkStart w:id="37" w:name="_Toc216695542"/>
      <w:bookmarkEnd w:id="29"/>
      <w:bookmarkEnd w:id="30"/>
      <w:bookmarkEnd w:id="31"/>
      <w:bookmarkEnd w:id="32"/>
      <w:bookmarkEnd w:id="33"/>
      <w:r>
        <w:lastRenderedPageBreak/>
        <w:t>Chemistry</w:t>
      </w:r>
      <w:r w:rsidR="002D6F23">
        <w:t xml:space="preserve"> and Manufacture</w:t>
      </w:r>
      <w:bookmarkEnd w:id="34"/>
      <w:bookmarkEnd w:id="37"/>
    </w:p>
    <w:p w14:paraId="602B3B0D" w14:textId="43C45387" w:rsidR="00B124E3" w:rsidRDefault="00B124E3" w:rsidP="00B124E3">
      <w:pPr>
        <w:pStyle w:val="NormalText"/>
        <w:rPr>
          <w:szCs w:val="19"/>
        </w:rPr>
      </w:pPr>
      <w:r>
        <w:t xml:space="preserve">The nomenclature, structural formula and </w:t>
      </w:r>
      <w:r w:rsidRPr="00B6173C">
        <w:t>physicochemical properties</w:t>
      </w:r>
      <w:r>
        <w:t xml:space="preserve"> for each of the FGAR active constituents </w:t>
      </w:r>
      <w:r w:rsidRPr="00B63513">
        <w:rPr>
          <w:szCs w:val="19"/>
        </w:rPr>
        <w:t>coumatetralyl, diphacinone, or warfarin</w:t>
      </w:r>
      <w:r>
        <w:rPr>
          <w:szCs w:val="19"/>
        </w:rPr>
        <w:t xml:space="preserve"> and SGAR active constituents </w:t>
      </w:r>
      <w:r w:rsidRPr="00AE755F">
        <w:rPr>
          <w:szCs w:val="19"/>
        </w:rPr>
        <w:t>brodifacoum, bromadiolone, difenacoum, difethialone and flocoumafen</w:t>
      </w:r>
      <w:r>
        <w:rPr>
          <w:szCs w:val="19"/>
        </w:rPr>
        <w:t xml:space="preserve"> are described in the tables below, followed by discussion of the approved active constituents and formulated chemical products.</w:t>
      </w:r>
    </w:p>
    <w:p w14:paraId="58628450" w14:textId="5E37D296" w:rsidR="002D6F23" w:rsidRDefault="002D6F23" w:rsidP="00377F3A">
      <w:pPr>
        <w:pStyle w:val="Heading2"/>
      </w:pPr>
      <w:bookmarkStart w:id="38" w:name="_Toc214025459"/>
      <w:bookmarkStart w:id="39" w:name="_Toc216695543"/>
      <w:r>
        <w:t>Chemistry and Manufacture – Active Constituents</w:t>
      </w:r>
      <w:bookmarkEnd w:id="38"/>
      <w:bookmarkEnd w:id="39"/>
    </w:p>
    <w:p w14:paraId="438A5203" w14:textId="5DC52E18" w:rsidR="006123DB" w:rsidRDefault="006123DB" w:rsidP="00B124E3">
      <w:pPr>
        <w:pStyle w:val="NormalText"/>
        <w:rPr>
          <w:szCs w:val="19"/>
        </w:rPr>
      </w:pPr>
      <w:r>
        <w:rPr>
          <w:szCs w:val="19"/>
        </w:rPr>
        <w:t>The Chemistry</w:t>
      </w:r>
      <w:r w:rsidR="002D6F23">
        <w:rPr>
          <w:szCs w:val="19"/>
        </w:rPr>
        <w:t xml:space="preserve"> and </w:t>
      </w:r>
      <w:r w:rsidR="007B1DF2">
        <w:rPr>
          <w:szCs w:val="19"/>
        </w:rPr>
        <w:t>M</w:t>
      </w:r>
      <w:r w:rsidR="002D6F23">
        <w:rPr>
          <w:szCs w:val="19"/>
        </w:rPr>
        <w:t>anufacture</w:t>
      </w:r>
      <w:r>
        <w:rPr>
          <w:szCs w:val="19"/>
        </w:rPr>
        <w:t xml:space="preserve"> assessment </w:t>
      </w:r>
      <w:r w:rsidR="002D6F23">
        <w:rPr>
          <w:szCs w:val="19"/>
        </w:rPr>
        <w:t xml:space="preserve">for reconsideration of active constituent approvals </w:t>
      </w:r>
      <w:r>
        <w:rPr>
          <w:szCs w:val="19"/>
        </w:rPr>
        <w:t xml:space="preserve">involves review of the information submitted in support of the </w:t>
      </w:r>
      <w:r w:rsidR="002D6F23">
        <w:rPr>
          <w:szCs w:val="19"/>
        </w:rPr>
        <w:t>approval of each active constituent, and other information submitted during the reconsideration or sourced by the APVMA,</w:t>
      </w:r>
      <w:r>
        <w:rPr>
          <w:szCs w:val="19"/>
        </w:rPr>
        <w:t xml:space="preserve"> </w:t>
      </w:r>
      <w:r w:rsidR="00884D58">
        <w:rPr>
          <w:szCs w:val="19"/>
        </w:rPr>
        <w:t>against the matters the APVMA must consider when determining if an active constituent meets the safety criteria, including:</w:t>
      </w:r>
    </w:p>
    <w:p w14:paraId="2FADA4FC" w14:textId="77777777" w:rsidR="00884D58" w:rsidRPr="00377F3A" w:rsidRDefault="00884D58" w:rsidP="00884D58">
      <w:pPr>
        <w:pStyle w:val="NormalText"/>
        <w:rPr>
          <w:i/>
          <w:iCs/>
          <w:szCs w:val="19"/>
        </w:rPr>
      </w:pPr>
      <w:r>
        <w:rPr>
          <w:szCs w:val="19"/>
        </w:rPr>
        <w:tab/>
      </w:r>
      <w:r w:rsidRPr="00377F3A">
        <w:rPr>
          <w:i/>
          <w:iCs/>
          <w:szCs w:val="19"/>
        </w:rPr>
        <w:t>(ii) the method by which the constituent is, or is proposed to be, manufactured;</w:t>
      </w:r>
    </w:p>
    <w:p w14:paraId="339F3402" w14:textId="3DF460CC" w:rsidR="00884D58" w:rsidRPr="00377F3A" w:rsidRDefault="00884D58" w:rsidP="00377F3A">
      <w:pPr>
        <w:pStyle w:val="NormalText"/>
        <w:ind w:firstLine="567"/>
        <w:rPr>
          <w:i/>
          <w:iCs/>
          <w:szCs w:val="19"/>
        </w:rPr>
      </w:pPr>
      <w:r w:rsidRPr="00377F3A">
        <w:rPr>
          <w:i/>
          <w:iCs/>
          <w:szCs w:val="19"/>
        </w:rPr>
        <w:t>(iii) the extent to which the constituent will contain impurities;</w:t>
      </w:r>
    </w:p>
    <w:p w14:paraId="7D9B101B" w14:textId="5DEE92D4" w:rsidR="00884D58" w:rsidRPr="00377F3A" w:rsidRDefault="00884D58" w:rsidP="00884D58">
      <w:pPr>
        <w:pStyle w:val="NormalText"/>
        <w:ind w:left="567" w:firstLine="3"/>
        <w:rPr>
          <w:i/>
          <w:iCs/>
          <w:szCs w:val="19"/>
        </w:rPr>
      </w:pPr>
      <w:r w:rsidRPr="00377F3A">
        <w:rPr>
          <w:i/>
          <w:iCs/>
          <w:szCs w:val="19"/>
        </w:rPr>
        <w:t>(iv) whether an analysis of the chemical composition of the constituent has been carried out and, if so, the results of the analysis; and</w:t>
      </w:r>
    </w:p>
    <w:p w14:paraId="71ADCE82" w14:textId="1563E589" w:rsidR="00884D58" w:rsidRDefault="00884D58" w:rsidP="00884D58">
      <w:pPr>
        <w:pStyle w:val="NormalText"/>
        <w:ind w:left="567" w:firstLine="3"/>
        <w:rPr>
          <w:i/>
          <w:iCs/>
          <w:szCs w:val="19"/>
        </w:rPr>
      </w:pPr>
      <w:r w:rsidRPr="00377F3A">
        <w:rPr>
          <w:i/>
          <w:iCs/>
          <w:szCs w:val="19"/>
        </w:rPr>
        <w:t>(via) whether the constituent conforms, or would conform, to any standard made for the constituent under section 6E to the extent that the standard relates to matters covered by subsection (1).</w:t>
      </w:r>
    </w:p>
    <w:p w14:paraId="758B03BF" w14:textId="14C87784" w:rsidR="002D6F23" w:rsidRPr="00377F3A" w:rsidRDefault="002D6F23" w:rsidP="00377F3A">
      <w:pPr>
        <w:pStyle w:val="NormalText"/>
        <w:rPr>
          <w:szCs w:val="19"/>
        </w:rPr>
      </w:pPr>
      <w:r>
        <w:rPr>
          <w:szCs w:val="19"/>
        </w:rPr>
        <w:t xml:space="preserve">Active constituent specific confidential commercial information is not included in this </w:t>
      </w:r>
      <w:r w:rsidR="009F313A">
        <w:rPr>
          <w:szCs w:val="19"/>
        </w:rPr>
        <w:t>report,</w:t>
      </w:r>
      <w:r>
        <w:rPr>
          <w:szCs w:val="19"/>
        </w:rPr>
        <w:t xml:space="preserve"> but relevant recommendations are provided in the following sections.</w:t>
      </w:r>
    </w:p>
    <w:p w14:paraId="63E5E5B7" w14:textId="77777777" w:rsidR="00B124E3" w:rsidRPr="00A137D6" w:rsidRDefault="00B124E3" w:rsidP="00A137D6">
      <w:pPr>
        <w:pStyle w:val="Heading3"/>
      </w:pPr>
      <w:bookmarkStart w:id="40" w:name="_Toc213334174"/>
      <w:bookmarkStart w:id="41" w:name="_Toc213770968"/>
      <w:bookmarkStart w:id="42" w:name="_Toc213942726"/>
      <w:bookmarkStart w:id="43" w:name="_Toc213944506"/>
      <w:bookmarkStart w:id="44" w:name="_Hlk191463623"/>
      <w:bookmarkStart w:id="45" w:name="_Toc214025460"/>
      <w:bookmarkStart w:id="46" w:name="_Toc216695544"/>
      <w:bookmarkEnd w:id="40"/>
      <w:bookmarkEnd w:id="41"/>
      <w:bookmarkEnd w:id="42"/>
      <w:bookmarkEnd w:id="43"/>
      <w:r w:rsidRPr="00A137D6">
        <w:t>Active constituent - Brodifacoum</w:t>
      </w:r>
      <w:bookmarkEnd w:id="44"/>
      <w:bookmarkEnd w:id="45"/>
      <w:bookmarkEnd w:id="46"/>
    </w:p>
    <w:p w14:paraId="05AA8722" w14:textId="36DB47F2" w:rsidR="00B124E3" w:rsidRDefault="00B124E3" w:rsidP="00B124E3">
      <w:pPr>
        <w:pStyle w:val="NormalText"/>
      </w:pPr>
      <w:r>
        <w:t>Brodifacoum is a hydroxycoumarin second generation anticoagulant rodenticide, which acts through inhibition of the vitamin K-dependent steps in the synthesis of the clotting factors II, VII, IX and X</w:t>
      </w:r>
      <w:bookmarkStart w:id="47" w:name="_Ref191470700"/>
      <w:r w:rsidR="00E210E0">
        <w:t xml:space="preserve"> (</w:t>
      </w:r>
      <w:r w:rsidR="004B7447">
        <w:t xml:space="preserve">reviewed in </w:t>
      </w:r>
      <w:r w:rsidR="00E210E0">
        <w:t>British Crop Production Council</w:t>
      </w:r>
      <w:r w:rsidR="00D22225">
        <w:t xml:space="preserve"> [BCPC]</w:t>
      </w:r>
      <w:r w:rsidR="00E210E0">
        <w:rPr>
          <w:rStyle w:val="FootnoteReference"/>
        </w:rPr>
        <w:t xml:space="preserve"> </w:t>
      </w:r>
      <w:r w:rsidR="00E210E0">
        <w:t>, 2016)</w:t>
      </w:r>
      <w:bookmarkEnd w:id="47"/>
      <w:r>
        <w:t>. It was first reported in 1976</w:t>
      </w:r>
      <w:r w:rsidR="00D22225">
        <w:t xml:space="preserve"> (Redfern R., </w:t>
      </w:r>
      <w:r w:rsidR="00B7183A" w:rsidRPr="00B7183A">
        <w:rPr>
          <w:i/>
          <w:iCs/>
        </w:rPr>
        <w:t>et al</w:t>
      </w:r>
      <w:r w:rsidR="00D22225">
        <w:t>, 1976)</w:t>
      </w:r>
      <w:r>
        <w:t>.</w:t>
      </w:r>
    </w:p>
    <w:p w14:paraId="7A0EDB2C" w14:textId="58B5DF71" w:rsidR="00B124E3" w:rsidRDefault="00B124E3" w:rsidP="00B124E3">
      <w:pPr>
        <w:pStyle w:val="Caption"/>
      </w:pPr>
      <w:bookmarkStart w:id="48" w:name="_Toc213945977"/>
      <w:bookmarkStart w:id="49" w:name="_Toc216695663"/>
      <w:r>
        <w:t xml:space="preserve">Table </w:t>
      </w:r>
      <w:r>
        <w:fldChar w:fldCharType="begin"/>
      </w:r>
      <w:r>
        <w:instrText xml:space="preserve"> SEQ Table \* ARABIC </w:instrText>
      </w:r>
      <w:r>
        <w:fldChar w:fldCharType="separate"/>
      </w:r>
      <w:r w:rsidR="003861AC">
        <w:rPr>
          <w:noProof/>
        </w:rPr>
        <w:t>1</w:t>
      </w:r>
      <w:r>
        <w:rPr>
          <w:noProof/>
        </w:rPr>
        <w:fldChar w:fldCharType="end"/>
      </w:r>
      <w:r w:rsidR="00170B92">
        <w:rPr>
          <w:noProof/>
        </w:rPr>
        <w:t>:</w:t>
      </w:r>
      <w:r>
        <w:t xml:space="preserve"> Nomenclature and structural formula of the active constituent brodifacoum</w:t>
      </w:r>
      <w:bookmarkEnd w:id="48"/>
      <w:bookmarkEnd w:id="49"/>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B124E3" w:rsidRPr="002D1539" w14:paraId="10533981" w14:textId="77777777" w:rsidTr="00533B55">
        <w:tc>
          <w:tcPr>
            <w:tcW w:w="1303" w:type="pct"/>
            <w:shd w:val="clear" w:color="auto" w:fill="53284F"/>
          </w:tcPr>
          <w:p w14:paraId="26FB0D30" w14:textId="77777777" w:rsidR="00B124E3" w:rsidRPr="00244B68" w:rsidRDefault="00B124E3" w:rsidP="00BA7F4F">
            <w:pPr>
              <w:pStyle w:val="TableHead"/>
            </w:pPr>
            <w:r w:rsidRPr="00244B68">
              <w:rPr>
                <w:lang w:val="en-US"/>
              </w:rPr>
              <w:t>Common Name</w:t>
            </w:r>
          </w:p>
        </w:tc>
        <w:tc>
          <w:tcPr>
            <w:tcW w:w="3697" w:type="pct"/>
          </w:tcPr>
          <w:p w14:paraId="0835BAFD" w14:textId="77777777" w:rsidR="00B124E3" w:rsidRPr="002D1539" w:rsidRDefault="00B124E3" w:rsidP="00BA7F4F">
            <w:pPr>
              <w:pStyle w:val="TableText"/>
              <w:rPr>
                <w:lang w:val="en-US"/>
              </w:rPr>
            </w:pPr>
            <w:r>
              <w:rPr>
                <w:lang w:val="en-US"/>
              </w:rPr>
              <w:t>Brodifacoum (ISO 1750)</w:t>
            </w:r>
          </w:p>
        </w:tc>
      </w:tr>
      <w:tr w:rsidR="00B124E3" w:rsidRPr="002D1539" w14:paraId="14A9CBE9" w14:textId="77777777" w:rsidTr="00533B55">
        <w:tc>
          <w:tcPr>
            <w:tcW w:w="1303" w:type="pct"/>
            <w:shd w:val="clear" w:color="auto" w:fill="53284F"/>
          </w:tcPr>
          <w:p w14:paraId="63D1C92D" w14:textId="77777777" w:rsidR="00B124E3" w:rsidRPr="00244B68" w:rsidRDefault="00B124E3" w:rsidP="00BA7F4F">
            <w:pPr>
              <w:pStyle w:val="TableHead"/>
              <w:rPr>
                <w:lang w:val="en-US"/>
              </w:rPr>
            </w:pPr>
            <w:r w:rsidRPr="00244B68">
              <w:rPr>
                <w:lang w:val="en-US"/>
              </w:rPr>
              <w:t>IUPAC Name</w:t>
            </w:r>
          </w:p>
        </w:tc>
        <w:tc>
          <w:tcPr>
            <w:tcW w:w="3697" w:type="pct"/>
          </w:tcPr>
          <w:p w14:paraId="021FAFD9" w14:textId="77777777" w:rsidR="00B124E3" w:rsidRPr="002D1539" w:rsidRDefault="00B124E3" w:rsidP="00BA7F4F">
            <w:pPr>
              <w:pStyle w:val="TableText"/>
              <w:rPr>
                <w:lang w:val="en-US"/>
              </w:rPr>
            </w:pPr>
            <w:r>
              <w:rPr>
                <w:lang w:val="en-US"/>
              </w:rPr>
              <w:t>3-[(1RS,3RS;1RS,3SR)-3-(4’-bromobiphenyl-4-yl)-1,2,3,4-tetrahydro-1-napthyl]-4-hydroxy-2H-chromen-2-one</w:t>
            </w:r>
          </w:p>
        </w:tc>
      </w:tr>
      <w:tr w:rsidR="00B124E3" w:rsidRPr="002D1539" w14:paraId="4845E610" w14:textId="77777777" w:rsidTr="00533B55">
        <w:tc>
          <w:tcPr>
            <w:tcW w:w="1303" w:type="pct"/>
            <w:shd w:val="clear" w:color="auto" w:fill="53284F"/>
          </w:tcPr>
          <w:p w14:paraId="51006657" w14:textId="77777777" w:rsidR="00B124E3" w:rsidRPr="00244B68" w:rsidRDefault="00B124E3" w:rsidP="00BA7F4F">
            <w:pPr>
              <w:pStyle w:val="TableHead"/>
              <w:rPr>
                <w:lang w:val="en-US"/>
              </w:rPr>
            </w:pPr>
            <w:r w:rsidRPr="00244B68">
              <w:rPr>
                <w:lang w:val="en-US"/>
              </w:rPr>
              <w:t>CAS Name</w:t>
            </w:r>
          </w:p>
        </w:tc>
        <w:tc>
          <w:tcPr>
            <w:tcW w:w="3697" w:type="pct"/>
          </w:tcPr>
          <w:p w14:paraId="1762E708" w14:textId="77777777" w:rsidR="00B124E3" w:rsidRPr="002D1539" w:rsidRDefault="00B124E3" w:rsidP="00BA7F4F">
            <w:pPr>
              <w:pStyle w:val="TableText"/>
              <w:rPr>
                <w:lang w:val="en-US"/>
              </w:rPr>
            </w:pPr>
            <w:r w:rsidRPr="00AA5403">
              <w:t>3-[3-(4′-bromo[1,1′-biphenyl]-4-yl)-1,2,3,4-tetrahydro-1-naphthalenyl]-4-hydroxy-2</w:t>
            </w:r>
            <w:r w:rsidRPr="00AA5403">
              <w:rPr>
                <w:i/>
                <w:iCs/>
              </w:rPr>
              <w:t>H</w:t>
            </w:r>
            <w:r w:rsidRPr="00AA5403">
              <w:t>-1-benzopyran-2-one</w:t>
            </w:r>
          </w:p>
        </w:tc>
      </w:tr>
      <w:tr w:rsidR="00B124E3" w:rsidRPr="002D1539" w14:paraId="052B5A7B" w14:textId="77777777" w:rsidTr="00533B55">
        <w:tc>
          <w:tcPr>
            <w:tcW w:w="1303" w:type="pct"/>
            <w:shd w:val="clear" w:color="auto" w:fill="53284F"/>
          </w:tcPr>
          <w:p w14:paraId="3C97CA94" w14:textId="77777777" w:rsidR="00B124E3" w:rsidRPr="00244B68" w:rsidRDefault="00B124E3" w:rsidP="00BA7F4F">
            <w:pPr>
              <w:pStyle w:val="TableHead"/>
              <w:rPr>
                <w:lang w:val="en-US"/>
              </w:rPr>
            </w:pPr>
            <w:r w:rsidRPr="00244B68">
              <w:rPr>
                <w:lang w:val="en-US"/>
              </w:rPr>
              <w:t>CAS Registry Number</w:t>
            </w:r>
          </w:p>
        </w:tc>
        <w:tc>
          <w:tcPr>
            <w:tcW w:w="3697" w:type="pct"/>
          </w:tcPr>
          <w:p w14:paraId="264376A5" w14:textId="77777777" w:rsidR="00B124E3" w:rsidRPr="002D1539" w:rsidRDefault="00B124E3" w:rsidP="00BA7F4F">
            <w:pPr>
              <w:pStyle w:val="TableText"/>
              <w:rPr>
                <w:lang w:val="en-US"/>
              </w:rPr>
            </w:pPr>
            <w:r>
              <w:rPr>
                <w:lang w:val="en-US"/>
              </w:rPr>
              <w:t>56073-10-0</w:t>
            </w:r>
          </w:p>
        </w:tc>
      </w:tr>
      <w:tr w:rsidR="00B124E3" w:rsidRPr="002D1539" w14:paraId="070D459A" w14:textId="77777777" w:rsidTr="00533B55">
        <w:tc>
          <w:tcPr>
            <w:tcW w:w="1303" w:type="pct"/>
            <w:shd w:val="clear" w:color="auto" w:fill="53284F"/>
          </w:tcPr>
          <w:p w14:paraId="6B3ADF8C" w14:textId="77777777" w:rsidR="00B124E3" w:rsidRPr="00244B68" w:rsidRDefault="00B124E3" w:rsidP="00BA7F4F">
            <w:pPr>
              <w:pStyle w:val="TableHead"/>
              <w:rPr>
                <w:lang w:val="en-US"/>
              </w:rPr>
            </w:pPr>
            <w:r w:rsidRPr="00244B68">
              <w:rPr>
                <w:lang w:val="en-US"/>
              </w:rPr>
              <w:t>EC Number</w:t>
            </w:r>
          </w:p>
        </w:tc>
        <w:tc>
          <w:tcPr>
            <w:tcW w:w="3697" w:type="pct"/>
          </w:tcPr>
          <w:p w14:paraId="4C9EE6E9" w14:textId="77777777" w:rsidR="00B124E3" w:rsidRPr="002D1539" w:rsidRDefault="00B124E3" w:rsidP="00BA7F4F">
            <w:pPr>
              <w:pStyle w:val="TableText"/>
              <w:rPr>
                <w:lang w:val="en-US"/>
              </w:rPr>
            </w:pPr>
            <w:r>
              <w:rPr>
                <w:lang w:val="en-US"/>
              </w:rPr>
              <w:t>259-980-5</w:t>
            </w:r>
          </w:p>
        </w:tc>
      </w:tr>
      <w:tr w:rsidR="00B124E3" w:rsidRPr="002D1539" w14:paraId="76CED525" w14:textId="77777777" w:rsidTr="00533B55">
        <w:tc>
          <w:tcPr>
            <w:tcW w:w="1303" w:type="pct"/>
            <w:shd w:val="clear" w:color="auto" w:fill="53284F"/>
          </w:tcPr>
          <w:p w14:paraId="2333C6F7" w14:textId="77777777" w:rsidR="00B124E3" w:rsidRPr="00244B68" w:rsidRDefault="00B124E3" w:rsidP="00BA7F4F">
            <w:pPr>
              <w:pStyle w:val="TableHead"/>
              <w:rPr>
                <w:lang w:val="en-US"/>
              </w:rPr>
            </w:pPr>
            <w:r w:rsidRPr="00244B68">
              <w:rPr>
                <w:lang w:val="en-US"/>
              </w:rPr>
              <w:t>Molecular Formula</w:t>
            </w:r>
          </w:p>
        </w:tc>
        <w:tc>
          <w:tcPr>
            <w:tcW w:w="3697" w:type="pct"/>
          </w:tcPr>
          <w:p w14:paraId="1464B70B" w14:textId="77777777" w:rsidR="00B124E3" w:rsidRPr="002D1539" w:rsidRDefault="00B124E3" w:rsidP="00BA7F4F">
            <w:pPr>
              <w:pStyle w:val="TableText"/>
              <w:rPr>
                <w:lang w:val="en-US"/>
              </w:rPr>
            </w:pPr>
            <w:r>
              <w:rPr>
                <w:lang w:val="en-US"/>
              </w:rPr>
              <w:t>C</w:t>
            </w:r>
            <w:r w:rsidRPr="00AA5403">
              <w:rPr>
                <w:vertAlign w:val="subscript"/>
                <w:lang w:val="en-US"/>
              </w:rPr>
              <w:t>31</w:t>
            </w:r>
            <w:r>
              <w:rPr>
                <w:lang w:val="en-US"/>
              </w:rPr>
              <w:t>H</w:t>
            </w:r>
            <w:r w:rsidRPr="00AA5403">
              <w:rPr>
                <w:vertAlign w:val="subscript"/>
                <w:lang w:val="en-US"/>
              </w:rPr>
              <w:t>23</w:t>
            </w:r>
            <w:r>
              <w:rPr>
                <w:lang w:val="en-US"/>
              </w:rPr>
              <w:t>BrO</w:t>
            </w:r>
            <w:r w:rsidRPr="00AA5403">
              <w:rPr>
                <w:vertAlign w:val="subscript"/>
                <w:lang w:val="en-US"/>
              </w:rPr>
              <w:t>3</w:t>
            </w:r>
          </w:p>
        </w:tc>
      </w:tr>
      <w:tr w:rsidR="00B124E3" w:rsidRPr="002D1539" w14:paraId="27A29BBC" w14:textId="77777777" w:rsidTr="00533B55">
        <w:tc>
          <w:tcPr>
            <w:tcW w:w="1303" w:type="pct"/>
            <w:shd w:val="clear" w:color="auto" w:fill="53284F"/>
          </w:tcPr>
          <w:p w14:paraId="77D3D676" w14:textId="77777777" w:rsidR="00B124E3" w:rsidRPr="00244B68" w:rsidRDefault="00B124E3" w:rsidP="00BA7F4F">
            <w:pPr>
              <w:pStyle w:val="TableHead"/>
              <w:rPr>
                <w:lang w:val="en-US"/>
              </w:rPr>
            </w:pPr>
            <w:r w:rsidRPr="00244B68">
              <w:rPr>
                <w:lang w:val="en-US"/>
              </w:rPr>
              <w:lastRenderedPageBreak/>
              <w:t>Molecular Weight</w:t>
            </w:r>
          </w:p>
        </w:tc>
        <w:tc>
          <w:tcPr>
            <w:tcW w:w="3697" w:type="pct"/>
          </w:tcPr>
          <w:p w14:paraId="14D76DF9" w14:textId="77777777" w:rsidR="00B124E3" w:rsidRPr="002D1539" w:rsidRDefault="00B124E3" w:rsidP="00BA7F4F">
            <w:pPr>
              <w:pStyle w:val="TableText"/>
              <w:rPr>
                <w:lang w:val="en-US"/>
              </w:rPr>
            </w:pPr>
            <w:r>
              <w:rPr>
                <w:lang w:val="en-US"/>
              </w:rPr>
              <w:t>523.4 gmol</w:t>
            </w:r>
            <w:r w:rsidRPr="00AA5403">
              <w:rPr>
                <w:vertAlign w:val="superscript"/>
                <w:lang w:val="en-US"/>
              </w:rPr>
              <w:t>-1</w:t>
            </w:r>
          </w:p>
        </w:tc>
      </w:tr>
      <w:tr w:rsidR="00B124E3" w:rsidRPr="002A150C" w14:paraId="7C8D20E9" w14:textId="77777777" w:rsidTr="00533B55">
        <w:trPr>
          <w:trHeight w:val="3735"/>
        </w:trPr>
        <w:tc>
          <w:tcPr>
            <w:tcW w:w="1303" w:type="pct"/>
            <w:shd w:val="clear" w:color="auto" w:fill="53284F"/>
          </w:tcPr>
          <w:p w14:paraId="243D5091" w14:textId="77777777" w:rsidR="00B124E3" w:rsidRPr="00244B68" w:rsidRDefault="00B124E3" w:rsidP="00BA7F4F">
            <w:pPr>
              <w:pStyle w:val="TableHead"/>
              <w:rPr>
                <w:lang w:val="en-US"/>
              </w:rPr>
            </w:pPr>
            <w:r w:rsidRPr="00244B68">
              <w:rPr>
                <w:lang w:val="en-US"/>
              </w:rPr>
              <w:t>Structure</w:t>
            </w:r>
          </w:p>
        </w:tc>
        <w:tc>
          <w:tcPr>
            <w:tcW w:w="3697" w:type="pct"/>
          </w:tcPr>
          <w:p w14:paraId="5F489946" w14:textId="77777777" w:rsidR="00B124E3" w:rsidRDefault="00B124E3" w:rsidP="00D8600D">
            <w:pPr>
              <w:spacing w:line="210" w:lineRule="exact"/>
              <w:rPr>
                <w:spacing w:val="6"/>
              </w:rPr>
            </w:pPr>
            <w:r w:rsidRPr="00CB5BDE">
              <w:rPr>
                <w:noProof/>
                <w:spacing w:val="6"/>
              </w:rPr>
              <w:drawing>
                <wp:anchor distT="0" distB="0" distL="114300" distR="114300" simplePos="0" relativeHeight="251659264" behindDoc="0" locked="0" layoutInCell="1" allowOverlap="1" wp14:anchorId="6975EAB1" wp14:editId="43C2E31A">
                  <wp:simplePos x="0" y="0"/>
                  <wp:positionH relativeFrom="column">
                    <wp:posOffset>-1905</wp:posOffset>
                  </wp:positionH>
                  <wp:positionV relativeFrom="paragraph">
                    <wp:posOffset>-133350</wp:posOffset>
                  </wp:positionV>
                  <wp:extent cx="4125600" cy="2106000"/>
                  <wp:effectExtent l="0" t="0" r="8255" b="8890"/>
                  <wp:wrapSquare wrapText="bothSides"/>
                  <wp:docPr id="2082416088"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6088" name="Picture 1" descr="A structure of a chemical formula&#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4125600" cy="2106000"/>
                          </a:xfrm>
                          <a:prstGeom prst="rect">
                            <a:avLst/>
                          </a:prstGeom>
                        </pic:spPr>
                      </pic:pic>
                    </a:graphicData>
                  </a:graphic>
                  <wp14:sizeRelH relativeFrom="margin">
                    <wp14:pctWidth>0</wp14:pctWidth>
                  </wp14:sizeRelH>
                  <wp14:sizeRelV relativeFrom="margin">
                    <wp14:pctHeight>0</wp14:pctHeight>
                  </wp14:sizeRelV>
                </wp:anchor>
              </w:drawing>
            </w:r>
          </w:p>
          <w:p w14:paraId="7F2D0105" w14:textId="77777777" w:rsidR="00B124E3" w:rsidRPr="002A150C" w:rsidRDefault="00B124E3" w:rsidP="00D8600D">
            <w:pPr>
              <w:spacing w:line="210" w:lineRule="exact"/>
              <w:jc w:val="center"/>
              <w:rPr>
                <w:spacing w:val="6"/>
              </w:rPr>
            </w:pPr>
          </w:p>
        </w:tc>
      </w:tr>
      <w:tr w:rsidR="00B124E3" w:rsidRPr="002D1539" w14:paraId="44834901" w14:textId="77777777" w:rsidTr="00533B55">
        <w:tc>
          <w:tcPr>
            <w:tcW w:w="1303" w:type="pct"/>
            <w:shd w:val="clear" w:color="auto" w:fill="53284F"/>
          </w:tcPr>
          <w:p w14:paraId="4D3493D6" w14:textId="77777777" w:rsidR="00B124E3" w:rsidRPr="00244B68" w:rsidRDefault="00B124E3" w:rsidP="00BA7F4F">
            <w:pPr>
              <w:pStyle w:val="TableHead"/>
              <w:rPr>
                <w:lang w:val="en-US"/>
              </w:rPr>
            </w:pPr>
            <w:r w:rsidRPr="00244B68">
              <w:rPr>
                <w:lang w:val="en-US"/>
              </w:rPr>
              <w:t>Chemical Family</w:t>
            </w:r>
          </w:p>
        </w:tc>
        <w:tc>
          <w:tcPr>
            <w:tcW w:w="3697" w:type="pct"/>
          </w:tcPr>
          <w:p w14:paraId="7518690F" w14:textId="77777777" w:rsidR="00B124E3" w:rsidRPr="002D1539" w:rsidRDefault="00B124E3" w:rsidP="00BA7F4F">
            <w:pPr>
              <w:pStyle w:val="TableText"/>
              <w:rPr>
                <w:lang w:val="en-US"/>
              </w:rPr>
            </w:pPr>
            <w:r>
              <w:rPr>
                <w:lang w:val="en-US"/>
              </w:rPr>
              <w:t>hydroxycoumarin</w:t>
            </w:r>
            <w:r w:rsidRPr="002D1539">
              <w:rPr>
                <w:lang w:val="en-US"/>
              </w:rPr>
              <w:tab/>
            </w:r>
          </w:p>
        </w:tc>
      </w:tr>
    </w:tbl>
    <w:p w14:paraId="1ABBB5A1" w14:textId="2ED0A342" w:rsidR="00E8257B" w:rsidRPr="00E8257B" w:rsidRDefault="00B124E3" w:rsidP="00E8257B">
      <w:pPr>
        <w:pStyle w:val="Caption"/>
      </w:pPr>
      <w:bookmarkStart w:id="50" w:name="_Toc213945978"/>
      <w:bookmarkStart w:id="51" w:name="_Toc216695664"/>
      <w:r w:rsidRPr="00E8257B">
        <w:t xml:space="preserve">Table </w:t>
      </w:r>
      <w:r w:rsidRPr="00BD2F8D">
        <w:fldChar w:fldCharType="begin"/>
      </w:r>
      <w:r w:rsidRPr="00E8257B">
        <w:instrText xml:space="preserve"> SEQ Table \* ARABIC </w:instrText>
      </w:r>
      <w:r w:rsidRPr="00BD2F8D">
        <w:fldChar w:fldCharType="separate"/>
      </w:r>
      <w:r w:rsidR="003861AC">
        <w:rPr>
          <w:noProof/>
        </w:rPr>
        <w:t>2</w:t>
      </w:r>
      <w:r w:rsidRPr="00BD2F8D">
        <w:fldChar w:fldCharType="end"/>
      </w:r>
      <w:r w:rsidRPr="00E8257B">
        <w:t xml:space="preserve"> Key physicochemical properties of the active constituent brodifacoum</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434"/>
        <w:gridCol w:w="3172"/>
      </w:tblGrid>
      <w:tr w:rsidR="00B124E3" w:rsidRPr="002A150C" w14:paraId="2BAEB9DB" w14:textId="77777777" w:rsidTr="00533B55">
        <w:tc>
          <w:tcPr>
            <w:tcW w:w="1569" w:type="pct"/>
            <w:shd w:val="clear" w:color="auto" w:fill="53284F"/>
          </w:tcPr>
          <w:p w14:paraId="3892E3F9" w14:textId="77777777" w:rsidR="00B124E3" w:rsidRPr="002D1539" w:rsidRDefault="00B124E3" w:rsidP="009F313A">
            <w:pPr>
              <w:pStyle w:val="TableHead"/>
              <w:rPr>
                <w:lang w:val="en-US"/>
              </w:rPr>
            </w:pPr>
            <w:r w:rsidRPr="002D1539">
              <w:rPr>
                <w:lang w:val="en-US"/>
              </w:rPr>
              <w:t>Parameters</w:t>
            </w:r>
          </w:p>
        </w:tc>
        <w:tc>
          <w:tcPr>
            <w:tcW w:w="1783" w:type="pct"/>
            <w:shd w:val="clear" w:color="auto" w:fill="53284F"/>
          </w:tcPr>
          <w:p w14:paraId="76409D06" w14:textId="77777777" w:rsidR="00B124E3" w:rsidRPr="002D1539" w:rsidRDefault="00B124E3" w:rsidP="009F313A">
            <w:pPr>
              <w:pStyle w:val="TableHead"/>
              <w:rPr>
                <w:lang w:val="en-US"/>
              </w:rPr>
            </w:pPr>
            <w:r w:rsidRPr="002D1539">
              <w:rPr>
                <w:lang w:val="en-US"/>
              </w:rPr>
              <w:t>Properties</w:t>
            </w:r>
          </w:p>
        </w:tc>
        <w:tc>
          <w:tcPr>
            <w:tcW w:w="1647" w:type="pct"/>
            <w:shd w:val="clear" w:color="auto" w:fill="53284F"/>
          </w:tcPr>
          <w:p w14:paraId="27D4D9A8" w14:textId="77777777" w:rsidR="00B124E3" w:rsidRPr="002D1539" w:rsidRDefault="00B124E3" w:rsidP="009F313A">
            <w:pPr>
              <w:pStyle w:val="TableHead"/>
              <w:rPr>
                <w:lang w:val="en-US"/>
              </w:rPr>
            </w:pPr>
            <w:r>
              <w:rPr>
                <w:lang w:val="en-US"/>
              </w:rPr>
              <w:t>Data source</w:t>
            </w:r>
          </w:p>
        </w:tc>
      </w:tr>
      <w:tr w:rsidR="00B124E3" w:rsidRPr="002A150C" w14:paraId="62EC9EEE" w14:textId="77777777" w:rsidTr="00533B55">
        <w:tc>
          <w:tcPr>
            <w:tcW w:w="1569" w:type="pct"/>
            <w:shd w:val="clear" w:color="auto" w:fill="F0F4F5"/>
          </w:tcPr>
          <w:p w14:paraId="691CC665" w14:textId="77777777" w:rsidR="00B124E3" w:rsidRPr="00244B68" w:rsidRDefault="00B124E3" w:rsidP="009F313A">
            <w:pPr>
              <w:pStyle w:val="TableText"/>
              <w:rPr>
                <w:lang w:val="en-US"/>
              </w:rPr>
            </w:pPr>
            <w:r>
              <w:rPr>
                <w:lang w:val="en-US"/>
              </w:rPr>
              <w:t>Appearance</w:t>
            </w:r>
          </w:p>
        </w:tc>
        <w:tc>
          <w:tcPr>
            <w:tcW w:w="1783" w:type="pct"/>
          </w:tcPr>
          <w:p w14:paraId="0FF4079B" w14:textId="77777777" w:rsidR="00B124E3" w:rsidRDefault="00B124E3" w:rsidP="009F313A">
            <w:pPr>
              <w:pStyle w:val="TableText"/>
              <w:rPr>
                <w:lang w:val="en-US"/>
              </w:rPr>
            </w:pPr>
            <w:r>
              <w:rPr>
                <w:lang w:val="en-US"/>
              </w:rPr>
              <w:t>White powder (purified active ingredient)</w:t>
            </w:r>
          </w:p>
          <w:p w14:paraId="1FD482E7" w14:textId="77777777" w:rsidR="00B124E3" w:rsidRPr="002D1539" w:rsidRDefault="00B124E3" w:rsidP="009F313A">
            <w:pPr>
              <w:pStyle w:val="TableText"/>
              <w:rPr>
                <w:lang w:val="en-US"/>
              </w:rPr>
            </w:pPr>
            <w:r>
              <w:rPr>
                <w:lang w:val="en-US"/>
              </w:rPr>
              <w:t>Off-white to buff powder (technical active ingredient)</w:t>
            </w:r>
          </w:p>
        </w:tc>
        <w:tc>
          <w:tcPr>
            <w:tcW w:w="1647" w:type="pct"/>
          </w:tcPr>
          <w:p w14:paraId="36AE973C" w14:textId="27FCEC54" w:rsidR="00B124E3" w:rsidRPr="00377F3A" w:rsidRDefault="00D22225" w:rsidP="009F313A">
            <w:pPr>
              <w:pStyle w:val="TableText"/>
            </w:pPr>
            <w:r w:rsidRPr="00377F3A">
              <w:t>BCPC, 2016</w:t>
            </w:r>
          </w:p>
        </w:tc>
      </w:tr>
      <w:tr w:rsidR="00B124E3" w:rsidRPr="002A150C" w14:paraId="3E1478CD" w14:textId="77777777" w:rsidTr="00533B55">
        <w:trPr>
          <w:trHeight w:val="543"/>
        </w:trPr>
        <w:tc>
          <w:tcPr>
            <w:tcW w:w="1569" w:type="pct"/>
            <w:shd w:val="clear" w:color="auto" w:fill="F0F4F5"/>
          </w:tcPr>
          <w:p w14:paraId="2A99EAE7" w14:textId="77777777" w:rsidR="00B124E3" w:rsidRPr="00244B68" w:rsidRDefault="00B124E3" w:rsidP="009F313A">
            <w:pPr>
              <w:pStyle w:val="TableText"/>
              <w:rPr>
                <w:lang w:val="en-US"/>
              </w:rPr>
            </w:pPr>
            <w:r w:rsidRPr="00244B68">
              <w:rPr>
                <w:lang w:val="en-US"/>
              </w:rPr>
              <w:t>Melting point</w:t>
            </w:r>
          </w:p>
        </w:tc>
        <w:tc>
          <w:tcPr>
            <w:tcW w:w="1783" w:type="pct"/>
          </w:tcPr>
          <w:p w14:paraId="6DD55C9B" w14:textId="77777777" w:rsidR="00B124E3" w:rsidRPr="002D1539" w:rsidRDefault="00B124E3" w:rsidP="009F313A">
            <w:pPr>
              <w:pStyle w:val="TableText"/>
              <w:rPr>
                <w:lang w:val="en-US"/>
              </w:rPr>
            </w:pPr>
            <w:r>
              <w:rPr>
                <w:lang w:val="en-US"/>
              </w:rPr>
              <w:t>228-232 °C (technical active ingredient)</w:t>
            </w:r>
          </w:p>
        </w:tc>
        <w:tc>
          <w:tcPr>
            <w:tcW w:w="1647" w:type="pct"/>
          </w:tcPr>
          <w:p w14:paraId="2D4EAB75" w14:textId="6A54188F" w:rsidR="00B124E3" w:rsidRPr="00377F3A" w:rsidRDefault="00D22225" w:rsidP="009F313A">
            <w:pPr>
              <w:pStyle w:val="TableText"/>
            </w:pPr>
            <w:r w:rsidRPr="00377F3A">
              <w:t>BCPC, 2016</w:t>
            </w:r>
          </w:p>
        </w:tc>
      </w:tr>
      <w:tr w:rsidR="00B124E3" w:rsidRPr="002A150C" w14:paraId="327C677A" w14:textId="77777777" w:rsidTr="00533B55">
        <w:trPr>
          <w:trHeight w:val="580"/>
        </w:trPr>
        <w:tc>
          <w:tcPr>
            <w:tcW w:w="1569" w:type="pct"/>
            <w:shd w:val="clear" w:color="auto" w:fill="F0F4F5"/>
          </w:tcPr>
          <w:p w14:paraId="326B2D63" w14:textId="77777777" w:rsidR="00B124E3" w:rsidRPr="00244B68" w:rsidRDefault="00B124E3" w:rsidP="009F313A">
            <w:pPr>
              <w:pStyle w:val="TableText"/>
              <w:rPr>
                <w:lang w:val="en-US"/>
              </w:rPr>
            </w:pPr>
            <w:r w:rsidRPr="00244B68">
              <w:rPr>
                <w:lang w:val="en-US"/>
              </w:rPr>
              <w:t xml:space="preserve">Density </w:t>
            </w:r>
          </w:p>
        </w:tc>
        <w:tc>
          <w:tcPr>
            <w:tcW w:w="1783" w:type="pct"/>
          </w:tcPr>
          <w:p w14:paraId="54B8EB6E" w14:textId="77777777" w:rsidR="00B124E3" w:rsidRPr="002D1539" w:rsidRDefault="00B124E3" w:rsidP="009F313A">
            <w:pPr>
              <w:pStyle w:val="TableText"/>
              <w:rPr>
                <w:lang w:val="en-US"/>
              </w:rPr>
            </w:pPr>
            <w:r>
              <w:rPr>
                <w:lang w:val="en-US"/>
              </w:rPr>
              <w:t>1.42 (25 °C, technical active ingredient)</w:t>
            </w:r>
          </w:p>
        </w:tc>
        <w:tc>
          <w:tcPr>
            <w:tcW w:w="1647" w:type="pct"/>
          </w:tcPr>
          <w:p w14:paraId="552CCB34" w14:textId="0D14B2EE" w:rsidR="00B124E3" w:rsidRPr="00377F3A" w:rsidRDefault="00D22225" w:rsidP="009F313A">
            <w:pPr>
              <w:pStyle w:val="TableText"/>
            </w:pPr>
            <w:r w:rsidRPr="00377F3A">
              <w:t>BCPC, 2016</w:t>
            </w:r>
          </w:p>
        </w:tc>
      </w:tr>
      <w:tr w:rsidR="00B124E3" w:rsidRPr="002A150C" w14:paraId="0C4C07D2" w14:textId="77777777" w:rsidTr="00533B55">
        <w:trPr>
          <w:trHeight w:val="475"/>
        </w:trPr>
        <w:tc>
          <w:tcPr>
            <w:tcW w:w="1569" w:type="pct"/>
            <w:shd w:val="clear" w:color="auto" w:fill="F0F4F5"/>
          </w:tcPr>
          <w:p w14:paraId="699A8823" w14:textId="77777777" w:rsidR="00B124E3" w:rsidRPr="00244B68" w:rsidRDefault="00B124E3" w:rsidP="009F313A">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p>
        </w:tc>
        <w:tc>
          <w:tcPr>
            <w:tcW w:w="1783" w:type="pct"/>
          </w:tcPr>
          <w:p w14:paraId="6865983B" w14:textId="77777777" w:rsidR="00B124E3" w:rsidRPr="002D1539" w:rsidRDefault="00B124E3" w:rsidP="009F313A">
            <w:pPr>
              <w:pStyle w:val="TableText"/>
              <w:rPr>
                <w:lang w:val="en-US"/>
              </w:rPr>
            </w:pPr>
            <w:r>
              <w:rPr>
                <w:lang w:val="en-US"/>
              </w:rPr>
              <w:t>8.5</w:t>
            </w:r>
          </w:p>
        </w:tc>
        <w:tc>
          <w:tcPr>
            <w:tcW w:w="1647" w:type="pct"/>
          </w:tcPr>
          <w:p w14:paraId="1C8DF065" w14:textId="03B05A12" w:rsidR="00B124E3" w:rsidRPr="00377F3A" w:rsidRDefault="00D22225" w:rsidP="009F313A">
            <w:pPr>
              <w:pStyle w:val="TableText"/>
            </w:pPr>
            <w:r w:rsidRPr="00377F3A">
              <w:t>BCPC, 2016</w:t>
            </w:r>
          </w:p>
        </w:tc>
      </w:tr>
      <w:tr w:rsidR="00B124E3" w:rsidRPr="002A150C" w14:paraId="359326EC" w14:textId="77777777" w:rsidTr="00533B55">
        <w:tc>
          <w:tcPr>
            <w:tcW w:w="1569" w:type="pct"/>
            <w:shd w:val="clear" w:color="auto" w:fill="F0F4F5"/>
          </w:tcPr>
          <w:p w14:paraId="5BD4AE72" w14:textId="77777777" w:rsidR="00B124E3" w:rsidRPr="00244B68" w:rsidRDefault="00B124E3" w:rsidP="009F313A">
            <w:pPr>
              <w:pStyle w:val="TableText"/>
              <w:rPr>
                <w:lang w:val="en-US"/>
              </w:rPr>
            </w:pPr>
            <w:r w:rsidRPr="00244B68">
              <w:rPr>
                <w:lang w:val="en-US"/>
              </w:rPr>
              <w:t>Vapour pressure</w:t>
            </w:r>
          </w:p>
        </w:tc>
        <w:tc>
          <w:tcPr>
            <w:tcW w:w="1783" w:type="pct"/>
          </w:tcPr>
          <w:p w14:paraId="09353D3C" w14:textId="77777777" w:rsidR="00B124E3" w:rsidRPr="002D1539" w:rsidRDefault="00B124E3" w:rsidP="009F313A">
            <w:pPr>
              <w:pStyle w:val="TableText"/>
              <w:rPr>
                <w:lang w:val="en-US"/>
              </w:rPr>
            </w:pPr>
            <w:r>
              <w:rPr>
                <w:lang w:val="en-US"/>
              </w:rPr>
              <w:t>&lt;0.001 mPa (20 °C, using gas saturation method)</w:t>
            </w:r>
          </w:p>
        </w:tc>
        <w:tc>
          <w:tcPr>
            <w:tcW w:w="1647" w:type="pct"/>
          </w:tcPr>
          <w:p w14:paraId="5A7AD6E6" w14:textId="778C994B" w:rsidR="00B124E3" w:rsidRPr="00377F3A" w:rsidRDefault="00D22225" w:rsidP="009F313A">
            <w:pPr>
              <w:pStyle w:val="TableText"/>
            </w:pPr>
            <w:r w:rsidRPr="00377F3A">
              <w:t>BCPC, 2016</w:t>
            </w:r>
          </w:p>
        </w:tc>
      </w:tr>
      <w:tr w:rsidR="00B124E3" w:rsidRPr="002A150C" w14:paraId="569E499B" w14:textId="77777777" w:rsidTr="00533B55">
        <w:tc>
          <w:tcPr>
            <w:tcW w:w="1569" w:type="pct"/>
            <w:shd w:val="clear" w:color="auto" w:fill="F0F4F5"/>
          </w:tcPr>
          <w:p w14:paraId="6948FEC1" w14:textId="77777777" w:rsidR="00B124E3" w:rsidRPr="00244B68" w:rsidRDefault="00B124E3" w:rsidP="009F313A">
            <w:pPr>
              <w:pStyle w:val="TableText"/>
              <w:rPr>
                <w:lang w:val="en-US"/>
              </w:rPr>
            </w:pPr>
            <w:r>
              <w:rPr>
                <w:lang w:val="en-US"/>
              </w:rPr>
              <w:t>Henry’s Law Constant</w:t>
            </w:r>
          </w:p>
        </w:tc>
        <w:tc>
          <w:tcPr>
            <w:tcW w:w="1783" w:type="pct"/>
          </w:tcPr>
          <w:p w14:paraId="306215D8" w14:textId="77777777" w:rsidR="00B124E3" w:rsidRDefault="00B124E3" w:rsidP="009F313A">
            <w:pPr>
              <w:pStyle w:val="TableText"/>
              <w:rPr>
                <w:lang w:val="en-US"/>
              </w:rPr>
            </w:pPr>
            <w:r>
              <w:rPr>
                <w:lang w:val="en-US"/>
              </w:rPr>
              <w:t>pH 5.2: &lt;0.1 Pa.m</w:t>
            </w:r>
            <w:r w:rsidRPr="00EA3A97">
              <w:rPr>
                <w:vertAlign w:val="superscript"/>
                <w:lang w:val="en-US"/>
              </w:rPr>
              <w:t>3</w:t>
            </w:r>
            <w:r>
              <w:rPr>
                <w:lang w:val="en-US"/>
              </w:rPr>
              <w:t>.mol</w:t>
            </w:r>
            <w:r w:rsidRPr="00EA3A97">
              <w:rPr>
                <w:vertAlign w:val="superscript"/>
                <w:lang w:val="en-US"/>
              </w:rPr>
              <w:t>-1</w:t>
            </w:r>
          </w:p>
          <w:p w14:paraId="3DECD03E" w14:textId="77777777" w:rsidR="00B124E3" w:rsidRDefault="00B124E3" w:rsidP="009F313A">
            <w:pPr>
              <w:pStyle w:val="TableText"/>
              <w:rPr>
                <w:lang w:val="en-US"/>
              </w:rPr>
            </w:pPr>
            <w:r>
              <w:rPr>
                <w:lang w:val="en-US"/>
              </w:rPr>
              <w:t>pH 7.4: &lt;0.001 Pa.m</w:t>
            </w:r>
            <w:r w:rsidRPr="00EA3A97">
              <w:rPr>
                <w:vertAlign w:val="superscript"/>
                <w:lang w:val="en-US"/>
              </w:rPr>
              <w:t>3</w:t>
            </w:r>
            <w:r>
              <w:rPr>
                <w:lang w:val="en-US"/>
              </w:rPr>
              <w:t>.mol</w:t>
            </w:r>
            <w:r w:rsidRPr="00EA3A97">
              <w:rPr>
                <w:vertAlign w:val="superscript"/>
                <w:lang w:val="en-US"/>
              </w:rPr>
              <w:t>-1</w:t>
            </w:r>
          </w:p>
          <w:p w14:paraId="40FDAD05" w14:textId="77777777" w:rsidR="00B124E3" w:rsidRPr="00EA3A97" w:rsidRDefault="00B124E3" w:rsidP="009F313A">
            <w:pPr>
              <w:pStyle w:val="TableText"/>
              <w:rPr>
                <w:b/>
                <w:bCs/>
                <w:lang w:val="en-US"/>
              </w:rPr>
            </w:pPr>
            <w:r>
              <w:rPr>
                <w:lang w:val="en-US"/>
              </w:rPr>
              <w:t>pH 9.3: &lt;1 × 10</w:t>
            </w:r>
            <w:r w:rsidRPr="00EA3A97">
              <w:rPr>
                <w:vertAlign w:val="superscript"/>
                <w:lang w:val="en-US"/>
              </w:rPr>
              <w:t>-5</w:t>
            </w:r>
            <w:r>
              <w:rPr>
                <w:lang w:val="en-US"/>
              </w:rPr>
              <w:t xml:space="preserve"> Pa.m</w:t>
            </w:r>
            <w:r w:rsidRPr="00EA3A97">
              <w:rPr>
                <w:vertAlign w:val="superscript"/>
                <w:lang w:val="en-US"/>
              </w:rPr>
              <w:t>3</w:t>
            </w:r>
            <w:r>
              <w:rPr>
                <w:lang w:val="en-US"/>
              </w:rPr>
              <w:t>.mol</w:t>
            </w:r>
            <w:r w:rsidRPr="00EA3A97">
              <w:rPr>
                <w:vertAlign w:val="superscript"/>
                <w:lang w:val="en-US"/>
              </w:rPr>
              <w:t>-1</w:t>
            </w:r>
          </w:p>
        </w:tc>
        <w:tc>
          <w:tcPr>
            <w:tcW w:w="1647" w:type="pct"/>
          </w:tcPr>
          <w:p w14:paraId="5EE37221" w14:textId="5C50A329" w:rsidR="00B124E3" w:rsidRPr="00377F3A" w:rsidRDefault="00D22225" w:rsidP="009F313A">
            <w:pPr>
              <w:pStyle w:val="TableText"/>
            </w:pPr>
            <w:r w:rsidRPr="00377F3A">
              <w:t>BCPC, 2016</w:t>
            </w:r>
          </w:p>
        </w:tc>
      </w:tr>
      <w:tr w:rsidR="00B124E3" w:rsidRPr="002A150C" w14:paraId="0DB15780" w14:textId="77777777" w:rsidTr="00533B55">
        <w:trPr>
          <w:trHeight w:val="910"/>
        </w:trPr>
        <w:tc>
          <w:tcPr>
            <w:tcW w:w="1569" w:type="pct"/>
            <w:shd w:val="clear" w:color="auto" w:fill="F0F4F5"/>
          </w:tcPr>
          <w:p w14:paraId="117AB58C" w14:textId="77777777" w:rsidR="00B124E3" w:rsidRPr="00244B68" w:rsidRDefault="00B124E3" w:rsidP="009F313A">
            <w:pPr>
              <w:pStyle w:val="TableText"/>
              <w:rPr>
                <w:lang w:val="en-US"/>
              </w:rPr>
            </w:pPr>
            <w:r>
              <w:rPr>
                <w:lang w:val="en-US"/>
              </w:rPr>
              <w:t>Water s</w:t>
            </w:r>
            <w:r w:rsidRPr="00244B68">
              <w:rPr>
                <w:lang w:val="en-US"/>
              </w:rPr>
              <w:t>olubility</w:t>
            </w:r>
          </w:p>
        </w:tc>
        <w:tc>
          <w:tcPr>
            <w:tcW w:w="1783" w:type="pct"/>
          </w:tcPr>
          <w:p w14:paraId="2B938777" w14:textId="77777777" w:rsidR="00B124E3" w:rsidRPr="005B27FD" w:rsidRDefault="00B124E3" w:rsidP="009F313A">
            <w:pPr>
              <w:pStyle w:val="TableText"/>
              <w:rPr>
                <w:lang w:val="de-CH"/>
              </w:rPr>
            </w:pPr>
            <w:r w:rsidRPr="005B27FD">
              <w:rPr>
                <w:lang w:val="de-CH"/>
              </w:rPr>
              <w:t>pH 5.2: 3.8 × 10</w:t>
            </w:r>
            <w:r w:rsidRPr="001549D4">
              <w:rPr>
                <w:vertAlign w:val="superscript"/>
                <w:lang w:val="de-CH"/>
              </w:rPr>
              <w:t>-</w:t>
            </w:r>
            <w:r w:rsidRPr="005B27FD">
              <w:rPr>
                <w:vertAlign w:val="superscript"/>
                <w:lang w:val="de-CH"/>
              </w:rPr>
              <w:t>3</w:t>
            </w:r>
            <w:r w:rsidRPr="005B27FD">
              <w:rPr>
                <w:lang w:val="de-CH"/>
              </w:rPr>
              <w:t xml:space="preserve"> mg/L</w:t>
            </w:r>
          </w:p>
          <w:p w14:paraId="55C09E45" w14:textId="77777777" w:rsidR="00B124E3" w:rsidRPr="005B27FD" w:rsidRDefault="00B124E3" w:rsidP="009F313A">
            <w:pPr>
              <w:pStyle w:val="TableText"/>
              <w:rPr>
                <w:lang w:val="de-CH"/>
              </w:rPr>
            </w:pPr>
            <w:r w:rsidRPr="005B27FD">
              <w:rPr>
                <w:lang w:val="de-CH"/>
              </w:rPr>
              <w:t>pH 7.4: 0.24 mg/L</w:t>
            </w:r>
          </w:p>
          <w:p w14:paraId="5984A631" w14:textId="77777777" w:rsidR="00B124E3" w:rsidRPr="005B27FD" w:rsidRDefault="00B124E3" w:rsidP="009F313A">
            <w:pPr>
              <w:pStyle w:val="TableText"/>
              <w:rPr>
                <w:lang w:val="de-CH"/>
              </w:rPr>
            </w:pPr>
            <w:r w:rsidRPr="005B27FD">
              <w:rPr>
                <w:lang w:val="de-CH"/>
              </w:rPr>
              <w:t>pH 9.3: 10 mg/L</w:t>
            </w:r>
          </w:p>
          <w:p w14:paraId="50E87992" w14:textId="77777777" w:rsidR="00B124E3" w:rsidRPr="002D1539" w:rsidRDefault="00B124E3" w:rsidP="009F313A">
            <w:pPr>
              <w:pStyle w:val="TableText"/>
              <w:rPr>
                <w:lang w:val="en-US"/>
              </w:rPr>
            </w:pPr>
            <w:r>
              <w:rPr>
                <w:lang w:val="en-US"/>
              </w:rPr>
              <w:t>(all at 20 °C)</w:t>
            </w:r>
          </w:p>
        </w:tc>
        <w:tc>
          <w:tcPr>
            <w:tcW w:w="1647" w:type="pct"/>
          </w:tcPr>
          <w:p w14:paraId="018CB2BB" w14:textId="683B677C" w:rsidR="00B124E3" w:rsidRPr="00377F3A" w:rsidRDefault="00D22225" w:rsidP="009F313A">
            <w:pPr>
              <w:pStyle w:val="TableText"/>
            </w:pPr>
            <w:r w:rsidRPr="00377F3A">
              <w:t>BCPC, 2016</w:t>
            </w:r>
          </w:p>
        </w:tc>
      </w:tr>
      <w:tr w:rsidR="00B124E3" w:rsidRPr="002A150C" w14:paraId="05A843DA" w14:textId="77777777" w:rsidTr="00533B55">
        <w:tc>
          <w:tcPr>
            <w:tcW w:w="1569" w:type="pct"/>
            <w:shd w:val="clear" w:color="auto" w:fill="F0F4F5"/>
          </w:tcPr>
          <w:p w14:paraId="67767961" w14:textId="77777777" w:rsidR="00B124E3" w:rsidRDefault="00B124E3" w:rsidP="009F313A">
            <w:pPr>
              <w:pStyle w:val="TableText"/>
              <w:rPr>
                <w:lang w:val="en-US"/>
              </w:rPr>
            </w:pPr>
            <w:r>
              <w:rPr>
                <w:lang w:val="en-US"/>
              </w:rPr>
              <w:lastRenderedPageBreak/>
              <w:t>Organic solvent solubility</w:t>
            </w:r>
          </w:p>
        </w:tc>
        <w:tc>
          <w:tcPr>
            <w:tcW w:w="1783" w:type="pct"/>
          </w:tcPr>
          <w:p w14:paraId="471B6634" w14:textId="77777777" w:rsidR="00B124E3" w:rsidRDefault="00B124E3" w:rsidP="009F313A">
            <w:pPr>
              <w:pStyle w:val="TableText"/>
              <w:rPr>
                <w:lang w:val="en-US"/>
              </w:rPr>
            </w:pPr>
            <w:r>
              <w:rPr>
                <w:lang w:val="en-US"/>
              </w:rPr>
              <w:t>Acetone: 23 g/L</w:t>
            </w:r>
          </w:p>
          <w:p w14:paraId="012CA087" w14:textId="77777777" w:rsidR="00B124E3" w:rsidRDefault="00B124E3" w:rsidP="009F313A">
            <w:pPr>
              <w:pStyle w:val="TableText"/>
              <w:rPr>
                <w:lang w:val="en-US"/>
              </w:rPr>
            </w:pPr>
            <w:r>
              <w:rPr>
                <w:lang w:val="en-US"/>
              </w:rPr>
              <w:t>Dichloromethane: 50 g/L</w:t>
            </w:r>
          </w:p>
          <w:p w14:paraId="28170109" w14:textId="77777777" w:rsidR="00B124E3" w:rsidRDefault="00B124E3" w:rsidP="009F313A">
            <w:pPr>
              <w:pStyle w:val="TableText"/>
              <w:rPr>
                <w:lang w:val="en-US"/>
              </w:rPr>
            </w:pPr>
            <w:r>
              <w:rPr>
                <w:lang w:val="en-US"/>
              </w:rPr>
              <w:t>Toluene: 72. g/L</w:t>
            </w:r>
          </w:p>
          <w:p w14:paraId="158F6D45" w14:textId="77777777" w:rsidR="00B124E3" w:rsidRPr="002D1539" w:rsidRDefault="00B124E3" w:rsidP="009F313A">
            <w:pPr>
              <w:pStyle w:val="TableText"/>
              <w:rPr>
                <w:lang w:val="en-US"/>
              </w:rPr>
            </w:pPr>
            <w:r>
              <w:rPr>
                <w:lang w:val="en-US"/>
              </w:rPr>
              <w:t>(all at 20 °C)</w:t>
            </w:r>
          </w:p>
        </w:tc>
        <w:tc>
          <w:tcPr>
            <w:tcW w:w="1647" w:type="pct"/>
          </w:tcPr>
          <w:p w14:paraId="3A5FBB7B" w14:textId="2FCF8F43" w:rsidR="00B124E3" w:rsidRPr="00377F3A" w:rsidRDefault="00D22225" w:rsidP="009F313A">
            <w:pPr>
              <w:pStyle w:val="TableText"/>
            </w:pPr>
            <w:r w:rsidRPr="00377F3A">
              <w:t>BCPC, 2016</w:t>
            </w:r>
          </w:p>
        </w:tc>
      </w:tr>
      <w:tr w:rsidR="00B124E3" w:rsidRPr="002A150C" w14:paraId="799DAC49" w14:textId="77777777" w:rsidTr="00533B55">
        <w:tc>
          <w:tcPr>
            <w:tcW w:w="1569" w:type="pct"/>
            <w:shd w:val="clear" w:color="auto" w:fill="F0F4F5"/>
          </w:tcPr>
          <w:p w14:paraId="233FBC0B" w14:textId="77777777" w:rsidR="00B124E3" w:rsidRDefault="00B124E3" w:rsidP="009F313A">
            <w:pPr>
              <w:pStyle w:val="TableText"/>
              <w:rPr>
                <w:lang w:val="en-US"/>
              </w:rPr>
            </w:pPr>
            <w:r>
              <w:rPr>
                <w:lang w:val="en-US"/>
              </w:rPr>
              <w:t>Hydrolysis</w:t>
            </w:r>
          </w:p>
        </w:tc>
        <w:tc>
          <w:tcPr>
            <w:tcW w:w="1783" w:type="pct"/>
          </w:tcPr>
          <w:p w14:paraId="5F1DAE29" w14:textId="77777777" w:rsidR="00B124E3" w:rsidRDefault="00B124E3" w:rsidP="009F313A">
            <w:pPr>
              <w:pStyle w:val="TableText"/>
              <w:rPr>
                <w:lang w:val="en-US"/>
              </w:rPr>
            </w:pPr>
            <w:r>
              <w:rPr>
                <w:lang w:val="en-US"/>
              </w:rPr>
              <w:t>pH 5: DT</w:t>
            </w:r>
            <w:r w:rsidRPr="005B27FD">
              <w:rPr>
                <w:vertAlign w:val="subscript"/>
                <w:lang w:val="en-US"/>
              </w:rPr>
              <w:t>50</w:t>
            </w:r>
            <w:r>
              <w:rPr>
                <w:lang w:val="en-US"/>
              </w:rPr>
              <w:t xml:space="preserve"> approximately 173 days</w:t>
            </w:r>
          </w:p>
          <w:p w14:paraId="10AF55A1" w14:textId="77777777" w:rsidR="00B124E3" w:rsidRDefault="00B124E3" w:rsidP="009F313A">
            <w:pPr>
              <w:pStyle w:val="TableText"/>
              <w:rPr>
                <w:lang w:val="en-US"/>
              </w:rPr>
            </w:pPr>
            <w:r>
              <w:rPr>
                <w:lang w:val="en-US"/>
              </w:rPr>
              <w:t>pH 7: DT</w:t>
            </w:r>
            <w:r w:rsidRPr="005B27FD">
              <w:rPr>
                <w:vertAlign w:val="subscript"/>
                <w:lang w:val="en-US"/>
              </w:rPr>
              <w:t>50</w:t>
            </w:r>
            <w:r>
              <w:rPr>
                <w:lang w:val="en-US"/>
              </w:rPr>
              <w:t xml:space="preserve"> approximately 300 days</w:t>
            </w:r>
          </w:p>
          <w:p w14:paraId="3174C932" w14:textId="77777777" w:rsidR="00B124E3" w:rsidRPr="000704F4" w:rsidRDefault="00B124E3" w:rsidP="009F313A">
            <w:pPr>
              <w:pStyle w:val="TableText"/>
              <w:rPr>
                <w:lang w:val="en-US"/>
              </w:rPr>
            </w:pPr>
            <w:r>
              <w:rPr>
                <w:lang w:val="en-US"/>
              </w:rPr>
              <w:t>Stable to hydrolysis at pH 9</w:t>
            </w:r>
          </w:p>
        </w:tc>
        <w:tc>
          <w:tcPr>
            <w:tcW w:w="1647" w:type="pct"/>
          </w:tcPr>
          <w:p w14:paraId="6857567B" w14:textId="00C0AD67" w:rsidR="00B124E3" w:rsidRPr="00377F3A" w:rsidRDefault="00C66440" w:rsidP="009F313A">
            <w:pPr>
              <w:pStyle w:val="TableText"/>
            </w:pPr>
            <w:r w:rsidRPr="00377F3A">
              <w:t xml:space="preserve">Mathis, S.M.G., </w:t>
            </w:r>
            <w:r w:rsidR="00B7183A" w:rsidRPr="00B7183A">
              <w:rPr>
                <w:i/>
                <w:iCs/>
              </w:rPr>
              <w:t>et al</w:t>
            </w:r>
            <w:r w:rsidRPr="00377F3A">
              <w:t>, 1995</w:t>
            </w:r>
          </w:p>
        </w:tc>
      </w:tr>
    </w:tbl>
    <w:p w14:paraId="16E530F7" w14:textId="34696B59" w:rsidR="004B7447" w:rsidRDefault="00B124E3" w:rsidP="00B124E3">
      <w:pPr>
        <w:pStyle w:val="NormalText"/>
      </w:pPr>
      <w:r>
        <w:t>Brodifacoum may be supplied to end</w:t>
      </w:r>
      <w:r w:rsidR="004B7447">
        <w:t>-</w:t>
      </w:r>
      <w:r>
        <w:t xml:space="preserve">use product manufacturers in the form of the technical active constituent (TC), with a purity at or above 90%, or as a technical concentrate (manufacturing concentrate) </w:t>
      </w:r>
      <w:r w:rsidR="000C5979">
        <w:t>(</w:t>
      </w:r>
      <w:r>
        <w:t>TK</w:t>
      </w:r>
      <w:r w:rsidR="000C5979">
        <w:t>)</w:t>
      </w:r>
      <w:r>
        <w:t>.</w:t>
      </w:r>
    </w:p>
    <w:p w14:paraId="356E9321" w14:textId="4B48001C" w:rsidR="00B124E3" w:rsidRDefault="00B124E3" w:rsidP="00B124E3">
      <w:pPr>
        <w:pStyle w:val="NormalText"/>
      </w:pPr>
      <w:r>
        <w:t>Manufacturing concentrates are generally prepared using a glycol solvent</w:t>
      </w:r>
      <w:r w:rsidR="004B7447">
        <w:t>,</w:t>
      </w:r>
      <w:r>
        <w:t xml:space="preserve"> such as propylene glycol</w:t>
      </w:r>
      <w:r w:rsidR="004B7447">
        <w:t>,</w:t>
      </w:r>
      <w:r>
        <w:t xml:space="preserve"> and typically contain 0.25-2.5% w/w brodifacoum. The manufacturing concentrates facilitate the even distribution of the active constituent during the manufacture of the end use products </w:t>
      </w:r>
      <w:r w:rsidR="004B7447">
        <w:t>—</w:t>
      </w:r>
      <w:r>
        <w:t xml:space="preserve"> which have a relatively low active constituent loading, typically 0.05 g/kg (50 mg/kg or 0.005% w/w)</w:t>
      </w:r>
      <w:r w:rsidR="004B7447">
        <w:t xml:space="preserve"> —</w:t>
      </w:r>
      <w:r w:rsidR="000C5979">
        <w:t xml:space="preserve"> </w:t>
      </w:r>
      <w:r w:rsidR="00B81336">
        <w:t>as well as</w:t>
      </w:r>
      <w:r w:rsidR="000C5979">
        <w:t xml:space="preserve"> </w:t>
      </w:r>
      <w:r>
        <w:t>pos</w:t>
      </w:r>
      <w:r w:rsidR="00B81336">
        <w:t>ing</w:t>
      </w:r>
      <w:r>
        <w:t xml:space="preserve"> a lower risk to workers. Denatonium benzoate is commonly included in manufacturing concentrates as a bittering agent, typically at 20% of the brodifacoum content, along with a dye to aid in colouring the end use product.</w:t>
      </w:r>
    </w:p>
    <w:p w14:paraId="6E0F3227" w14:textId="1DB774C7" w:rsidR="00B124E3" w:rsidRDefault="00B81336" w:rsidP="00B124E3">
      <w:pPr>
        <w:pStyle w:val="NormalText"/>
      </w:pPr>
      <w:r>
        <w:t>The</w:t>
      </w:r>
      <w:r w:rsidR="00EF2B5A">
        <w:t xml:space="preserve"> APVMA</w:t>
      </w:r>
      <w:r w:rsidR="00B124E3">
        <w:t xml:space="preserve"> </w:t>
      </w:r>
      <w:r>
        <w:t xml:space="preserve">Record lists 8 approved sources of brodifacoum </w:t>
      </w:r>
      <w:r w:rsidR="00B124E3">
        <w:t xml:space="preserve">active constituent, </w:t>
      </w:r>
      <w:r>
        <w:t>with</w:t>
      </w:r>
      <w:r w:rsidR="004A19AF">
        <w:t xml:space="preserve"> </w:t>
      </w:r>
      <w:r w:rsidR="000C5979">
        <w:t>3</w:t>
      </w:r>
      <w:r w:rsidR="00B124E3">
        <w:t xml:space="preserve"> </w:t>
      </w:r>
      <w:r>
        <w:t>sources specifying they are a</w:t>
      </w:r>
      <w:r w:rsidR="0006354A">
        <w:t xml:space="preserve"> m</w:t>
      </w:r>
      <w:r w:rsidR="00B124E3">
        <w:t xml:space="preserve">anufacturing concentrate. </w:t>
      </w:r>
      <w:r w:rsidR="00BA50B0">
        <w:t xml:space="preserve">A summary of the </w:t>
      </w:r>
      <w:r w:rsidR="0053032B">
        <w:t>current brodifacoum active constituent approvals and recommendations</w:t>
      </w:r>
      <w:r w:rsidR="004B7447">
        <w:t>,</w:t>
      </w:r>
      <w:r w:rsidR="0053032B">
        <w:t xml:space="preserve"> based on review of the information entered in the APVMA’s Record of active constituent approvals</w:t>
      </w:r>
      <w:r w:rsidR="004B7447">
        <w:t>,</w:t>
      </w:r>
      <w:r w:rsidR="0053032B">
        <w:t xml:space="preserve"> is provided in </w:t>
      </w:r>
      <w:r w:rsidR="0053032B">
        <w:fldChar w:fldCharType="begin"/>
      </w:r>
      <w:r w:rsidR="0053032B">
        <w:instrText xml:space="preserve"> REF _Ref212835974 \h </w:instrText>
      </w:r>
      <w:r w:rsidR="0053032B">
        <w:fldChar w:fldCharType="separate"/>
      </w:r>
      <w:r w:rsidR="003861AC" w:rsidRPr="00E8257B">
        <w:t xml:space="preserve">Table </w:t>
      </w:r>
      <w:r w:rsidR="003861AC">
        <w:rPr>
          <w:noProof/>
        </w:rPr>
        <w:t>3</w:t>
      </w:r>
      <w:r w:rsidR="0053032B">
        <w:fldChar w:fldCharType="end"/>
      </w:r>
      <w:r w:rsidR="0053032B">
        <w:t xml:space="preserve">. </w:t>
      </w:r>
      <w:r w:rsidR="001C6D19">
        <w:t>Conditional approval, requiring confirmation of the composition and purity of the active constituent and the provision of adequate supporting information, is recommended in instances where potential inconsistencies in the APVMA Record have been identified with respect to whether the active constituent is manufactured and supplied as a technical material or manufacturing concentrate.</w:t>
      </w:r>
    </w:p>
    <w:p w14:paraId="5803E1DA" w14:textId="71DB24C0" w:rsidR="00B124E3" w:rsidRPr="00E8257B" w:rsidRDefault="00B124E3" w:rsidP="00E8257B">
      <w:pPr>
        <w:pStyle w:val="Caption"/>
      </w:pPr>
      <w:bookmarkStart w:id="52" w:name="_Ref212835974"/>
      <w:bookmarkStart w:id="53" w:name="_Toc213945979"/>
      <w:bookmarkStart w:id="54" w:name="_Toc216695665"/>
      <w:r w:rsidRPr="00E8257B">
        <w:lastRenderedPageBreak/>
        <w:t xml:space="preserve">Table </w:t>
      </w:r>
      <w:r w:rsidRPr="00BD2F8D">
        <w:fldChar w:fldCharType="begin"/>
      </w:r>
      <w:r w:rsidRPr="00E8257B">
        <w:instrText xml:space="preserve"> SEQ Table \* ARABIC </w:instrText>
      </w:r>
      <w:r w:rsidRPr="00BD2F8D">
        <w:fldChar w:fldCharType="separate"/>
      </w:r>
      <w:r w:rsidR="003861AC">
        <w:rPr>
          <w:noProof/>
        </w:rPr>
        <w:t>3</w:t>
      </w:r>
      <w:r w:rsidRPr="00BD2F8D">
        <w:fldChar w:fldCharType="end"/>
      </w:r>
      <w:bookmarkEnd w:id="52"/>
      <w:r w:rsidRPr="00E8257B">
        <w:t xml:space="preserve"> Current active approvals for brodifacoum</w:t>
      </w:r>
      <w:bookmarkEnd w:id="53"/>
      <w:bookmarkEnd w:id="54"/>
    </w:p>
    <w:tbl>
      <w:tblPr>
        <w:tblStyle w:val="TableGrid"/>
        <w:tblW w:w="5000" w:type="pct"/>
        <w:tblLook w:val="04A0" w:firstRow="1" w:lastRow="0" w:firstColumn="1" w:lastColumn="0" w:noHBand="0" w:noVBand="1"/>
      </w:tblPr>
      <w:tblGrid>
        <w:gridCol w:w="1405"/>
        <w:gridCol w:w="2616"/>
        <w:gridCol w:w="2588"/>
        <w:gridCol w:w="3019"/>
      </w:tblGrid>
      <w:tr w:rsidR="00E8257B" w14:paraId="4FA55514" w14:textId="77777777" w:rsidTr="0017134F">
        <w:trPr>
          <w:tblHeader/>
        </w:trPr>
        <w:tc>
          <w:tcPr>
            <w:tcW w:w="729" w:type="pct"/>
            <w:shd w:val="clear" w:color="auto" w:fill="53284F"/>
          </w:tcPr>
          <w:p w14:paraId="27FC4063" w14:textId="77777777" w:rsidR="00E8257B" w:rsidRPr="0017134F" w:rsidRDefault="00E8257B" w:rsidP="00BA7F4F">
            <w:pPr>
              <w:pStyle w:val="TableHead"/>
            </w:pPr>
            <w:r w:rsidRPr="0017134F">
              <w:t>Approval number</w:t>
            </w:r>
          </w:p>
        </w:tc>
        <w:tc>
          <w:tcPr>
            <w:tcW w:w="1358" w:type="pct"/>
            <w:shd w:val="clear" w:color="auto" w:fill="53284F"/>
          </w:tcPr>
          <w:p w14:paraId="133EE7CA" w14:textId="77777777" w:rsidR="00E8257B" w:rsidRPr="0017134F" w:rsidRDefault="00E8257B" w:rsidP="00BA7F4F">
            <w:pPr>
              <w:pStyle w:val="TableHead"/>
            </w:pPr>
            <w:r w:rsidRPr="0017134F">
              <w:t>Name</w:t>
            </w:r>
          </w:p>
        </w:tc>
        <w:tc>
          <w:tcPr>
            <w:tcW w:w="1344" w:type="pct"/>
            <w:shd w:val="clear" w:color="auto" w:fill="53284F"/>
          </w:tcPr>
          <w:p w14:paraId="3B6B6853" w14:textId="4AC639BA" w:rsidR="00E8257B" w:rsidRPr="0017134F" w:rsidRDefault="00E8257B" w:rsidP="00BA7F4F">
            <w:pPr>
              <w:pStyle w:val="TableHead"/>
            </w:pPr>
            <w:r w:rsidRPr="0017134F">
              <w:t>Approval holder</w:t>
            </w:r>
          </w:p>
        </w:tc>
        <w:tc>
          <w:tcPr>
            <w:tcW w:w="1568" w:type="pct"/>
            <w:shd w:val="clear" w:color="auto" w:fill="53284F"/>
          </w:tcPr>
          <w:p w14:paraId="7116595E" w14:textId="3F6F3A3E" w:rsidR="00E8257B" w:rsidRPr="0017134F" w:rsidRDefault="00E8257B" w:rsidP="00BA7F4F">
            <w:pPr>
              <w:pStyle w:val="TableHead"/>
            </w:pPr>
            <w:r w:rsidRPr="0017134F">
              <w:t>Recommendation</w:t>
            </w:r>
          </w:p>
        </w:tc>
      </w:tr>
      <w:tr w:rsidR="00E8257B" w14:paraId="71E0DCC7" w14:textId="77777777" w:rsidTr="00BB31F7">
        <w:trPr>
          <w:tblHeader/>
        </w:trPr>
        <w:tc>
          <w:tcPr>
            <w:tcW w:w="729" w:type="pct"/>
          </w:tcPr>
          <w:p w14:paraId="14BDB324" w14:textId="77777777" w:rsidR="00E8257B" w:rsidRPr="00BD2F8D" w:rsidRDefault="00E8257B" w:rsidP="00BA7F4F">
            <w:pPr>
              <w:pStyle w:val="TableText"/>
            </w:pPr>
            <w:r w:rsidRPr="00BD2F8D">
              <w:t>44191</w:t>
            </w:r>
          </w:p>
        </w:tc>
        <w:tc>
          <w:tcPr>
            <w:tcW w:w="1358" w:type="pct"/>
          </w:tcPr>
          <w:p w14:paraId="4C8E1B82" w14:textId="1C2E7A5E" w:rsidR="00E8257B" w:rsidRPr="00BD2F8D" w:rsidRDefault="00E8257B" w:rsidP="00BA7F4F">
            <w:pPr>
              <w:pStyle w:val="TableText"/>
            </w:pPr>
            <w:r w:rsidRPr="00BD2F8D">
              <w:t>Brodifacoum manufacturing concentrate</w:t>
            </w:r>
          </w:p>
        </w:tc>
        <w:tc>
          <w:tcPr>
            <w:tcW w:w="1344" w:type="pct"/>
          </w:tcPr>
          <w:p w14:paraId="3C193431" w14:textId="31A17B00" w:rsidR="00E8257B" w:rsidRPr="00BD2F8D" w:rsidRDefault="00E8257B" w:rsidP="00BA7F4F">
            <w:pPr>
              <w:pStyle w:val="TableText"/>
            </w:pPr>
            <w:r w:rsidRPr="00BD2F8D">
              <w:t>Syngenta Australia Pty Ltd</w:t>
            </w:r>
          </w:p>
        </w:tc>
        <w:tc>
          <w:tcPr>
            <w:tcW w:w="1568" w:type="pct"/>
          </w:tcPr>
          <w:p w14:paraId="2893432C" w14:textId="42769BEA" w:rsidR="00E8257B" w:rsidRPr="00BD2F8D" w:rsidRDefault="004A19AF" w:rsidP="00BA7F4F">
            <w:pPr>
              <w:pStyle w:val="TableText"/>
            </w:pPr>
            <w:r>
              <w:t>Affirm approval</w:t>
            </w:r>
          </w:p>
        </w:tc>
      </w:tr>
      <w:tr w:rsidR="00E8257B" w14:paraId="39546F52" w14:textId="77777777" w:rsidTr="00BB31F7">
        <w:trPr>
          <w:tblHeader/>
        </w:trPr>
        <w:tc>
          <w:tcPr>
            <w:tcW w:w="729" w:type="pct"/>
          </w:tcPr>
          <w:p w14:paraId="5A82AEAF" w14:textId="77777777" w:rsidR="00E8257B" w:rsidRPr="00BD2F8D" w:rsidRDefault="00E8257B" w:rsidP="00BA7F4F">
            <w:pPr>
              <w:pStyle w:val="TableText"/>
            </w:pPr>
            <w:r w:rsidRPr="00BD2F8D">
              <w:t>44192</w:t>
            </w:r>
          </w:p>
        </w:tc>
        <w:tc>
          <w:tcPr>
            <w:tcW w:w="1358" w:type="pct"/>
          </w:tcPr>
          <w:p w14:paraId="62745B18" w14:textId="77777777" w:rsidR="00E8257B" w:rsidRPr="00BD2F8D" w:rsidRDefault="00E8257B" w:rsidP="00BA7F4F">
            <w:pPr>
              <w:pStyle w:val="TableText"/>
            </w:pPr>
            <w:r w:rsidRPr="00BD2F8D">
              <w:t>Brodifacoum</w:t>
            </w:r>
          </w:p>
        </w:tc>
        <w:tc>
          <w:tcPr>
            <w:tcW w:w="1344" w:type="pct"/>
          </w:tcPr>
          <w:p w14:paraId="0781CB2B" w14:textId="1AF86E18" w:rsidR="00E8257B" w:rsidRPr="00BD2F8D" w:rsidRDefault="00E8257B" w:rsidP="00BA7F4F">
            <w:pPr>
              <w:pStyle w:val="TableText"/>
            </w:pPr>
            <w:r w:rsidRPr="00BD2F8D">
              <w:t>Syngenta Australia Pty Ltd</w:t>
            </w:r>
          </w:p>
        </w:tc>
        <w:tc>
          <w:tcPr>
            <w:tcW w:w="1568" w:type="pct"/>
          </w:tcPr>
          <w:p w14:paraId="609877AF" w14:textId="0FBC637D" w:rsidR="00E8257B" w:rsidRPr="00BD2F8D" w:rsidRDefault="00A72E14" w:rsidP="00BA7F4F">
            <w:pPr>
              <w:pStyle w:val="TableText"/>
            </w:pPr>
            <w:r w:rsidRPr="00E078CC">
              <w:t>Conditional approval</w:t>
            </w:r>
            <w:r>
              <w:t xml:space="preserve"> – </w:t>
            </w:r>
            <w:r w:rsidRPr="00E078CC">
              <w:t xml:space="preserve">confirm </w:t>
            </w:r>
            <w:r w:rsidR="004A19AF">
              <w:t xml:space="preserve">composition and purity </w:t>
            </w:r>
            <w:r w:rsidRPr="00E078CC">
              <w:t>of the active constituent</w:t>
            </w:r>
          </w:p>
        </w:tc>
      </w:tr>
      <w:tr w:rsidR="00E8257B" w14:paraId="1A720786" w14:textId="77777777" w:rsidTr="00BB31F7">
        <w:trPr>
          <w:tblHeader/>
        </w:trPr>
        <w:tc>
          <w:tcPr>
            <w:tcW w:w="729" w:type="pct"/>
          </w:tcPr>
          <w:p w14:paraId="773F720E" w14:textId="77777777" w:rsidR="00E8257B" w:rsidRPr="00C53CEC" w:rsidRDefault="00E8257B" w:rsidP="00BA7F4F">
            <w:pPr>
              <w:pStyle w:val="TableText"/>
            </w:pPr>
            <w:r w:rsidRPr="00C53CEC">
              <w:t>44522</w:t>
            </w:r>
          </w:p>
        </w:tc>
        <w:tc>
          <w:tcPr>
            <w:tcW w:w="1358" w:type="pct"/>
          </w:tcPr>
          <w:p w14:paraId="5807780C" w14:textId="77777777" w:rsidR="00E8257B" w:rsidRPr="00C53CEC" w:rsidRDefault="00E8257B" w:rsidP="00BA7F4F">
            <w:pPr>
              <w:pStyle w:val="TableText"/>
            </w:pPr>
            <w:r w:rsidRPr="00C53CEC">
              <w:t>Brodifacoum</w:t>
            </w:r>
          </w:p>
        </w:tc>
        <w:tc>
          <w:tcPr>
            <w:tcW w:w="1344" w:type="pct"/>
          </w:tcPr>
          <w:p w14:paraId="75B1E018" w14:textId="47A43FF2" w:rsidR="00E8257B" w:rsidRPr="00C53CEC" w:rsidRDefault="00E8257B" w:rsidP="00BA7F4F">
            <w:pPr>
              <w:pStyle w:val="TableText"/>
            </w:pPr>
            <w:r w:rsidRPr="00C53CEC">
              <w:t>Bell Laboratories, Inc</w:t>
            </w:r>
          </w:p>
        </w:tc>
        <w:tc>
          <w:tcPr>
            <w:tcW w:w="1568" w:type="pct"/>
          </w:tcPr>
          <w:p w14:paraId="7841DC97" w14:textId="69098D04" w:rsidR="00E8257B" w:rsidRPr="00C53CEC" w:rsidRDefault="004A19AF" w:rsidP="00BA7F4F">
            <w:pPr>
              <w:pStyle w:val="TableText"/>
            </w:pPr>
            <w:r>
              <w:t>A</w:t>
            </w:r>
            <w:r w:rsidR="00E8257B" w:rsidRPr="00C53CEC">
              <w:t>ffirm approval</w:t>
            </w:r>
          </w:p>
        </w:tc>
      </w:tr>
      <w:tr w:rsidR="00E8257B" w14:paraId="5D7E042D" w14:textId="77777777" w:rsidTr="00BB31F7">
        <w:trPr>
          <w:tblHeader/>
        </w:trPr>
        <w:tc>
          <w:tcPr>
            <w:tcW w:w="729" w:type="pct"/>
          </w:tcPr>
          <w:p w14:paraId="239762F8" w14:textId="77777777" w:rsidR="00E8257B" w:rsidRPr="00BD2F8D" w:rsidRDefault="00E8257B" w:rsidP="00BA7F4F">
            <w:pPr>
              <w:pStyle w:val="TableText"/>
            </w:pPr>
            <w:r w:rsidRPr="00BD2F8D">
              <w:t>48319</w:t>
            </w:r>
          </w:p>
        </w:tc>
        <w:tc>
          <w:tcPr>
            <w:tcW w:w="1358" w:type="pct"/>
          </w:tcPr>
          <w:p w14:paraId="01BC7BEB" w14:textId="77777777" w:rsidR="00E8257B" w:rsidRPr="00BD2F8D" w:rsidRDefault="00E8257B" w:rsidP="00BA7F4F">
            <w:pPr>
              <w:pStyle w:val="TableText"/>
            </w:pPr>
            <w:r w:rsidRPr="00BD2F8D">
              <w:t>Brodifacoum manufacturing concentrate</w:t>
            </w:r>
          </w:p>
        </w:tc>
        <w:tc>
          <w:tcPr>
            <w:tcW w:w="1344" w:type="pct"/>
          </w:tcPr>
          <w:p w14:paraId="42827F77" w14:textId="03360DB8" w:rsidR="00E8257B" w:rsidRPr="00BD2F8D" w:rsidRDefault="00E8257B" w:rsidP="00BA7F4F">
            <w:pPr>
              <w:pStyle w:val="TableText"/>
            </w:pPr>
            <w:r w:rsidRPr="00BD2F8D">
              <w:t>Helidon Tech Pty Ltd</w:t>
            </w:r>
          </w:p>
        </w:tc>
        <w:tc>
          <w:tcPr>
            <w:tcW w:w="1568" w:type="pct"/>
          </w:tcPr>
          <w:p w14:paraId="6C4DF521" w14:textId="47F6FFB5" w:rsidR="00E8257B" w:rsidRPr="00BD2F8D" w:rsidRDefault="004A19AF" w:rsidP="00BA7F4F">
            <w:pPr>
              <w:pStyle w:val="TableText"/>
            </w:pPr>
            <w:r>
              <w:t>Affirm approval</w:t>
            </w:r>
          </w:p>
        </w:tc>
      </w:tr>
      <w:tr w:rsidR="00677D3B" w14:paraId="3A8E7578" w14:textId="77777777" w:rsidTr="00BB31F7">
        <w:trPr>
          <w:tblHeader/>
        </w:trPr>
        <w:tc>
          <w:tcPr>
            <w:tcW w:w="729" w:type="pct"/>
          </w:tcPr>
          <w:p w14:paraId="46730CB6" w14:textId="77777777" w:rsidR="00677D3B" w:rsidRPr="00C53CEC" w:rsidRDefault="00677D3B" w:rsidP="00677D3B">
            <w:pPr>
              <w:pStyle w:val="TableText"/>
            </w:pPr>
            <w:r w:rsidRPr="00C53CEC">
              <w:t>62292</w:t>
            </w:r>
          </w:p>
        </w:tc>
        <w:tc>
          <w:tcPr>
            <w:tcW w:w="1358" w:type="pct"/>
          </w:tcPr>
          <w:p w14:paraId="46BB7E34" w14:textId="77777777" w:rsidR="00677D3B" w:rsidRPr="00C53CEC" w:rsidRDefault="00677D3B" w:rsidP="00677D3B">
            <w:pPr>
              <w:pStyle w:val="TableText"/>
            </w:pPr>
            <w:r w:rsidRPr="00C53CEC">
              <w:t>Brodifacoum</w:t>
            </w:r>
          </w:p>
        </w:tc>
        <w:tc>
          <w:tcPr>
            <w:tcW w:w="1344" w:type="pct"/>
          </w:tcPr>
          <w:p w14:paraId="51964EAC" w14:textId="4BB90769" w:rsidR="00677D3B" w:rsidRPr="00C53CEC" w:rsidRDefault="00677D3B" w:rsidP="00677D3B">
            <w:pPr>
              <w:pStyle w:val="TableText"/>
            </w:pPr>
            <w:r w:rsidRPr="00C53CEC">
              <w:t>4 Farmers Australia Pty Ltd</w:t>
            </w:r>
          </w:p>
        </w:tc>
        <w:tc>
          <w:tcPr>
            <w:tcW w:w="1568" w:type="pct"/>
          </w:tcPr>
          <w:p w14:paraId="7BA71B9D" w14:textId="6C9037A8" w:rsidR="00677D3B" w:rsidRPr="00B250AE" w:rsidRDefault="00677D3B" w:rsidP="00677D3B">
            <w:pPr>
              <w:pStyle w:val="TableText"/>
            </w:pPr>
            <w:r w:rsidRPr="00B250AE">
              <w:t>Affirm approval</w:t>
            </w:r>
          </w:p>
        </w:tc>
      </w:tr>
      <w:tr w:rsidR="00677D3B" w14:paraId="45DEEE0D" w14:textId="77777777" w:rsidTr="00BB31F7">
        <w:trPr>
          <w:tblHeader/>
        </w:trPr>
        <w:tc>
          <w:tcPr>
            <w:tcW w:w="729" w:type="pct"/>
          </w:tcPr>
          <w:p w14:paraId="063D51F1" w14:textId="77777777" w:rsidR="00677D3B" w:rsidRPr="00C53CEC" w:rsidRDefault="00677D3B" w:rsidP="00677D3B">
            <w:pPr>
              <w:pStyle w:val="TableText"/>
            </w:pPr>
            <w:r w:rsidRPr="00C53CEC">
              <w:t>67386</w:t>
            </w:r>
          </w:p>
        </w:tc>
        <w:tc>
          <w:tcPr>
            <w:tcW w:w="1358" w:type="pct"/>
          </w:tcPr>
          <w:p w14:paraId="797D39C1" w14:textId="77777777" w:rsidR="00677D3B" w:rsidRPr="00C53CEC" w:rsidRDefault="00677D3B" w:rsidP="00677D3B">
            <w:pPr>
              <w:pStyle w:val="TableText"/>
            </w:pPr>
            <w:r w:rsidRPr="00C53CEC">
              <w:t>Brodifacoum</w:t>
            </w:r>
          </w:p>
        </w:tc>
        <w:tc>
          <w:tcPr>
            <w:tcW w:w="1344" w:type="pct"/>
          </w:tcPr>
          <w:p w14:paraId="6C32C30E" w14:textId="145E3080" w:rsidR="00677D3B" w:rsidRPr="005B27FD" w:rsidRDefault="00677D3B" w:rsidP="00677D3B">
            <w:pPr>
              <w:pStyle w:val="TableText"/>
              <w:rPr>
                <w:lang w:val="de-CH"/>
              </w:rPr>
            </w:pPr>
            <w:r w:rsidRPr="005B27FD">
              <w:rPr>
                <w:lang w:val="de-CH"/>
              </w:rPr>
              <w:t>Pelgar International (Aus) Pty Ltd</w:t>
            </w:r>
          </w:p>
        </w:tc>
        <w:tc>
          <w:tcPr>
            <w:tcW w:w="1568" w:type="pct"/>
          </w:tcPr>
          <w:p w14:paraId="7A8E7640" w14:textId="43C106FA" w:rsidR="00677D3B" w:rsidRPr="00C53CEC" w:rsidRDefault="00677D3B" w:rsidP="00677D3B">
            <w:pPr>
              <w:pStyle w:val="TableText"/>
            </w:pPr>
            <w:r w:rsidRPr="00C53CEC">
              <w:t>Affirm approval</w:t>
            </w:r>
          </w:p>
        </w:tc>
      </w:tr>
      <w:tr w:rsidR="00F85DAA" w14:paraId="79F94480" w14:textId="77777777" w:rsidTr="00BB31F7">
        <w:trPr>
          <w:tblHeader/>
        </w:trPr>
        <w:tc>
          <w:tcPr>
            <w:tcW w:w="729" w:type="pct"/>
          </w:tcPr>
          <w:p w14:paraId="145F3946" w14:textId="77777777" w:rsidR="00F85DAA" w:rsidRPr="00BD2F8D" w:rsidRDefault="00F85DAA" w:rsidP="00F85DAA">
            <w:pPr>
              <w:pStyle w:val="TableText"/>
            </w:pPr>
            <w:r w:rsidRPr="00BD2F8D">
              <w:t>85489</w:t>
            </w:r>
          </w:p>
        </w:tc>
        <w:tc>
          <w:tcPr>
            <w:tcW w:w="1358" w:type="pct"/>
          </w:tcPr>
          <w:p w14:paraId="2424F006" w14:textId="77777777" w:rsidR="00F85DAA" w:rsidRPr="00BD2F8D" w:rsidRDefault="00F85DAA" w:rsidP="00F85DAA">
            <w:pPr>
              <w:pStyle w:val="TableText"/>
            </w:pPr>
            <w:r w:rsidRPr="00BD2F8D">
              <w:t>Brodifacoum</w:t>
            </w:r>
          </w:p>
        </w:tc>
        <w:tc>
          <w:tcPr>
            <w:tcW w:w="1344" w:type="pct"/>
          </w:tcPr>
          <w:p w14:paraId="163C0E28" w14:textId="7C775173" w:rsidR="00F85DAA" w:rsidRPr="00BD2F8D" w:rsidRDefault="00F85DAA" w:rsidP="00F85DAA">
            <w:pPr>
              <w:pStyle w:val="TableText"/>
            </w:pPr>
            <w:r w:rsidRPr="00BD2F8D">
              <w:t>Activa Srl</w:t>
            </w:r>
          </w:p>
        </w:tc>
        <w:tc>
          <w:tcPr>
            <w:tcW w:w="1568" w:type="pct"/>
          </w:tcPr>
          <w:p w14:paraId="3CAA60FD" w14:textId="1FA48113" w:rsidR="00F85DAA" w:rsidRPr="00BD2F8D" w:rsidRDefault="00F85DAA" w:rsidP="00F85DAA">
            <w:pPr>
              <w:pStyle w:val="TableText"/>
            </w:pPr>
            <w:r w:rsidRPr="00C53CEC">
              <w:t>Affirm approval</w:t>
            </w:r>
          </w:p>
        </w:tc>
      </w:tr>
      <w:tr w:rsidR="00F85DAA" w14:paraId="2D132A14" w14:textId="77777777" w:rsidTr="00BB31F7">
        <w:trPr>
          <w:tblHeader/>
        </w:trPr>
        <w:tc>
          <w:tcPr>
            <w:tcW w:w="729" w:type="pct"/>
          </w:tcPr>
          <w:p w14:paraId="6AC5EBEB" w14:textId="77777777" w:rsidR="00F85DAA" w:rsidRPr="00C53CEC" w:rsidRDefault="00F85DAA" w:rsidP="00F85DAA">
            <w:pPr>
              <w:pStyle w:val="TableText"/>
            </w:pPr>
            <w:r w:rsidRPr="00C53CEC">
              <w:t>92406</w:t>
            </w:r>
          </w:p>
        </w:tc>
        <w:tc>
          <w:tcPr>
            <w:tcW w:w="1358" w:type="pct"/>
          </w:tcPr>
          <w:p w14:paraId="45F8754E" w14:textId="77777777" w:rsidR="00F85DAA" w:rsidRPr="00C53CEC" w:rsidRDefault="00F85DAA" w:rsidP="00F85DAA">
            <w:pPr>
              <w:pStyle w:val="TableText"/>
            </w:pPr>
            <w:r w:rsidRPr="00C53CEC">
              <w:t>Brodifacoum manufacturing concentrate</w:t>
            </w:r>
          </w:p>
        </w:tc>
        <w:tc>
          <w:tcPr>
            <w:tcW w:w="1344" w:type="pct"/>
          </w:tcPr>
          <w:p w14:paraId="74594B0D" w14:textId="087C9667" w:rsidR="00F85DAA" w:rsidRPr="00C53CEC" w:rsidRDefault="00F85DAA" w:rsidP="00F85DAA">
            <w:pPr>
              <w:pStyle w:val="TableText"/>
            </w:pPr>
            <w:r w:rsidRPr="00C53CEC">
              <w:t>Animal Control Products Pty Ltd</w:t>
            </w:r>
          </w:p>
        </w:tc>
        <w:tc>
          <w:tcPr>
            <w:tcW w:w="1568" w:type="pct"/>
          </w:tcPr>
          <w:p w14:paraId="1228D7CB" w14:textId="36E19B5C" w:rsidR="00F85DAA" w:rsidRPr="00C53CEC" w:rsidRDefault="00F85DAA" w:rsidP="00F85DAA">
            <w:pPr>
              <w:pStyle w:val="TableText"/>
            </w:pPr>
            <w:r w:rsidRPr="00C53CEC">
              <w:t>Affirm approval</w:t>
            </w:r>
          </w:p>
        </w:tc>
      </w:tr>
    </w:tbl>
    <w:p w14:paraId="679968E1" w14:textId="0ED717EF" w:rsidR="00C806AC" w:rsidRPr="003E6E3B" w:rsidRDefault="00B124E3" w:rsidP="00284BE8">
      <w:pPr>
        <w:pStyle w:val="NormalText"/>
      </w:pPr>
      <w:r w:rsidRPr="00377F3A">
        <w:rPr>
          <w:rStyle w:val="NormalTextChar"/>
        </w:rPr>
        <w:t xml:space="preserve">The </w:t>
      </w:r>
      <w:r w:rsidRPr="005B27FD">
        <w:rPr>
          <w:rStyle w:val="NormalTextChar"/>
          <w:i/>
          <w:iCs/>
        </w:rPr>
        <w:t>Agricultural and Veterinary Chemicals Code (Agricultural Active Constituents) Standards 2022</w:t>
      </w:r>
      <w:r w:rsidRPr="00377F3A">
        <w:rPr>
          <w:rStyle w:val="NormalTextChar"/>
        </w:rPr>
        <w:t xml:space="preserve"> (the </w:t>
      </w:r>
      <w:r w:rsidR="00C806AC" w:rsidRPr="00377F3A">
        <w:rPr>
          <w:rStyle w:val="NormalTextChar"/>
        </w:rPr>
        <w:t>A</w:t>
      </w:r>
      <w:r w:rsidRPr="00377F3A">
        <w:rPr>
          <w:rStyle w:val="NormalTextChar"/>
        </w:rPr>
        <w:t xml:space="preserve">ctive </w:t>
      </w:r>
      <w:r w:rsidR="00C806AC" w:rsidRPr="00377F3A">
        <w:rPr>
          <w:rStyle w:val="NormalTextChar"/>
        </w:rPr>
        <w:t>Constituent Standards</w:t>
      </w:r>
      <w:r w:rsidRPr="00377F3A">
        <w:rPr>
          <w:rStyle w:val="NormalTextChar"/>
        </w:rPr>
        <w:t>)</w:t>
      </w:r>
      <w:r w:rsidRPr="00377F3A">
        <w:rPr>
          <w:rStyle w:val="NormalTextChar"/>
          <w:vertAlign w:val="superscript"/>
        </w:rPr>
        <w:footnoteReference w:id="4"/>
      </w:r>
      <w:r w:rsidRPr="00377F3A">
        <w:rPr>
          <w:rStyle w:val="NormalTextChar"/>
          <w:vertAlign w:val="superscript"/>
        </w:rPr>
        <w:t xml:space="preserve"> </w:t>
      </w:r>
      <w:r w:rsidR="005D7727">
        <w:rPr>
          <w:rStyle w:val="NormalTextChar"/>
        </w:rPr>
        <w:t>specification</w:t>
      </w:r>
      <w:r w:rsidRPr="00377F3A">
        <w:rPr>
          <w:rStyle w:val="NormalTextChar"/>
        </w:rPr>
        <w:t xml:space="preserve"> </w:t>
      </w:r>
      <w:r w:rsidR="005D7727">
        <w:rPr>
          <w:rStyle w:val="NormalTextChar"/>
        </w:rPr>
        <w:t xml:space="preserve">for the </w:t>
      </w:r>
      <w:r w:rsidRPr="00377F3A">
        <w:rPr>
          <w:rStyle w:val="NormalTextChar"/>
        </w:rPr>
        <w:t>standard for brodifacoum active constituent</w:t>
      </w:r>
      <w:r w:rsidR="005D7727">
        <w:rPr>
          <w:rStyle w:val="NormalTextChar"/>
        </w:rPr>
        <w:t xml:space="preserve">s is provided in </w:t>
      </w:r>
      <w:r w:rsidR="00F652A3">
        <w:rPr>
          <w:rStyle w:val="NormalTextChar"/>
        </w:rPr>
        <w:fldChar w:fldCharType="begin"/>
      </w:r>
      <w:r w:rsidR="00F652A3">
        <w:rPr>
          <w:rStyle w:val="NormalTextChar"/>
        </w:rPr>
        <w:instrText xml:space="preserve"> REF _Ref214913608 \h  \* MERGEFORMAT </w:instrText>
      </w:r>
      <w:r w:rsidR="00F652A3">
        <w:rPr>
          <w:rStyle w:val="NormalTextChar"/>
        </w:rPr>
      </w:r>
      <w:r w:rsidR="00F652A3">
        <w:rPr>
          <w:rStyle w:val="NormalTextChar"/>
        </w:rPr>
        <w:fldChar w:fldCharType="separate"/>
      </w:r>
      <w:r w:rsidR="003861AC">
        <w:t xml:space="preserve">Table </w:t>
      </w:r>
      <w:r w:rsidR="003861AC">
        <w:rPr>
          <w:noProof/>
        </w:rPr>
        <w:t>4</w:t>
      </w:r>
      <w:r w:rsidR="00F652A3">
        <w:rPr>
          <w:rStyle w:val="NormalTextChar"/>
        </w:rPr>
        <w:fldChar w:fldCharType="end"/>
      </w:r>
      <w:r w:rsidR="00C806AC" w:rsidRPr="00377F3A">
        <w:rPr>
          <w:rStyle w:val="NormalTextChar"/>
        </w:rPr>
        <w:t xml:space="preserve">. There is also an </w:t>
      </w:r>
      <w:hyperlink r:id="rId28" w:history="1">
        <w:r w:rsidR="00C806AC" w:rsidRPr="003E6E3B">
          <w:rPr>
            <w:rStyle w:val="Hyperlink"/>
          </w:rPr>
          <w:t xml:space="preserve">FAO specification for brodifacoum </w:t>
        </w:r>
        <w:r w:rsidR="00C806AC">
          <w:rPr>
            <w:rStyle w:val="Hyperlink"/>
          </w:rPr>
          <w:t xml:space="preserve">Technical </w:t>
        </w:r>
        <w:r w:rsidR="00C806AC" w:rsidRPr="003E6E3B">
          <w:rPr>
            <w:rStyle w:val="Hyperlink"/>
          </w:rPr>
          <w:t>C</w:t>
        </w:r>
      </w:hyperlink>
      <w:r w:rsidR="00C806AC" w:rsidRPr="00BD2F8D">
        <w:rPr>
          <w:rStyle w:val="Hyperlink"/>
        </w:rPr>
        <w:t>oncentrate</w:t>
      </w:r>
      <w:r w:rsidR="00F652A3">
        <w:rPr>
          <w:rStyle w:val="Hyperlink"/>
        </w:rPr>
        <w:t xml:space="preserve"> </w:t>
      </w:r>
      <w:r w:rsidR="005D7727" w:rsidRPr="005B27FD">
        <w:rPr>
          <w:rStyle w:val="Hyperlink"/>
          <w:color w:val="auto"/>
          <w:u w:val="none"/>
        </w:rPr>
        <w:t xml:space="preserve">provided in </w:t>
      </w:r>
      <w:r w:rsidR="00F652A3" w:rsidRPr="005D7727">
        <w:rPr>
          <w:rStyle w:val="Hyperlink"/>
          <w:color w:val="auto"/>
          <w:u w:val="none"/>
        </w:rPr>
        <w:fldChar w:fldCharType="begin"/>
      </w:r>
      <w:r w:rsidR="00F652A3" w:rsidRPr="005D7727">
        <w:rPr>
          <w:rStyle w:val="Hyperlink"/>
          <w:color w:val="auto"/>
          <w:u w:val="none"/>
        </w:rPr>
        <w:instrText xml:space="preserve"> REF _Ref214913619 \h </w:instrText>
      </w:r>
      <w:r w:rsidR="00F652A3" w:rsidRPr="005B27FD">
        <w:rPr>
          <w:rStyle w:val="Hyperlink"/>
          <w:color w:val="auto"/>
          <w:u w:val="none"/>
        </w:rPr>
        <w:instrText xml:space="preserve"> \* MERGEFORMAT </w:instrText>
      </w:r>
      <w:r w:rsidR="00F652A3" w:rsidRPr="005D7727">
        <w:rPr>
          <w:rStyle w:val="Hyperlink"/>
          <w:color w:val="auto"/>
          <w:u w:val="none"/>
        </w:rPr>
      </w:r>
      <w:r w:rsidR="00F652A3" w:rsidRPr="005D7727">
        <w:rPr>
          <w:rStyle w:val="Hyperlink"/>
          <w:color w:val="auto"/>
          <w:u w:val="none"/>
        </w:rPr>
        <w:fldChar w:fldCharType="separate"/>
      </w:r>
      <w:r w:rsidR="003861AC">
        <w:t xml:space="preserve">Table </w:t>
      </w:r>
      <w:r w:rsidR="003861AC">
        <w:rPr>
          <w:noProof/>
        </w:rPr>
        <w:t>5</w:t>
      </w:r>
      <w:r w:rsidR="00F652A3" w:rsidRPr="005D7727">
        <w:rPr>
          <w:rStyle w:val="Hyperlink"/>
          <w:color w:val="auto"/>
          <w:u w:val="none"/>
        </w:rPr>
        <w:fldChar w:fldCharType="end"/>
      </w:r>
      <w:r w:rsidR="00C806AC" w:rsidRPr="005D7727">
        <w:rPr>
          <w:rStyle w:val="Hyperlink"/>
          <w:color w:val="auto"/>
          <w:u w:val="none"/>
        </w:rPr>
        <w:t>.</w:t>
      </w:r>
    </w:p>
    <w:p w14:paraId="52319887" w14:textId="7DCA08C7" w:rsidR="00C806AC" w:rsidRPr="00BD2F8D" w:rsidRDefault="00C806AC" w:rsidP="00BD2F8D">
      <w:pPr>
        <w:pStyle w:val="Caption"/>
        <w:rPr>
          <w:u w:color="000000"/>
        </w:rPr>
      </w:pPr>
      <w:bookmarkStart w:id="55" w:name="_Ref214913608"/>
      <w:bookmarkStart w:id="56" w:name="_Toc213945980"/>
      <w:bookmarkStart w:id="57" w:name="_Toc216695666"/>
      <w:r>
        <w:t xml:space="preserve">Table </w:t>
      </w:r>
      <w:r>
        <w:fldChar w:fldCharType="begin"/>
      </w:r>
      <w:r>
        <w:instrText xml:space="preserve"> SEQ Table \* ARABIC </w:instrText>
      </w:r>
      <w:r>
        <w:fldChar w:fldCharType="separate"/>
      </w:r>
      <w:r w:rsidR="003861AC">
        <w:rPr>
          <w:noProof/>
        </w:rPr>
        <w:t>4</w:t>
      </w:r>
      <w:r>
        <w:fldChar w:fldCharType="end"/>
      </w:r>
      <w:bookmarkEnd w:id="55"/>
      <w:r>
        <w:t xml:space="preserve">: The </w:t>
      </w:r>
      <w:r>
        <w:rPr>
          <w:u w:color="000000"/>
        </w:rPr>
        <w:t>A</w:t>
      </w:r>
      <w:r w:rsidRPr="00E078CC">
        <w:rPr>
          <w:u w:color="000000"/>
        </w:rPr>
        <w:t xml:space="preserve">ctive </w:t>
      </w:r>
      <w:r>
        <w:rPr>
          <w:u w:color="000000"/>
        </w:rPr>
        <w:t xml:space="preserve">Constituent Standards specification for </w:t>
      </w:r>
      <w:r w:rsidRPr="00E078CC">
        <w:rPr>
          <w:u w:color="000000"/>
        </w:rPr>
        <w:t>brodifacoum</w:t>
      </w:r>
      <w:bookmarkEnd w:id="56"/>
      <w:bookmarkEnd w:id="57"/>
    </w:p>
    <w:tbl>
      <w:tblPr>
        <w:tblStyle w:val="TableGrid"/>
        <w:tblW w:w="5000" w:type="pct"/>
        <w:tblLook w:val="04A0" w:firstRow="1" w:lastRow="0" w:firstColumn="1" w:lastColumn="0" w:noHBand="0" w:noVBand="1"/>
      </w:tblPr>
      <w:tblGrid>
        <w:gridCol w:w="4814"/>
        <w:gridCol w:w="4814"/>
      </w:tblGrid>
      <w:tr w:rsidR="00B124E3" w14:paraId="299C03E1" w14:textId="77777777" w:rsidTr="0017134F">
        <w:tc>
          <w:tcPr>
            <w:tcW w:w="2500" w:type="pct"/>
            <w:shd w:val="clear" w:color="auto" w:fill="53284F"/>
          </w:tcPr>
          <w:p w14:paraId="5E799D8F" w14:textId="77777777" w:rsidR="00B124E3" w:rsidRDefault="00B124E3" w:rsidP="00BA7F4F">
            <w:pPr>
              <w:pStyle w:val="TableHead"/>
            </w:pPr>
            <w:r>
              <w:t>Active constituent</w:t>
            </w:r>
          </w:p>
        </w:tc>
        <w:tc>
          <w:tcPr>
            <w:tcW w:w="2500" w:type="pct"/>
            <w:shd w:val="clear" w:color="auto" w:fill="53284F"/>
          </w:tcPr>
          <w:p w14:paraId="7A9E652A" w14:textId="77777777" w:rsidR="00B124E3" w:rsidRDefault="00B124E3" w:rsidP="00BA7F4F">
            <w:pPr>
              <w:pStyle w:val="TableHead"/>
            </w:pPr>
            <w:r>
              <w:t>Minimum purity</w:t>
            </w:r>
          </w:p>
        </w:tc>
      </w:tr>
      <w:tr w:rsidR="00B124E3" w14:paraId="43C731C3" w14:textId="77777777" w:rsidTr="00533B55">
        <w:tc>
          <w:tcPr>
            <w:tcW w:w="2500" w:type="pct"/>
          </w:tcPr>
          <w:p w14:paraId="614D9FE2" w14:textId="77777777" w:rsidR="00B124E3" w:rsidRDefault="00B124E3" w:rsidP="00BA7F4F">
            <w:pPr>
              <w:pStyle w:val="TableText"/>
            </w:pPr>
            <w:r>
              <w:t>Brodifacoum</w:t>
            </w:r>
          </w:p>
        </w:tc>
        <w:tc>
          <w:tcPr>
            <w:tcW w:w="2500" w:type="pct"/>
          </w:tcPr>
          <w:p w14:paraId="79FB9670" w14:textId="77777777" w:rsidR="00B124E3" w:rsidRDefault="00B124E3" w:rsidP="00BA7F4F">
            <w:pPr>
              <w:pStyle w:val="TableText"/>
            </w:pPr>
            <w:r>
              <w:t>900 g/kg</w:t>
            </w:r>
          </w:p>
        </w:tc>
      </w:tr>
    </w:tbl>
    <w:p w14:paraId="0B2FC499" w14:textId="407E41E8" w:rsidR="00B124E3" w:rsidRPr="00BD2F8D" w:rsidRDefault="00B124E3" w:rsidP="00BD2F8D">
      <w:pPr>
        <w:pStyle w:val="Caption"/>
        <w:rPr>
          <w:u w:color="000000"/>
        </w:rPr>
      </w:pPr>
      <w:r>
        <w:t xml:space="preserve"> </w:t>
      </w:r>
      <w:bookmarkStart w:id="58" w:name="_Ref214913619"/>
      <w:bookmarkStart w:id="59" w:name="_Toc213945981"/>
      <w:bookmarkStart w:id="60" w:name="_Toc216695667"/>
      <w:r w:rsidR="00C806AC">
        <w:t xml:space="preserve">Table </w:t>
      </w:r>
      <w:r w:rsidR="00C806AC">
        <w:fldChar w:fldCharType="begin"/>
      </w:r>
      <w:r w:rsidR="00C806AC">
        <w:instrText xml:space="preserve"> SEQ Table \* ARABIC </w:instrText>
      </w:r>
      <w:r w:rsidR="00C806AC">
        <w:fldChar w:fldCharType="separate"/>
      </w:r>
      <w:r w:rsidR="003861AC">
        <w:rPr>
          <w:noProof/>
        </w:rPr>
        <w:t>5</w:t>
      </w:r>
      <w:r w:rsidR="00C806AC">
        <w:fldChar w:fldCharType="end"/>
      </w:r>
      <w:bookmarkEnd w:id="58"/>
      <w:r w:rsidR="00C806AC">
        <w:t xml:space="preserve">: </w:t>
      </w:r>
      <w:r w:rsidR="00C806AC" w:rsidRPr="00C806AC">
        <w:t>FAO specification for brodifacoum T</w:t>
      </w:r>
      <w:r w:rsidR="00C806AC">
        <w:t xml:space="preserve">echnical </w:t>
      </w:r>
      <w:r w:rsidR="00C806AC" w:rsidRPr="00C806AC">
        <w:t>C</w:t>
      </w:r>
      <w:r w:rsidR="00C806AC">
        <w:t>oncentrate</w:t>
      </w:r>
      <w:bookmarkEnd w:id="59"/>
      <w:bookmarkEnd w:id="60"/>
    </w:p>
    <w:tbl>
      <w:tblPr>
        <w:tblStyle w:val="TableGrid"/>
        <w:tblW w:w="5000" w:type="pct"/>
        <w:tblLook w:val="04A0" w:firstRow="1" w:lastRow="0" w:firstColumn="1" w:lastColumn="0" w:noHBand="0" w:noVBand="1"/>
      </w:tblPr>
      <w:tblGrid>
        <w:gridCol w:w="4814"/>
        <w:gridCol w:w="4814"/>
      </w:tblGrid>
      <w:tr w:rsidR="00B124E3" w14:paraId="6BE0CBDC" w14:textId="77777777" w:rsidTr="0017134F">
        <w:tc>
          <w:tcPr>
            <w:tcW w:w="2500" w:type="pct"/>
            <w:shd w:val="clear" w:color="auto" w:fill="53284F"/>
          </w:tcPr>
          <w:p w14:paraId="0829FCFD" w14:textId="77777777" w:rsidR="00B124E3" w:rsidRDefault="00B124E3" w:rsidP="00BA7F4F">
            <w:pPr>
              <w:pStyle w:val="TableHead"/>
            </w:pPr>
            <w:r>
              <w:t>Active constituent</w:t>
            </w:r>
          </w:p>
        </w:tc>
        <w:tc>
          <w:tcPr>
            <w:tcW w:w="2500" w:type="pct"/>
            <w:shd w:val="clear" w:color="auto" w:fill="53284F"/>
          </w:tcPr>
          <w:p w14:paraId="4DDB29D6" w14:textId="77777777" w:rsidR="00B124E3" w:rsidRDefault="00B124E3" w:rsidP="00BA7F4F">
            <w:pPr>
              <w:pStyle w:val="TableHead"/>
            </w:pPr>
            <w:r>
              <w:t>Minimum purity</w:t>
            </w:r>
          </w:p>
        </w:tc>
      </w:tr>
      <w:tr w:rsidR="00B124E3" w14:paraId="2B8FD99C" w14:textId="77777777" w:rsidTr="00533B55">
        <w:tc>
          <w:tcPr>
            <w:tcW w:w="2500" w:type="pct"/>
          </w:tcPr>
          <w:p w14:paraId="29F99DF3" w14:textId="77777777" w:rsidR="00B124E3" w:rsidRDefault="00B124E3" w:rsidP="005B27FD">
            <w:pPr>
              <w:pStyle w:val="TableText"/>
            </w:pPr>
            <w:r>
              <w:t>Brodifacoum</w:t>
            </w:r>
          </w:p>
        </w:tc>
        <w:tc>
          <w:tcPr>
            <w:tcW w:w="2500" w:type="pct"/>
          </w:tcPr>
          <w:p w14:paraId="682D43D3" w14:textId="77777777" w:rsidR="00B124E3" w:rsidRDefault="00B124E3" w:rsidP="005B27FD">
            <w:pPr>
              <w:pStyle w:val="TableText"/>
            </w:pPr>
            <w:r>
              <w:t>950 g/kg</w:t>
            </w:r>
          </w:p>
        </w:tc>
      </w:tr>
    </w:tbl>
    <w:p w14:paraId="550BB43E" w14:textId="14C8EEB5" w:rsidR="00B124E3" w:rsidRDefault="00B124E3" w:rsidP="00F652A3">
      <w:pPr>
        <w:pStyle w:val="NormalText"/>
      </w:pPr>
      <w:r w:rsidRPr="00BD2F8D">
        <w:t xml:space="preserve">It is </w:t>
      </w:r>
      <w:r w:rsidR="00737B19" w:rsidRPr="00BD2F8D">
        <w:t xml:space="preserve">noted that the </w:t>
      </w:r>
      <w:r w:rsidRPr="00BD2F8D">
        <w:t>minimum purity for</w:t>
      </w:r>
      <w:r w:rsidR="00D62E8C">
        <w:t xml:space="preserve"> </w:t>
      </w:r>
      <w:r w:rsidR="00CE1B78">
        <w:t>b</w:t>
      </w:r>
      <w:r w:rsidR="00D62E8C" w:rsidRPr="00BD2F8D">
        <w:t>rodifacoum</w:t>
      </w:r>
      <w:r w:rsidRPr="00BD2F8D">
        <w:t xml:space="preserve"> </w:t>
      </w:r>
      <w:r w:rsidR="00D62E8C">
        <w:t xml:space="preserve">in </w:t>
      </w:r>
      <w:r w:rsidRPr="00BD2F8D">
        <w:t xml:space="preserve">the </w:t>
      </w:r>
      <w:r w:rsidR="00F24F7B" w:rsidRPr="00D8600D">
        <w:t>APVMA active</w:t>
      </w:r>
      <w:r w:rsidR="00F24F7B">
        <w:t xml:space="preserve"> constituent</w:t>
      </w:r>
      <w:r w:rsidR="00F24F7B" w:rsidRPr="00D8600D">
        <w:t xml:space="preserve"> standard </w:t>
      </w:r>
      <w:r w:rsidR="00737B19" w:rsidRPr="00BD2F8D">
        <w:t>differs from</w:t>
      </w:r>
      <w:r w:rsidRPr="00BD2F8D">
        <w:t xml:space="preserve"> the FAO specification</w:t>
      </w:r>
      <w:r w:rsidR="00F85DAA">
        <w:t xml:space="preserve">. The amendment of the </w:t>
      </w:r>
      <w:r w:rsidR="00B52DA0" w:rsidRPr="00377F3A">
        <w:rPr>
          <w:rStyle w:val="NormalTextChar"/>
        </w:rPr>
        <w:t>Active Constituent Standards</w:t>
      </w:r>
      <w:r w:rsidR="00B52DA0">
        <w:rPr>
          <w:rStyle w:val="NormalTextChar"/>
        </w:rPr>
        <w:t xml:space="preserve"> </w:t>
      </w:r>
      <w:r w:rsidR="00F85DAA">
        <w:t>to align with the FAO specification (i.e., a minimum purity of 950 g/kg) would ensure the provision of higher quality, higher purity technical active constituent to the Australian market and maintain consistency with internation</w:t>
      </w:r>
      <w:r w:rsidR="00D62992">
        <w:t>al</w:t>
      </w:r>
      <w:r w:rsidR="00F85DAA">
        <w:t xml:space="preserve"> standards. However, this has not been considered as part of this reconsideration</w:t>
      </w:r>
      <w:r w:rsidR="00B52DA0">
        <w:t xml:space="preserve"> </w:t>
      </w:r>
      <w:r w:rsidR="00F85DAA">
        <w:t xml:space="preserve">as variation to the </w:t>
      </w:r>
      <w:r w:rsidR="00B52DA0" w:rsidRPr="00377F3A">
        <w:rPr>
          <w:rStyle w:val="NormalTextChar"/>
        </w:rPr>
        <w:t>Active Constituent Standards</w:t>
      </w:r>
      <w:r w:rsidR="00B52DA0">
        <w:rPr>
          <w:rStyle w:val="NormalTextChar"/>
        </w:rPr>
        <w:t xml:space="preserve"> </w:t>
      </w:r>
      <w:r w:rsidR="00F85DAA">
        <w:t xml:space="preserve">is a separate legislative </w:t>
      </w:r>
      <w:r w:rsidR="00F85DAA">
        <w:lastRenderedPageBreak/>
        <w:t xml:space="preserve">process and </w:t>
      </w:r>
      <w:r w:rsidR="00B81336">
        <w:t xml:space="preserve">there </w:t>
      </w:r>
      <w:r w:rsidR="00F85DAA">
        <w:t xml:space="preserve">have been no safety </w:t>
      </w:r>
      <w:r w:rsidR="00B52DA0">
        <w:t>implications</w:t>
      </w:r>
      <w:r w:rsidR="00F85DAA">
        <w:t xml:space="preserve"> identified with respect to use of a brodifacoum technical active constituent with a purity in the range of 900 g/kg to 950 g/kg.</w:t>
      </w:r>
    </w:p>
    <w:p w14:paraId="1E4CCB3B" w14:textId="191DEE37" w:rsidR="00CB5371" w:rsidRDefault="00CB5371" w:rsidP="00377F3A">
      <w:pPr>
        <w:pStyle w:val="NormalText"/>
      </w:pPr>
      <w:r w:rsidRPr="00CB5371">
        <w:t>It</w:t>
      </w:r>
      <w:r w:rsidR="005C20EE">
        <w:t xml:space="preserve"> is </w:t>
      </w:r>
      <w:r w:rsidR="00B52DA0">
        <w:t xml:space="preserve">also </w:t>
      </w:r>
      <w:r w:rsidR="005C20EE">
        <w:t xml:space="preserve">noted that </w:t>
      </w:r>
      <w:r w:rsidR="00B52DA0">
        <w:t>t</w:t>
      </w:r>
      <w:r w:rsidR="00B52DA0" w:rsidRPr="00377F3A">
        <w:rPr>
          <w:rStyle w:val="NormalTextChar"/>
        </w:rPr>
        <w:t>he Active Constituent Standards</w:t>
      </w:r>
      <w:r w:rsidR="00B52DA0">
        <w:rPr>
          <w:rStyle w:val="NormalTextChar"/>
        </w:rPr>
        <w:t xml:space="preserve"> does </w:t>
      </w:r>
      <w:r w:rsidR="005C20EE">
        <w:t>not currently</w:t>
      </w:r>
      <w:r w:rsidR="00B52DA0">
        <w:t xml:space="preserve"> include </w:t>
      </w:r>
      <w:r w:rsidR="005C20EE">
        <w:t>an</w:t>
      </w:r>
      <w:r w:rsidR="00B52DA0">
        <w:t xml:space="preserve"> entry for </w:t>
      </w:r>
      <w:r w:rsidRPr="00CB5371">
        <w:t>brodifacoum manufacturing concentrates</w:t>
      </w:r>
      <w:r w:rsidR="00B52DA0">
        <w:t xml:space="preserve"> and appropriate proposed specifications for such an entry are included below in </w:t>
      </w:r>
      <w:r w:rsidR="00B52DA0">
        <w:fldChar w:fldCharType="begin"/>
      </w:r>
      <w:r w:rsidR="00B52DA0">
        <w:instrText xml:space="preserve"> REF _Ref214911173 \h </w:instrText>
      </w:r>
      <w:r w:rsidR="00B52DA0">
        <w:fldChar w:fldCharType="separate"/>
      </w:r>
      <w:r w:rsidR="003861AC">
        <w:t xml:space="preserve">Table </w:t>
      </w:r>
      <w:r w:rsidR="003861AC">
        <w:rPr>
          <w:noProof/>
        </w:rPr>
        <w:t>6</w:t>
      </w:r>
      <w:r w:rsidR="00B52DA0">
        <w:fldChar w:fldCharType="end"/>
      </w:r>
      <w:r w:rsidR="00D84E65">
        <w:t>.</w:t>
      </w:r>
      <w:r w:rsidR="00B81336">
        <w:t xml:space="preserve"> </w:t>
      </w:r>
      <w:r w:rsidR="00B52DA0">
        <w:t>I</w:t>
      </w:r>
      <w:r w:rsidR="005C20EE">
        <w:t>t is anticipated that</w:t>
      </w:r>
      <w:r w:rsidR="00B52DA0">
        <w:t xml:space="preserve"> the APVMA will propose to vary the </w:t>
      </w:r>
      <w:r w:rsidR="00B52DA0" w:rsidRPr="00377F3A">
        <w:rPr>
          <w:rStyle w:val="NormalTextChar"/>
        </w:rPr>
        <w:t>Active Constituent Standards</w:t>
      </w:r>
      <w:r w:rsidR="00B52DA0">
        <w:rPr>
          <w:rStyle w:val="NormalTextChar"/>
        </w:rPr>
        <w:t xml:space="preserve"> in future to include an entry for brodifacoum manufacturing concentrates</w:t>
      </w:r>
      <w:r w:rsidR="009866DF">
        <w:rPr>
          <w:rStyle w:val="NormalTextChar"/>
        </w:rPr>
        <w:t xml:space="preserve">. However, this has not been considered as part of this reconsideration, as variation to the </w:t>
      </w:r>
      <w:r w:rsidR="009866DF" w:rsidRPr="00377F3A">
        <w:rPr>
          <w:rStyle w:val="NormalTextChar"/>
        </w:rPr>
        <w:t>Active Constituent Standards</w:t>
      </w:r>
      <w:r w:rsidR="009866DF">
        <w:rPr>
          <w:rStyle w:val="NormalTextChar"/>
        </w:rPr>
        <w:t xml:space="preserve"> </w:t>
      </w:r>
      <w:r w:rsidR="009866DF">
        <w:t xml:space="preserve">is a separate legislative process and there have been no safety implications identified with respect to use of a brodifacoum manufacturing concentrate listed in </w:t>
      </w:r>
      <w:r w:rsidR="009866DF">
        <w:fldChar w:fldCharType="begin"/>
      </w:r>
      <w:r w:rsidR="009866DF">
        <w:instrText xml:space="preserve"> REF _Ref212835974 \h </w:instrText>
      </w:r>
      <w:r w:rsidR="009866DF">
        <w:fldChar w:fldCharType="separate"/>
      </w:r>
      <w:r w:rsidR="003861AC" w:rsidRPr="00E8257B">
        <w:t xml:space="preserve">Table </w:t>
      </w:r>
      <w:r w:rsidR="003861AC">
        <w:rPr>
          <w:noProof/>
        </w:rPr>
        <w:t>3</w:t>
      </w:r>
      <w:r w:rsidR="009866DF">
        <w:fldChar w:fldCharType="end"/>
      </w:r>
      <w:r w:rsidR="0023633D">
        <w:t xml:space="preserve"> that </w:t>
      </w:r>
      <w:r w:rsidR="00FF71BE">
        <w:t>has a</w:t>
      </w:r>
      <w:r w:rsidR="009866DF">
        <w:t xml:space="preserve"> composition and purity </w:t>
      </w:r>
      <w:r w:rsidR="0023633D">
        <w:t>aligning</w:t>
      </w:r>
      <w:r w:rsidR="009866DF">
        <w:t xml:space="preserve"> with the Declaration of Composition in the APVMA Record.</w:t>
      </w:r>
    </w:p>
    <w:p w14:paraId="5B615FE1" w14:textId="1849C1C4" w:rsidR="005C20EE" w:rsidRPr="00CB5371" w:rsidRDefault="005C20EE" w:rsidP="00175C8F">
      <w:pPr>
        <w:pStyle w:val="Caption"/>
        <w:rPr>
          <w:rFonts w:cs="Arial"/>
          <w:kern w:val="20"/>
          <w:sz w:val="19"/>
          <w:u w:color="000000"/>
        </w:rPr>
      </w:pPr>
      <w:bookmarkStart w:id="61" w:name="_Ref214911173"/>
      <w:bookmarkStart w:id="62" w:name="_Toc213945982"/>
      <w:bookmarkStart w:id="63" w:name="_Toc216695668"/>
      <w:r>
        <w:t xml:space="preserve">Table </w:t>
      </w:r>
      <w:r>
        <w:fldChar w:fldCharType="begin"/>
      </w:r>
      <w:r>
        <w:instrText xml:space="preserve"> SEQ Table \* ARABIC </w:instrText>
      </w:r>
      <w:r>
        <w:fldChar w:fldCharType="separate"/>
      </w:r>
      <w:r w:rsidR="003861AC">
        <w:rPr>
          <w:noProof/>
        </w:rPr>
        <w:t>6</w:t>
      </w:r>
      <w:r>
        <w:fldChar w:fldCharType="end"/>
      </w:r>
      <w:bookmarkEnd w:id="61"/>
      <w:r>
        <w:t>: Proposed APVMA Specification for Brodifacoum Manufacturing Concentrates</w:t>
      </w:r>
      <w:bookmarkEnd w:id="62"/>
      <w:bookmarkEnd w:id="63"/>
    </w:p>
    <w:tbl>
      <w:tblPr>
        <w:tblStyle w:val="TableGrid"/>
        <w:tblW w:w="5000" w:type="pct"/>
        <w:tblLook w:val="04A0" w:firstRow="1" w:lastRow="0" w:firstColumn="1" w:lastColumn="0" w:noHBand="0" w:noVBand="1"/>
      </w:tblPr>
      <w:tblGrid>
        <w:gridCol w:w="3209"/>
        <w:gridCol w:w="3209"/>
        <w:gridCol w:w="3210"/>
      </w:tblGrid>
      <w:tr w:rsidR="00CB5371" w:rsidRPr="00CB5371" w14:paraId="719CD921" w14:textId="77777777" w:rsidTr="00BB31F7">
        <w:trPr>
          <w:tblHeader/>
        </w:trPr>
        <w:tc>
          <w:tcPr>
            <w:tcW w:w="1666" w:type="pct"/>
            <w:shd w:val="clear" w:color="auto" w:fill="53284F"/>
          </w:tcPr>
          <w:p w14:paraId="031D4EB5" w14:textId="77777777" w:rsidR="00CB5371" w:rsidRPr="00377F3A" w:rsidRDefault="00CB5371" w:rsidP="00377F3A">
            <w:pPr>
              <w:pStyle w:val="TableHead"/>
            </w:pPr>
            <w:r w:rsidRPr="00377F3A">
              <w:t>Common name</w:t>
            </w:r>
          </w:p>
        </w:tc>
        <w:tc>
          <w:tcPr>
            <w:tcW w:w="1666" w:type="pct"/>
            <w:shd w:val="clear" w:color="auto" w:fill="53284F"/>
          </w:tcPr>
          <w:p w14:paraId="1661390B" w14:textId="77777777" w:rsidR="00CB5371" w:rsidRPr="00377F3A" w:rsidRDefault="00CB5371" w:rsidP="00377F3A">
            <w:pPr>
              <w:pStyle w:val="TableHead"/>
            </w:pPr>
            <w:r w:rsidRPr="00377F3A">
              <w:t>Description</w:t>
            </w:r>
          </w:p>
        </w:tc>
        <w:tc>
          <w:tcPr>
            <w:tcW w:w="1667" w:type="pct"/>
            <w:shd w:val="clear" w:color="auto" w:fill="53284F"/>
          </w:tcPr>
          <w:p w14:paraId="2AD612D2" w14:textId="77777777" w:rsidR="00CB5371" w:rsidRPr="00377F3A" w:rsidRDefault="00CB5371" w:rsidP="00377F3A">
            <w:pPr>
              <w:pStyle w:val="TableHead"/>
            </w:pPr>
            <w:r w:rsidRPr="00377F3A">
              <w:t>Purity</w:t>
            </w:r>
          </w:p>
        </w:tc>
      </w:tr>
      <w:tr w:rsidR="00CB5371" w:rsidRPr="00CB5371" w14:paraId="35F4BDFF" w14:textId="77777777" w:rsidTr="00BB31F7">
        <w:trPr>
          <w:tblHeader/>
        </w:trPr>
        <w:tc>
          <w:tcPr>
            <w:tcW w:w="1666" w:type="pct"/>
          </w:tcPr>
          <w:p w14:paraId="2942B4D6" w14:textId="77777777" w:rsidR="00CB5371" w:rsidRPr="00CB5371" w:rsidRDefault="00CB5371" w:rsidP="00377F3A">
            <w:pPr>
              <w:pStyle w:val="TableText"/>
            </w:pPr>
            <w:r w:rsidRPr="00CB5371">
              <w:t>Brodifacoum manufacturing concentrate</w:t>
            </w:r>
          </w:p>
        </w:tc>
        <w:tc>
          <w:tcPr>
            <w:tcW w:w="1666" w:type="pct"/>
          </w:tcPr>
          <w:p w14:paraId="7F20344E" w14:textId="77777777" w:rsidR="00CB5371" w:rsidRPr="00CB5371" w:rsidRDefault="00CB5371" w:rsidP="00377F3A">
            <w:pPr>
              <w:pStyle w:val="TableText"/>
            </w:pPr>
            <w:r w:rsidRPr="00CB5371">
              <w:t xml:space="preserve">The material shall consist of a solution of technical brodifacoum in a suitable solvent, typically a glycol solvent such as propylene glycol. The manufacturing concentrate may also contain related manufacturing impurities, as well as denatonium benzoate as a bittering agent, amine and/or polyglycol solubilising agents and a suitable dye as a visual marker but is otherwise from visible extraneous matter and adding modifying agents. </w:t>
            </w:r>
          </w:p>
        </w:tc>
        <w:tc>
          <w:tcPr>
            <w:tcW w:w="1667" w:type="pct"/>
          </w:tcPr>
          <w:p w14:paraId="118387E1" w14:textId="77777777" w:rsidR="00CB5371" w:rsidRPr="00CB5371" w:rsidRDefault="00CB5371" w:rsidP="00377F3A">
            <w:pPr>
              <w:pStyle w:val="TableText"/>
            </w:pPr>
            <w:r w:rsidRPr="00CB5371">
              <w:t>Minimum purity on a solvent and additive (dye and bittering agent) free basis: 950 g/kg</w:t>
            </w:r>
          </w:p>
          <w:p w14:paraId="7E0079CF" w14:textId="77777777" w:rsidR="00CB5371" w:rsidRPr="00CB5371" w:rsidRDefault="00CB5371" w:rsidP="00377F3A">
            <w:pPr>
              <w:pStyle w:val="TableText"/>
            </w:pPr>
          </w:p>
          <w:p w14:paraId="734DE771" w14:textId="77777777" w:rsidR="00CB5371" w:rsidRPr="00CB5371" w:rsidRDefault="00CB5371" w:rsidP="00377F3A">
            <w:pPr>
              <w:pStyle w:val="TableText"/>
            </w:pPr>
            <w:r w:rsidRPr="00CB5371">
              <w:t>Brodifacoum manufacturing concentrate is typically supplied with a concentration in the range 2.5-25 g/kg. The content must be declared, and when measured, shall not differ from the declared amount by more than the amount specified in the table below:</w:t>
            </w:r>
          </w:p>
          <w:tbl>
            <w:tblPr>
              <w:tblStyle w:val="TableGrid"/>
              <w:tblW w:w="0" w:type="auto"/>
              <w:tblLook w:val="04A0" w:firstRow="1" w:lastRow="0" w:firstColumn="1" w:lastColumn="0" w:noHBand="0" w:noVBand="1"/>
            </w:tblPr>
            <w:tblGrid>
              <w:gridCol w:w="1390"/>
              <w:gridCol w:w="1390"/>
            </w:tblGrid>
            <w:tr w:rsidR="00CB5371" w:rsidRPr="00CB5371" w14:paraId="33075FBB" w14:textId="77777777" w:rsidTr="00E078CC">
              <w:tc>
                <w:tcPr>
                  <w:tcW w:w="1390" w:type="dxa"/>
                </w:tcPr>
                <w:p w14:paraId="4A344C39" w14:textId="77777777" w:rsidR="00CB5371" w:rsidRPr="00CB5371" w:rsidRDefault="00CB5371" w:rsidP="00377F3A">
                  <w:pPr>
                    <w:pStyle w:val="TableText"/>
                  </w:pPr>
                  <w:r w:rsidRPr="00CB5371">
                    <w:t>Declared content (g/kg)</w:t>
                  </w:r>
                </w:p>
              </w:tc>
              <w:tc>
                <w:tcPr>
                  <w:tcW w:w="1390" w:type="dxa"/>
                </w:tcPr>
                <w:p w14:paraId="535D07F7" w14:textId="77777777" w:rsidR="00CB5371" w:rsidRPr="00CB5371" w:rsidRDefault="00CB5371" w:rsidP="00377F3A">
                  <w:pPr>
                    <w:pStyle w:val="TableText"/>
                  </w:pPr>
                  <w:r w:rsidRPr="00CB5371">
                    <w:t>Allowable deviation from declared content</w:t>
                  </w:r>
                </w:p>
              </w:tc>
            </w:tr>
            <w:tr w:rsidR="00CB5371" w:rsidRPr="00CB5371" w14:paraId="222D5E87" w14:textId="77777777" w:rsidTr="00E078CC">
              <w:tc>
                <w:tcPr>
                  <w:tcW w:w="1390" w:type="dxa"/>
                </w:tcPr>
                <w:p w14:paraId="3CF049F9" w14:textId="77777777" w:rsidR="00CB5371" w:rsidRPr="00CB5371" w:rsidRDefault="00CB5371" w:rsidP="00377F3A">
                  <w:pPr>
                    <w:pStyle w:val="TableText"/>
                  </w:pPr>
                  <w:r w:rsidRPr="00CB5371">
                    <w:t>Up to 25</w:t>
                  </w:r>
                </w:p>
              </w:tc>
              <w:tc>
                <w:tcPr>
                  <w:tcW w:w="1390" w:type="dxa"/>
                </w:tcPr>
                <w:p w14:paraId="6952A268" w14:textId="77777777" w:rsidR="00CB5371" w:rsidRPr="00CB5371" w:rsidRDefault="00CB5371" w:rsidP="00377F3A">
                  <w:pPr>
                    <w:pStyle w:val="TableText"/>
                  </w:pPr>
                  <w:r w:rsidRPr="00CB5371">
                    <w:t>± 15%</w:t>
                  </w:r>
                </w:p>
              </w:tc>
            </w:tr>
            <w:tr w:rsidR="00CB5371" w:rsidRPr="00CB5371" w14:paraId="1CCC4C48" w14:textId="77777777" w:rsidTr="00E078CC">
              <w:tc>
                <w:tcPr>
                  <w:tcW w:w="1390" w:type="dxa"/>
                </w:tcPr>
                <w:p w14:paraId="4190265A" w14:textId="77777777" w:rsidR="00CB5371" w:rsidRPr="00CB5371" w:rsidRDefault="00CB5371" w:rsidP="00377F3A">
                  <w:pPr>
                    <w:pStyle w:val="TableText"/>
                  </w:pPr>
                  <w:r w:rsidRPr="00CB5371">
                    <w:t>More than 25, up to 100</w:t>
                  </w:r>
                </w:p>
              </w:tc>
              <w:tc>
                <w:tcPr>
                  <w:tcW w:w="1390" w:type="dxa"/>
                </w:tcPr>
                <w:p w14:paraId="521C2535" w14:textId="77777777" w:rsidR="00CB5371" w:rsidRPr="00CB5371" w:rsidRDefault="00CB5371" w:rsidP="00377F3A">
                  <w:pPr>
                    <w:pStyle w:val="TableText"/>
                  </w:pPr>
                  <w:r w:rsidRPr="00CB5371">
                    <w:t>± 10%</w:t>
                  </w:r>
                </w:p>
              </w:tc>
            </w:tr>
          </w:tbl>
          <w:p w14:paraId="6548D3DD" w14:textId="77777777" w:rsidR="00CB5371" w:rsidRPr="00CB5371" w:rsidRDefault="00CB5371" w:rsidP="00377F3A">
            <w:pPr>
              <w:pStyle w:val="TableText"/>
            </w:pPr>
          </w:p>
        </w:tc>
      </w:tr>
    </w:tbl>
    <w:p w14:paraId="7127CE3D" w14:textId="535F36E7" w:rsidR="00B124E3" w:rsidRDefault="009866DF" w:rsidP="00BD2F8D">
      <w:pPr>
        <w:pStyle w:val="NormalText"/>
      </w:pPr>
      <w:r>
        <w:t>The continued approval of</w:t>
      </w:r>
      <w:r w:rsidR="00C141A9">
        <w:t xml:space="preserve"> the </w:t>
      </w:r>
      <w:r w:rsidR="00B124E3">
        <w:t xml:space="preserve">current brodifacoum active constituents </w:t>
      </w:r>
      <w:r w:rsidR="00C141A9">
        <w:t xml:space="preserve">listed in </w:t>
      </w:r>
      <w:r w:rsidR="00C141A9">
        <w:fldChar w:fldCharType="begin"/>
      </w:r>
      <w:r w:rsidR="00C141A9">
        <w:instrText xml:space="preserve"> REF _Ref212835974 \h </w:instrText>
      </w:r>
      <w:r w:rsidR="00C141A9">
        <w:fldChar w:fldCharType="separate"/>
      </w:r>
      <w:r w:rsidR="003861AC" w:rsidRPr="00E8257B">
        <w:t xml:space="preserve">Table </w:t>
      </w:r>
      <w:r w:rsidR="003861AC">
        <w:rPr>
          <w:noProof/>
        </w:rPr>
        <w:t>3</w:t>
      </w:r>
      <w:r w:rsidR="00C141A9">
        <w:fldChar w:fldCharType="end"/>
      </w:r>
      <w:r w:rsidR="00C141A9">
        <w:t xml:space="preserve"> </w:t>
      </w:r>
      <w:r w:rsidR="00110A07">
        <w:t xml:space="preserve">is supported </w:t>
      </w:r>
      <w:r w:rsidR="00C141A9">
        <w:t>in</w:t>
      </w:r>
      <w:r w:rsidR="00110A07">
        <w:t xml:space="preserve"> this chemistry and manufacture risk assessment, </w:t>
      </w:r>
      <w:r w:rsidR="00B124E3">
        <w:t>subject to:</w:t>
      </w:r>
    </w:p>
    <w:p w14:paraId="78421F70" w14:textId="155C2847" w:rsidR="00087575" w:rsidRDefault="00CE1B78" w:rsidP="00937378">
      <w:pPr>
        <w:pStyle w:val="Bullet1"/>
      </w:pPr>
      <w:r>
        <w:t>T</w:t>
      </w:r>
      <w:r w:rsidR="00B124E3">
        <w:t xml:space="preserve">he composition and purity of the </w:t>
      </w:r>
      <w:r w:rsidR="00110A07">
        <w:t>relevant</w:t>
      </w:r>
      <w:r w:rsidR="00B124E3">
        <w:t xml:space="preserve"> active constituent</w:t>
      </w:r>
      <w:r w:rsidR="00110A07">
        <w:t xml:space="preserve"> is </w:t>
      </w:r>
      <w:r w:rsidR="00B124E3">
        <w:t xml:space="preserve">confirmed </w:t>
      </w:r>
      <w:r w:rsidR="00B14075">
        <w:t>by</w:t>
      </w:r>
      <w:r w:rsidR="00B124E3">
        <w:t xml:space="preserve"> the holders</w:t>
      </w:r>
      <w:r w:rsidR="00C141A9">
        <w:t>,</w:t>
      </w:r>
      <w:r w:rsidR="00B124E3">
        <w:t xml:space="preserve"> as noted in </w:t>
      </w:r>
      <w:r w:rsidR="00C141A9">
        <w:fldChar w:fldCharType="begin"/>
      </w:r>
      <w:r w:rsidR="00C141A9">
        <w:instrText xml:space="preserve"> REF _Ref212835974 \h </w:instrText>
      </w:r>
      <w:r w:rsidR="00C141A9">
        <w:fldChar w:fldCharType="separate"/>
      </w:r>
      <w:r w:rsidR="003861AC" w:rsidRPr="00E8257B">
        <w:t xml:space="preserve">Table </w:t>
      </w:r>
      <w:r w:rsidR="003861AC">
        <w:rPr>
          <w:noProof/>
        </w:rPr>
        <w:t>3</w:t>
      </w:r>
      <w:r w:rsidR="00C141A9">
        <w:fldChar w:fldCharType="end"/>
      </w:r>
      <w:r w:rsidR="00C141A9">
        <w:t xml:space="preserve"> </w:t>
      </w:r>
      <w:r w:rsidR="00B124E3">
        <w:t xml:space="preserve">above, and appropriate supporting information </w:t>
      </w:r>
      <w:r w:rsidR="00FD1470">
        <w:t>is</w:t>
      </w:r>
      <w:r w:rsidR="00B124E3">
        <w:t xml:space="preserve"> provided as required. </w:t>
      </w:r>
    </w:p>
    <w:p w14:paraId="6562D390" w14:textId="0B3F3320" w:rsidR="00B124E3" w:rsidRDefault="00B124E3" w:rsidP="00937378">
      <w:pPr>
        <w:pStyle w:val="Bullet1"/>
      </w:pPr>
      <w:r>
        <w:t xml:space="preserve">The APVMA </w:t>
      </w:r>
      <w:r w:rsidR="00C058EA">
        <w:t>R</w:t>
      </w:r>
      <w:r>
        <w:t>ecord for brodifacoum active constituents are updated as required</w:t>
      </w:r>
      <w:r w:rsidR="00B14075">
        <w:t>.</w:t>
      </w:r>
    </w:p>
    <w:p w14:paraId="40CBA8FC" w14:textId="77777777" w:rsidR="00884D58" w:rsidRDefault="00884D58" w:rsidP="00377F3A">
      <w:pPr>
        <w:pStyle w:val="Heading3"/>
      </w:pPr>
      <w:bookmarkStart w:id="64" w:name="_Toc214025461"/>
      <w:bookmarkStart w:id="65" w:name="_Toc216695545"/>
      <w:r>
        <w:t>Active constituent - Bromadiolone</w:t>
      </w:r>
      <w:bookmarkEnd w:id="64"/>
      <w:bookmarkEnd w:id="65"/>
    </w:p>
    <w:p w14:paraId="601E9546" w14:textId="7B2A47A7" w:rsidR="00884D58" w:rsidRDefault="00884D58" w:rsidP="00884D58">
      <w:pPr>
        <w:pStyle w:val="NormalText"/>
      </w:pPr>
      <w:r>
        <w:t>Bromadiolone is a hydroxycoumarin second generation anticoagulant rodenticide, which blocks formation of prothrombin (</w:t>
      </w:r>
      <w:r w:rsidR="000F6A0B">
        <w:t xml:space="preserve">reviewed in </w:t>
      </w:r>
      <w:r>
        <w:t xml:space="preserve">BCPC, 2016). It was first reported in 1976 (Redfern R., </w:t>
      </w:r>
      <w:r w:rsidR="00B7183A" w:rsidRPr="00B7183A">
        <w:rPr>
          <w:i/>
          <w:iCs/>
        </w:rPr>
        <w:t>et</w:t>
      </w:r>
      <w:r w:rsidRPr="00087575">
        <w:rPr>
          <w:i/>
        </w:rPr>
        <w:t xml:space="preserve"> al</w:t>
      </w:r>
      <w:r>
        <w:t>, 1976).</w:t>
      </w:r>
    </w:p>
    <w:p w14:paraId="10519472" w14:textId="5E4E40CB" w:rsidR="00884D58" w:rsidRDefault="00884D58" w:rsidP="00884D58">
      <w:pPr>
        <w:pStyle w:val="Caption"/>
      </w:pPr>
      <w:bookmarkStart w:id="66" w:name="_Toc213945983"/>
      <w:bookmarkStart w:id="67" w:name="_Toc216695669"/>
      <w:r>
        <w:lastRenderedPageBreak/>
        <w:t xml:space="preserve">Table </w:t>
      </w:r>
      <w:r>
        <w:fldChar w:fldCharType="begin"/>
      </w:r>
      <w:r>
        <w:instrText xml:space="preserve"> SEQ Table \* ARABIC </w:instrText>
      </w:r>
      <w:r>
        <w:fldChar w:fldCharType="separate"/>
      </w:r>
      <w:r w:rsidR="003861AC">
        <w:rPr>
          <w:noProof/>
        </w:rPr>
        <w:t>7</w:t>
      </w:r>
      <w:r>
        <w:rPr>
          <w:noProof/>
        </w:rPr>
        <w:fldChar w:fldCharType="end"/>
      </w:r>
      <w:r>
        <w:rPr>
          <w:noProof/>
        </w:rPr>
        <w:t>:</w:t>
      </w:r>
      <w:r>
        <w:t xml:space="preserve"> Nomenclature and structural formula of the active constituent bromadiolone</w:t>
      </w:r>
      <w:bookmarkEnd w:id="66"/>
      <w:bookmarkEnd w:id="67"/>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884D58" w:rsidRPr="002D1539" w14:paraId="02AF4931" w14:textId="77777777" w:rsidTr="00533B55">
        <w:tc>
          <w:tcPr>
            <w:tcW w:w="1303" w:type="pct"/>
            <w:shd w:val="clear" w:color="auto" w:fill="53284F"/>
          </w:tcPr>
          <w:p w14:paraId="24B8901D" w14:textId="77777777" w:rsidR="00884D58" w:rsidRPr="00244B68" w:rsidRDefault="00884D58" w:rsidP="00BA7F4F">
            <w:pPr>
              <w:pStyle w:val="TableHead"/>
            </w:pPr>
            <w:r w:rsidRPr="00244B68">
              <w:rPr>
                <w:lang w:val="en-US"/>
              </w:rPr>
              <w:t>Common Name</w:t>
            </w:r>
          </w:p>
        </w:tc>
        <w:tc>
          <w:tcPr>
            <w:tcW w:w="3697" w:type="pct"/>
          </w:tcPr>
          <w:p w14:paraId="577D72F0" w14:textId="77777777" w:rsidR="00884D58" w:rsidRPr="002D1539" w:rsidRDefault="00884D58" w:rsidP="00BA7F4F">
            <w:pPr>
              <w:pStyle w:val="TableText"/>
              <w:rPr>
                <w:lang w:val="en-US"/>
              </w:rPr>
            </w:pPr>
            <w:r>
              <w:rPr>
                <w:lang w:val="en-US"/>
              </w:rPr>
              <w:t>Bromadiolone (ISO 1750)</w:t>
            </w:r>
          </w:p>
        </w:tc>
      </w:tr>
      <w:tr w:rsidR="00884D58" w:rsidRPr="002D1539" w14:paraId="33D32810" w14:textId="77777777" w:rsidTr="00533B55">
        <w:tc>
          <w:tcPr>
            <w:tcW w:w="1303" w:type="pct"/>
            <w:shd w:val="clear" w:color="auto" w:fill="53284F"/>
          </w:tcPr>
          <w:p w14:paraId="199794C6" w14:textId="77777777" w:rsidR="00884D58" w:rsidRPr="00244B68" w:rsidRDefault="00884D58" w:rsidP="00BA7F4F">
            <w:pPr>
              <w:pStyle w:val="TableHead"/>
              <w:rPr>
                <w:lang w:val="en-US"/>
              </w:rPr>
            </w:pPr>
            <w:r w:rsidRPr="00244B68">
              <w:rPr>
                <w:lang w:val="en-US"/>
              </w:rPr>
              <w:t>IUPAC Name</w:t>
            </w:r>
          </w:p>
        </w:tc>
        <w:tc>
          <w:tcPr>
            <w:tcW w:w="3697" w:type="pct"/>
          </w:tcPr>
          <w:p w14:paraId="67333DB5" w14:textId="77777777" w:rsidR="00884D58" w:rsidRPr="002D1539" w:rsidRDefault="00884D58" w:rsidP="00BA7F4F">
            <w:pPr>
              <w:pStyle w:val="TableText"/>
              <w:rPr>
                <w:lang w:val="en-US"/>
              </w:rPr>
            </w:pPr>
            <w:r w:rsidRPr="00B158CA">
              <w:t>Mixture of 80–100% 3-[(1</w:t>
            </w:r>
            <w:r w:rsidRPr="00B158CA">
              <w:rPr>
                <w:i/>
                <w:iCs/>
              </w:rPr>
              <w:t>RS</w:t>
            </w:r>
            <w:r w:rsidRPr="00B158CA">
              <w:t>,3</w:t>
            </w:r>
            <w:r w:rsidRPr="00B158CA">
              <w:rPr>
                <w:i/>
                <w:iCs/>
              </w:rPr>
              <w:t>SR</w:t>
            </w:r>
            <w:r w:rsidRPr="00B158CA">
              <w:t>)-3-(4′-bromobiphenyl-4-yl)-3-hydroxy-1-phenylpropyl]-4-hydroxy-2</w:t>
            </w:r>
            <w:r w:rsidRPr="00B158CA">
              <w:rPr>
                <w:i/>
                <w:iCs/>
              </w:rPr>
              <w:t>H</w:t>
            </w:r>
            <w:r w:rsidRPr="00B158CA">
              <w:t>-chromen-2-one and 20–0% 3-[(1</w:t>
            </w:r>
            <w:r w:rsidRPr="00B158CA">
              <w:rPr>
                <w:i/>
                <w:iCs/>
              </w:rPr>
              <w:t>RS</w:t>
            </w:r>
            <w:r w:rsidRPr="00B158CA">
              <w:t>,3</w:t>
            </w:r>
            <w:r w:rsidRPr="00B158CA">
              <w:rPr>
                <w:i/>
                <w:iCs/>
              </w:rPr>
              <w:t>RS</w:t>
            </w:r>
            <w:r w:rsidRPr="00B158CA">
              <w:t>)-3-(4′-bromobiphenyl-4-yl)-3-hydroxy-1-phenylpropyl]-4-hydroxy-2</w:t>
            </w:r>
            <w:r w:rsidRPr="00B158CA">
              <w:rPr>
                <w:i/>
                <w:iCs/>
              </w:rPr>
              <w:t>H</w:t>
            </w:r>
            <w:r w:rsidRPr="00B158CA">
              <w:t>-chromen-2-one</w:t>
            </w:r>
          </w:p>
        </w:tc>
      </w:tr>
      <w:tr w:rsidR="00884D58" w:rsidRPr="002D1539" w14:paraId="605E875F" w14:textId="77777777" w:rsidTr="00533B55">
        <w:tc>
          <w:tcPr>
            <w:tcW w:w="1303" w:type="pct"/>
            <w:shd w:val="clear" w:color="auto" w:fill="53284F"/>
          </w:tcPr>
          <w:p w14:paraId="46B4C973" w14:textId="77777777" w:rsidR="00884D58" w:rsidRPr="00244B68" w:rsidRDefault="00884D58" w:rsidP="00BA7F4F">
            <w:pPr>
              <w:pStyle w:val="TableHead"/>
              <w:rPr>
                <w:lang w:val="en-US"/>
              </w:rPr>
            </w:pPr>
            <w:r w:rsidRPr="00244B68">
              <w:rPr>
                <w:lang w:val="en-US"/>
              </w:rPr>
              <w:t>CAS Name</w:t>
            </w:r>
          </w:p>
        </w:tc>
        <w:tc>
          <w:tcPr>
            <w:tcW w:w="3697" w:type="pct"/>
          </w:tcPr>
          <w:p w14:paraId="20A1203D" w14:textId="77777777" w:rsidR="00884D58" w:rsidRPr="002D1539" w:rsidRDefault="00884D58" w:rsidP="00BA7F4F">
            <w:pPr>
              <w:pStyle w:val="TableText"/>
              <w:rPr>
                <w:lang w:val="en-US"/>
              </w:rPr>
            </w:pPr>
            <w:r w:rsidRPr="00B158CA">
              <w:t>3-[3-(4′-bromo[1,1′-biphenyl]-4-yl)-3-hydroxy-1-phenylpropyl]-4-hydroxy-2</w:t>
            </w:r>
            <w:r w:rsidRPr="00B158CA">
              <w:rPr>
                <w:i/>
                <w:iCs/>
              </w:rPr>
              <w:t>H</w:t>
            </w:r>
            <w:r w:rsidRPr="00B158CA">
              <w:t>-1-benzopyran-2-one</w:t>
            </w:r>
          </w:p>
        </w:tc>
      </w:tr>
      <w:tr w:rsidR="00884D58" w:rsidRPr="002D1539" w14:paraId="796FB45D" w14:textId="77777777" w:rsidTr="00533B55">
        <w:tc>
          <w:tcPr>
            <w:tcW w:w="1303" w:type="pct"/>
            <w:shd w:val="clear" w:color="auto" w:fill="53284F"/>
          </w:tcPr>
          <w:p w14:paraId="257C1EBB" w14:textId="77777777" w:rsidR="00884D58" w:rsidRPr="00244B68" w:rsidRDefault="00884D58" w:rsidP="00BA7F4F">
            <w:pPr>
              <w:pStyle w:val="TableHead"/>
              <w:rPr>
                <w:lang w:val="en-US"/>
              </w:rPr>
            </w:pPr>
            <w:r w:rsidRPr="00244B68">
              <w:rPr>
                <w:lang w:val="en-US"/>
              </w:rPr>
              <w:t>CAS Registry Number</w:t>
            </w:r>
          </w:p>
        </w:tc>
        <w:tc>
          <w:tcPr>
            <w:tcW w:w="3697" w:type="pct"/>
          </w:tcPr>
          <w:p w14:paraId="25B3AFE5" w14:textId="77777777" w:rsidR="00884D58" w:rsidRPr="002D1539" w:rsidRDefault="00884D58" w:rsidP="00BA7F4F">
            <w:pPr>
              <w:pStyle w:val="TableText"/>
              <w:rPr>
                <w:lang w:val="en-US"/>
              </w:rPr>
            </w:pPr>
            <w:r>
              <w:rPr>
                <w:lang w:val="en-US"/>
              </w:rPr>
              <w:t>28772-56-7</w:t>
            </w:r>
          </w:p>
        </w:tc>
      </w:tr>
      <w:tr w:rsidR="00884D58" w:rsidRPr="002D1539" w14:paraId="58F8A778" w14:textId="77777777" w:rsidTr="00533B55">
        <w:tc>
          <w:tcPr>
            <w:tcW w:w="1303" w:type="pct"/>
            <w:shd w:val="clear" w:color="auto" w:fill="53284F"/>
          </w:tcPr>
          <w:p w14:paraId="4D673B43" w14:textId="77777777" w:rsidR="00884D58" w:rsidRPr="00244B68" w:rsidRDefault="00884D58" w:rsidP="00BA7F4F">
            <w:pPr>
              <w:pStyle w:val="TableHead"/>
              <w:rPr>
                <w:lang w:val="en-US"/>
              </w:rPr>
            </w:pPr>
            <w:r w:rsidRPr="00244B68">
              <w:rPr>
                <w:lang w:val="en-US"/>
              </w:rPr>
              <w:t>EC Number</w:t>
            </w:r>
          </w:p>
        </w:tc>
        <w:tc>
          <w:tcPr>
            <w:tcW w:w="3697" w:type="pct"/>
          </w:tcPr>
          <w:p w14:paraId="0C594D57" w14:textId="77777777" w:rsidR="00884D58" w:rsidRPr="002D1539" w:rsidRDefault="00884D58" w:rsidP="00BA7F4F">
            <w:pPr>
              <w:pStyle w:val="TableText"/>
              <w:rPr>
                <w:lang w:val="en-US"/>
              </w:rPr>
            </w:pPr>
            <w:r>
              <w:rPr>
                <w:lang w:val="en-US"/>
              </w:rPr>
              <w:t>249-205-9</w:t>
            </w:r>
          </w:p>
        </w:tc>
      </w:tr>
      <w:tr w:rsidR="00884D58" w:rsidRPr="002D1539" w14:paraId="6D771A78" w14:textId="77777777" w:rsidTr="00533B55">
        <w:tc>
          <w:tcPr>
            <w:tcW w:w="1303" w:type="pct"/>
            <w:shd w:val="clear" w:color="auto" w:fill="53284F"/>
          </w:tcPr>
          <w:p w14:paraId="563D8E85" w14:textId="77777777" w:rsidR="00884D58" w:rsidRPr="00244B68" w:rsidRDefault="00884D58" w:rsidP="00BA7F4F">
            <w:pPr>
              <w:pStyle w:val="TableHead"/>
              <w:rPr>
                <w:lang w:val="en-US"/>
              </w:rPr>
            </w:pPr>
            <w:r w:rsidRPr="00244B68">
              <w:rPr>
                <w:lang w:val="en-US"/>
              </w:rPr>
              <w:t>Molecular Formula</w:t>
            </w:r>
          </w:p>
        </w:tc>
        <w:tc>
          <w:tcPr>
            <w:tcW w:w="3697" w:type="pct"/>
          </w:tcPr>
          <w:p w14:paraId="12915BB0" w14:textId="77777777" w:rsidR="00884D58" w:rsidRPr="002D1539" w:rsidRDefault="00884D58" w:rsidP="00BA7F4F">
            <w:pPr>
              <w:pStyle w:val="TableText"/>
              <w:rPr>
                <w:lang w:val="en-US"/>
              </w:rPr>
            </w:pPr>
            <w:r>
              <w:rPr>
                <w:lang w:val="en-US"/>
              </w:rPr>
              <w:t>C</w:t>
            </w:r>
            <w:r>
              <w:rPr>
                <w:vertAlign w:val="subscript"/>
                <w:lang w:val="en-US"/>
              </w:rPr>
              <w:t>30</w:t>
            </w:r>
            <w:r>
              <w:rPr>
                <w:lang w:val="en-US"/>
              </w:rPr>
              <w:t>H</w:t>
            </w:r>
            <w:r w:rsidRPr="00AA5403">
              <w:rPr>
                <w:vertAlign w:val="subscript"/>
                <w:lang w:val="en-US"/>
              </w:rPr>
              <w:t>23</w:t>
            </w:r>
            <w:r>
              <w:rPr>
                <w:lang w:val="en-US"/>
              </w:rPr>
              <w:t>BrO4</w:t>
            </w:r>
          </w:p>
        </w:tc>
      </w:tr>
      <w:tr w:rsidR="00884D58" w:rsidRPr="002D1539" w14:paraId="0428822E" w14:textId="77777777" w:rsidTr="00533B55">
        <w:tc>
          <w:tcPr>
            <w:tcW w:w="1303" w:type="pct"/>
            <w:shd w:val="clear" w:color="auto" w:fill="53284F"/>
          </w:tcPr>
          <w:p w14:paraId="0D3F5BE4" w14:textId="77777777" w:rsidR="00884D58" w:rsidRPr="00244B68" w:rsidRDefault="00884D58" w:rsidP="00BA7F4F">
            <w:pPr>
              <w:pStyle w:val="TableHead"/>
              <w:rPr>
                <w:lang w:val="en-US"/>
              </w:rPr>
            </w:pPr>
            <w:r w:rsidRPr="00244B68">
              <w:rPr>
                <w:lang w:val="en-US"/>
              </w:rPr>
              <w:t>Molecular Weight</w:t>
            </w:r>
          </w:p>
        </w:tc>
        <w:tc>
          <w:tcPr>
            <w:tcW w:w="3697" w:type="pct"/>
          </w:tcPr>
          <w:p w14:paraId="52B4FBB0" w14:textId="77777777" w:rsidR="00884D58" w:rsidRPr="002D1539" w:rsidRDefault="00884D58" w:rsidP="00BA7F4F">
            <w:pPr>
              <w:pStyle w:val="TableText"/>
              <w:rPr>
                <w:lang w:val="en-US"/>
              </w:rPr>
            </w:pPr>
            <w:r>
              <w:rPr>
                <w:lang w:val="en-US"/>
              </w:rPr>
              <w:t>527.4 gmol</w:t>
            </w:r>
            <w:r w:rsidRPr="00AA5403">
              <w:rPr>
                <w:vertAlign w:val="superscript"/>
                <w:lang w:val="en-US"/>
              </w:rPr>
              <w:t>-1</w:t>
            </w:r>
          </w:p>
        </w:tc>
      </w:tr>
      <w:tr w:rsidR="00884D58" w:rsidRPr="002A150C" w14:paraId="32D71C41" w14:textId="77777777" w:rsidTr="00533B55">
        <w:trPr>
          <w:trHeight w:val="3735"/>
        </w:trPr>
        <w:tc>
          <w:tcPr>
            <w:tcW w:w="1303" w:type="pct"/>
            <w:shd w:val="clear" w:color="auto" w:fill="53284F"/>
          </w:tcPr>
          <w:p w14:paraId="2116E020" w14:textId="77777777" w:rsidR="00884D58" w:rsidRPr="00244B68" w:rsidRDefault="00884D58" w:rsidP="00BA7F4F">
            <w:pPr>
              <w:pStyle w:val="TableHead"/>
              <w:rPr>
                <w:lang w:val="en-US"/>
              </w:rPr>
            </w:pPr>
            <w:r w:rsidRPr="00244B68">
              <w:rPr>
                <w:lang w:val="en-US"/>
              </w:rPr>
              <w:t>Structure</w:t>
            </w:r>
          </w:p>
        </w:tc>
        <w:tc>
          <w:tcPr>
            <w:tcW w:w="3697" w:type="pct"/>
          </w:tcPr>
          <w:p w14:paraId="05A0F50F" w14:textId="77777777" w:rsidR="00884D58" w:rsidRDefault="00884D58" w:rsidP="00443E69">
            <w:pPr>
              <w:spacing w:line="210" w:lineRule="exact"/>
              <w:rPr>
                <w:spacing w:val="6"/>
              </w:rPr>
            </w:pPr>
            <w:r w:rsidRPr="009C5CEC">
              <w:rPr>
                <w:noProof/>
                <w:spacing w:val="6"/>
              </w:rPr>
              <w:drawing>
                <wp:anchor distT="0" distB="0" distL="114300" distR="114300" simplePos="0" relativeHeight="251668480" behindDoc="0" locked="0" layoutInCell="1" allowOverlap="1" wp14:anchorId="11018C84" wp14:editId="037851AA">
                  <wp:simplePos x="0" y="0"/>
                  <wp:positionH relativeFrom="column">
                    <wp:posOffset>-1905</wp:posOffset>
                  </wp:positionH>
                  <wp:positionV relativeFrom="paragraph">
                    <wp:posOffset>0</wp:posOffset>
                  </wp:positionV>
                  <wp:extent cx="4068000" cy="2044800"/>
                  <wp:effectExtent l="0" t="0" r="8890" b="0"/>
                  <wp:wrapSquare wrapText="bothSides"/>
                  <wp:docPr id="239414144"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02812" name="Picture 1" descr="A structure of a chemical formula&#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4068000" cy="2044800"/>
                          </a:xfrm>
                          <a:prstGeom prst="rect">
                            <a:avLst/>
                          </a:prstGeom>
                        </pic:spPr>
                      </pic:pic>
                    </a:graphicData>
                  </a:graphic>
                  <wp14:sizeRelH relativeFrom="margin">
                    <wp14:pctWidth>0</wp14:pctWidth>
                  </wp14:sizeRelH>
                  <wp14:sizeRelV relativeFrom="margin">
                    <wp14:pctHeight>0</wp14:pctHeight>
                  </wp14:sizeRelV>
                </wp:anchor>
              </w:drawing>
            </w:r>
          </w:p>
          <w:p w14:paraId="0AE5F43A" w14:textId="77777777" w:rsidR="00884D58" w:rsidRPr="002A150C" w:rsidRDefault="00884D58" w:rsidP="00443E69">
            <w:pPr>
              <w:spacing w:line="210" w:lineRule="exact"/>
              <w:jc w:val="center"/>
              <w:rPr>
                <w:spacing w:val="6"/>
              </w:rPr>
            </w:pPr>
          </w:p>
        </w:tc>
      </w:tr>
      <w:tr w:rsidR="00884D58" w:rsidRPr="002D1539" w14:paraId="51D82BAA" w14:textId="77777777" w:rsidTr="00533B55">
        <w:tc>
          <w:tcPr>
            <w:tcW w:w="1303" w:type="pct"/>
            <w:shd w:val="clear" w:color="auto" w:fill="53284F"/>
          </w:tcPr>
          <w:p w14:paraId="0163B286" w14:textId="77777777" w:rsidR="00884D58" w:rsidRPr="00244B68" w:rsidRDefault="00884D58" w:rsidP="00BA7F4F">
            <w:pPr>
              <w:pStyle w:val="TableHead"/>
              <w:rPr>
                <w:lang w:val="en-US"/>
              </w:rPr>
            </w:pPr>
            <w:r w:rsidRPr="00244B68">
              <w:rPr>
                <w:lang w:val="en-US"/>
              </w:rPr>
              <w:t>Chemical Family</w:t>
            </w:r>
          </w:p>
        </w:tc>
        <w:tc>
          <w:tcPr>
            <w:tcW w:w="3697" w:type="pct"/>
          </w:tcPr>
          <w:p w14:paraId="68C4680A" w14:textId="77777777" w:rsidR="00884D58" w:rsidRPr="002D1539" w:rsidRDefault="00884D58" w:rsidP="00BA7F4F">
            <w:pPr>
              <w:pStyle w:val="TableText"/>
              <w:rPr>
                <w:lang w:val="en-US"/>
              </w:rPr>
            </w:pPr>
            <w:r>
              <w:rPr>
                <w:lang w:val="en-US"/>
              </w:rPr>
              <w:t>hydroxycoumarin</w:t>
            </w:r>
            <w:r w:rsidRPr="002D1539">
              <w:rPr>
                <w:lang w:val="en-US"/>
              </w:rPr>
              <w:tab/>
            </w:r>
          </w:p>
        </w:tc>
      </w:tr>
    </w:tbl>
    <w:p w14:paraId="6D0FEA81" w14:textId="158796D5" w:rsidR="00884D58" w:rsidRDefault="00884D58" w:rsidP="00884D58">
      <w:pPr>
        <w:pStyle w:val="Caption"/>
        <w:spacing w:after="0"/>
      </w:pPr>
      <w:bookmarkStart w:id="68" w:name="_Toc213945984"/>
      <w:bookmarkStart w:id="69" w:name="_Toc216695670"/>
      <w:r>
        <w:t xml:space="preserve">Table </w:t>
      </w:r>
      <w:r>
        <w:fldChar w:fldCharType="begin"/>
      </w:r>
      <w:r>
        <w:instrText xml:space="preserve"> SEQ Table \* ARABIC </w:instrText>
      </w:r>
      <w:r>
        <w:fldChar w:fldCharType="separate"/>
      </w:r>
      <w:r w:rsidR="003861AC">
        <w:rPr>
          <w:noProof/>
        </w:rPr>
        <w:t>8</w:t>
      </w:r>
      <w:r>
        <w:rPr>
          <w:noProof/>
        </w:rPr>
        <w:fldChar w:fldCharType="end"/>
      </w:r>
      <w:r>
        <w:rPr>
          <w:noProof/>
        </w:rPr>
        <w:t>:</w:t>
      </w:r>
      <w:r>
        <w:t xml:space="preserve"> Key physicochemical properties of the active constituent bromadiolone</w:t>
      </w:r>
      <w:bookmarkEnd w:id="68"/>
      <w:bookmarkEnd w:id="69"/>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434"/>
        <w:gridCol w:w="3172"/>
      </w:tblGrid>
      <w:tr w:rsidR="00884D58" w:rsidRPr="002A150C" w14:paraId="1D46E48A" w14:textId="77777777" w:rsidTr="00533B55">
        <w:trPr>
          <w:tblHeader/>
        </w:trPr>
        <w:tc>
          <w:tcPr>
            <w:tcW w:w="1569" w:type="pct"/>
            <w:shd w:val="clear" w:color="auto" w:fill="53284F"/>
          </w:tcPr>
          <w:p w14:paraId="16A43739" w14:textId="77777777" w:rsidR="00884D58" w:rsidRPr="002D1539" w:rsidRDefault="00884D58" w:rsidP="00BA7F4F">
            <w:pPr>
              <w:pStyle w:val="TableHead"/>
              <w:rPr>
                <w:lang w:val="en-US"/>
              </w:rPr>
            </w:pPr>
            <w:r w:rsidRPr="002D1539">
              <w:rPr>
                <w:lang w:val="en-US"/>
              </w:rPr>
              <w:t>Parameters</w:t>
            </w:r>
          </w:p>
        </w:tc>
        <w:tc>
          <w:tcPr>
            <w:tcW w:w="1783" w:type="pct"/>
            <w:shd w:val="clear" w:color="auto" w:fill="53284F"/>
          </w:tcPr>
          <w:p w14:paraId="34E74FF6" w14:textId="77777777" w:rsidR="00884D58" w:rsidRPr="002D1539" w:rsidRDefault="00884D58" w:rsidP="00BA7F4F">
            <w:pPr>
              <w:pStyle w:val="TableHead"/>
              <w:rPr>
                <w:lang w:val="en-US"/>
              </w:rPr>
            </w:pPr>
            <w:r w:rsidRPr="002D1539">
              <w:rPr>
                <w:lang w:val="en-US"/>
              </w:rPr>
              <w:t>Properties</w:t>
            </w:r>
          </w:p>
        </w:tc>
        <w:tc>
          <w:tcPr>
            <w:tcW w:w="1647" w:type="pct"/>
            <w:shd w:val="clear" w:color="auto" w:fill="53284F"/>
          </w:tcPr>
          <w:p w14:paraId="28F36A6F" w14:textId="77777777" w:rsidR="00884D58" w:rsidRPr="002D1539" w:rsidRDefault="00884D58" w:rsidP="00BA7F4F">
            <w:pPr>
              <w:pStyle w:val="TableHead"/>
              <w:rPr>
                <w:lang w:val="en-US"/>
              </w:rPr>
            </w:pPr>
            <w:r>
              <w:rPr>
                <w:lang w:val="en-US"/>
              </w:rPr>
              <w:t>Data source</w:t>
            </w:r>
          </w:p>
        </w:tc>
      </w:tr>
      <w:tr w:rsidR="00884D58" w:rsidRPr="002A150C" w14:paraId="06ECFCCB" w14:textId="77777777" w:rsidTr="00533B55">
        <w:tc>
          <w:tcPr>
            <w:tcW w:w="1569" w:type="pct"/>
            <w:shd w:val="clear" w:color="auto" w:fill="F0F4F5"/>
          </w:tcPr>
          <w:p w14:paraId="43BA4F29" w14:textId="77777777" w:rsidR="00884D58" w:rsidRPr="00244B68" w:rsidRDefault="00884D58" w:rsidP="00BA7F4F">
            <w:pPr>
              <w:pStyle w:val="TableText"/>
              <w:rPr>
                <w:lang w:val="en-US"/>
              </w:rPr>
            </w:pPr>
            <w:r>
              <w:rPr>
                <w:lang w:val="en-US"/>
              </w:rPr>
              <w:t>Appearance</w:t>
            </w:r>
          </w:p>
        </w:tc>
        <w:tc>
          <w:tcPr>
            <w:tcW w:w="1783" w:type="pct"/>
          </w:tcPr>
          <w:p w14:paraId="5D7BA73E" w14:textId="77777777" w:rsidR="00884D58" w:rsidRPr="00443E69" w:rsidRDefault="00884D58" w:rsidP="00BA7F4F">
            <w:pPr>
              <w:pStyle w:val="TableText"/>
            </w:pPr>
            <w:r w:rsidRPr="00443E69">
              <w:t>White odourless powder (technical active ingredient)</w:t>
            </w:r>
          </w:p>
        </w:tc>
        <w:tc>
          <w:tcPr>
            <w:tcW w:w="1647" w:type="pct"/>
          </w:tcPr>
          <w:p w14:paraId="6BCBDD12" w14:textId="77777777" w:rsidR="00884D58" w:rsidRPr="00443E69" w:rsidRDefault="00884D58" w:rsidP="00BA7F4F">
            <w:pPr>
              <w:pStyle w:val="TableText"/>
            </w:pPr>
            <w:r w:rsidRPr="00AA20C4">
              <w:rPr>
                <w:rStyle w:val="FootnoteReference"/>
                <w:vertAlign w:val="baseline"/>
              </w:rPr>
              <w:t>Farrell M.S.,</w:t>
            </w:r>
            <w:r w:rsidRPr="00AA20C4">
              <w:t xml:space="preserve"> 2002(a,b), Pesselman R., 1990(a,b,c)</w:t>
            </w:r>
          </w:p>
        </w:tc>
      </w:tr>
      <w:tr w:rsidR="00884D58" w:rsidRPr="002A150C" w14:paraId="27EF5E2F" w14:textId="77777777" w:rsidTr="00533B55">
        <w:tc>
          <w:tcPr>
            <w:tcW w:w="1569" w:type="pct"/>
            <w:vMerge w:val="restart"/>
            <w:shd w:val="clear" w:color="auto" w:fill="F0F4F5"/>
          </w:tcPr>
          <w:p w14:paraId="4CAAB7F6" w14:textId="77777777" w:rsidR="00884D58" w:rsidRPr="00244B68" w:rsidRDefault="00884D58" w:rsidP="00BA7F4F">
            <w:pPr>
              <w:pStyle w:val="TableText"/>
              <w:rPr>
                <w:lang w:val="en-US"/>
              </w:rPr>
            </w:pPr>
            <w:r w:rsidRPr="00244B68">
              <w:rPr>
                <w:lang w:val="en-US"/>
              </w:rPr>
              <w:t>Melting point</w:t>
            </w:r>
          </w:p>
        </w:tc>
        <w:tc>
          <w:tcPr>
            <w:tcW w:w="1783" w:type="pct"/>
          </w:tcPr>
          <w:p w14:paraId="4C602565" w14:textId="77777777" w:rsidR="00884D58" w:rsidRPr="00443E69" w:rsidRDefault="00884D58" w:rsidP="00BA7F4F">
            <w:pPr>
              <w:pStyle w:val="TableText"/>
            </w:pPr>
            <w:r w:rsidRPr="00443E69">
              <w:t>203 – 205 °C</w:t>
            </w:r>
          </w:p>
        </w:tc>
        <w:tc>
          <w:tcPr>
            <w:tcW w:w="1647" w:type="pct"/>
          </w:tcPr>
          <w:p w14:paraId="1F87630B" w14:textId="77777777" w:rsidR="00884D58" w:rsidRPr="00443E69" w:rsidRDefault="00884D58" w:rsidP="00BA7F4F">
            <w:pPr>
              <w:pStyle w:val="TableText"/>
            </w:pPr>
            <w:r w:rsidRPr="00AA20C4">
              <w:t>Sarff P, 2002(a)</w:t>
            </w:r>
          </w:p>
        </w:tc>
      </w:tr>
      <w:tr w:rsidR="00884D58" w:rsidRPr="002A150C" w14:paraId="64AFA502" w14:textId="77777777" w:rsidTr="00533B55">
        <w:tc>
          <w:tcPr>
            <w:tcW w:w="1569" w:type="pct"/>
            <w:vMerge/>
            <w:shd w:val="clear" w:color="auto" w:fill="F0F4F5"/>
          </w:tcPr>
          <w:p w14:paraId="24FD0BF7" w14:textId="77777777" w:rsidR="00884D58" w:rsidRPr="00244B68" w:rsidRDefault="00884D58" w:rsidP="00BA7F4F">
            <w:pPr>
              <w:pStyle w:val="TableText"/>
              <w:rPr>
                <w:lang w:val="en-US"/>
              </w:rPr>
            </w:pPr>
          </w:p>
        </w:tc>
        <w:tc>
          <w:tcPr>
            <w:tcW w:w="1783" w:type="pct"/>
          </w:tcPr>
          <w:p w14:paraId="1AC0C2DF" w14:textId="77777777" w:rsidR="00884D58" w:rsidRPr="00443E69" w:rsidRDefault="00884D58" w:rsidP="00BA7F4F">
            <w:pPr>
              <w:pStyle w:val="TableText"/>
            </w:pPr>
            <w:r w:rsidRPr="00443E69">
              <w:t>198.3 - 199.8 °C</w:t>
            </w:r>
          </w:p>
        </w:tc>
        <w:tc>
          <w:tcPr>
            <w:tcW w:w="1647" w:type="pct"/>
          </w:tcPr>
          <w:p w14:paraId="7000AB11" w14:textId="77777777" w:rsidR="00884D58" w:rsidRPr="00443E69" w:rsidRDefault="00884D58" w:rsidP="00BA7F4F">
            <w:pPr>
              <w:pStyle w:val="TableText"/>
              <w:rPr>
                <w:rStyle w:val="FootnoteReference"/>
                <w:vertAlign w:val="baseline"/>
              </w:rPr>
            </w:pPr>
            <w:r w:rsidRPr="00AA20C4">
              <w:t>Pesselman R., 1990(d)</w:t>
            </w:r>
          </w:p>
        </w:tc>
      </w:tr>
      <w:tr w:rsidR="00884D58" w:rsidRPr="002A150C" w14:paraId="09845DEF" w14:textId="77777777" w:rsidTr="00533B55">
        <w:tc>
          <w:tcPr>
            <w:tcW w:w="1569" w:type="pct"/>
            <w:shd w:val="clear" w:color="auto" w:fill="F0F4F5"/>
          </w:tcPr>
          <w:p w14:paraId="415A250E" w14:textId="77777777" w:rsidR="00884D58" w:rsidRPr="00244B68" w:rsidRDefault="00884D58" w:rsidP="00BA7F4F">
            <w:pPr>
              <w:pStyle w:val="TableText"/>
              <w:rPr>
                <w:lang w:val="en-US"/>
              </w:rPr>
            </w:pPr>
            <w:r>
              <w:rPr>
                <w:lang w:val="en-US"/>
              </w:rPr>
              <w:t>Boiling point</w:t>
            </w:r>
          </w:p>
        </w:tc>
        <w:tc>
          <w:tcPr>
            <w:tcW w:w="1783" w:type="pct"/>
          </w:tcPr>
          <w:p w14:paraId="3A4C5012" w14:textId="77777777" w:rsidR="00884D58" w:rsidRPr="00443E69" w:rsidRDefault="00884D58" w:rsidP="00BA7F4F">
            <w:pPr>
              <w:pStyle w:val="TableText"/>
            </w:pPr>
            <w:r w:rsidRPr="00443E69">
              <w:t>Decomposes without boiling above the melting point</w:t>
            </w:r>
          </w:p>
        </w:tc>
        <w:tc>
          <w:tcPr>
            <w:tcW w:w="1647" w:type="pct"/>
          </w:tcPr>
          <w:p w14:paraId="1CA88F0B" w14:textId="77777777" w:rsidR="00884D58" w:rsidRPr="00443E69" w:rsidRDefault="00884D58" w:rsidP="00BA7F4F">
            <w:pPr>
              <w:pStyle w:val="TableText"/>
            </w:pPr>
            <w:r w:rsidRPr="00443E69">
              <w:t>Jackson W.A., 2002</w:t>
            </w:r>
          </w:p>
        </w:tc>
      </w:tr>
      <w:tr w:rsidR="00884D58" w:rsidRPr="002A150C" w14:paraId="4C1F7175" w14:textId="77777777" w:rsidTr="00533B55">
        <w:tc>
          <w:tcPr>
            <w:tcW w:w="1569" w:type="pct"/>
            <w:vMerge w:val="restart"/>
            <w:shd w:val="clear" w:color="auto" w:fill="F0F4F5"/>
          </w:tcPr>
          <w:p w14:paraId="3614517F" w14:textId="77777777" w:rsidR="00884D58" w:rsidRPr="00244B68" w:rsidRDefault="00884D58" w:rsidP="00BA7F4F">
            <w:pPr>
              <w:pStyle w:val="TableText"/>
              <w:rPr>
                <w:lang w:val="en-US"/>
              </w:rPr>
            </w:pPr>
            <w:r w:rsidRPr="00244B68">
              <w:rPr>
                <w:lang w:val="en-US"/>
              </w:rPr>
              <w:t xml:space="preserve">Density </w:t>
            </w:r>
          </w:p>
        </w:tc>
        <w:tc>
          <w:tcPr>
            <w:tcW w:w="1783" w:type="pct"/>
          </w:tcPr>
          <w:p w14:paraId="44874D67" w14:textId="77777777" w:rsidR="00884D58" w:rsidRPr="00443E69" w:rsidRDefault="00884D58" w:rsidP="00BA7F4F">
            <w:pPr>
              <w:pStyle w:val="TableText"/>
            </w:pPr>
            <w:r w:rsidRPr="00443E69">
              <w:t>1.464 (20 °C)</w:t>
            </w:r>
          </w:p>
        </w:tc>
        <w:tc>
          <w:tcPr>
            <w:tcW w:w="1647" w:type="pct"/>
          </w:tcPr>
          <w:p w14:paraId="15B14136" w14:textId="77777777" w:rsidR="00884D58" w:rsidRPr="00443E69" w:rsidRDefault="00884D58" w:rsidP="00BA7F4F">
            <w:pPr>
              <w:pStyle w:val="TableText"/>
            </w:pPr>
            <w:r w:rsidRPr="00443E69">
              <w:t>Sarff P. and Locke J., 2002</w:t>
            </w:r>
          </w:p>
        </w:tc>
      </w:tr>
      <w:tr w:rsidR="00884D58" w:rsidRPr="002A150C" w14:paraId="7468DB28" w14:textId="77777777" w:rsidTr="00533B55">
        <w:tc>
          <w:tcPr>
            <w:tcW w:w="1569" w:type="pct"/>
            <w:vMerge/>
            <w:shd w:val="clear" w:color="auto" w:fill="F0F4F5"/>
          </w:tcPr>
          <w:p w14:paraId="6D508239" w14:textId="77777777" w:rsidR="00884D58" w:rsidRPr="00244B68" w:rsidRDefault="00884D58" w:rsidP="00BA7F4F">
            <w:pPr>
              <w:pStyle w:val="TableText"/>
              <w:rPr>
                <w:lang w:val="en-US"/>
              </w:rPr>
            </w:pPr>
          </w:p>
        </w:tc>
        <w:tc>
          <w:tcPr>
            <w:tcW w:w="1783" w:type="pct"/>
          </w:tcPr>
          <w:p w14:paraId="44A0B40D" w14:textId="77777777" w:rsidR="00884D58" w:rsidRPr="00443E69" w:rsidRDefault="00884D58" w:rsidP="00BA7F4F">
            <w:pPr>
              <w:pStyle w:val="TableText"/>
            </w:pPr>
            <w:r w:rsidRPr="00443E69">
              <w:t>1.5164</w:t>
            </w:r>
          </w:p>
        </w:tc>
        <w:tc>
          <w:tcPr>
            <w:tcW w:w="1647" w:type="pct"/>
          </w:tcPr>
          <w:p w14:paraId="64282D90" w14:textId="77777777" w:rsidR="00884D58" w:rsidRPr="00443E69" w:rsidRDefault="00884D58" w:rsidP="00BA7F4F">
            <w:pPr>
              <w:pStyle w:val="TableText"/>
            </w:pPr>
            <w:r w:rsidRPr="00443E69">
              <w:t>Pesselman, R., 1990(e)</w:t>
            </w:r>
          </w:p>
        </w:tc>
      </w:tr>
      <w:tr w:rsidR="00884D58" w:rsidRPr="002A150C" w14:paraId="2A2A518E" w14:textId="77777777" w:rsidTr="00533B55">
        <w:tc>
          <w:tcPr>
            <w:tcW w:w="1569" w:type="pct"/>
            <w:vMerge w:val="restart"/>
            <w:shd w:val="clear" w:color="auto" w:fill="F0F4F5"/>
          </w:tcPr>
          <w:p w14:paraId="75AC724F" w14:textId="77777777" w:rsidR="00884D58" w:rsidRPr="00244B68" w:rsidRDefault="00884D58" w:rsidP="00BA7F4F">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p>
        </w:tc>
        <w:tc>
          <w:tcPr>
            <w:tcW w:w="1783" w:type="pct"/>
          </w:tcPr>
          <w:p w14:paraId="73AA2660" w14:textId="77777777" w:rsidR="00884D58" w:rsidRPr="00443E69" w:rsidRDefault="00884D58" w:rsidP="00BA7F4F">
            <w:pPr>
              <w:pStyle w:val="TableText"/>
            </w:pPr>
            <w:r w:rsidRPr="00443E69">
              <w:t>pH 4: &gt;5.71</w:t>
            </w:r>
          </w:p>
          <w:p w14:paraId="618F1D72" w14:textId="77777777" w:rsidR="00884D58" w:rsidRPr="00443E69" w:rsidRDefault="00884D58" w:rsidP="00BA7F4F">
            <w:pPr>
              <w:pStyle w:val="TableText"/>
            </w:pPr>
            <w:r w:rsidRPr="00443E69">
              <w:t>pH 7: 4.07</w:t>
            </w:r>
          </w:p>
          <w:p w14:paraId="4A697FE5" w14:textId="77777777" w:rsidR="00884D58" w:rsidRPr="00443E69" w:rsidRDefault="00884D58" w:rsidP="00BA7F4F">
            <w:pPr>
              <w:pStyle w:val="TableText"/>
            </w:pPr>
            <w:r w:rsidRPr="00443E69">
              <w:t>pH 10: 3.16</w:t>
            </w:r>
          </w:p>
          <w:p w14:paraId="4C5C5A18" w14:textId="77777777" w:rsidR="00884D58" w:rsidRPr="00443E69" w:rsidRDefault="00884D58" w:rsidP="00BA7F4F">
            <w:pPr>
              <w:pStyle w:val="TableText"/>
            </w:pPr>
            <w:r w:rsidRPr="00443E69">
              <w:t>(all at 20 °C using the shake flask method)</w:t>
            </w:r>
          </w:p>
        </w:tc>
        <w:tc>
          <w:tcPr>
            <w:tcW w:w="1647" w:type="pct"/>
          </w:tcPr>
          <w:p w14:paraId="0DF925C3" w14:textId="77777777" w:rsidR="00884D58" w:rsidRPr="00443E69" w:rsidRDefault="00884D58" w:rsidP="00BA7F4F">
            <w:pPr>
              <w:pStyle w:val="TableText"/>
            </w:pPr>
            <w:r w:rsidRPr="00AA20C4">
              <w:t>Sarff P., 2002(b)</w:t>
            </w:r>
          </w:p>
        </w:tc>
      </w:tr>
      <w:tr w:rsidR="00884D58" w:rsidRPr="002A150C" w14:paraId="7271FFE4" w14:textId="77777777" w:rsidTr="00533B55">
        <w:tc>
          <w:tcPr>
            <w:tcW w:w="1569" w:type="pct"/>
            <w:vMerge/>
            <w:shd w:val="clear" w:color="auto" w:fill="F0F4F5"/>
          </w:tcPr>
          <w:p w14:paraId="34877267" w14:textId="77777777" w:rsidR="00884D58" w:rsidRDefault="00884D58" w:rsidP="00BA7F4F">
            <w:pPr>
              <w:pStyle w:val="TableText"/>
              <w:rPr>
                <w:lang w:val="en-US"/>
              </w:rPr>
            </w:pPr>
          </w:p>
        </w:tc>
        <w:tc>
          <w:tcPr>
            <w:tcW w:w="1783" w:type="pct"/>
          </w:tcPr>
          <w:p w14:paraId="4B3CADA3" w14:textId="77777777" w:rsidR="00884D58" w:rsidRPr="00443E69" w:rsidRDefault="00884D58" w:rsidP="00BA7F4F">
            <w:pPr>
              <w:pStyle w:val="TableText"/>
            </w:pPr>
            <w:r w:rsidRPr="00443E69">
              <w:t>Deionised water: 4.27 (23 °C, shake flask method)</w:t>
            </w:r>
          </w:p>
        </w:tc>
        <w:tc>
          <w:tcPr>
            <w:tcW w:w="1647" w:type="pct"/>
          </w:tcPr>
          <w:p w14:paraId="71DE2658" w14:textId="77777777" w:rsidR="00884D58" w:rsidRPr="00443E69" w:rsidRDefault="00884D58" w:rsidP="001C6D19">
            <w:pPr>
              <w:pStyle w:val="TableText"/>
            </w:pPr>
            <w:r w:rsidRPr="00443E69">
              <w:t>Pesselman R., 1990(f)</w:t>
            </w:r>
          </w:p>
        </w:tc>
      </w:tr>
      <w:tr w:rsidR="00884D58" w:rsidRPr="002A150C" w14:paraId="757AE866" w14:textId="77777777" w:rsidTr="00533B55">
        <w:tc>
          <w:tcPr>
            <w:tcW w:w="1569" w:type="pct"/>
            <w:vMerge/>
            <w:shd w:val="clear" w:color="auto" w:fill="F0F4F5"/>
          </w:tcPr>
          <w:p w14:paraId="1A72CCD6" w14:textId="77777777" w:rsidR="00884D58" w:rsidRDefault="00884D58" w:rsidP="00BA7F4F">
            <w:pPr>
              <w:pStyle w:val="TableText"/>
              <w:rPr>
                <w:lang w:val="en-US"/>
              </w:rPr>
            </w:pPr>
          </w:p>
        </w:tc>
        <w:tc>
          <w:tcPr>
            <w:tcW w:w="1783" w:type="pct"/>
          </w:tcPr>
          <w:p w14:paraId="4128DCB9" w14:textId="77777777" w:rsidR="00884D58" w:rsidRPr="00443E69" w:rsidRDefault="00884D58" w:rsidP="00BA7F4F">
            <w:pPr>
              <w:pStyle w:val="TableText"/>
            </w:pPr>
            <w:r w:rsidRPr="00443E69">
              <w:t>pH 6: 3.9 (20 °C using the shake flask method)</w:t>
            </w:r>
          </w:p>
        </w:tc>
        <w:tc>
          <w:tcPr>
            <w:tcW w:w="1647" w:type="pct"/>
          </w:tcPr>
          <w:p w14:paraId="57A87AC6" w14:textId="77777777" w:rsidR="00884D58" w:rsidRPr="00443E69" w:rsidRDefault="00884D58" w:rsidP="001C6D19">
            <w:pPr>
              <w:pStyle w:val="TableText"/>
            </w:pPr>
            <w:r w:rsidRPr="00443E69">
              <w:t>Ricau H., 2008,</w:t>
            </w:r>
          </w:p>
        </w:tc>
      </w:tr>
      <w:tr w:rsidR="00884D58" w:rsidRPr="002A150C" w14:paraId="09097D73" w14:textId="77777777" w:rsidTr="00533B55">
        <w:tc>
          <w:tcPr>
            <w:tcW w:w="1569" w:type="pct"/>
            <w:shd w:val="clear" w:color="auto" w:fill="F0F4F5"/>
          </w:tcPr>
          <w:p w14:paraId="07329588" w14:textId="77777777" w:rsidR="00884D58" w:rsidRPr="00244B68" w:rsidRDefault="00884D58" w:rsidP="00BA7F4F">
            <w:pPr>
              <w:pStyle w:val="TableText"/>
              <w:rPr>
                <w:lang w:val="en-US"/>
              </w:rPr>
            </w:pPr>
            <w:r w:rsidRPr="00244B68">
              <w:rPr>
                <w:lang w:val="en-US"/>
              </w:rPr>
              <w:t>Vapour pressure</w:t>
            </w:r>
          </w:p>
        </w:tc>
        <w:tc>
          <w:tcPr>
            <w:tcW w:w="1783" w:type="pct"/>
          </w:tcPr>
          <w:p w14:paraId="3A9F3B47" w14:textId="77777777" w:rsidR="00884D58" w:rsidRPr="00443E69" w:rsidRDefault="00884D58" w:rsidP="00BA7F4F">
            <w:pPr>
              <w:pStyle w:val="TableText"/>
            </w:pPr>
            <w:r w:rsidRPr="00443E69">
              <w:t>2.1 × 10-5 mPa (25 °C), gas saturation method</w:t>
            </w:r>
          </w:p>
        </w:tc>
        <w:tc>
          <w:tcPr>
            <w:tcW w:w="1647" w:type="pct"/>
          </w:tcPr>
          <w:p w14:paraId="09B1E777" w14:textId="77777777" w:rsidR="00884D58" w:rsidRPr="00443E69" w:rsidRDefault="00884D58" w:rsidP="001C6D19">
            <w:pPr>
              <w:pStyle w:val="TableText"/>
            </w:pPr>
            <w:r w:rsidRPr="00443E69">
              <w:t>Pesselman R., 1990(g)</w:t>
            </w:r>
          </w:p>
        </w:tc>
      </w:tr>
      <w:tr w:rsidR="00884D58" w:rsidRPr="002A150C" w14:paraId="7566F66F" w14:textId="77777777" w:rsidTr="00533B55">
        <w:tc>
          <w:tcPr>
            <w:tcW w:w="1569" w:type="pct"/>
            <w:shd w:val="clear" w:color="auto" w:fill="F0F4F5"/>
          </w:tcPr>
          <w:p w14:paraId="4C1E679D" w14:textId="77777777" w:rsidR="00884D58" w:rsidRPr="00244B68" w:rsidRDefault="00884D58" w:rsidP="00BA7F4F">
            <w:pPr>
              <w:pStyle w:val="TableText"/>
              <w:rPr>
                <w:lang w:val="en-US"/>
              </w:rPr>
            </w:pPr>
            <w:r>
              <w:rPr>
                <w:lang w:val="en-US"/>
              </w:rPr>
              <w:t>Henry’s Law Constant</w:t>
            </w:r>
          </w:p>
        </w:tc>
        <w:tc>
          <w:tcPr>
            <w:tcW w:w="1783" w:type="pct"/>
          </w:tcPr>
          <w:p w14:paraId="4579CCC6" w14:textId="77777777" w:rsidR="00884D58" w:rsidRPr="00443E69" w:rsidRDefault="00884D58" w:rsidP="00BA7F4F">
            <w:pPr>
              <w:pStyle w:val="TableText"/>
            </w:pPr>
            <w:r w:rsidRPr="00443E69">
              <w:t>8.99 × 10-7 Pa.m3.mol-1 (25 °C), calculated</w:t>
            </w:r>
          </w:p>
        </w:tc>
        <w:tc>
          <w:tcPr>
            <w:tcW w:w="1647" w:type="pct"/>
          </w:tcPr>
          <w:p w14:paraId="6CB1A07E" w14:textId="77777777" w:rsidR="00884D58" w:rsidRPr="00443E69" w:rsidRDefault="00884D58" w:rsidP="001C6D19">
            <w:pPr>
              <w:pStyle w:val="TableText"/>
            </w:pPr>
            <w:r w:rsidRPr="00443E69">
              <w:t>Curl M.G., 2003</w:t>
            </w:r>
          </w:p>
        </w:tc>
      </w:tr>
      <w:tr w:rsidR="00884D58" w:rsidRPr="002A150C" w14:paraId="680C79D1" w14:textId="77777777" w:rsidTr="00533B55">
        <w:tc>
          <w:tcPr>
            <w:tcW w:w="1569" w:type="pct"/>
            <w:vMerge w:val="restart"/>
            <w:shd w:val="clear" w:color="auto" w:fill="F0F4F5"/>
          </w:tcPr>
          <w:p w14:paraId="0A08F97D" w14:textId="77777777" w:rsidR="00884D58" w:rsidRPr="00244B68" w:rsidRDefault="00884D58" w:rsidP="00BA7F4F">
            <w:pPr>
              <w:pStyle w:val="TableText"/>
              <w:rPr>
                <w:lang w:val="en-US"/>
              </w:rPr>
            </w:pPr>
            <w:r>
              <w:rPr>
                <w:lang w:val="en-US"/>
              </w:rPr>
              <w:t>Water s</w:t>
            </w:r>
            <w:r w:rsidRPr="00244B68">
              <w:rPr>
                <w:lang w:val="en-US"/>
              </w:rPr>
              <w:t>olubility</w:t>
            </w:r>
          </w:p>
        </w:tc>
        <w:tc>
          <w:tcPr>
            <w:tcW w:w="1783" w:type="pct"/>
          </w:tcPr>
          <w:p w14:paraId="1557D8F3" w14:textId="77777777" w:rsidR="00884D58" w:rsidRPr="001549D4" w:rsidRDefault="00884D58" w:rsidP="00BA7F4F">
            <w:pPr>
              <w:pStyle w:val="TableText"/>
              <w:rPr>
                <w:lang w:val="de-CH"/>
              </w:rPr>
            </w:pPr>
            <w:r w:rsidRPr="001549D4">
              <w:rPr>
                <w:lang w:val="de-CH"/>
              </w:rPr>
              <w:t>pH 4: 0.0994 mg/L</w:t>
            </w:r>
          </w:p>
          <w:p w14:paraId="662AA004" w14:textId="77777777" w:rsidR="00884D58" w:rsidRPr="001549D4" w:rsidRDefault="00884D58" w:rsidP="00BA7F4F">
            <w:pPr>
              <w:pStyle w:val="TableText"/>
              <w:rPr>
                <w:lang w:val="de-CH"/>
              </w:rPr>
            </w:pPr>
            <w:r w:rsidRPr="001549D4">
              <w:rPr>
                <w:lang w:val="de-CH"/>
              </w:rPr>
              <w:t>pH 7: 18.4 mg/L</w:t>
            </w:r>
          </w:p>
          <w:p w14:paraId="0C49AD12" w14:textId="77777777" w:rsidR="00884D58" w:rsidRPr="001549D4" w:rsidRDefault="00884D58" w:rsidP="00BA7F4F">
            <w:pPr>
              <w:pStyle w:val="TableText"/>
              <w:rPr>
                <w:lang w:val="de-CH"/>
              </w:rPr>
            </w:pPr>
            <w:r w:rsidRPr="001549D4">
              <w:rPr>
                <w:lang w:val="de-CH"/>
              </w:rPr>
              <w:t>pH 10: 1230 mg/L</w:t>
            </w:r>
          </w:p>
          <w:p w14:paraId="0181496F" w14:textId="77777777" w:rsidR="00884D58" w:rsidRPr="00443E69" w:rsidRDefault="00884D58" w:rsidP="00BA7F4F">
            <w:pPr>
              <w:pStyle w:val="TableText"/>
            </w:pPr>
            <w:r w:rsidRPr="00443E69">
              <w:t>(all at 20 °C, using column elution method at pH 4 and 7 and shake flask method for pH 10)</w:t>
            </w:r>
          </w:p>
        </w:tc>
        <w:tc>
          <w:tcPr>
            <w:tcW w:w="1647" w:type="pct"/>
          </w:tcPr>
          <w:p w14:paraId="57EADC26" w14:textId="77777777" w:rsidR="00884D58" w:rsidRPr="00443E69" w:rsidRDefault="00884D58" w:rsidP="001C6D19">
            <w:pPr>
              <w:pStyle w:val="TableText"/>
            </w:pPr>
            <w:r w:rsidRPr="00443E69">
              <w:t>Hahn J.A., 2002</w:t>
            </w:r>
          </w:p>
        </w:tc>
      </w:tr>
      <w:tr w:rsidR="00884D58" w:rsidRPr="002A150C" w14:paraId="0E99B422" w14:textId="77777777" w:rsidTr="00533B55">
        <w:tc>
          <w:tcPr>
            <w:tcW w:w="1569" w:type="pct"/>
            <w:vMerge/>
            <w:shd w:val="clear" w:color="auto" w:fill="F0F4F5"/>
          </w:tcPr>
          <w:p w14:paraId="41AA2E54" w14:textId="77777777" w:rsidR="00884D58" w:rsidRDefault="00884D58" w:rsidP="00BA7F4F">
            <w:pPr>
              <w:pStyle w:val="TableText"/>
              <w:rPr>
                <w:lang w:val="en-US"/>
              </w:rPr>
            </w:pPr>
          </w:p>
        </w:tc>
        <w:tc>
          <w:tcPr>
            <w:tcW w:w="1783" w:type="pct"/>
          </w:tcPr>
          <w:p w14:paraId="38C01978" w14:textId="77777777" w:rsidR="00884D58" w:rsidRPr="00443E69" w:rsidRDefault="00884D58" w:rsidP="00BA7F4F">
            <w:pPr>
              <w:pStyle w:val="TableText"/>
            </w:pPr>
            <w:r w:rsidRPr="00443E69">
              <w:t>Deionised water: 12.5 mg/L (column elution method)</w:t>
            </w:r>
          </w:p>
        </w:tc>
        <w:tc>
          <w:tcPr>
            <w:tcW w:w="1647" w:type="pct"/>
          </w:tcPr>
          <w:p w14:paraId="3C9DD8FA" w14:textId="77777777" w:rsidR="00884D58" w:rsidRPr="00443E69" w:rsidRDefault="00884D58" w:rsidP="001C6D19">
            <w:pPr>
              <w:pStyle w:val="TableText"/>
            </w:pPr>
            <w:r w:rsidRPr="00443E69">
              <w:t>Pesselman R., 1990(h)</w:t>
            </w:r>
          </w:p>
        </w:tc>
      </w:tr>
      <w:tr w:rsidR="00884D58" w:rsidRPr="002A150C" w14:paraId="1F813919" w14:textId="77777777" w:rsidTr="00533B55">
        <w:tc>
          <w:tcPr>
            <w:tcW w:w="1569" w:type="pct"/>
            <w:shd w:val="clear" w:color="auto" w:fill="F0F4F5"/>
          </w:tcPr>
          <w:p w14:paraId="39A03081" w14:textId="77777777" w:rsidR="00884D58" w:rsidRDefault="00884D58" w:rsidP="00BA7F4F">
            <w:pPr>
              <w:pStyle w:val="TableText"/>
              <w:rPr>
                <w:lang w:val="en-US"/>
              </w:rPr>
            </w:pPr>
            <w:r>
              <w:rPr>
                <w:lang w:val="en-US"/>
              </w:rPr>
              <w:t>Organic solvent solubility</w:t>
            </w:r>
          </w:p>
        </w:tc>
        <w:tc>
          <w:tcPr>
            <w:tcW w:w="1783" w:type="pct"/>
          </w:tcPr>
          <w:p w14:paraId="51718886" w14:textId="77777777" w:rsidR="00884D58" w:rsidRPr="00443E69" w:rsidRDefault="00884D58" w:rsidP="00BA7F4F">
            <w:pPr>
              <w:pStyle w:val="TableText"/>
            </w:pPr>
            <w:r w:rsidRPr="00443E69">
              <w:t>Hexane: 7.15 mg/L (25 °C, shake flask method)</w:t>
            </w:r>
          </w:p>
          <w:p w14:paraId="0B8F5759" w14:textId="77777777" w:rsidR="00884D58" w:rsidRPr="00443E69" w:rsidRDefault="00884D58" w:rsidP="00BA7F4F">
            <w:pPr>
              <w:pStyle w:val="TableText"/>
            </w:pPr>
            <w:r w:rsidRPr="00443E69">
              <w:t>Methanol: 6.93 g/L (25 °C, shake flask method)</w:t>
            </w:r>
          </w:p>
        </w:tc>
        <w:tc>
          <w:tcPr>
            <w:tcW w:w="1647" w:type="pct"/>
          </w:tcPr>
          <w:p w14:paraId="15169C92" w14:textId="77777777" w:rsidR="00884D58" w:rsidRPr="00443E69" w:rsidRDefault="00884D58" w:rsidP="001C6D19">
            <w:pPr>
              <w:pStyle w:val="TableText"/>
            </w:pPr>
            <w:r w:rsidRPr="00443E69">
              <w:t>Pesselman R., 1990(h)</w:t>
            </w:r>
          </w:p>
        </w:tc>
      </w:tr>
      <w:tr w:rsidR="00884D58" w:rsidRPr="002A150C" w14:paraId="7C1BCCEE" w14:textId="77777777" w:rsidTr="00533B55">
        <w:tc>
          <w:tcPr>
            <w:tcW w:w="1569" w:type="pct"/>
            <w:shd w:val="clear" w:color="auto" w:fill="F0F4F5"/>
          </w:tcPr>
          <w:p w14:paraId="3B78466E" w14:textId="77777777" w:rsidR="00884D58" w:rsidRDefault="00884D58" w:rsidP="00BA7F4F">
            <w:pPr>
              <w:pStyle w:val="TableText"/>
              <w:rPr>
                <w:lang w:val="en-US"/>
              </w:rPr>
            </w:pPr>
            <w:r>
              <w:rPr>
                <w:lang w:val="en-US"/>
              </w:rPr>
              <w:t>Surface tension</w:t>
            </w:r>
          </w:p>
        </w:tc>
        <w:tc>
          <w:tcPr>
            <w:tcW w:w="1783" w:type="pct"/>
          </w:tcPr>
          <w:p w14:paraId="1032B558" w14:textId="77777777" w:rsidR="00884D58" w:rsidRPr="00443E69" w:rsidRDefault="00884D58" w:rsidP="00BA7F4F">
            <w:pPr>
              <w:pStyle w:val="TableText"/>
            </w:pPr>
            <w:r w:rsidRPr="00443E69">
              <w:t>71.2 mN/m (17.4 mg/L solution, 20 °C)</w:t>
            </w:r>
          </w:p>
        </w:tc>
        <w:tc>
          <w:tcPr>
            <w:tcW w:w="1647" w:type="pct"/>
            <w:vAlign w:val="bottom"/>
          </w:tcPr>
          <w:p w14:paraId="04639A1C" w14:textId="77777777" w:rsidR="00884D58" w:rsidRPr="00443E69" w:rsidRDefault="00884D58" w:rsidP="00BA7F4F">
            <w:pPr>
              <w:pStyle w:val="TableText"/>
            </w:pPr>
            <w:r w:rsidRPr="00443E69">
              <w:t>De Campos L.F.J., 2007</w:t>
            </w:r>
          </w:p>
        </w:tc>
      </w:tr>
      <w:tr w:rsidR="00884D58" w:rsidRPr="002A150C" w14:paraId="00817245" w14:textId="77777777" w:rsidTr="00533B55">
        <w:tc>
          <w:tcPr>
            <w:tcW w:w="1569" w:type="pct"/>
            <w:shd w:val="clear" w:color="auto" w:fill="F0F4F5"/>
          </w:tcPr>
          <w:p w14:paraId="5191BF78" w14:textId="77777777" w:rsidR="00884D58" w:rsidRDefault="00884D58" w:rsidP="00BA7F4F">
            <w:pPr>
              <w:pStyle w:val="TableText"/>
              <w:rPr>
                <w:lang w:val="en-US"/>
              </w:rPr>
            </w:pPr>
            <w:r>
              <w:rPr>
                <w:lang w:val="en-US"/>
              </w:rPr>
              <w:t>Hydrolysis</w:t>
            </w:r>
          </w:p>
        </w:tc>
        <w:tc>
          <w:tcPr>
            <w:tcW w:w="1783" w:type="pct"/>
          </w:tcPr>
          <w:p w14:paraId="5F6B45EB" w14:textId="597700B1" w:rsidR="00884D58" w:rsidRPr="00443E69" w:rsidRDefault="00884D58" w:rsidP="00BA7F4F">
            <w:pPr>
              <w:pStyle w:val="TableText"/>
            </w:pPr>
            <w:r w:rsidRPr="00443E69">
              <w:t xml:space="preserve">pH 5: </w:t>
            </w:r>
            <w:r w:rsidR="00682F7B" w:rsidRPr="00443E69">
              <w:t>half-life</w:t>
            </w:r>
            <w:r w:rsidRPr="00443E69">
              <w:t xml:space="preserve"> 392 days</w:t>
            </w:r>
          </w:p>
          <w:p w14:paraId="316634B8" w14:textId="77777777" w:rsidR="00884D58" w:rsidRPr="00443E69" w:rsidRDefault="00884D58" w:rsidP="00BA7F4F">
            <w:pPr>
              <w:pStyle w:val="TableText"/>
            </w:pPr>
            <w:r w:rsidRPr="00443E69">
              <w:t>No hydrolysis observed at pH 7 or 9</w:t>
            </w:r>
          </w:p>
        </w:tc>
        <w:tc>
          <w:tcPr>
            <w:tcW w:w="1647" w:type="pct"/>
            <w:vAlign w:val="bottom"/>
          </w:tcPr>
          <w:p w14:paraId="39014359" w14:textId="77777777" w:rsidR="00884D58" w:rsidRPr="00443E69" w:rsidRDefault="00884D58" w:rsidP="00BA7F4F">
            <w:pPr>
              <w:pStyle w:val="TableText"/>
            </w:pPr>
            <w:r w:rsidRPr="00443E69">
              <w:t>Spare W., 1992</w:t>
            </w:r>
          </w:p>
        </w:tc>
      </w:tr>
      <w:tr w:rsidR="00884D58" w:rsidRPr="002A150C" w14:paraId="0B64CADB" w14:textId="77777777" w:rsidTr="00533B55">
        <w:tc>
          <w:tcPr>
            <w:tcW w:w="1569" w:type="pct"/>
            <w:shd w:val="clear" w:color="auto" w:fill="F0F4F5"/>
          </w:tcPr>
          <w:p w14:paraId="010978BE" w14:textId="77777777" w:rsidR="00884D58" w:rsidRDefault="00884D58" w:rsidP="00BA7F4F">
            <w:pPr>
              <w:pStyle w:val="TableText"/>
              <w:rPr>
                <w:lang w:val="en-US"/>
              </w:rPr>
            </w:pPr>
            <w:r>
              <w:rPr>
                <w:lang w:val="en-US"/>
              </w:rPr>
              <w:t>Photolysis</w:t>
            </w:r>
          </w:p>
        </w:tc>
        <w:tc>
          <w:tcPr>
            <w:tcW w:w="1783" w:type="pct"/>
          </w:tcPr>
          <w:p w14:paraId="6369C2ED" w14:textId="4AEC7634" w:rsidR="00884D58" w:rsidRPr="00443E69" w:rsidRDefault="00884D58" w:rsidP="00BA7F4F">
            <w:pPr>
              <w:pStyle w:val="TableText"/>
            </w:pPr>
            <w:r w:rsidRPr="00443E69">
              <w:t xml:space="preserve">Rapidly photolysed in aqueous solution, with aa </w:t>
            </w:r>
            <w:r w:rsidR="00682F7B" w:rsidRPr="00443E69">
              <w:t>half-life</w:t>
            </w:r>
            <w:r w:rsidRPr="00443E69">
              <w:t xml:space="preserve"> of 28 minutes under summer sunlight at 30-40° N. </w:t>
            </w:r>
          </w:p>
        </w:tc>
        <w:tc>
          <w:tcPr>
            <w:tcW w:w="1647" w:type="pct"/>
          </w:tcPr>
          <w:p w14:paraId="6B67E262" w14:textId="77777777" w:rsidR="00884D58" w:rsidRPr="00443E69" w:rsidRDefault="00884D58" w:rsidP="00BA7F4F">
            <w:pPr>
              <w:pStyle w:val="TableText"/>
            </w:pPr>
            <w:r w:rsidRPr="00443E69">
              <w:t>Phaff R., 2004</w:t>
            </w:r>
          </w:p>
        </w:tc>
      </w:tr>
      <w:tr w:rsidR="00884D58" w:rsidRPr="002A150C" w14:paraId="621A90C6" w14:textId="77777777" w:rsidTr="00533B55">
        <w:tc>
          <w:tcPr>
            <w:tcW w:w="1569" w:type="pct"/>
            <w:shd w:val="clear" w:color="auto" w:fill="F0F4F5"/>
          </w:tcPr>
          <w:p w14:paraId="34C6F3C6" w14:textId="77777777" w:rsidR="00884D58" w:rsidRDefault="00884D58" w:rsidP="00BA7F4F">
            <w:pPr>
              <w:pStyle w:val="TableText"/>
              <w:rPr>
                <w:lang w:val="en-US"/>
              </w:rPr>
            </w:pPr>
            <w:r>
              <w:rPr>
                <w:lang w:val="en-US"/>
              </w:rPr>
              <w:t>Atmospheric lifetime</w:t>
            </w:r>
          </w:p>
        </w:tc>
        <w:tc>
          <w:tcPr>
            <w:tcW w:w="1783" w:type="pct"/>
          </w:tcPr>
          <w:p w14:paraId="4F82BFF5" w14:textId="49A92979" w:rsidR="00884D58" w:rsidRPr="00443E69" w:rsidRDefault="00682F7B" w:rsidP="00BA7F4F">
            <w:pPr>
              <w:pStyle w:val="TableText"/>
            </w:pPr>
            <w:r w:rsidRPr="00443E69">
              <w:t>Half-life</w:t>
            </w:r>
            <w:r w:rsidR="00884D58" w:rsidRPr="00443E69">
              <w:t xml:space="preserve"> for hydroxyl reaction estimated at 2.09 hours for a </w:t>
            </w:r>
            <w:r w:rsidR="00087575" w:rsidRPr="00443E69">
              <w:t>12</w:t>
            </w:r>
            <w:r w:rsidR="00087575">
              <w:t>-</w:t>
            </w:r>
            <w:r w:rsidR="00884D58" w:rsidRPr="00443E69">
              <w:t>hour day</w:t>
            </w:r>
          </w:p>
          <w:p w14:paraId="660AE95A" w14:textId="79A8D734" w:rsidR="00884D58" w:rsidRPr="00443E69" w:rsidRDefault="00682F7B" w:rsidP="00BA7F4F">
            <w:pPr>
              <w:pStyle w:val="TableText"/>
            </w:pPr>
            <w:r w:rsidRPr="00443E69">
              <w:t>Half-life</w:t>
            </w:r>
            <w:r w:rsidR="00884D58" w:rsidRPr="00443E69">
              <w:t xml:space="preserve"> for ozone reaction estimated at 2.015 hours for a </w:t>
            </w:r>
            <w:r w:rsidR="00087575" w:rsidRPr="00443E69">
              <w:t>24</w:t>
            </w:r>
            <w:r w:rsidR="00087575">
              <w:t>-</w:t>
            </w:r>
            <w:r w:rsidR="00884D58" w:rsidRPr="00443E69">
              <w:t>hour day</w:t>
            </w:r>
          </w:p>
        </w:tc>
        <w:tc>
          <w:tcPr>
            <w:tcW w:w="1647" w:type="pct"/>
          </w:tcPr>
          <w:p w14:paraId="4BA7093F" w14:textId="43B0472D" w:rsidR="00884D58" w:rsidRPr="00443E69" w:rsidRDefault="00884D58" w:rsidP="00BA7F4F">
            <w:pPr>
              <w:pStyle w:val="TableText"/>
            </w:pPr>
            <w:r w:rsidRPr="00443E69">
              <w:t>Curl M.G., 2004</w:t>
            </w:r>
          </w:p>
        </w:tc>
      </w:tr>
      <w:tr w:rsidR="00884D58" w:rsidRPr="002A150C" w14:paraId="08E342B8" w14:textId="77777777" w:rsidTr="00533B55">
        <w:tc>
          <w:tcPr>
            <w:tcW w:w="1569" w:type="pct"/>
            <w:shd w:val="clear" w:color="auto" w:fill="F0F4F5"/>
          </w:tcPr>
          <w:p w14:paraId="3030E26F" w14:textId="77777777" w:rsidR="00884D58" w:rsidRDefault="00884D58" w:rsidP="00BA7F4F">
            <w:pPr>
              <w:pStyle w:val="TableText"/>
              <w:rPr>
                <w:lang w:val="en-US"/>
              </w:rPr>
            </w:pPr>
            <w:r>
              <w:rPr>
                <w:lang w:val="en-US"/>
              </w:rPr>
              <w:lastRenderedPageBreak/>
              <w:t>Thermal stability</w:t>
            </w:r>
          </w:p>
        </w:tc>
        <w:tc>
          <w:tcPr>
            <w:tcW w:w="1783" w:type="pct"/>
          </w:tcPr>
          <w:p w14:paraId="5E6B8261" w14:textId="77777777" w:rsidR="00884D58" w:rsidRPr="00443E69" w:rsidRDefault="00884D58" w:rsidP="00BA7F4F">
            <w:pPr>
              <w:pStyle w:val="TableText"/>
            </w:pPr>
            <w:r w:rsidRPr="00443E69">
              <w:t>No decomposition occurred up to 150 °C</w:t>
            </w:r>
          </w:p>
        </w:tc>
        <w:tc>
          <w:tcPr>
            <w:tcW w:w="1647" w:type="pct"/>
          </w:tcPr>
          <w:p w14:paraId="5D75BD12" w14:textId="77777777" w:rsidR="00884D58" w:rsidRPr="00443E69" w:rsidRDefault="00884D58" w:rsidP="00BA7F4F">
            <w:pPr>
              <w:pStyle w:val="TableText"/>
              <w:rPr>
                <w:rStyle w:val="FootnoteReference"/>
                <w:vertAlign w:val="baseline"/>
              </w:rPr>
            </w:pPr>
            <w:r w:rsidRPr="00443E69">
              <w:rPr>
                <w:rStyle w:val="FootnoteReference"/>
                <w:vertAlign w:val="baseline"/>
              </w:rPr>
              <w:t>Woolley A.J. and Mullee D.M, 2003</w:t>
            </w:r>
          </w:p>
        </w:tc>
      </w:tr>
      <w:tr w:rsidR="00884D58" w:rsidRPr="002A150C" w14:paraId="5CC2A9B8" w14:textId="77777777" w:rsidTr="00533B55">
        <w:tc>
          <w:tcPr>
            <w:tcW w:w="1569" w:type="pct"/>
            <w:shd w:val="clear" w:color="auto" w:fill="F0F4F5"/>
          </w:tcPr>
          <w:p w14:paraId="118344E5" w14:textId="77777777" w:rsidR="00884D58" w:rsidRDefault="00884D58" w:rsidP="00BA7F4F">
            <w:pPr>
              <w:pStyle w:val="TableText"/>
              <w:rPr>
                <w:lang w:val="en-US"/>
              </w:rPr>
            </w:pPr>
            <w:r>
              <w:rPr>
                <w:lang w:val="en-US"/>
              </w:rPr>
              <w:t>Safety properties</w:t>
            </w:r>
          </w:p>
        </w:tc>
        <w:tc>
          <w:tcPr>
            <w:tcW w:w="1783" w:type="pct"/>
          </w:tcPr>
          <w:p w14:paraId="73F6B392" w14:textId="77777777" w:rsidR="00884D58" w:rsidRPr="00443E69" w:rsidRDefault="00884D58" w:rsidP="00BA7F4F">
            <w:pPr>
              <w:pStyle w:val="TableText"/>
            </w:pPr>
            <w:r w:rsidRPr="00443E69">
              <w:t>Not highly flammable, not explosive, does not self-ignite, not oxidising</w:t>
            </w:r>
          </w:p>
        </w:tc>
        <w:tc>
          <w:tcPr>
            <w:tcW w:w="1647" w:type="pct"/>
          </w:tcPr>
          <w:p w14:paraId="5A53D296" w14:textId="77777777" w:rsidR="00884D58" w:rsidRPr="00443E69" w:rsidRDefault="00884D58" w:rsidP="00BA7F4F">
            <w:pPr>
              <w:pStyle w:val="TableText"/>
            </w:pPr>
            <w:r w:rsidRPr="00443E69">
              <w:t>Tremain S.P., 2003</w:t>
            </w:r>
          </w:p>
        </w:tc>
      </w:tr>
    </w:tbl>
    <w:p w14:paraId="552852B0" w14:textId="49755650" w:rsidR="00682F7B" w:rsidRDefault="00884D58" w:rsidP="00884D58">
      <w:pPr>
        <w:pStyle w:val="NormalText"/>
      </w:pPr>
      <w:r w:rsidRPr="00564F21">
        <w:t>Bromadiolone may be supplied to end use product manufacturers in the form of the technical active constituent (TC), with a purity at or above 93%, or as a technical concentrate (manufacturing concentrate)</w:t>
      </w:r>
      <w:r w:rsidR="00B81336">
        <w:t>(</w:t>
      </w:r>
      <w:r w:rsidRPr="00564F21">
        <w:t>TK</w:t>
      </w:r>
      <w:r w:rsidR="00B81336">
        <w:t>)</w:t>
      </w:r>
      <w:r w:rsidRPr="00564F21">
        <w:t>.</w:t>
      </w:r>
    </w:p>
    <w:p w14:paraId="32F5E0E5" w14:textId="41C8C6D6" w:rsidR="00884D58" w:rsidRDefault="00884D58" w:rsidP="00884D58">
      <w:pPr>
        <w:pStyle w:val="NormalText"/>
      </w:pPr>
      <w:r w:rsidRPr="00564F21">
        <w:t>Manufacturing concentrates are generally prepared using a glycol solvent such as propylene glycol and typically contain 0.25-2.5% w/w bromadiolone. The manufacturing concentrates facilitate the even distribution of the active constituent during the manufacture of the end use products</w:t>
      </w:r>
      <w:r w:rsidR="00682F7B">
        <w:t xml:space="preserve"> —</w:t>
      </w:r>
      <w:r w:rsidRPr="00564F21">
        <w:t xml:space="preserve"> which have a relatively low active constituent loading, typically 0.05 g/kg (50 mg/kg or 0.005% w/w)</w:t>
      </w:r>
      <w:r w:rsidR="00682F7B">
        <w:t xml:space="preserve"> —</w:t>
      </w:r>
      <w:r w:rsidRPr="00564F21">
        <w:t xml:space="preserve"> as well as posing a lower risk to workers. Denatonium benzoate is</w:t>
      </w:r>
      <w:r>
        <w:t xml:space="preserve"> commonly included in manufacturing concentrates as a bittering agent, typically at 20% of the bromadiolone content, along with a dye to aid in colouring the end</w:t>
      </w:r>
      <w:r w:rsidR="00682F7B">
        <w:t>-</w:t>
      </w:r>
      <w:r>
        <w:t>use product.</w:t>
      </w:r>
    </w:p>
    <w:p w14:paraId="1DC17DFF" w14:textId="63560D5D" w:rsidR="00884D58" w:rsidRDefault="00884D58" w:rsidP="00884D58">
      <w:pPr>
        <w:pStyle w:val="NormalText"/>
      </w:pPr>
      <w:r>
        <w:t xml:space="preserve">The APVMA </w:t>
      </w:r>
      <w:r w:rsidR="00B81336">
        <w:t xml:space="preserve">Record lists 8 approved sources of </w:t>
      </w:r>
      <w:r>
        <w:t>bromadiolone</w:t>
      </w:r>
      <w:r w:rsidR="00B81336" w:rsidRPr="00B81336">
        <w:t xml:space="preserve"> </w:t>
      </w:r>
      <w:r w:rsidR="00B81336">
        <w:t>active constituent</w:t>
      </w:r>
      <w:r>
        <w:t xml:space="preserve">, with </w:t>
      </w:r>
      <w:r w:rsidR="00B81336">
        <w:t xml:space="preserve">3 sources </w:t>
      </w:r>
      <w:r>
        <w:t>specifying the</w:t>
      </w:r>
      <w:r w:rsidR="00B81336">
        <w:t>y are a</w:t>
      </w:r>
      <w:r>
        <w:t xml:space="preserve"> manufacturing concentrate. A summary of the current brodifacoum active constituent approvals and recommendations</w:t>
      </w:r>
      <w:r w:rsidR="00031497">
        <w:t>,</w:t>
      </w:r>
      <w:r>
        <w:t xml:space="preserve"> based on review of the information entered in the APVMA’s Record of active constituent approvals</w:t>
      </w:r>
      <w:r w:rsidR="00031497">
        <w:t>,</w:t>
      </w:r>
      <w:r>
        <w:t xml:space="preserve"> is provided in</w:t>
      </w:r>
      <w:r w:rsidR="00B81336">
        <w:t xml:space="preserve"> </w:t>
      </w:r>
      <w:r w:rsidR="00B81336">
        <w:fldChar w:fldCharType="begin"/>
      </w:r>
      <w:r w:rsidR="00B81336">
        <w:instrText xml:space="preserve"> REF _Ref214958464 \h </w:instrText>
      </w:r>
      <w:r w:rsidR="00B81336">
        <w:fldChar w:fldCharType="separate"/>
      </w:r>
      <w:r w:rsidR="003861AC">
        <w:t xml:space="preserve">Table </w:t>
      </w:r>
      <w:r w:rsidR="003861AC">
        <w:rPr>
          <w:noProof/>
        </w:rPr>
        <w:t>9</w:t>
      </w:r>
      <w:r w:rsidR="00B81336">
        <w:fldChar w:fldCharType="end"/>
      </w:r>
      <w:r>
        <w:t>.</w:t>
      </w:r>
      <w:r w:rsidR="0022183D" w:rsidRPr="0022183D">
        <w:t xml:space="preserve"> Conditional approval, requiring confirmation of the composition and purity of the active constituent and the provision of adequate supporting information, is recommended in instances where potential inconsistencies in the APVMA Record have been identified with respect to whether the active constituent is manufactured and supplied as a technical material or manufacturing concentrate.</w:t>
      </w:r>
    </w:p>
    <w:p w14:paraId="230B5A15" w14:textId="5C9A93BF" w:rsidR="00884D58" w:rsidRDefault="00884D58" w:rsidP="00884D58">
      <w:pPr>
        <w:pStyle w:val="Caption"/>
      </w:pPr>
      <w:bookmarkStart w:id="70" w:name="_Ref214958464"/>
      <w:bookmarkStart w:id="71" w:name="_Toc213945985"/>
      <w:bookmarkStart w:id="72" w:name="_Toc216695671"/>
      <w:r>
        <w:lastRenderedPageBreak/>
        <w:t xml:space="preserve">Table </w:t>
      </w:r>
      <w:r>
        <w:fldChar w:fldCharType="begin"/>
      </w:r>
      <w:r>
        <w:instrText xml:space="preserve"> SEQ Table \* ARABIC </w:instrText>
      </w:r>
      <w:r>
        <w:fldChar w:fldCharType="separate"/>
      </w:r>
      <w:r w:rsidR="003861AC">
        <w:rPr>
          <w:noProof/>
        </w:rPr>
        <w:t>9</w:t>
      </w:r>
      <w:r>
        <w:rPr>
          <w:noProof/>
        </w:rPr>
        <w:fldChar w:fldCharType="end"/>
      </w:r>
      <w:bookmarkEnd w:id="70"/>
      <w:r>
        <w:rPr>
          <w:noProof/>
        </w:rPr>
        <w:t>:</w:t>
      </w:r>
      <w:r>
        <w:t xml:space="preserve"> Current active constituent approvals for bromadiolone</w:t>
      </w:r>
      <w:bookmarkEnd w:id="71"/>
      <w:bookmarkEnd w:id="72"/>
    </w:p>
    <w:tbl>
      <w:tblPr>
        <w:tblStyle w:val="TableGrid"/>
        <w:tblW w:w="5000" w:type="pct"/>
        <w:tblLook w:val="04A0" w:firstRow="1" w:lastRow="0" w:firstColumn="1" w:lastColumn="0" w:noHBand="0" w:noVBand="1"/>
      </w:tblPr>
      <w:tblGrid>
        <w:gridCol w:w="1581"/>
        <w:gridCol w:w="2852"/>
        <w:gridCol w:w="2214"/>
        <w:gridCol w:w="2981"/>
      </w:tblGrid>
      <w:tr w:rsidR="00884D58" w14:paraId="47BD8127" w14:textId="77777777" w:rsidTr="00BB31F7">
        <w:trPr>
          <w:tblHeader/>
        </w:trPr>
        <w:tc>
          <w:tcPr>
            <w:tcW w:w="821" w:type="pct"/>
            <w:shd w:val="clear" w:color="auto" w:fill="53284F"/>
          </w:tcPr>
          <w:p w14:paraId="058BA52F" w14:textId="77777777" w:rsidR="00884D58" w:rsidRDefault="00884D58" w:rsidP="00BA7F4F">
            <w:pPr>
              <w:pStyle w:val="TableHead"/>
            </w:pPr>
            <w:r>
              <w:t>Approval number</w:t>
            </w:r>
          </w:p>
        </w:tc>
        <w:tc>
          <w:tcPr>
            <w:tcW w:w="1481" w:type="pct"/>
            <w:shd w:val="clear" w:color="auto" w:fill="53284F"/>
          </w:tcPr>
          <w:p w14:paraId="594CAF79" w14:textId="77777777" w:rsidR="00884D58" w:rsidRDefault="00884D58" w:rsidP="00BA7F4F">
            <w:pPr>
              <w:pStyle w:val="TableHead"/>
            </w:pPr>
            <w:r>
              <w:t>Name</w:t>
            </w:r>
          </w:p>
        </w:tc>
        <w:tc>
          <w:tcPr>
            <w:tcW w:w="1150" w:type="pct"/>
            <w:shd w:val="clear" w:color="auto" w:fill="53284F"/>
          </w:tcPr>
          <w:p w14:paraId="6DF4A605" w14:textId="77777777" w:rsidR="00884D58" w:rsidRDefault="00884D58" w:rsidP="00BA7F4F">
            <w:pPr>
              <w:pStyle w:val="TableHead"/>
            </w:pPr>
            <w:r>
              <w:t>Approval holder</w:t>
            </w:r>
          </w:p>
        </w:tc>
        <w:tc>
          <w:tcPr>
            <w:tcW w:w="1549" w:type="pct"/>
            <w:shd w:val="clear" w:color="auto" w:fill="53284F"/>
          </w:tcPr>
          <w:p w14:paraId="5D9211B0" w14:textId="77777777" w:rsidR="00884D58" w:rsidRDefault="00884D58" w:rsidP="00BA7F4F">
            <w:pPr>
              <w:pStyle w:val="TableHead"/>
            </w:pPr>
            <w:r>
              <w:t>Recommendation</w:t>
            </w:r>
          </w:p>
        </w:tc>
      </w:tr>
      <w:tr w:rsidR="00520AB5" w14:paraId="4E0C3E4D" w14:textId="77777777" w:rsidTr="00BB31F7">
        <w:trPr>
          <w:tblHeader/>
        </w:trPr>
        <w:tc>
          <w:tcPr>
            <w:tcW w:w="821" w:type="pct"/>
          </w:tcPr>
          <w:p w14:paraId="4C108471" w14:textId="77777777" w:rsidR="00520AB5" w:rsidRPr="00BD2F8D" w:rsidRDefault="00520AB5" w:rsidP="00520AB5">
            <w:pPr>
              <w:pStyle w:val="TableText"/>
            </w:pPr>
            <w:r w:rsidRPr="00BD2F8D">
              <w:t>44475</w:t>
            </w:r>
          </w:p>
        </w:tc>
        <w:tc>
          <w:tcPr>
            <w:tcW w:w="1481" w:type="pct"/>
          </w:tcPr>
          <w:p w14:paraId="30B5C3A2" w14:textId="6AF9C4E1" w:rsidR="00520AB5" w:rsidRPr="00BD2F8D" w:rsidRDefault="00520AB5" w:rsidP="00520AB5">
            <w:pPr>
              <w:pStyle w:val="TableText"/>
            </w:pPr>
            <w:r w:rsidRPr="00BD2F8D">
              <w:t>Bromadiolone</w:t>
            </w:r>
          </w:p>
        </w:tc>
        <w:tc>
          <w:tcPr>
            <w:tcW w:w="1150" w:type="pct"/>
          </w:tcPr>
          <w:p w14:paraId="481EFCDC" w14:textId="30C7F3E3" w:rsidR="00520AB5" w:rsidRPr="00BD2F8D" w:rsidRDefault="00520AB5" w:rsidP="00520AB5">
            <w:pPr>
              <w:pStyle w:val="TableText"/>
            </w:pPr>
            <w:r w:rsidRPr="00BD2F8D">
              <w:t>Liphatech S.A.S.</w:t>
            </w:r>
          </w:p>
        </w:tc>
        <w:tc>
          <w:tcPr>
            <w:tcW w:w="1549" w:type="pct"/>
          </w:tcPr>
          <w:p w14:paraId="67D76A0C" w14:textId="05F7DCBA" w:rsidR="00520AB5" w:rsidRPr="00BD2F8D" w:rsidRDefault="00520AB5" w:rsidP="00520AB5">
            <w:pPr>
              <w:pStyle w:val="TableText"/>
            </w:pPr>
            <w:r w:rsidRPr="00BD2F8D">
              <w:t xml:space="preserve">Affirm approval </w:t>
            </w:r>
          </w:p>
        </w:tc>
      </w:tr>
      <w:tr w:rsidR="00884D58" w14:paraId="3FA3B99F" w14:textId="77777777" w:rsidTr="00BB31F7">
        <w:trPr>
          <w:tblHeader/>
        </w:trPr>
        <w:tc>
          <w:tcPr>
            <w:tcW w:w="821" w:type="pct"/>
          </w:tcPr>
          <w:p w14:paraId="46BEF80C" w14:textId="77777777" w:rsidR="00884D58" w:rsidRPr="00C806AC" w:rsidRDefault="00884D58" w:rsidP="00BA7F4F">
            <w:pPr>
              <w:pStyle w:val="TableText"/>
            </w:pPr>
            <w:r w:rsidRPr="00BD2F8D">
              <w:t>47758</w:t>
            </w:r>
          </w:p>
        </w:tc>
        <w:tc>
          <w:tcPr>
            <w:tcW w:w="1481" w:type="pct"/>
          </w:tcPr>
          <w:p w14:paraId="273EC9AA" w14:textId="06485A96" w:rsidR="00884D58" w:rsidRPr="00C806AC" w:rsidRDefault="008803AC" w:rsidP="00BA7F4F">
            <w:pPr>
              <w:pStyle w:val="TableText"/>
            </w:pPr>
            <w:r w:rsidRPr="00BD2F8D">
              <w:t>Bromadiolone Manufacturing Concentrate</w:t>
            </w:r>
          </w:p>
        </w:tc>
        <w:tc>
          <w:tcPr>
            <w:tcW w:w="1150" w:type="pct"/>
          </w:tcPr>
          <w:p w14:paraId="2ECB486A" w14:textId="282776A1" w:rsidR="00884D58" w:rsidRPr="00BD2F8D" w:rsidRDefault="008803AC" w:rsidP="00BA7F4F">
            <w:pPr>
              <w:pStyle w:val="TableText"/>
            </w:pPr>
            <w:r w:rsidRPr="00BD2F8D">
              <w:t>Animal Control Technologies (Australia) Pty Ltd</w:t>
            </w:r>
          </w:p>
        </w:tc>
        <w:tc>
          <w:tcPr>
            <w:tcW w:w="1549" w:type="pct"/>
          </w:tcPr>
          <w:p w14:paraId="47A5D330" w14:textId="77777777" w:rsidR="00884D58" w:rsidRPr="00BD2F8D" w:rsidRDefault="00884D58" w:rsidP="00BA7F4F">
            <w:pPr>
              <w:pStyle w:val="TableText"/>
            </w:pPr>
            <w:r w:rsidRPr="00BD2F8D">
              <w:t xml:space="preserve">Affirm approval </w:t>
            </w:r>
          </w:p>
        </w:tc>
      </w:tr>
      <w:tr w:rsidR="00884D58" w14:paraId="693BC1A4" w14:textId="77777777" w:rsidTr="00BB31F7">
        <w:trPr>
          <w:tblHeader/>
        </w:trPr>
        <w:tc>
          <w:tcPr>
            <w:tcW w:w="821" w:type="pct"/>
          </w:tcPr>
          <w:p w14:paraId="0714D2CB" w14:textId="77777777" w:rsidR="00884D58" w:rsidRPr="00BD2F8D" w:rsidRDefault="00884D58" w:rsidP="00BA7F4F">
            <w:pPr>
              <w:pStyle w:val="TableText"/>
            </w:pPr>
            <w:r w:rsidRPr="00BD2F8D">
              <w:t>47789</w:t>
            </w:r>
          </w:p>
        </w:tc>
        <w:tc>
          <w:tcPr>
            <w:tcW w:w="1481" w:type="pct"/>
          </w:tcPr>
          <w:p w14:paraId="44E77AE8" w14:textId="2DF3A9C2" w:rsidR="00884D58" w:rsidRPr="00BD2F8D" w:rsidRDefault="008803AC" w:rsidP="00BA7F4F">
            <w:pPr>
              <w:pStyle w:val="TableText"/>
            </w:pPr>
            <w:r w:rsidRPr="00BD2F8D">
              <w:t>Bromadiolone Manufacturing Concentrate</w:t>
            </w:r>
          </w:p>
        </w:tc>
        <w:tc>
          <w:tcPr>
            <w:tcW w:w="1150" w:type="pct"/>
          </w:tcPr>
          <w:p w14:paraId="7F62E2DB" w14:textId="27B83773" w:rsidR="00884D58" w:rsidRPr="00BD2F8D" w:rsidRDefault="008803AC" w:rsidP="00BA7F4F">
            <w:pPr>
              <w:pStyle w:val="TableText"/>
            </w:pPr>
            <w:r w:rsidRPr="00BD2F8D">
              <w:t>Liphatech S.A.S.</w:t>
            </w:r>
          </w:p>
        </w:tc>
        <w:tc>
          <w:tcPr>
            <w:tcW w:w="1549" w:type="pct"/>
          </w:tcPr>
          <w:p w14:paraId="0FA5DDD4" w14:textId="77777777" w:rsidR="00884D58" w:rsidRPr="00BD2F8D" w:rsidRDefault="00884D58" w:rsidP="00BA7F4F">
            <w:pPr>
              <w:pStyle w:val="TableText"/>
            </w:pPr>
            <w:r w:rsidRPr="00BD2F8D">
              <w:t xml:space="preserve">Affirm approval </w:t>
            </w:r>
          </w:p>
        </w:tc>
      </w:tr>
      <w:tr w:rsidR="00520AB5" w14:paraId="1C725CE5" w14:textId="77777777" w:rsidTr="00BB31F7">
        <w:trPr>
          <w:tblHeader/>
        </w:trPr>
        <w:tc>
          <w:tcPr>
            <w:tcW w:w="821" w:type="pct"/>
          </w:tcPr>
          <w:p w14:paraId="34809030" w14:textId="77777777" w:rsidR="00520AB5" w:rsidRPr="00C806AC" w:rsidRDefault="00520AB5" w:rsidP="00520AB5">
            <w:pPr>
              <w:pStyle w:val="TableText"/>
            </w:pPr>
            <w:r w:rsidRPr="00BD2F8D">
              <w:t>47790</w:t>
            </w:r>
          </w:p>
        </w:tc>
        <w:tc>
          <w:tcPr>
            <w:tcW w:w="1481" w:type="pct"/>
          </w:tcPr>
          <w:p w14:paraId="43285296" w14:textId="421FBA35" w:rsidR="00520AB5" w:rsidRPr="00C806AC" w:rsidRDefault="00520AB5" w:rsidP="00520AB5">
            <w:pPr>
              <w:pStyle w:val="TableText"/>
            </w:pPr>
            <w:r w:rsidRPr="00BD2F8D">
              <w:t>Bromadiolone Manufacturing Concentrate</w:t>
            </w:r>
          </w:p>
        </w:tc>
        <w:tc>
          <w:tcPr>
            <w:tcW w:w="1150" w:type="pct"/>
          </w:tcPr>
          <w:p w14:paraId="7CF51377" w14:textId="253D7145" w:rsidR="00520AB5" w:rsidRPr="00BD2F8D" w:rsidRDefault="00520AB5" w:rsidP="00520AB5">
            <w:pPr>
              <w:pStyle w:val="TableText"/>
            </w:pPr>
            <w:r w:rsidRPr="00BD2F8D">
              <w:t>Liphatech S.A.S.</w:t>
            </w:r>
          </w:p>
        </w:tc>
        <w:tc>
          <w:tcPr>
            <w:tcW w:w="1549" w:type="pct"/>
          </w:tcPr>
          <w:p w14:paraId="60F8A74D" w14:textId="67E90C7C" w:rsidR="00520AB5" w:rsidRPr="00BD2F8D" w:rsidRDefault="00520AB5" w:rsidP="00520AB5">
            <w:pPr>
              <w:pStyle w:val="TableText"/>
            </w:pPr>
            <w:r w:rsidRPr="00BD2F8D">
              <w:t xml:space="preserve">Affirm approval </w:t>
            </w:r>
          </w:p>
        </w:tc>
      </w:tr>
      <w:tr w:rsidR="00520AB5" w14:paraId="4A6D366F" w14:textId="77777777" w:rsidTr="00BB31F7">
        <w:trPr>
          <w:trHeight w:val="816"/>
          <w:tblHeader/>
        </w:trPr>
        <w:tc>
          <w:tcPr>
            <w:tcW w:w="821" w:type="pct"/>
          </w:tcPr>
          <w:p w14:paraId="6481ADBA" w14:textId="77777777" w:rsidR="00520AB5" w:rsidRPr="00BD2F8D" w:rsidRDefault="00520AB5" w:rsidP="00520AB5">
            <w:pPr>
              <w:pStyle w:val="TableText"/>
            </w:pPr>
            <w:r w:rsidRPr="00BD2F8D">
              <w:t>49195</w:t>
            </w:r>
          </w:p>
        </w:tc>
        <w:tc>
          <w:tcPr>
            <w:tcW w:w="1481" w:type="pct"/>
          </w:tcPr>
          <w:p w14:paraId="5DF2B27A" w14:textId="277F166C" w:rsidR="00520AB5" w:rsidRPr="00BD2F8D" w:rsidRDefault="00520AB5" w:rsidP="00520AB5">
            <w:pPr>
              <w:pStyle w:val="TableText"/>
            </w:pPr>
            <w:r w:rsidRPr="00BD2F8D">
              <w:t>Bromadiolone</w:t>
            </w:r>
          </w:p>
        </w:tc>
        <w:tc>
          <w:tcPr>
            <w:tcW w:w="1150" w:type="pct"/>
          </w:tcPr>
          <w:p w14:paraId="42B5E077" w14:textId="4B55AB3D" w:rsidR="00520AB5" w:rsidRPr="00BD2F8D" w:rsidRDefault="00520AB5" w:rsidP="00520AB5">
            <w:pPr>
              <w:pStyle w:val="TableText"/>
            </w:pPr>
            <w:r w:rsidRPr="00BD2F8D">
              <w:t>Bell Laboratories, Inc.</w:t>
            </w:r>
          </w:p>
        </w:tc>
        <w:tc>
          <w:tcPr>
            <w:tcW w:w="1549" w:type="pct"/>
          </w:tcPr>
          <w:p w14:paraId="56710F85" w14:textId="310D8D7E" w:rsidR="00520AB5" w:rsidRPr="00BD2F8D" w:rsidRDefault="00520AB5" w:rsidP="00520AB5">
            <w:pPr>
              <w:pStyle w:val="TableText"/>
            </w:pPr>
            <w:r w:rsidRPr="00BD2F8D">
              <w:t xml:space="preserve">Affirm approval </w:t>
            </w:r>
          </w:p>
        </w:tc>
      </w:tr>
      <w:tr w:rsidR="00520AB5" w14:paraId="08410891" w14:textId="77777777" w:rsidTr="00BB31F7">
        <w:trPr>
          <w:tblHeader/>
        </w:trPr>
        <w:tc>
          <w:tcPr>
            <w:tcW w:w="821" w:type="pct"/>
          </w:tcPr>
          <w:p w14:paraId="5ACE2759" w14:textId="77777777" w:rsidR="00520AB5" w:rsidRPr="00BD2F8D" w:rsidRDefault="00520AB5" w:rsidP="00520AB5">
            <w:pPr>
              <w:pStyle w:val="TableText"/>
            </w:pPr>
            <w:r w:rsidRPr="00BD2F8D">
              <w:t>51576</w:t>
            </w:r>
          </w:p>
        </w:tc>
        <w:tc>
          <w:tcPr>
            <w:tcW w:w="1481" w:type="pct"/>
          </w:tcPr>
          <w:p w14:paraId="31C8782B" w14:textId="038AFA7E" w:rsidR="00520AB5" w:rsidRPr="00BD2F8D" w:rsidRDefault="00520AB5" w:rsidP="00520AB5">
            <w:pPr>
              <w:pStyle w:val="TableText"/>
            </w:pPr>
            <w:r w:rsidRPr="00BD2F8D">
              <w:t>Bromadiolone</w:t>
            </w:r>
          </w:p>
        </w:tc>
        <w:tc>
          <w:tcPr>
            <w:tcW w:w="1150" w:type="pct"/>
          </w:tcPr>
          <w:p w14:paraId="72B6E69B" w14:textId="315CEDDF" w:rsidR="00520AB5" w:rsidRPr="00BD2F8D" w:rsidRDefault="00520AB5" w:rsidP="00520AB5">
            <w:pPr>
              <w:pStyle w:val="TableText"/>
            </w:pPr>
            <w:r w:rsidRPr="00BD2F8D">
              <w:t>Animal Control Technologies (Australia) Pty Ltd</w:t>
            </w:r>
          </w:p>
        </w:tc>
        <w:tc>
          <w:tcPr>
            <w:tcW w:w="1549" w:type="pct"/>
          </w:tcPr>
          <w:p w14:paraId="6DB9B21B" w14:textId="6E8713F3" w:rsidR="00520AB5" w:rsidRPr="00BD2F8D" w:rsidRDefault="00520AB5" w:rsidP="00520AB5">
            <w:pPr>
              <w:pStyle w:val="TableText"/>
            </w:pPr>
            <w:r w:rsidRPr="00BD2F8D">
              <w:t xml:space="preserve">Affirm approval </w:t>
            </w:r>
          </w:p>
        </w:tc>
      </w:tr>
      <w:tr w:rsidR="00884D58" w14:paraId="189CE89A" w14:textId="77777777" w:rsidTr="00BB31F7">
        <w:trPr>
          <w:tblHeader/>
        </w:trPr>
        <w:tc>
          <w:tcPr>
            <w:tcW w:w="821" w:type="pct"/>
          </w:tcPr>
          <w:p w14:paraId="023B0580" w14:textId="77777777" w:rsidR="00884D58" w:rsidRPr="00C806AC" w:rsidRDefault="00884D58" w:rsidP="00BA7F4F">
            <w:pPr>
              <w:pStyle w:val="TableText"/>
            </w:pPr>
            <w:r w:rsidRPr="00BD2F8D">
              <w:t>59135</w:t>
            </w:r>
          </w:p>
        </w:tc>
        <w:tc>
          <w:tcPr>
            <w:tcW w:w="1481" w:type="pct"/>
          </w:tcPr>
          <w:p w14:paraId="2D4EB167" w14:textId="0EC54F45" w:rsidR="00884D58" w:rsidRPr="00C806AC" w:rsidRDefault="008803AC" w:rsidP="00BA7F4F">
            <w:pPr>
              <w:pStyle w:val="TableText"/>
            </w:pPr>
            <w:r w:rsidRPr="00BD2F8D">
              <w:t>Bromadiolone</w:t>
            </w:r>
          </w:p>
        </w:tc>
        <w:tc>
          <w:tcPr>
            <w:tcW w:w="1150" w:type="pct"/>
          </w:tcPr>
          <w:p w14:paraId="3EF89536" w14:textId="054BD0AE" w:rsidR="00884D58" w:rsidRPr="00BD2F8D" w:rsidRDefault="008803AC" w:rsidP="00BA7F4F">
            <w:pPr>
              <w:pStyle w:val="TableText"/>
            </w:pPr>
            <w:r w:rsidRPr="00BD2F8D">
              <w:t xml:space="preserve">Babolna Bioenvironmental Centre Private Limited Company </w:t>
            </w:r>
          </w:p>
        </w:tc>
        <w:tc>
          <w:tcPr>
            <w:tcW w:w="1549" w:type="pct"/>
          </w:tcPr>
          <w:p w14:paraId="61810C76" w14:textId="77777777" w:rsidR="00884D58" w:rsidRPr="00BD2F8D" w:rsidRDefault="00884D58" w:rsidP="00BA7F4F">
            <w:pPr>
              <w:pStyle w:val="TableText"/>
            </w:pPr>
            <w:r w:rsidRPr="00BD2F8D">
              <w:t xml:space="preserve">Affirm approval </w:t>
            </w:r>
          </w:p>
        </w:tc>
      </w:tr>
      <w:tr w:rsidR="00884D58" w14:paraId="0086B3EE" w14:textId="77777777" w:rsidTr="00BB31F7">
        <w:trPr>
          <w:tblHeader/>
        </w:trPr>
        <w:tc>
          <w:tcPr>
            <w:tcW w:w="821" w:type="pct"/>
          </w:tcPr>
          <w:p w14:paraId="4716547C" w14:textId="77777777" w:rsidR="00884D58" w:rsidRPr="00BD2F8D" w:rsidRDefault="00884D58" w:rsidP="00BA7F4F">
            <w:pPr>
              <w:pStyle w:val="TableText"/>
            </w:pPr>
            <w:r w:rsidRPr="00BD2F8D">
              <w:t>67898</w:t>
            </w:r>
          </w:p>
        </w:tc>
        <w:tc>
          <w:tcPr>
            <w:tcW w:w="1481" w:type="pct"/>
          </w:tcPr>
          <w:p w14:paraId="3EB3EFAA" w14:textId="13EC8727" w:rsidR="00884D58" w:rsidRPr="00BD2F8D" w:rsidRDefault="008803AC" w:rsidP="00BA7F4F">
            <w:pPr>
              <w:pStyle w:val="TableText"/>
            </w:pPr>
            <w:r w:rsidRPr="00BD2F8D">
              <w:t>Bromadiolone</w:t>
            </w:r>
          </w:p>
        </w:tc>
        <w:tc>
          <w:tcPr>
            <w:tcW w:w="1150" w:type="pct"/>
          </w:tcPr>
          <w:p w14:paraId="17FE25B3" w14:textId="0819ADBF" w:rsidR="00884D58" w:rsidRPr="00BD2F8D" w:rsidRDefault="008803AC" w:rsidP="00BA7F4F">
            <w:pPr>
              <w:pStyle w:val="TableText"/>
            </w:pPr>
            <w:r w:rsidRPr="00BD2F8D">
              <w:t>Activa S.R.L.</w:t>
            </w:r>
          </w:p>
        </w:tc>
        <w:tc>
          <w:tcPr>
            <w:tcW w:w="1549" w:type="pct"/>
          </w:tcPr>
          <w:p w14:paraId="0BF90ECF" w14:textId="43DBFAED" w:rsidR="00884D58" w:rsidRPr="00BD2F8D" w:rsidRDefault="00884D58" w:rsidP="00BA7F4F">
            <w:pPr>
              <w:pStyle w:val="TableText"/>
            </w:pPr>
            <w:r w:rsidRPr="00C806AC">
              <w:t xml:space="preserve">Conditional approval – confirm </w:t>
            </w:r>
            <w:r w:rsidR="00520AB5">
              <w:t xml:space="preserve">composition and purity </w:t>
            </w:r>
            <w:r w:rsidRPr="00C806AC">
              <w:t>of the active constituent</w:t>
            </w:r>
          </w:p>
        </w:tc>
      </w:tr>
    </w:tbl>
    <w:p w14:paraId="30D2C228" w14:textId="28990DF2" w:rsidR="00884D58" w:rsidRDefault="00884D58" w:rsidP="00884D58">
      <w:pPr>
        <w:pStyle w:val="NormalText"/>
      </w:pPr>
      <w:r>
        <w:t xml:space="preserve">The </w:t>
      </w:r>
      <w:r w:rsidR="00B81336" w:rsidRPr="00377F3A">
        <w:rPr>
          <w:rStyle w:val="NormalTextChar"/>
        </w:rPr>
        <w:t>Active Constituent Standards</w:t>
      </w:r>
      <w:r>
        <w:t xml:space="preserve"> specification for the standard for bromadiolone active constituent </w:t>
      </w:r>
      <w:r w:rsidR="00D14493">
        <w:t xml:space="preserve">is </w:t>
      </w:r>
      <w:r>
        <w:t xml:space="preserve">provided in </w:t>
      </w:r>
      <w:r w:rsidR="00C41291">
        <w:fldChar w:fldCharType="begin"/>
      </w:r>
      <w:r w:rsidR="00C41291">
        <w:instrText xml:space="preserve"> REF _Ref213337036 \h </w:instrText>
      </w:r>
      <w:r w:rsidR="00C41291">
        <w:fldChar w:fldCharType="separate"/>
      </w:r>
      <w:r w:rsidR="003861AC">
        <w:t xml:space="preserve">Table </w:t>
      </w:r>
      <w:r w:rsidR="003861AC">
        <w:rPr>
          <w:noProof/>
        </w:rPr>
        <w:t>10</w:t>
      </w:r>
      <w:r w:rsidR="00C41291">
        <w:fldChar w:fldCharType="end"/>
      </w:r>
      <w:r w:rsidR="00B81336">
        <w:t xml:space="preserve"> below</w:t>
      </w:r>
      <w:r>
        <w:t xml:space="preserve">. </w:t>
      </w:r>
      <w:r w:rsidR="00C058EA">
        <w:t>There is no FAO specification for bromadiolone.</w:t>
      </w:r>
    </w:p>
    <w:p w14:paraId="206F482F" w14:textId="01634359" w:rsidR="00884D58" w:rsidRDefault="00884D58" w:rsidP="00884D58">
      <w:pPr>
        <w:pStyle w:val="Caption"/>
      </w:pPr>
      <w:bookmarkStart w:id="73" w:name="_Ref213337036"/>
      <w:bookmarkStart w:id="74" w:name="_Toc213945986"/>
      <w:bookmarkStart w:id="75" w:name="_Toc216695672"/>
      <w:r>
        <w:t xml:space="preserve">Table </w:t>
      </w:r>
      <w:r>
        <w:fldChar w:fldCharType="begin"/>
      </w:r>
      <w:r>
        <w:instrText xml:space="preserve"> SEQ Table \* ARABIC </w:instrText>
      </w:r>
      <w:r>
        <w:fldChar w:fldCharType="separate"/>
      </w:r>
      <w:r w:rsidR="003861AC">
        <w:rPr>
          <w:noProof/>
        </w:rPr>
        <w:t>10</w:t>
      </w:r>
      <w:r>
        <w:fldChar w:fldCharType="end"/>
      </w:r>
      <w:bookmarkEnd w:id="73"/>
      <w:r>
        <w:t>: The Active Constituent Standards specification for bromadiolone</w:t>
      </w:r>
      <w:bookmarkEnd w:id="74"/>
      <w:bookmarkEnd w:id="75"/>
    </w:p>
    <w:tbl>
      <w:tblPr>
        <w:tblStyle w:val="TableGrid"/>
        <w:tblW w:w="5000" w:type="pct"/>
        <w:tblLook w:val="04A0" w:firstRow="1" w:lastRow="0" w:firstColumn="1" w:lastColumn="0" w:noHBand="0" w:noVBand="1"/>
      </w:tblPr>
      <w:tblGrid>
        <w:gridCol w:w="4814"/>
        <w:gridCol w:w="4814"/>
      </w:tblGrid>
      <w:tr w:rsidR="00884D58" w14:paraId="087673E2" w14:textId="77777777" w:rsidTr="00533B55">
        <w:tc>
          <w:tcPr>
            <w:tcW w:w="2500" w:type="pct"/>
            <w:shd w:val="clear" w:color="auto" w:fill="53284F"/>
          </w:tcPr>
          <w:p w14:paraId="6830E9C5" w14:textId="77777777" w:rsidR="00884D58" w:rsidRDefault="00884D58" w:rsidP="00BA7F4F">
            <w:pPr>
              <w:pStyle w:val="TableHead"/>
            </w:pPr>
            <w:r>
              <w:t>Active constituent</w:t>
            </w:r>
          </w:p>
        </w:tc>
        <w:tc>
          <w:tcPr>
            <w:tcW w:w="2500" w:type="pct"/>
            <w:shd w:val="clear" w:color="auto" w:fill="53284F"/>
          </w:tcPr>
          <w:p w14:paraId="37851B56" w14:textId="77777777" w:rsidR="00884D58" w:rsidRDefault="00884D58" w:rsidP="00BA7F4F">
            <w:pPr>
              <w:pStyle w:val="TableHead"/>
            </w:pPr>
            <w:r>
              <w:t>Minimum purity</w:t>
            </w:r>
          </w:p>
        </w:tc>
      </w:tr>
      <w:tr w:rsidR="00884D58" w14:paraId="65F42E84" w14:textId="77777777" w:rsidTr="00533B55">
        <w:tc>
          <w:tcPr>
            <w:tcW w:w="2500" w:type="pct"/>
          </w:tcPr>
          <w:p w14:paraId="43485D13" w14:textId="77777777" w:rsidR="00884D58" w:rsidRDefault="00884D58" w:rsidP="00BA7F4F">
            <w:pPr>
              <w:pStyle w:val="TableText"/>
            </w:pPr>
            <w:r>
              <w:t>Bromadiolone</w:t>
            </w:r>
          </w:p>
        </w:tc>
        <w:tc>
          <w:tcPr>
            <w:tcW w:w="2500" w:type="pct"/>
          </w:tcPr>
          <w:p w14:paraId="4A276FAD" w14:textId="77777777" w:rsidR="00884D58" w:rsidRDefault="00884D58" w:rsidP="00BA7F4F">
            <w:pPr>
              <w:pStyle w:val="TableText"/>
            </w:pPr>
            <w:r>
              <w:t>930 g/kg</w:t>
            </w:r>
          </w:p>
        </w:tc>
      </w:tr>
    </w:tbl>
    <w:p w14:paraId="743AA5AA" w14:textId="776CFB51" w:rsidR="00884D58" w:rsidRDefault="00533B55" w:rsidP="00DB4169">
      <w:pPr>
        <w:pStyle w:val="NormalText"/>
      </w:pPr>
      <w:r>
        <w:br w:type="page"/>
      </w:r>
      <w:r w:rsidR="00884D58" w:rsidRPr="00CB5371">
        <w:lastRenderedPageBreak/>
        <w:t>It</w:t>
      </w:r>
      <w:r w:rsidR="00884D58">
        <w:t xml:space="preserve"> is noted that </w:t>
      </w:r>
      <w:r w:rsidR="0022183D" w:rsidRPr="0022183D">
        <w:t xml:space="preserve">the Active Constituent Standards does not currently include an entry for </w:t>
      </w:r>
      <w:r w:rsidR="00884D58">
        <w:t>bromadiolone</w:t>
      </w:r>
      <w:r w:rsidR="00884D58" w:rsidRPr="00CB5371">
        <w:t xml:space="preserve"> manufacturing concentrates</w:t>
      </w:r>
      <w:r w:rsidR="0022183D">
        <w:t xml:space="preserve"> and appropriate proposed specifications for such an entry are included below in </w:t>
      </w:r>
      <w:r w:rsidR="0022183D">
        <w:fldChar w:fldCharType="begin"/>
      </w:r>
      <w:r w:rsidR="0022183D">
        <w:instrText xml:space="preserve"> REF _Ref214960899 \h </w:instrText>
      </w:r>
      <w:r w:rsidR="0022183D">
        <w:fldChar w:fldCharType="separate"/>
      </w:r>
      <w:r w:rsidR="003861AC">
        <w:t xml:space="preserve">Table </w:t>
      </w:r>
      <w:r w:rsidR="003861AC">
        <w:rPr>
          <w:noProof/>
        </w:rPr>
        <w:t>11</w:t>
      </w:r>
      <w:r w:rsidR="0022183D">
        <w:fldChar w:fldCharType="end"/>
      </w:r>
      <w:r w:rsidR="0022183D">
        <w:t>. I</w:t>
      </w:r>
      <w:r w:rsidR="00884D58">
        <w:t xml:space="preserve">t is anticipated that </w:t>
      </w:r>
      <w:r w:rsidR="0022183D">
        <w:t xml:space="preserve">the APVMA will propose to vary the </w:t>
      </w:r>
      <w:r w:rsidR="0022183D" w:rsidRPr="00377F3A">
        <w:rPr>
          <w:rStyle w:val="NormalTextChar"/>
        </w:rPr>
        <w:t>Active Constituent Standards</w:t>
      </w:r>
      <w:r w:rsidR="0022183D">
        <w:rPr>
          <w:rStyle w:val="NormalTextChar"/>
        </w:rPr>
        <w:t xml:space="preserve"> in future to include an entry for brodifacoum manufacturing concentrates.</w:t>
      </w:r>
      <w:r w:rsidR="0022183D">
        <w:t xml:space="preserve"> </w:t>
      </w:r>
      <w:r w:rsidR="0022183D">
        <w:rPr>
          <w:rStyle w:val="NormalTextChar"/>
        </w:rPr>
        <w:t xml:space="preserve">However, this has not been considered as part of this reconsideration as variation to the </w:t>
      </w:r>
      <w:r w:rsidR="0022183D" w:rsidRPr="00377F3A">
        <w:rPr>
          <w:rStyle w:val="NormalTextChar"/>
        </w:rPr>
        <w:t>Active Constituent Standards</w:t>
      </w:r>
      <w:r w:rsidR="0022183D">
        <w:rPr>
          <w:rStyle w:val="NormalTextChar"/>
        </w:rPr>
        <w:t xml:space="preserve"> </w:t>
      </w:r>
      <w:r w:rsidR="0022183D">
        <w:t xml:space="preserve">is a separate legislative process and there have been no safety implications identified with respect to use of a </w:t>
      </w:r>
      <w:r w:rsidR="00AB697A">
        <w:t>bromadiolone</w:t>
      </w:r>
      <w:r w:rsidR="0022183D">
        <w:t xml:space="preserve"> manufacturing concentrate listed </w:t>
      </w:r>
      <w:r w:rsidR="00AB697A">
        <w:t xml:space="preserve">in </w:t>
      </w:r>
      <w:r w:rsidR="00AB697A">
        <w:fldChar w:fldCharType="begin"/>
      </w:r>
      <w:r w:rsidR="00AB697A">
        <w:instrText xml:space="preserve"> REF _Ref214958464 \h </w:instrText>
      </w:r>
      <w:r w:rsidR="00AB697A">
        <w:fldChar w:fldCharType="separate"/>
      </w:r>
      <w:r w:rsidR="003861AC">
        <w:t xml:space="preserve">Table </w:t>
      </w:r>
      <w:r w:rsidR="003861AC">
        <w:rPr>
          <w:noProof/>
        </w:rPr>
        <w:t>9</w:t>
      </w:r>
      <w:r w:rsidR="00AB697A">
        <w:fldChar w:fldCharType="end"/>
      </w:r>
      <w:r w:rsidR="00AB697A">
        <w:t xml:space="preserve"> </w:t>
      </w:r>
      <w:r w:rsidR="0022183D">
        <w:t>that ha</w:t>
      </w:r>
      <w:r w:rsidR="00FF71BE">
        <w:t>s a</w:t>
      </w:r>
      <w:r w:rsidR="0022183D">
        <w:t xml:space="preserve"> composition and purity aligning with the Declaration of Composition in the APVMA Record</w:t>
      </w:r>
      <w:r w:rsidR="003B2FCF">
        <w:t>.</w:t>
      </w:r>
    </w:p>
    <w:p w14:paraId="08F25469" w14:textId="4D15E043" w:rsidR="00884D58" w:rsidRDefault="00884D58" w:rsidP="00884D58">
      <w:pPr>
        <w:pStyle w:val="Caption"/>
        <w:rPr>
          <w:rFonts w:cs="Arial"/>
          <w:kern w:val="20"/>
          <w:sz w:val="19"/>
          <w:u w:color="000000"/>
        </w:rPr>
      </w:pPr>
      <w:bookmarkStart w:id="76" w:name="_Ref214960899"/>
      <w:bookmarkStart w:id="77" w:name="_Toc213945987"/>
      <w:bookmarkStart w:id="78" w:name="_Toc216695673"/>
      <w:r>
        <w:t xml:space="preserve">Table </w:t>
      </w:r>
      <w:r>
        <w:fldChar w:fldCharType="begin"/>
      </w:r>
      <w:r>
        <w:instrText xml:space="preserve"> SEQ Table \* ARABIC </w:instrText>
      </w:r>
      <w:r>
        <w:fldChar w:fldCharType="separate"/>
      </w:r>
      <w:r w:rsidR="003861AC">
        <w:rPr>
          <w:noProof/>
        </w:rPr>
        <w:t>11</w:t>
      </w:r>
      <w:r>
        <w:fldChar w:fldCharType="end"/>
      </w:r>
      <w:bookmarkEnd w:id="76"/>
      <w:r>
        <w:t>: Proposed APVMA Specification for Bromadiolone Manufacturing Concentrate</w:t>
      </w:r>
      <w:bookmarkEnd w:id="77"/>
      <w:bookmarkEnd w:id="78"/>
    </w:p>
    <w:tbl>
      <w:tblPr>
        <w:tblStyle w:val="TableGrid"/>
        <w:tblW w:w="5000" w:type="pct"/>
        <w:tblLook w:val="04A0" w:firstRow="1" w:lastRow="0" w:firstColumn="1" w:lastColumn="0" w:noHBand="0" w:noVBand="1"/>
      </w:tblPr>
      <w:tblGrid>
        <w:gridCol w:w="3209"/>
        <w:gridCol w:w="3209"/>
        <w:gridCol w:w="3210"/>
      </w:tblGrid>
      <w:tr w:rsidR="00884D58" w:rsidRPr="005C20EE" w14:paraId="1C8201E0" w14:textId="77777777" w:rsidTr="00533B55">
        <w:tc>
          <w:tcPr>
            <w:tcW w:w="1666" w:type="pct"/>
            <w:shd w:val="clear" w:color="auto" w:fill="53284F"/>
          </w:tcPr>
          <w:p w14:paraId="539CF81D" w14:textId="77777777" w:rsidR="00884D58" w:rsidRPr="005C20EE" w:rsidRDefault="00884D58" w:rsidP="00BA7F4F">
            <w:pPr>
              <w:pStyle w:val="TableHead"/>
            </w:pPr>
            <w:r w:rsidRPr="005C20EE">
              <w:t>Common name</w:t>
            </w:r>
          </w:p>
        </w:tc>
        <w:tc>
          <w:tcPr>
            <w:tcW w:w="1666" w:type="pct"/>
            <w:shd w:val="clear" w:color="auto" w:fill="53284F"/>
          </w:tcPr>
          <w:p w14:paraId="47E764AD" w14:textId="77777777" w:rsidR="00884D58" w:rsidRPr="005C20EE" w:rsidRDefault="00884D58" w:rsidP="00BA7F4F">
            <w:pPr>
              <w:pStyle w:val="TableHead"/>
            </w:pPr>
            <w:r w:rsidRPr="005C20EE">
              <w:t>Description</w:t>
            </w:r>
          </w:p>
        </w:tc>
        <w:tc>
          <w:tcPr>
            <w:tcW w:w="1667" w:type="pct"/>
            <w:shd w:val="clear" w:color="auto" w:fill="53284F"/>
          </w:tcPr>
          <w:p w14:paraId="130E0928" w14:textId="77777777" w:rsidR="00884D58" w:rsidRPr="005C20EE" w:rsidRDefault="00884D58" w:rsidP="00BA7F4F">
            <w:pPr>
              <w:pStyle w:val="TableHead"/>
            </w:pPr>
            <w:r w:rsidRPr="005C20EE">
              <w:t>Purity</w:t>
            </w:r>
          </w:p>
        </w:tc>
      </w:tr>
      <w:tr w:rsidR="00884D58" w:rsidRPr="005C20EE" w14:paraId="4500237D" w14:textId="77777777" w:rsidTr="00533B55">
        <w:tc>
          <w:tcPr>
            <w:tcW w:w="1666" w:type="pct"/>
          </w:tcPr>
          <w:p w14:paraId="428EA6A5" w14:textId="77777777" w:rsidR="00884D58" w:rsidRPr="005C20EE" w:rsidRDefault="00884D58" w:rsidP="00BA7F4F">
            <w:pPr>
              <w:pStyle w:val="TableText"/>
            </w:pPr>
            <w:r w:rsidRPr="005C20EE">
              <w:t>Bromadiolone manufacturing concentrate</w:t>
            </w:r>
          </w:p>
        </w:tc>
        <w:tc>
          <w:tcPr>
            <w:tcW w:w="1666" w:type="pct"/>
          </w:tcPr>
          <w:p w14:paraId="759BF196" w14:textId="77777777" w:rsidR="00884D58" w:rsidRPr="005C20EE" w:rsidRDefault="00884D58" w:rsidP="00BA7F4F">
            <w:pPr>
              <w:pStyle w:val="TableText"/>
            </w:pPr>
            <w:r w:rsidRPr="005C20EE">
              <w:t xml:space="preserve">The material shall consist of a solution of technical bromadiolone in a suitable solvent, typically a glycol solvent such as propylene glycol. The manufacturing concentrate may also contain related manufacturing impurities, as well as denatonium benzoate as a bittering agent and a suitable dye but is otherwise from visible extraneous matter and adding modifying agents. </w:t>
            </w:r>
          </w:p>
        </w:tc>
        <w:tc>
          <w:tcPr>
            <w:tcW w:w="1667" w:type="pct"/>
          </w:tcPr>
          <w:p w14:paraId="7A900C09" w14:textId="77777777" w:rsidR="00884D58" w:rsidRPr="005C20EE" w:rsidRDefault="00884D58" w:rsidP="00BA7F4F">
            <w:pPr>
              <w:pStyle w:val="TableText"/>
            </w:pPr>
            <w:r w:rsidRPr="005C20EE">
              <w:t>Minimum purity on a solvent and additive (dye and bittering agent) free basis: 930 g/kg</w:t>
            </w:r>
          </w:p>
          <w:p w14:paraId="1A5DDF3D" w14:textId="77777777" w:rsidR="00884D58" w:rsidRPr="005C20EE" w:rsidRDefault="00884D58" w:rsidP="00BA7F4F">
            <w:pPr>
              <w:pStyle w:val="TableText"/>
            </w:pPr>
            <w:r w:rsidRPr="005C20EE">
              <w:t>Bromadiolone manufacturing concentrate is typically supplied with a concentration in the range 2.5-25 g/kg. The content must be declared, and when measured, shall not differ from the declared amount by more than the amount specified in the table below:</w:t>
            </w:r>
          </w:p>
          <w:tbl>
            <w:tblPr>
              <w:tblStyle w:val="TableGrid"/>
              <w:tblW w:w="0" w:type="auto"/>
              <w:tblLook w:val="04A0" w:firstRow="1" w:lastRow="0" w:firstColumn="1" w:lastColumn="0" w:noHBand="0" w:noVBand="1"/>
            </w:tblPr>
            <w:tblGrid>
              <w:gridCol w:w="1390"/>
              <w:gridCol w:w="1390"/>
            </w:tblGrid>
            <w:tr w:rsidR="00884D58" w:rsidRPr="005C20EE" w14:paraId="7BE0953C" w14:textId="77777777" w:rsidTr="00443E69">
              <w:tc>
                <w:tcPr>
                  <w:tcW w:w="1390" w:type="dxa"/>
                </w:tcPr>
                <w:p w14:paraId="1E49E79A" w14:textId="77777777" w:rsidR="00884D58" w:rsidRPr="005C20EE" w:rsidRDefault="00884D58" w:rsidP="00BA7F4F">
                  <w:pPr>
                    <w:pStyle w:val="TableText"/>
                  </w:pPr>
                  <w:r w:rsidRPr="005C20EE">
                    <w:t>Declared content (g/kg)</w:t>
                  </w:r>
                </w:p>
              </w:tc>
              <w:tc>
                <w:tcPr>
                  <w:tcW w:w="1390" w:type="dxa"/>
                </w:tcPr>
                <w:p w14:paraId="1446D185" w14:textId="77777777" w:rsidR="00884D58" w:rsidRPr="005C20EE" w:rsidRDefault="00884D58" w:rsidP="00BA7F4F">
                  <w:pPr>
                    <w:pStyle w:val="TableText"/>
                  </w:pPr>
                  <w:r w:rsidRPr="005C20EE">
                    <w:t>Allowable deviation from declared content</w:t>
                  </w:r>
                </w:p>
              </w:tc>
            </w:tr>
            <w:tr w:rsidR="00884D58" w:rsidRPr="005C20EE" w14:paraId="02128F15" w14:textId="77777777" w:rsidTr="00443E69">
              <w:tc>
                <w:tcPr>
                  <w:tcW w:w="1390" w:type="dxa"/>
                </w:tcPr>
                <w:p w14:paraId="71CA084B" w14:textId="77777777" w:rsidR="00884D58" w:rsidRPr="005C20EE" w:rsidRDefault="00884D58" w:rsidP="00BA7F4F">
                  <w:pPr>
                    <w:pStyle w:val="TableText"/>
                  </w:pPr>
                  <w:r w:rsidRPr="005C20EE">
                    <w:t>Up to 25</w:t>
                  </w:r>
                </w:p>
              </w:tc>
              <w:tc>
                <w:tcPr>
                  <w:tcW w:w="1390" w:type="dxa"/>
                </w:tcPr>
                <w:p w14:paraId="6EAD1BDB" w14:textId="77777777" w:rsidR="00884D58" w:rsidRPr="005C20EE" w:rsidRDefault="00884D58" w:rsidP="00BA7F4F">
                  <w:pPr>
                    <w:pStyle w:val="TableText"/>
                  </w:pPr>
                  <w:r w:rsidRPr="005C20EE">
                    <w:t>± 15%</w:t>
                  </w:r>
                </w:p>
              </w:tc>
            </w:tr>
            <w:tr w:rsidR="00884D58" w:rsidRPr="005C20EE" w14:paraId="76C84872" w14:textId="77777777" w:rsidTr="00443E69">
              <w:tc>
                <w:tcPr>
                  <w:tcW w:w="1390" w:type="dxa"/>
                </w:tcPr>
                <w:p w14:paraId="1D07C91C" w14:textId="77777777" w:rsidR="00884D58" w:rsidRPr="005C20EE" w:rsidRDefault="00884D58" w:rsidP="00BA7F4F">
                  <w:pPr>
                    <w:pStyle w:val="TableText"/>
                  </w:pPr>
                  <w:r w:rsidRPr="005C20EE">
                    <w:t>More than 25, up to 100</w:t>
                  </w:r>
                </w:p>
              </w:tc>
              <w:tc>
                <w:tcPr>
                  <w:tcW w:w="1390" w:type="dxa"/>
                </w:tcPr>
                <w:p w14:paraId="4EBAFEA8" w14:textId="77777777" w:rsidR="00884D58" w:rsidRPr="005C20EE" w:rsidRDefault="00884D58" w:rsidP="00BA7F4F">
                  <w:pPr>
                    <w:pStyle w:val="TableText"/>
                  </w:pPr>
                  <w:r w:rsidRPr="005C20EE">
                    <w:t>± 10%</w:t>
                  </w:r>
                </w:p>
              </w:tc>
            </w:tr>
          </w:tbl>
          <w:p w14:paraId="7C90404F" w14:textId="77777777" w:rsidR="00884D58" w:rsidRPr="005C20EE" w:rsidRDefault="00884D58" w:rsidP="00BA7F4F">
            <w:pPr>
              <w:pStyle w:val="TableText"/>
            </w:pPr>
          </w:p>
        </w:tc>
      </w:tr>
    </w:tbl>
    <w:p w14:paraId="2CAB3DAE" w14:textId="172F6540" w:rsidR="000F6A0B" w:rsidRDefault="000F6A0B" w:rsidP="000F6A0B">
      <w:pPr>
        <w:pStyle w:val="NormalText"/>
      </w:pPr>
      <w:r>
        <w:t xml:space="preserve">The continued approval of the current brodifacoum active constituents listed in </w:t>
      </w:r>
      <w:r>
        <w:fldChar w:fldCharType="begin"/>
      </w:r>
      <w:r>
        <w:instrText xml:space="preserve"> REF _Ref214958464 \h </w:instrText>
      </w:r>
      <w:r>
        <w:fldChar w:fldCharType="separate"/>
      </w:r>
      <w:r w:rsidR="003861AC">
        <w:t xml:space="preserve">Table </w:t>
      </w:r>
      <w:r w:rsidR="003861AC">
        <w:rPr>
          <w:noProof/>
        </w:rPr>
        <w:t>9</w:t>
      </w:r>
      <w:r>
        <w:fldChar w:fldCharType="end"/>
      </w:r>
      <w:r>
        <w:t xml:space="preserve"> is supported in this chemistry and manufacture risk assessment, subject to:</w:t>
      </w:r>
    </w:p>
    <w:p w14:paraId="3C43F0A7" w14:textId="2DBD5510" w:rsidR="000F6A0B" w:rsidRDefault="000F6A0B" w:rsidP="00284BE8">
      <w:pPr>
        <w:pStyle w:val="Bullet1"/>
      </w:pPr>
      <w:r>
        <w:t xml:space="preserve">The composition and purity of the relevant active constituent is confirmed by the holders, as noted in </w:t>
      </w:r>
      <w:r>
        <w:fldChar w:fldCharType="begin"/>
      </w:r>
      <w:r>
        <w:instrText xml:space="preserve"> REF _Ref214958464 \h </w:instrText>
      </w:r>
      <w:r>
        <w:fldChar w:fldCharType="separate"/>
      </w:r>
      <w:r w:rsidR="003861AC">
        <w:t xml:space="preserve">Table </w:t>
      </w:r>
      <w:r w:rsidR="003861AC">
        <w:rPr>
          <w:noProof/>
        </w:rPr>
        <w:t>9</w:t>
      </w:r>
      <w:r>
        <w:fldChar w:fldCharType="end"/>
      </w:r>
      <w:r>
        <w:t xml:space="preserve"> above, and appropriate supporting information is provided as required. The APVMA Record for bromadiolone active constituents are updated as required.</w:t>
      </w:r>
    </w:p>
    <w:p w14:paraId="2E18395A" w14:textId="77777777" w:rsidR="00884D58" w:rsidRDefault="00884D58" w:rsidP="00377F3A">
      <w:pPr>
        <w:pStyle w:val="Heading3"/>
      </w:pPr>
      <w:bookmarkStart w:id="79" w:name="_Toc215150607"/>
      <w:bookmarkStart w:id="80" w:name="_Toc215150608"/>
      <w:bookmarkStart w:id="81" w:name="_Toc214025462"/>
      <w:bookmarkStart w:id="82" w:name="_Toc216695546"/>
      <w:bookmarkEnd w:id="79"/>
      <w:bookmarkEnd w:id="80"/>
      <w:r>
        <w:t>Active constituent - Coumatetralyl</w:t>
      </w:r>
      <w:bookmarkEnd w:id="81"/>
      <w:bookmarkEnd w:id="82"/>
    </w:p>
    <w:p w14:paraId="725D06F6" w14:textId="026CF515" w:rsidR="00884D58" w:rsidRDefault="00884D58" w:rsidP="00884D58">
      <w:pPr>
        <w:pStyle w:val="NormalText"/>
      </w:pPr>
      <w:r>
        <w:t>Coumatetralyl is a hydroxycoumarin first generation anticoagulant rodenticide</w:t>
      </w:r>
      <w:r w:rsidR="008E14A6">
        <w:t xml:space="preserve"> that</w:t>
      </w:r>
      <w:r>
        <w:t xml:space="preserve"> blocks formation of prothrombin (</w:t>
      </w:r>
      <w:r w:rsidR="008E14A6">
        <w:t xml:space="preserve">reviewed in </w:t>
      </w:r>
      <w:r>
        <w:t>BCPC, 2016). It was first reported in 1962 (</w:t>
      </w:r>
      <w:r w:rsidRPr="003A7D3A">
        <w:t xml:space="preserve">Redfern R., </w:t>
      </w:r>
      <w:r w:rsidR="00B7183A" w:rsidRPr="00B7183A">
        <w:rPr>
          <w:i/>
          <w:iCs/>
        </w:rPr>
        <w:t>et al</w:t>
      </w:r>
      <w:r w:rsidRPr="003A7D3A">
        <w:t>, 1976</w:t>
      </w:r>
      <w:r>
        <w:t>).</w:t>
      </w:r>
    </w:p>
    <w:p w14:paraId="75E10054" w14:textId="76DF2BDB" w:rsidR="00884D58" w:rsidRDefault="00884D58" w:rsidP="00884D58">
      <w:pPr>
        <w:pStyle w:val="Caption"/>
      </w:pPr>
      <w:bookmarkStart w:id="83" w:name="_Toc213945988"/>
      <w:bookmarkStart w:id="84" w:name="_Toc216695674"/>
      <w:r>
        <w:t xml:space="preserve">Table </w:t>
      </w:r>
      <w:r>
        <w:fldChar w:fldCharType="begin"/>
      </w:r>
      <w:r>
        <w:instrText xml:space="preserve"> SEQ Table \* ARABIC </w:instrText>
      </w:r>
      <w:r>
        <w:fldChar w:fldCharType="separate"/>
      </w:r>
      <w:r w:rsidR="003861AC">
        <w:rPr>
          <w:noProof/>
        </w:rPr>
        <w:t>12</w:t>
      </w:r>
      <w:r>
        <w:rPr>
          <w:noProof/>
        </w:rPr>
        <w:fldChar w:fldCharType="end"/>
      </w:r>
      <w:r>
        <w:rPr>
          <w:noProof/>
        </w:rPr>
        <w:t>:</w:t>
      </w:r>
      <w:r>
        <w:t xml:space="preserve"> Nomenclature and structural formula of the active constituent coumatetralyl</w:t>
      </w:r>
      <w:bookmarkEnd w:id="83"/>
      <w:bookmarkEnd w:id="84"/>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884D58" w:rsidRPr="002D1539" w14:paraId="5584D0CC" w14:textId="77777777" w:rsidTr="00533B55">
        <w:tc>
          <w:tcPr>
            <w:tcW w:w="1303" w:type="pct"/>
            <w:shd w:val="clear" w:color="auto" w:fill="53284F"/>
          </w:tcPr>
          <w:p w14:paraId="53D6852F" w14:textId="77777777" w:rsidR="00884D58" w:rsidRPr="00244B68" w:rsidRDefault="00884D58" w:rsidP="00BA7F4F">
            <w:pPr>
              <w:pStyle w:val="TableHead"/>
            </w:pPr>
            <w:r w:rsidRPr="00244B68">
              <w:rPr>
                <w:lang w:val="en-US"/>
              </w:rPr>
              <w:t>Common Name</w:t>
            </w:r>
          </w:p>
        </w:tc>
        <w:tc>
          <w:tcPr>
            <w:tcW w:w="3697" w:type="pct"/>
          </w:tcPr>
          <w:p w14:paraId="67C040DA" w14:textId="77777777" w:rsidR="00884D58" w:rsidRPr="002D1539" w:rsidRDefault="00884D58" w:rsidP="00BA7F4F">
            <w:pPr>
              <w:pStyle w:val="TableText"/>
              <w:rPr>
                <w:lang w:val="en-US"/>
              </w:rPr>
            </w:pPr>
            <w:r>
              <w:rPr>
                <w:lang w:val="en-US"/>
              </w:rPr>
              <w:t>Coumatetralyl (ISO 1750)</w:t>
            </w:r>
          </w:p>
        </w:tc>
      </w:tr>
      <w:tr w:rsidR="00884D58" w:rsidRPr="002D1539" w14:paraId="13EC4C9D" w14:textId="77777777" w:rsidTr="00533B55">
        <w:tc>
          <w:tcPr>
            <w:tcW w:w="1303" w:type="pct"/>
            <w:shd w:val="clear" w:color="auto" w:fill="53284F"/>
          </w:tcPr>
          <w:p w14:paraId="634B07A3" w14:textId="77777777" w:rsidR="00884D58" w:rsidRPr="00244B68" w:rsidRDefault="00884D58" w:rsidP="00BA7F4F">
            <w:pPr>
              <w:pStyle w:val="TableHead"/>
              <w:rPr>
                <w:lang w:val="en-US"/>
              </w:rPr>
            </w:pPr>
            <w:r w:rsidRPr="00244B68">
              <w:rPr>
                <w:lang w:val="en-US"/>
              </w:rPr>
              <w:t>IUPAC Name</w:t>
            </w:r>
          </w:p>
        </w:tc>
        <w:tc>
          <w:tcPr>
            <w:tcW w:w="3697" w:type="pct"/>
          </w:tcPr>
          <w:p w14:paraId="5070D6C6" w14:textId="77777777" w:rsidR="00884D58" w:rsidRPr="002D1539" w:rsidRDefault="00884D58" w:rsidP="00BA7F4F">
            <w:pPr>
              <w:pStyle w:val="TableText"/>
              <w:rPr>
                <w:lang w:val="en-US"/>
              </w:rPr>
            </w:pPr>
            <w:r w:rsidRPr="00A361A9">
              <w:t>4-hydroxy-3-[(1</w:t>
            </w:r>
            <w:r w:rsidRPr="00A361A9">
              <w:rPr>
                <w:i/>
                <w:iCs/>
              </w:rPr>
              <w:t>RS</w:t>
            </w:r>
            <w:r w:rsidRPr="00A361A9">
              <w:t>)-1,2,3,4-tetrahydro-1-naphthyl]-2</w:t>
            </w:r>
            <w:r w:rsidRPr="00A361A9">
              <w:rPr>
                <w:i/>
                <w:iCs/>
              </w:rPr>
              <w:t>H</w:t>
            </w:r>
            <w:r w:rsidRPr="00A361A9">
              <w:t>-chromen-2-one</w:t>
            </w:r>
          </w:p>
        </w:tc>
      </w:tr>
      <w:tr w:rsidR="00884D58" w:rsidRPr="002D1539" w14:paraId="6B486E72" w14:textId="77777777" w:rsidTr="00533B55">
        <w:tc>
          <w:tcPr>
            <w:tcW w:w="1303" w:type="pct"/>
            <w:shd w:val="clear" w:color="auto" w:fill="53284F"/>
          </w:tcPr>
          <w:p w14:paraId="6B43DEFA" w14:textId="77777777" w:rsidR="00884D58" w:rsidRPr="00244B68" w:rsidRDefault="00884D58" w:rsidP="00BA7F4F">
            <w:pPr>
              <w:pStyle w:val="TableHead"/>
              <w:rPr>
                <w:lang w:val="en-US"/>
              </w:rPr>
            </w:pPr>
            <w:r w:rsidRPr="00244B68">
              <w:rPr>
                <w:lang w:val="en-US"/>
              </w:rPr>
              <w:lastRenderedPageBreak/>
              <w:t>CAS Name</w:t>
            </w:r>
          </w:p>
        </w:tc>
        <w:tc>
          <w:tcPr>
            <w:tcW w:w="3697" w:type="pct"/>
          </w:tcPr>
          <w:p w14:paraId="25CE02A6" w14:textId="77777777" w:rsidR="00884D58" w:rsidRPr="002D1539" w:rsidRDefault="00884D58" w:rsidP="00BA7F4F">
            <w:pPr>
              <w:pStyle w:val="TableText"/>
              <w:rPr>
                <w:lang w:val="en-US"/>
              </w:rPr>
            </w:pPr>
            <w:r w:rsidRPr="00A361A9">
              <w:t>4-hydroxy-3-(1,2,3,4-tetrahydro-1-naphthalenyl)-2</w:t>
            </w:r>
            <w:r w:rsidRPr="00A361A9">
              <w:rPr>
                <w:i/>
                <w:iCs/>
              </w:rPr>
              <w:t>H</w:t>
            </w:r>
            <w:r w:rsidRPr="00A361A9">
              <w:t>-1-benzopyran-2-one</w:t>
            </w:r>
          </w:p>
        </w:tc>
      </w:tr>
      <w:tr w:rsidR="00884D58" w:rsidRPr="002D1539" w14:paraId="053158A8" w14:textId="77777777" w:rsidTr="00533B55">
        <w:tc>
          <w:tcPr>
            <w:tcW w:w="1303" w:type="pct"/>
            <w:shd w:val="clear" w:color="auto" w:fill="53284F"/>
          </w:tcPr>
          <w:p w14:paraId="54C20AF1" w14:textId="77777777" w:rsidR="00884D58" w:rsidRPr="00244B68" w:rsidRDefault="00884D58" w:rsidP="00BA7F4F">
            <w:pPr>
              <w:pStyle w:val="TableHead"/>
              <w:rPr>
                <w:lang w:val="en-US"/>
              </w:rPr>
            </w:pPr>
            <w:r w:rsidRPr="00244B68">
              <w:rPr>
                <w:lang w:val="en-US"/>
              </w:rPr>
              <w:t>CAS Registry Number</w:t>
            </w:r>
          </w:p>
        </w:tc>
        <w:tc>
          <w:tcPr>
            <w:tcW w:w="3697" w:type="pct"/>
          </w:tcPr>
          <w:p w14:paraId="332A9F63" w14:textId="77777777" w:rsidR="00884D58" w:rsidRPr="002D1539" w:rsidRDefault="00884D58" w:rsidP="00BA7F4F">
            <w:pPr>
              <w:pStyle w:val="TableText"/>
              <w:rPr>
                <w:lang w:val="en-US"/>
              </w:rPr>
            </w:pPr>
            <w:r>
              <w:rPr>
                <w:lang w:val="en-US"/>
              </w:rPr>
              <w:t>5836-29-3</w:t>
            </w:r>
          </w:p>
        </w:tc>
      </w:tr>
      <w:tr w:rsidR="00884D58" w:rsidRPr="002D1539" w14:paraId="5A9612DB" w14:textId="77777777" w:rsidTr="00533B55">
        <w:tc>
          <w:tcPr>
            <w:tcW w:w="1303" w:type="pct"/>
            <w:shd w:val="clear" w:color="auto" w:fill="53284F"/>
          </w:tcPr>
          <w:p w14:paraId="5122E7A4" w14:textId="77777777" w:rsidR="00884D58" w:rsidRPr="00244B68" w:rsidRDefault="00884D58" w:rsidP="00BA7F4F">
            <w:pPr>
              <w:pStyle w:val="TableHead"/>
              <w:rPr>
                <w:lang w:val="en-US"/>
              </w:rPr>
            </w:pPr>
            <w:r w:rsidRPr="00244B68">
              <w:rPr>
                <w:lang w:val="en-US"/>
              </w:rPr>
              <w:t>EC Number</w:t>
            </w:r>
          </w:p>
        </w:tc>
        <w:tc>
          <w:tcPr>
            <w:tcW w:w="3697" w:type="pct"/>
          </w:tcPr>
          <w:p w14:paraId="431D6AC6" w14:textId="77777777" w:rsidR="00884D58" w:rsidRPr="002D1539" w:rsidRDefault="00884D58" w:rsidP="00BA7F4F">
            <w:pPr>
              <w:pStyle w:val="TableText"/>
              <w:rPr>
                <w:lang w:val="en-US"/>
              </w:rPr>
            </w:pPr>
            <w:r>
              <w:rPr>
                <w:lang w:val="en-US"/>
              </w:rPr>
              <w:t>227-424-0</w:t>
            </w:r>
          </w:p>
        </w:tc>
      </w:tr>
      <w:tr w:rsidR="00884D58" w:rsidRPr="002D1539" w14:paraId="5CAAA875" w14:textId="77777777" w:rsidTr="00533B55">
        <w:tc>
          <w:tcPr>
            <w:tcW w:w="1303" w:type="pct"/>
            <w:shd w:val="clear" w:color="auto" w:fill="53284F"/>
          </w:tcPr>
          <w:p w14:paraId="4A5E4F19" w14:textId="77777777" w:rsidR="00884D58" w:rsidRPr="00244B68" w:rsidRDefault="00884D58" w:rsidP="00BA7F4F">
            <w:pPr>
              <w:pStyle w:val="TableHead"/>
              <w:rPr>
                <w:lang w:val="en-US"/>
              </w:rPr>
            </w:pPr>
            <w:r w:rsidRPr="00244B68">
              <w:rPr>
                <w:lang w:val="en-US"/>
              </w:rPr>
              <w:t>Molecular Formula</w:t>
            </w:r>
          </w:p>
        </w:tc>
        <w:tc>
          <w:tcPr>
            <w:tcW w:w="3697" w:type="pct"/>
          </w:tcPr>
          <w:p w14:paraId="1F0D4F5F" w14:textId="77777777" w:rsidR="00884D58" w:rsidRPr="002D1539" w:rsidRDefault="00884D58" w:rsidP="00BA7F4F">
            <w:pPr>
              <w:pStyle w:val="TableText"/>
              <w:rPr>
                <w:lang w:val="en-US"/>
              </w:rPr>
            </w:pPr>
            <w:r>
              <w:rPr>
                <w:lang w:val="en-US"/>
              </w:rPr>
              <w:t>C</w:t>
            </w:r>
            <w:r>
              <w:rPr>
                <w:vertAlign w:val="subscript"/>
                <w:lang w:val="en-US"/>
              </w:rPr>
              <w:t>19</w:t>
            </w:r>
            <w:r>
              <w:rPr>
                <w:lang w:val="en-US"/>
              </w:rPr>
              <w:t>H</w:t>
            </w:r>
            <w:r w:rsidRPr="00A361A9">
              <w:rPr>
                <w:vertAlign w:val="subscript"/>
                <w:lang w:val="en-US"/>
              </w:rPr>
              <w:t>16</w:t>
            </w:r>
            <w:r>
              <w:rPr>
                <w:lang w:val="en-US"/>
              </w:rPr>
              <w:t>O</w:t>
            </w:r>
            <w:r w:rsidRPr="00A361A9">
              <w:rPr>
                <w:vertAlign w:val="subscript"/>
                <w:lang w:val="en-US"/>
              </w:rPr>
              <w:t>3</w:t>
            </w:r>
          </w:p>
        </w:tc>
      </w:tr>
      <w:tr w:rsidR="00884D58" w:rsidRPr="002D1539" w14:paraId="1821F159" w14:textId="77777777" w:rsidTr="00533B55">
        <w:tc>
          <w:tcPr>
            <w:tcW w:w="1303" w:type="pct"/>
            <w:shd w:val="clear" w:color="auto" w:fill="53284F"/>
          </w:tcPr>
          <w:p w14:paraId="1A0D6C25" w14:textId="77777777" w:rsidR="00884D58" w:rsidRPr="00244B68" w:rsidRDefault="00884D58" w:rsidP="00BA7F4F">
            <w:pPr>
              <w:pStyle w:val="TableHead"/>
              <w:rPr>
                <w:lang w:val="en-US"/>
              </w:rPr>
            </w:pPr>
            <w:r w:rsidRPr="00244B68">
              <w:rPr>
                <w:lang w:val="en-US"/>
              </w:rPr>
              <w:t>Molecular Weight</w:t>
            </w:r>
          </w:p>
        </w:tc>
        <w:tc>
          <w:tcPr>
            <w:tcW w:w="3697" w:type="pct"/>
          </w:tcPr>
          <w:p w14:paraId="0FFA808A" w14:textId="77777777" w:rsidR="00884D58" w:rsidRPr="002D1539" w:rsidRDefault="00884D58" w:rsidP="00BA7F4F">
            <w:pPr>
              <w:pStyle w:val="TableText"/>
              <w:rPr>
                <w:lang w:val="en-US"/>
              </w:rPr>
            </w:pPr>
            <w:r>
              <w:rPr>
                <w:lang w:val="en-US"/>
              </w:rPr>
              <w:t>292.3 gmol</w:t>
            </w:r>
            <w:r w:rsidRPr="00AA5403">
              <w:rPr>
                <w:vertAlign w:val="superscript"/>
                <w:lang w:val="en-US"/>
              </w:rPr>
              <w:t>-1</w:t>
            </w:r>
          </w:p>
        </w:tc>
      </w:tr>
      <w:tr w:rsidR="00884D58" w:rsidRPr="002A150C" w14:paraId="0733EE8D" w14:textId="77777777" w:rsidTr="00533B55">
        <w:trPr>
          <w:trHeight w:val="3251"/>
        </w:trPr>
        <w:tc>
          <w:tcPr>
            <w:tcW w:w="1303" w:type="pct"/>
            <w:shd w:val="clear" w:color="auto" w:fill="53284F"/>
          </w:tcPr>
          <w:p w14:paraId="6934942F" w14:textId="77777777" w:rsidR="00884D58" w:rsidRPr="00244B68" w:rsidRDefault="00884D58" w:rsidP="00BA7F4F">
            <w:pPr>
              <w:pStyle w:val="TableHead"/>
              <w:rPr>
                <w:lang w:val="en-US"/>
              </w:rPr>
            </w:pPr>
            <w:r w:rsidRPr="00244B68">
              <w:rPr>
                <w:lang w:val="en-US"/>
              </w:rPr>
              <w:t>Structure</w:t>
            </w:r>
          </w:p>
        </w:tc>
        <w:tc>
          <w:tcPr>
            <w:tcW w:w="3697" w:type="pct"/>
          </w:tcPr>
          <w:p w14:paraId="2125B966" w14:textId="77777777" w:rsidR="00884D58" w:rsidRDefault="00884D58" w:rsidP="005617E5">
            <w:pPr>
              <w:spacing w:line="210" w:lineRule="exact"/>
              <w:rPr>
                <w:spacing w:val="6"/>
              </w:rPr>
            </w:pPr>
          </w:p>
          <w:p w14:paraId="3F464E3A" w14:textId="77777777" w:rsidR="00884D58" w:rsidRPr="002A150C" w:rsidRDefault="00884D58" w:rsidP="005617E5">
            <w:pPr>
              <w:spacing w:line="210" w:lineRule="exact"/>
              <w:rPr>
                <w:spacing w:val="6"/>
              </w:rPr>
            </w:pPr>
            <w:r w:rsidRPr="00A361A9">
              <w:rPr>
                <w:noProof/>
                <w:spacing w:val="6"/>
              </w:rPr>
              <w:drawing>
                <wp:anchor distT="0" distB="0" distL="114300" distR="114300" simplePos="0" relativeHeight="251670528" behindDoc="0" locked="0" layoutInCell="1" allowOverlap="1" wp14:anchorId="17CC8E20" wp14:editId="1D752D74">
                  <wp:simplePos x="0" y="0"/>
                  <wp:positionH relativeFrom="column">
                    <wp:posOffset>-4445</wp:posOffset>
                  </wp:positionH>
                  <wp:positionV relativeFrom="paragraph">
                    <wp:posOffset>-133350</wp:posOffset>
                  </wp:positionV>
                  <wp:extent cx="2552400" cy="1872000"/>
                  <wp:effectExtent l="0" t="0" r="635" b="0"/>
                  <wp:wrapSquare wrapText="bothSides"/>
                  <wp:docPr id="723708831"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22280" name="Picture 1" descr="A structure of a chemical formula&#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552400" cy="1872000"/>
                          </a:xfrm>
                          <a:prstGeom prst="rect">
                            <a:avLst/>
                          </a:prstGeom>
                        </pic:spPr>
                      </pic:pic>
                    </a:graphicData>
                  </a:graphic>
                  <wp14:sizeRelH relativeFrom="margin">
                    <wp14:pctWidth>0</wp14:pctWidth>
                  </wp14:sizeRelH>
                  <wp14:sizeRelV relativeFrom="margin">
                    <wp14:pctHeight>0</wp14:pctHeight>
                  </wp14:sizeRelV>
                </wp:anchor>
              </w:drawing>
            </w:r>
          </w:p>
        </w:tc>
      </w:tr>
      <w:tr w:rsidR="00884D58" w:rsidRPr="002D1539" w14:paraId="2632AD22" w14:textId="77777777" w:rsidTr="00533B55">
        <w:tc>
          <w:tcPr>
            <w:tcW w:w="1303" w:type="pct"/>
            <w:shd w:val="clear" w:color="auto" w:fill="53284F"/>
          </w:tcPr>
          <w:p w14:paraId="6E5344C7" w14:textId="77777777" w:rsidR="00884D58" w:rsidRPr="00244B68" w:rsidRDefault="00884D58" w:rsidP="00BA7F4F">
            <w:pPr>
              <w:pStyle w:val="TableHead"/>
              <w:rPr>
                <w:lang w:val="en-US"/>
              </w:rPr>
            </w:pPr>
            <w:r w:rsidRPr="00244B68">
              <w:rPr>
                <w:lang w:val="en-US"/>
              </w:rPr>
              <w:t>Chemical Family</w:t>
            </w:r>
          </w:p>
        </w:tc>
        <w:tc>
          <w:tcPr>
            <w:tcW w:w="3697" w:type="pct"/>
          </w:tcPr>
          <w:p w14:paraId="0B8270EB" w14:textId="77777777" w:rsidR="00884D58" w:rsidRPr="002D1539" w:rsidRDefault="00884D58" w:rsidP="00BA7F4F">
            <w:pPr>
              <w:pStyle w:val="TableText"/>
              <w:rPr>
                <w:lang w:val="en-US"/>
              </w:rPr>
            </w:pPr>
            <w:r>
              <w:rPr>
                <w:lang w:val="en-US"/>
              </w:rPr>
              <w:t>hydroxycoumarin</w:t>
            </w:r>
            <w:r w:rsidRPr="002D1539">
              <w:rPr>
                <w:lang w:val="en-US"/>
              </w:rPr>
              <w:tab/>
            </w:r>
          </w:p>
        </w:tc>
      </w:tr>
    </w:tbl>
    <w:p w14:paraId="0128A8F4" w14:textId="174DD3A2" w:rsidR="00884D58" w:rsidRDefault="00884D58" w:rsidP="00884D58">
      <w:pPr>
        <w:pStyle w:val="Caption"/>
        <w:spacing w:after="0"/>
      </w:pPr>
      <w:bookmarkStart w:id="85" w:name="_Toc213945989"/>
      <w:bookmarkStart w:id="86" w:name="_Toc216695675"/>
      <w:r>
        <w:t xml:space="preserve">Table </w:t>
      </w:r>
      <w:r>
        <w:fldChar w:fldCharType="begin"/>
      </w:r>
      <w:r>
        <w:instrText xml:space="preserve"> SEQ Table \* ARABIC </w:instrText>
      </w:r>
      <w:r>
        <w:fldChar w:fldCharType="separate"/>
      </w:r>
      <w:r w:rsidR="003861AC">
        <w:rPr>
          <w:noProof/>
        </w:rPr>
        <w:t>13</w:t>
      </w:r>
      <w:r>
        <w:rPr>
          <w:noProof/>
        </w:rPr>
        <w:fldChar w:fldCharType="end"/>
      </w:r>
      <w:r>
        <w:rPr>
          <w:noProof/>
        </w:rPr>
        <w:t>:</w:t>
      </w:r>
      <w:r>
        <w:t xml:space="preserve"> Key physicochemical properties of the active constituent coumatetralyl</w:t>
      </w:r>
      <w:bookmarkEnd w:id="85"/>
      <w:bookmarkEnd w:id="86"/>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4023"/>
        <w:gridCol w:w="2669"/>
      </w:tblGrid>
      <w:tr w:rsidR="00884D58" w:rsidRPr="002A150C" w14:paraId="3F9BAD38" w14:textId="77777777" w:rsidTr="00533B55">
        <w:trPr>
          <w:tblHeader/>
        </w:trPr>
        <w:tc>
          <w:tcPr>
            <w:tcW w:w="1525" w:type="pct"/>
            <w:shd w:val="clear" w:color="auto" w:fill="53284F"/>
          </w:tcPr>
          <w:p w14:paraId="0FE64394" w14:textId="77777777" w:rsidR="00884D58" w:rsidRPr="002D1539" w:rsidRDefault="00884D58" w:rsidP="00BA7F4F">
            <w:pPr>
              <w:pStyle w:val="TableHead"/>
              <w:rPr>
                <w:lang w:val="en-US"/>
              </w:rPr>
            </w:pPr>
            <w:r w:rsidRPr="002D1539">
              <w:rPr>
                <w:lang w:val="en-US"/>
              </w:rPr>
              <w:t>Parameters</w:t>
            </w:r>
          </w:p>
        </w:tc>
        <w:tc>
          <w:tcPr>
            <w:tcW w:w="2089" w:type="pct"/>
            <w:shd w:val="clear" w:color="auto" w:fill="53284F"/>
          </w:tcPr>
          <w:p w14:paraId="0FBB3B51" w14:textId="77777777" w:rsidR="00884D58" w:rsidRPr="002D1539" w:rsidRDefault="00884D58" w:rsidP="00BA7F4F">
            <w:pPr>
              <w:pStyle w:val="TableHead"/>
              <w:rPr>
                <w:lang w:val="en-US"/>
              </w:rPr>
            </w:pPr>
            <w:r w:rsidRPr="002D1539">
              <w:rPr>
                <w:lang w:val="en-US"/>
              </w:rPr>
              <w:t>Properties</w:t>
            </w:r>
          </w:p>
        </w:tc>
        <w:tc>
          <w:tcPr>
            <w:tcW w:w="1386" w:type="pct"/>
            <w:shd w:val="clear" w:color="auto" w:fill="53284F"/>
          </w:tcPr>
          <w:p w14:paraId="1CDF5A66" w14:textId="77777777" w:rsidR="00884D58" w:rsidRPr="002D1539" w:rsidRDefault="00884D58" w:rsidP="00BA7F4F">
            <w:pPr>
              <w:pStyle w:val="TableHead"/>
              <w:rPr>
                <w:lang w:val="en-US"/>
              </w:rPr>
            </w:pPr>
            <w:r>
              <w:rPr>
                <w:lang w:val="en-US"/>
              </w:rPr>
              <w:t>Data source</w:t>
            </w:r>
          </w:p>
        </w:tc>
      </w:tr>
      <w:tr w:rsidR="00884D58" w:rsidRPr="002A150C" w14:paraId="49CAFFB7" w14:textId="77777777" w:rsidTr="00533B55">
        <w:tc>
          <w:tcPr>
            <w:tcW w:w="1525" w:type="pct"/>
            <w:shd w:val="clear" w:color="auto" w:fill="F0F4F5"/>
          </w:tcPr>
          <w:p w14:paraId="52511B57" w14:textId="77777777" w:rsidR="00884D58" w:rsidRPr="00244B68" w:rsidRDefault="00884D58" w:rsidP="00BA7F4F">
            <w:pPr>
              <w:pStyle w:val="TableText"/>
              <w:rPr>
                <w:lang w:val="en-US"/>
              </w:rPr>
            </w:pPr>
            <w:r>
              <w:rPr>
                <w:lang w:val="en-US"/>
              </w:rPr>
              <w:t>Appearance</w:t>
            </w:r>
          </w:p>
        </w:tc>
        <w:tc>
          <w:tcPr>
            <w:tcW w:w="2089" w:type="pct"/>
          </w:tcPr>
          <w:p w14:paraId="0C92C09C" w14:textId="77777777" w:rsidR="00884D58" w:rsidRPr="002D1539" w:rsidRDefault="00884D58" w:rsidP="00BA7F4F">
            <w:pPr>
              <w:pStyle w:val="TableText"/>
              <w:rPr>
                <w:lang w:val="en-US"/>
              </w:rPr>
            </w:pPr>
            <w:r>
              <w:rPr>
                <w:lang w:val="en-US"/>
              </w:rPr>
              <w:t>Colourless crystals (purified active ingredient), yellowish crystals (technical active ingredient)</w:t>
            </w:r>
          </w:p>
        </w:tc>
        <w:tc>
          <w:tcPr>
            <w:tcW w:w="1386" w:type="pct"/>
          </w:tcPr>
          <w:p w14:paraId="74F3D8A4" w14:textId="77777777" w:rsidR="00884D58" w:rsidRDefault="00884D58" w:rsidP="00BA7F4F">
            <w:pPr>
              <w:pStyle w:val="TableText"/>
              <w:rPr>
                <w:lang w:val="en-US"/>
              </w:rPr>
            </w:pPr>
            <w:r>
              <w:t>BCPC, 2016</w:t>
            </w:r>
          </w:p>
        </w:tc>
      </w:tr>
      <w:tr w:rsidR="00884D58" w:rsidRPr="002A150C" w14:paraId="19DE57F7" w14:textId="77777777" w:rsidTr="00533B55">
        <w:tc>
          <w:tcPr>
            <w:tcW w:w="1525" w:type="pct"/>
            <w:shd w:val="clear" w:color="auto" w:fill="F0F4F5"/>
          </w:tcPr>
          <w:p w14:paraId="0BC0FE4E" w14:textId="77777777" w:rsidR="00884D58" w:rsidRPr="00244B68" w:rsidRDefault="00884D58" w:rsidP="00BA7F4F">
            <w:pPr>
              <w:pStyle w:val="TableText"/>
              <w:rPr>
                <w:lang w:val="en-US"/>
              </w:rPr>
            </w:pPr>
            <w:r w:rsidRPr="00244B68">
              <w:rPr>
                <w:lang w:val="en-US"/>
              </w:rPr>
              <w:t>Melting point</w:t>
            </w:r>
          </w:p>
        </w:tc>
        <w:tc>
          <w:tcPr>
            <w:tcW w:w="2089" w:type="pct"/>
          </w:tcPr>
          <w:p w14:paraId="05E89C41" w14:textId="77777777" w:rsidR="00884D58" w:rsidRDefault="00884D58" w:rsidP="00BA7F4F">
            <w:pPr>
              <w:pStyle w:val="TableText"/>
              <w:rPr>
                <w:lang w:val="en-US"/>
              </w:rPr>
            </w:pPr>
            <w:r>
              <w:rPr>
                <w:lang w:val="en-US"/>
              </w:rPr>
              <w:t>172-176 °C (purified active ingredient)</w:t>
            </w:r>
          </w:p>
          <w:p w14:paraId="47BF19A4" w14:textId="77777777" w:rsidR="00884D58" w:rsidRPr="002D1539" w:rsidRDefault="00884D58" w:rsidP="00BA7F4F">
            <w:pPr>
              <w:pStyle w:val="TableText"/>
              <w:rPr>
                <w:lang w:val="en-US"/>
              </w:rPr>
            </w:pPr>
            <w:r>
              <w:rPr>
                <w:lang w:val="en-US"/>
              </w:rPr>
              <w:t>166-172 °C (technical active ingredient)</w:t>
            </w:r>
          </w:p>
        </w:tc>
        <w:tc>
          <w:tcPr>
            <w:tcW w:w="1386" w:type="pct"/>
          </w:tcPr>
          <w:p w14:paraId="094792FB" w14:textId="77777777" w:rsidR="00884D58" w:rsidRDefault="00884D58" w:rsidP="00BA7F4F">
            <w:pPr>
              <w:pStyle w:val="TableText"/>
              <w:rPr>
                <w:lang w:val="en-US"/>
              </w:rPr>
            </w:pPr>
            <w:r>
              <w:t>BCPC, 2016</w:t>
            </w:r>
          </w:p>
        </w:tc>
      </w:tr>
      <w:tr w:rsidR="00884D58" w:rsidRPr="002A150C" w14:paraId="48581F64" w14:textId="77777777" w:rsidTr="00533B55">
        <w:tc>
          <w:tcPr>
            <w:tcW w:w="1525" w:type="pct"/>
            <w:shd w:val="clear" w:color="auto" w:fill="F0F4F5"/>
          </w:tcPr>
          <w:p w14:paraId="01E15BBA" w14:textId="77777777" w:rsidR="00884D58" w:rsidRPr="00244B68" w:rsidRDefault="00884D58" w:rsidP="00BA7F4F">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p>
        </w:tc>
        <w:tc>
          <w:tcPr>
            <w:tcW w:w="2089" w:type="pct"/>
          </w:tcPr>
          <w:p w14:paraId="3D889C80" w14:textId="77777777" w:rsidR="00884D58" w:rsidRPr="002D1539" w:rsidRDefault="00884D58" w:rsidP="00BA7F4F">
            <w:pPr>
              <w:pStyle w:val="TableText"/>
              <w:rPr>
                <w:lang w:val="en-US"/>
              </w:rPr>
            </w:pPr>
            <w:r>
              <w:rPr>
                <w:lang w:val="en-US"/>
              </w:rPr>
              <w:t>3.46</w:t>
            </w:r>
          </w:p>
        </w:tc>
        <w:tc>
          <w:tcPr>
            <w:tcW w:w="1386" w:type="pct"/>
          </w:tcPr>
          <w:p w14:paraId="3CE8C19B" w14:textId="77777777" w:rsidR="00884D58" w:rsidRDefault="00884D58" w:rsidP="00BA7F4F">
            <w:pPr>
              <w:pStyle w:val="TableText"/>
              <w:rPr>
                <w:lang w:val="en-US"/>
              </w:rPr>
            </w:pPr>
            <w:r>
              <w:t>BCPC, 2016</w:t>
            </w:r>
          </w:p>
        </w:tc>
      </w:tr>
      <w:tr w:rsidR="00884D58" w:rsidRPr="002A150C" w14:paraId="50F35645" w14:textId="77777777" w:rsidTr="00533B55">
        <w:tc>
          <w:tcPr>
            <w:tcW w:w="1525" w:type="pct"/>
            <w:shd w:val="clear" w:color="auto" w:fill="F0F4F5"/>
          </w:tcPr>
          <w:p w14:paraId="77B90F20" w14:textId="77777777" w:rsidR="00884D58" w:rsidRDefault="00884D58" w:rsidP="00BA7F4F">
            <w:pPr>
              <w:pStyle w:val="TableText"/>
              <w:rPr>
                <w:lang w:val="en-US"/>
              </w:rPr>
            </w:pPr>
            <w:r>
              <w:rPr>
                <w:lang w:val="en-US"/>
              </w:rPr>
              <w:t>pKa</w:t>
            </w:r>
          </w:p>
        </w:tc>
        <w:tc>
          <w:tcPr>
            <w:tcW w:w="2089" w:type="pct"/>
          </w:tcPr>
          <w:p w14:paraId="118629A0" w14:textId="77777777" w:rsidR="00884D58" w:rsidRDefault="00884D58" w:rsidP="00BA7F4F">
            <w:pPr>
              <w:pStyle w:val="TableText"/>
              <w:rPr>
                <w:lang w:val="en-US"/>
              </w:rPr>
            </w:pPr>
            <w:r>
              <w:rPr>
                <w:lang w:val="en-US"/>
              </w:rPr>
              <w:t>4.5-5.0</w:t>
            </w:r>
          </w:p>
        </w:tc>
        <w:tc>
          <w:tcPr>
            <w:tcW w:w="1386" w:type="pct"/>
          </w:tcPr>
          <w:p w14:paraId="62F7A149" w14:textId="77777777" w:rsidR="00884D58" w:rsidRDefault="00884D58" w:rsidP="00BA7F4F">
            <w:pPr>
              <w:pStyle w:val="TableText"/>
              <w:rPr>
                <w:lang w:val="en-US"/>
              </w:rPr>
            </w:pPr>
            <w:r w:rsidRPr="005826B9">
              <w:t>BCPC, 2016</w:t>
            </w:r>
          </w:p>
        </w:tc>
      </w:tr>
      <w:tr w:rsidR="00884D58" w:rsidRPr="002A150C" w14:paraId="792EFF3C" w14:textId="77777777" w:rsidTr="00533B55">
        <w:tc>
          <w:tcPr>
            <w:tcW w:w="1525" w:type="pct"/>
            <w:vMerge w:val="restart"/>
            <w:shd w:val="clear" w:color="auto" w:fill="F0F4F5"/>
          </w:tcPr>
          <w:p w14:paraId="22416C5C" w14:textId="77777777" w:rsidR="00884D58" w:rsidRPr="00244B68" w:rsidRDefault="00884D58" w:rsidP="00BA7F4F">
            <w:pPr>
              <w:pStyle w:val="TableText"/>
              <w:rPr>
                <w:lang w:val="en-US"/>
              </w:rPr>
            </w:pPr>
            <w:r w:rsidRPr="00244B68">
              <w:rPr>
                <w:lang w:val="en-US"/>
              </w:rPr>
              <w:t>Vapour pressure</w:t>
            </w:r>
          </w:p>
        </w:tc>
        <w:tc>
          <w:tcPr>
            <w:tcW w:w="2089" w:type="pct"/>
          </w:tcPr>
          <w:p w14:paraId="42E6D05A" w14:textId="77777777" w:rsidR="00884D58" w:rsidRPr="002D1539" w:rsidRDefault="00884D58" w:rsidP="00BA7F4F">
            <w:pPr>
              <w:pStyle w:val="TableText"/>
              <w:rPr>
                <w:lang w:val="en-US"/>
              </w:rPr>
            </w:pPr>
            <w:r>
              <w:rPr>
                <w:lang w:val="en-US"/>
              </w:rPr>
              <w:t>8.5 × 10</w:t>
            </w:r>
            <w:r w:rsidRPr="00BA6B78">
              <w:rPr>
                <w:vertAlign w:val="superscript"/>
                <w:lang w:val="en-US"/>
              </w:rPr>
              <w:t>-6</w:t>
            </w:r>
            <w:r>
              <w:rPr>
                <w:lang w:val="en-US"/>
              </w:rPr>
              <w:t xml:space="preserve"> mPa (20 °C)</w:t>
            </w:r>
          </w:p>
        </w:tc>
        <w:tc>
          <w:tcPr>
            <w:tcW w:w="1386" w:type="pct"/>
          </w:tcPr>
          <w:p w14:paraId="2BD3D8C0" w14:textId="77777777" w:rsidR="00884D58" w:rsidRDefault="00884D58" w:rsidP="00BA7F4F">
            <w:pPr>
              <w:pStyle w:val="TableText"/>
              <w:rPr>
                <w:lang w:val="en-US"/>
              </w:rPr>
            </w:pPr>
            <w:r w:rsidRPr="005826B9">
              <w:t>BCPC, 2016</w:t>
            </w:r>
          </w:p>
        </w:tc>
      </w:tr>
      <w:tr w:rsidR="00884D58" w:rsidRPr="002A150C" w14:paraId="1F52EB50" w14:textId="77777777" w:rsidTr="00533B55">
        <w:tc>
          <w:tcPr>
            <w:tcW w:w="1525" w:type="pct"/>
            <w:vMerge/>
            <w:shd w:val="clear" w:color="auto" w:fill="F0F4F5"/>
          </w:tcPr>
          <w:p w14:paraId="1B029790" w14:textId="77777777" w:rsidR="00884D58" w:rsidRPr="00244B68" w:rsidRDefault="00884D58" w:rsidP="00BA7F4F">
            <w:pPr>
              <w:pStyle w:val="TableText"/>
              <w:rPr>
                <w:lang w:val="en-US"/>
              </w:rPr>
            </w:pPr>
          </w:p>
        </w:tc>
        <w:tc>
          <w:tcPr>
            <w:tcW w:w="2089" w:type="pct"/>
          </w:tcPr>
          <w:p w14:paraId="4D7D1F0B" w14:textId="77777777" w:rsidR="00884D58" w:rsidRPr="003B2FCF" w:rsidRDefault="00884D58" w:rsidP="00BA7F4F">
            <w:pPr>
              <w:pStyle w:val="TableText"/>
              <w:rPr>
                <w:lang w:val="de-CH"/>
              </w:rPr>
            </w:pPr>
            <w:r w:rsidRPr="003B2FCF">
              <w:rPr>
                <w:lang w:val="de-CH"/>
              </w:rPr>
              <w:t>20 °C: 4 × 10</w:t>
            </w:r>
            <w:r w:rsidRPr="001549D4">
              <w:rPr>
                <w:vertAlign w:val="superscript"/>
                <w:lang w:val="de-CH"/>
              </w:rPr>
              <w:t>-</w:t>
            </w:r>
            <w:r w:rsidRPr="003B2FCF">
              <w:rPr>
                <w:vertAlign w:val="superscript"/>
                <w:lang w:val="de-CH"/>
              </w:rPr>
              <w:t>5</w:t>
            </w:r>
            <w:r w:rsidRPr="003B2FCF">
              <w:rPr>
                <w:lang w:val="de-CH"/>
              </w:rPr>
              <w:t xml:space="preserve"> mPa</w:t>
            </w:r>
          </w:p>
          <w:p w14:paraId="541CB785" w14:textId="77777777" w:rsidR="00884D58" w:rsidRPr="003B2FCF" w:rsidRDefault="00884D58" w:rsidP="00BA7F4F">
            <w:pPr>
              <w:pStyle w:val="TableText"/>
              <w:rPr>
                <w:lang w:val="de-CH"/>
              </w:rPr>
            </w:pPr>
            <w:r w:rsidRPr="003B2FCF">
              <w:rPr>
                <w:lang w:val="de-CH"/>
              </w:rPr>
              <w:t>25 °C: 1.1 × 10</w:t>
            </w:r>
            <w:r w:rsidRPr="001549D4">
              <w:rPr>
                <w:vertAlign w:val="superscript"/>
                <w:lang w:val="de-CH"/>
              </w:rPr>
              <w:t>-</w:t>
            </w:r>
            <w:r w:rsidRPr="003B2FCF">
              <w:rPr>
                <w:vertAlign w:val="superscript"/>
                <w:lang w:val="de-CH"/>
              </w:rPr>
              <w:t>4</w:t>
            </w:r>
            <w:r w:rsidRPr="003B2FCF">
              <w:rPr>
                <w:lang w:val="de-CH"/>
              </w:rPr>
              <w:t xml:space="preserve"> mPa</w:t>
            </w:r>
          </w:p>
          <w:p w14:paraId="6CB950F1" w14:textId="77777777" w:rsidR="00884D58" w:rsidRPr="003B2FCF" w:rsidRDefault="00884D58" w:rsidP="00BA7F4F">
            <w:pPr>
              <w:pStyle w:val="TableText"/>
              <w:rPr>
                <w:lang w:val="de-CH"/>
              </w:rPr>
            </w:pPr>
            <w:r w:rsidRPr="003B2FCF">
              <w:rPr>
                <w:lang w:val="de-CH"/>
              </w:rPr>
              <w:t>50 °C: 6.2 × 10</w:t>
            </w:r>
            <w:r w:rsidRPr="001549D4">
              <w:rPr>
                <w:vertAlign w:val="superscript"/>
                <w:lang w:val="de-CH"/>
              </w:rPr>
              <w:t>-</w:t>
            </w:r>
            <w:r w:rsidRPr="003B2FCF">
              <w:rPr>
                <w:vertAlign w:val="superscript"/>
                <w:lang w:val="de-CH"/>
              </w:rPr>
              <w:t>3</w:t>
            </w:r>
            <w:r w:rsidRPr="003B2FCF">
              <w:rPr>
                <w:lang w:val="de-CH"/>
              </w:rPr>
              <w:t xml:space="preserve"> mPa</w:t>
            </w:r>
          </w:p>
        </w:tc>
        <w:tc>
          <w:tcPr>
            <w:tcW w:w="1386" w:type="pct"/>
          </w:tcPr>
          <w:p w14:paraId="1C630F69" w14:textId="77777777" w:rsidR="00884D58" w:rsidRDefault="00884D58" w:rsidP="00BA7F4F">
            <w:pPr>
              <w:pStyle w:val="TableText"/>
              <w:rPr>
                <w:lang w:val="en-US"/>
              </w:rPr>
            </w:pPr>
            <w:r w:rsidRPr="003A7D3A">
              <w:rPr>
                <w:lang w:val="en-US"/>
              </w:rPr>
              <w:t>Kuchta C., 2024</w:t>
            </w:r>
          </w:p>
        </w:tc>
      </w:tr>
      <w:tr w:rsidR="00884D58" w:rsidRPr="002A150C" w14:paraId="186EE250" w14:textId="77777777" w:rsidTr="00533B55">
        <w:tc>
          <w:tcPr>
            <w:tcW w:w="1525" w:type="pct"/>
            <w:shd w:val="clear" w:color="auto" w:fill="F0F4F5"/>
          </w:tcPr>
          <w:p w14:paraId="4B1A306E" w14:textId="77777777" w:rsidR="00884D58" w:rsidRPr="00244B68" w:rsidRDefault="00884D58" w:rsidP="00BA7F4F">
            <w:pPr>
              <w:pStyle w:val="TableText"/>
              <w:rPr>
                <w:lang w:val="en-US"/>
              </w:rPr>
            </w:pPr>
            <w:r>
              <w:rPr>
                <w:lang w:val="en-US"/>
              </w:rPr>
              <w:t>Henry’s Law Constant</w:t>
            </w:r>
          </w:p>
        </w:tc>
        <w:tc>
          <w:tcPr>
            <w:tcW w:w="2089" w:type="pct"/>
          </w:tcPr>
          <w:p w14:paraId="46C0DA08" w14:textId="77777777" w:rsidR="00884D58" w:rsidRPr="00BA6B78" w:rsidRDefault="00884D58" w:rsidP="00BA7F4F">
            <w:pPr>
              <w:pStyle w:val="TableText"/>
              <w:rPr>
                <w:lang w:val="en-US"/>
              </w:rPr>
            </w:pPr>
            <w:r>
              <w:rPr>
                <w:lang w:val="en-US"/>
              </w:rPr>
              <w:t>1 × 10</w:t>
            </w:r>
            <w:r w:rsidRPr="00BA6B78">
              <w:rPr>
                <w:vertAlign w:val="superscript"/>
                <w:lang w:val="en-US"/>
              </w:rPr>
              <w:t>-7</w:t>
            </w:r>
            <w:r>
              <w:rPr>
                <w:lang w:val="en-US"/>
              </w:rPr>
              <w:t xml:space="preserve"> Pa.m</w:t>
            </w:r>
            <w:r w:rsidRPr="00BA6B78">
              <w:rPr>
                <w:vertAlign w:val="superscript"/>
                <w:lang w:val="en-US"/>
              </w:rPr>
              <w:t>3</w:t>
            </w:r>
            <w:r>
              <w:rPr>
                <w:lang w:val="en-US"/>
              </w:rPr>
              <w:t>.mol</w:t>
            </w:r>
            <w:r w:rsidRPr="00BA6B78">
              <w:rPr>
                <w:vertAlign w:val="superscript"/>
                <w:lang w:val="en-US"/>
              </w:rPr>
              <w:t>-1</w:t>
            </w:r>
            <w:r>
              <w:rPr>
                <w:lang w:val="en-US"/>
              </w:rPr>
              <w:t xml:space="preserve"> (pH 5, 20 °C)</w:t>
            </w:r>
          </w:p>
        </w:tc>
        <w:tc>
          <w:tcPr>
            <w:tcW w:w="1386" w:type="pct"/>
          </w:tcPr>
          <w:p w14:paraId="6F793839" w14:textId="77777777" w:rsidR="00884D58" w:rsidRDefault="00884D58" w:rsidP="00BA7F4F">
            <w:pPr>
              <w:pStyle w:val="TableText"/>
              <w:rPr>
                <w:lang w:val="en-US"/>
              </w:rPr>
            </w:pPr>
            <w:r w:rsidRPr="00A95F8B">
              <w:t>BCPC, 2016</w:t>
            </w:r>
          </w:p>
        </w:tc>
      </w:tr>
      <w:tr w:rsidR="00884D58" w:rsidRPr="002A150C" w14:paraId="0E321551" w14:textId="77777777" w:rsidTr="00533B55">
        <w:tc>
          <w:tcPr>
            <w:tcW w:w="1525" w:type="pct"/>
            <w:shd w:val="clear" w:color="auto" w:fill="F0F4F5"/>
          </w:tcPr>
          <w:p w14:paraId="70ECD76C" w14:textId="77777777" w:rsidR="00884D58" w:rsidRPr="00244B68" w:rsidRDefault="00884D58" w:rsidP="00BA7F4F">
            <w:pPr>
              <w:pStyle w:val="TableText"/>
              <w:rPr>
                <w:lang w:val="en-US"/>
              </w:rPr>
            </w:pPr>
            <w:r>
              <w:rPr>
                <w:lang w:val="en-US"/>
              </w:rPr>
              <w:t>Water s</w:t>
            </w:r>
            <w:r w:rsidRPr="00244B68">
              <w:rPr>
                <w:lang w:val="en-US"/>
              </w:rPr>
              <w:t>olubility</w:t>
            </w:r>
          </w:p>
        </w:tc>
        <w:tc>
          <w:tcPr>
            <w:tcW w:w="2089" w:type="pct"/>
          </w:tcPr>
          <w:p w14:paraId="49114B8F" w14:textId="77777777" w:rsidR="00884D58" w:rsidRPr="003B2FCF" w:rsidRDefault="00884D58" w:rsidP="00BA7F4F">
            <w:pPr>
              <w:pStyle w:val="TableText"/>
              <w:rPr>
                <w:lang w:val="de-CH"/>
              </w:rPr>
            </w:pPr>
            <w:r w:rsidRPr="003B2FCF">
              <w:rPr>
                <w:lang w:val="de-CH"/>
              </w:rPr>
              <w:t>pH 4.2: 4 mg/L</w:t>
            </w:r>
          </w:p>
          <w:p w14:paraId="378C9A92" w14:textId="77777777" w:rsidR="00884D58" w:rsidRPr="003B2FCF" w:rsidRDefault="00884D58" w:rsidP="00BA7F4F">
            <w:pPr>
              <w:pStyle w:val="TableText"/>
              <w:rPr>
                <w:lang w:val="de-CH"/>
              </w:rPr>
            </w:pPr>
            <w:r w:rsidRPr="003B2FCF">
              <w:rPr>
                <w:lang w:val="de-CH"/>
              </w:rPr>
              <w:t>pH 5: 20 mg/L</w:t>
            </w:r>
          </w:p>
          <w:p w14:paraId="2812A2EA" w14:textId="77777777" w:rsidR="00884D58" w:rsidRPr="003B2FCF" w:rsidRDefault="00884D58" w:rsidP="00BA7F4F">
            <w:pPr>
              <w:pStyle w:val="TableText"/>
              <w:rPr>
                <w:lang w:val="de-CH"/>
              </w:rPr>
            </w:pPr>
            <w:r w:rsidRPr="003B2FCF">
              <w:rPr>
                <w:lang w:val="de-CH"/>
              </w:rPr>
              <w:lastRenderedPageBreak/>
              <w:t>pH 7: 425 mg/L</w:t>
            </w:r>
          </w:p>
          <w:p w14:paraId="6E00B69C" w14:textId="77777777" w:rsidR="00884D58" w:rsidRDefault="00884D58" w:rsidP="00BA7F4F">
            <w:pPr>
              <w:pStyle w:val="TableText"/>
              <w:rPr>
                <w:lang w:val="en-US"/>
              </w:rPr>
            </w:pPr>
            <w:r>
              <w:rPr>
                <w:lang w:val="en-US"/>
              </w:rPr>
              <w:t>pH 9: 100-200 g/L</w:t>
            </w:r>
          </w:p>
          <w:p w14:paraId="2C6A6314" w14:textId="77777777" w:rsidR="00884D58" w:rsidRPr="002D1539" w:rsidRDefault="00884D58" w:rsidP="00BA7F4F">
            <w:pPr>
              <w:pStyle w:val="TableText"/>
              <w:rPr>
                <w:lang w:val="en-US"/>
              </w:rPr>
            </w:pPr>
            <w:r>
              <w:rPr>
                <w:lang w:val="en-US"/>
              </w:rPr>
              <w:t>(all at 20 °C)</w:t>
            </w:r>
          </w:p>
        </w:tc>
        <w:tc>
          <w:tcPr>
            <w:tcW w:w="1386" w:type="pct"/>
          </w:tcPr>
          <w:p w14:paraId="0867B908" w14:textId="77777777" w:rsidR="00884D58" w:rsidRDefault="00884D58" w:rsidP="00BA7F4F">
            <w:pPr>
              <w:pStyle w:val="TableText"/>
              <w:rPr>
                <w:lang w:val="en-US"/>
              </w:rPr>
            </w:pPr>
            <w:r w:rsidRPr="00A95F8B">
              <w:lastRenderedPageBreak/>
              <w:t>BCPC, 2016</w:t>
            </w:r>
          </w:p>
        </w:tc>
      </w:tr>
      <w:tr w:rsidR="00884D58" w:rsidRPr="002A150C" w14:paraId="1396F233" w14:textId="77777777" w:rsidTr="00533B55">
        <w:tc>
          <w:tcPr>
            <w:tcW w:w="1525" w:type="pct"/>
            <w:vMerge w:val="restart"/>
            <w:shd w:val="clear" w:color="auto" w:fill="F0F4F5"/>
          </w:tcPr>
          <w:p w14:paraId="32687AC0" w14:textId="77777777" w:rsidR="00884D58" w:rsidRDefault="00884D58" w:rsidP="00BA7F4F">
            <w:pPr>
              <w:pStyle w:val="TableText"/>
              <w:rPr>
                <w:lang w:val="en-US"/>
              </w:rPr>
            </w:pPr>
            <w:r>
              <w:rPr>
                <w:lang w:val="en-US"/>
              </w:rPr>
              <w:t>Organic solvent solubility</w:t>
            </w:r>
          </w:p>
        </w:tc>
        <w:tc>
          <w:tcPr>
            <w:tcW w:w="2089" w:type="pct"/>
          </w:tcPr>
          <w:p w14:paraId="6D39E5AC" w14:textId="77777777" w:rsidR="00884D58" w:rsidRDefault="00884D58" w:rsidP="00BA7F4F">
            <w:pPr>
              <w:pStyle w:val="TableText"/>
              <w:rPr>
                <w:lang w:val="en-US"/>
              </w:rPr>
            </w:pPr>
            <w:r>
              <w:rPr>
                <w:lang w:val="en-US"/>
              </w:rPr>
              <w:t>Readily soluble in dimethylformamide, soluble in alcohols and acetone, slightly soluble in benzene, toluene and diethyl ether</w:t>
            </w:r>
          </w:p>
          <w:p w14:paraId="612CF417" w14:textId="77777777" w:rsidR="00884D58" w:rsidRDefault="00884D58" w:rsidP="00BA7F4F">
            <w:pPr>
              <w:pStyle w:val="TableText"/>
              <w:rPr>
                <w:lang w:val="en-US"/>
              </w:rPr>
            </w:pPr>
            <w:r>
              <w:rPr>
                <w:lang w:val="en-US"/>
              </w:rPr>
              <w:t>Dichloromethane 50-100 g/L (20 °C)</w:t>
            </w:r>
          </w:p>
          <w:p w14:paraId="149CF2E5" w14:textId="77777777" w:rsidR="00884D58" w:rsidRPr="002D1539" w:rsidRDefault="00884D58" w:rsidP="00BA7F4F">
            <w:pPr>
              <w:pStyle w:val="TableText"/>
              <w:rPr>
                <w:lang w:val="en-US"/>
              </w:rPr>
            </w:pPr>
            <w:r>
              <w:rPr>
                <w:lang w:val="en-US"/>
              </w:rPr>
              <w:t>Isopropanol 20-50 g/L (20 °C)</w:t>
            </w:r>
          </w:p>
        </w:tc>
        <w:tc>
          <w:tcPr>
            <w:tcW w:w="1386" w:type="pct"/>
          </w:tcPr>
          <w:p w14:paraId="641EFB2E" w14:textId="77777777" w:rsidR="00884D58" w:rsidRDefault="00884D58" w:rsidP="00BA7F4F">
            <w:pPr>
              <w:pStyle w:val="TableText"/>
              <w:rPr>
                <w:lang w:val="en-US"/>
              </w:rPr>
            </w:pPr>
            <w:r w:rsidRPr="00A95F8B">
              <w:t>BCPC, 2016</w:t>
            </w:r>
          </w:p>
        </w:tc>
      </w:tr>
      <w:tr w:rsidR="00884D58" w:rsidRPr="002A150C" w14:paraId="11EC0E35" w14:textId="77777777" w:rsidTr="00533B55">
        <w:tc>
          <w:tcPr>
            <w:tcW w:w="1525" w:type="pct"/>
            <w:vMerge/>
            <w:shd w:val="clear" w:color="auto" w:fill="F0F4F5"/>
          </w:tcPr>
          <w:p w14:paraId="20D643E1" w14:textId="77777777" w:rsidR="00884D58" w:rsidRDefault="00884D58" w:rsidP="00BA7F4F">
            <w:pPr>
              <w:pStyle w:val="TableText"/>
              <w:rPr>
                <w:lang w:val="en-US"/>
              </w:rPr>
            </w:pPr>
          </w:p>
        </w:tc>
        <w:tc>
          <w:tcPr>
            <w:tcW w:w="2089" w:type="pct"/>
          </w:tcPr>
          <w:p w14:paraId="56F6CECD" w14:textId="77777777" w:rsidR="00884D58" w:rsidRDefault="00884D58" w:rsidP="00BA7F4F">
            <w:pPr>
              <w:pStyle w:val="TableText"/>
              <w:rPr>
                <w:lang w:val="en-US"/>
              </w:rPr>
            </w:pPr>
            <w:r>
              <w:rPr>
                <w:lang w:val="en-US"/>
              </w:rPr>
              <w:t>Ethyl acetate: &lt;11 g/L (at 10, 20 and 30 °C)</w:t>
            </w:r>
          </w:p>
          <w:p w14:paraId="556873ED" w14:textId="77777777" w:rsidR="00884D58" w:rsidRDefault="00884D58" w:rsidP="00BA7F4F">
            <w:pPr>
              <w:pStyle w:val="TableText"/>
              <w:rPr>
                <w:lang w:val="en-US"/>
              </w:rPr>
            </w:pPr>
            <w:r>
              <w:rPr>
                <w:lang w:val="en-US"/>
              </w:rPr>
              <w:t>Isopropanol: &lt;12 g/L (at 10, 20 and 30 °C)</w:t>
            </w:r>
          </w:p>
          <w:p w14:paraId="233422B1" w14:textId="77777777" w:rsidR="00884D58" w:rsidRDefault="00884D58" w:rsidP="00BA7F4F">
            <w:pPr>
              <w:pStyle w:val="TableText"/>
              <w:rPr>
                <w:lang w:val="en-US"/>
              </w:rPr>
            </w:pPr>
            <w:r>
              <w:rPr>
                <w:lang w:val="en-US"/>
              </w:rPr>
              <w:t>p-Xylene: &lt;12 g/L (at 10, 20 and 30 °C)</w:t>
            </w:r>
          </w:p>
          <w:p w14:paraId="2223A0BE" w14:textId="77777777" w:rsidR="00884D58" w:rsidRDefault="00884D58" w:rsidP="00BA7F4F">
            <w:pPr>
              <w:pStyle w:val="TableText"/>
              <w:rPr>
                <w:lang w:val="en-US"/>
              </w:rPr>
            </w:pPr>
            <w:r>
              <w:rPr>
                <w:lang w:val="en-US"/>
              </w:rPr>
              <w:t>n-Heptane: &lt;12 g/L (at 10, 20 and 30 °C)</w:t>
            </w:r>
          </w:p>
        </w:tc>
        <w:tc>
          <w:tcPr>
            <w:tcW w:w="1386" w:type="pct"/>
          </w:tcPr>
          <w:p w14:paraId="4BDA5497" w14:textId="77777777" w:rsidR="00884D58" w:rsidRPr="00774526" w:rsidRDefault="00884D58" w:rsidP="00BA7F4F">
            <w:pPr>
              <w:pStyle w:val="TableText"/>
              <w:rPr>
                <w:vertAlign w:val="superscript"/>
                <w:lang w:val="en-US"/>
              </w:rPr>
            </w:pPr>
            <w:r w:rsidRPr="003A7D3A">
              <w:rPr>
                <w:lang w:val="en-US"/>
              </w:rPr>
              <w:t>Kuchta C., 2024</w:t>
            </w:r>
          </w:p>
        </w:tc>
      </w:tr>
      <w:tr w:rsidR="00884D58" w:rsidRPr="002A150C" w14:paraId="70C70166" w14:textId="77777777" w:rsidTr="00533B55">
        <w:tc>
          <w:tcPr>
            <w:tcW w:w="1525" w:type="pct"/>
            <w:shd w:val="clear" w:color="auto" w:fill="F0F4F5"/>
          </w:tcPr>
          <w:p w14:paraId="27E9C991" w14:textId="77777777" w:rsidR="00884D58" w:rsidRDefault="00884D58" w:rsidP="00BA7F4F">
            <w:pPr>
              <w:pStyle w:val="TableText"/>
              <w:rPr>
                <w:lang w:val="en-US"/>
              </w:rPr>
            </w:pPr>
            <w:r>
              <w:rPr>
                <w:lang w:val="en-US"/>
              </w:rPr>
              <w:t>Hydrolysis</w:t>
            </w:r>
          </w:p>
        </w:tc>
        <w:tc>
          <w:tcPr>
            <w:tcW w:w="2089" w:type="pct"/>
          </w:tcPr>
          <w:p w14:paraId="4EE69000" w14:textId="77777777" w:rsidR="00884D58" w:rsidRDefault="00884D58" w:rsidP="00BA7F4F">
            <w:pPr>
              <w:pStyle w:val="TableText"/>
              <w:rPr>
                <w:lang w:val="en-US"/>
              </w:rPr>
            </w:pPr>
            <w:r>
              <w:rPr>
                <w:lang w:val="en-US"/>
              </w:rPr>
              <w:t>DT</w:t>
            </w:r>
            <w:r w:rsidRPr="003B2FCF">
              <w:rPr>
                <w:vertAlign w:val="subscript"/>
                <w:lang w:val="en-US"/>
              </w:rPr>
              <w:t>50</w:t>
            </w:r>
            <w:r>
              <w:rPr>
                <w:lang w:val="en-US"/>
              </w:rPr>
              <w:t xml:space="preserve"> &gt; 1 year, not hydrolysed by water over 5 days at 25 °C</w:t>
            </w:r>
          </w:p>
        </w:tc>
        <w:tc>
          <w:tcPr>
            <w:tcW w:w="1386" w:type="pct"/>
          </w:tcPr>
          <w:p w14:paraId="7E2F1F0C" w14:textId="77777777" w:rsidR="00884D58" w:rsidRDefault="00884D58" w:rsidP="00BA7F4F">
            <w:pPr>
              <w:pStyle w:val="TableText"/>
              <w:rPr>
                <w:lang w:val="en-US"/>
              </w:rPr>
            </w:pPr>
            <w:r w:rsidRPr="00C31F89">
              <w:t>BCPC, 2016</w:t>
            </w:r>
          </w:p>
        </w:tc>
      </w:tr>
      <w:tr w:rsidR="00884D58" w:rsidRPr="002A150C" w14:paraId="143AFCD2" w14:textId="77777777" w:rsidTr="00533B55">
        <w:tc>
          <w:tcPr>
            <w:tcW w:w="1525" w:type="pct"/>
            <w:shd w:val="clear" w:color="auto" w:fill="F0F4F5"/>
          </w:tcPr>
          <w:p w14:paraId="1D8D9194" w14:textId="77777777" w:rsidR="00884D58" w:rsidRDefault="00884D58" w:rsidP="00BA7F4F">
            <w:pPr>
              <w:pStyle w:val="TableText"/>
              <w:rPr>
                <w:lang w:val="en-US"/>
              </w:rPr>
            </w:pPr>
            <w:r>
              <w:rPr>
                <w:lang w:val="en-US"/>
              </w:rPr>
              <w:t>Photolysis</w:t>
            </w:r>
          </w:p>
        </w:tc>
        <w:tc>
          <w:tcPr>
            <w:tcW w:w="2089" w:type="pct"/>
          </w:tcPr>
          <w:p w14:paraId="5B16A76A" w14:textId="77777777" w:rsidR="00884D58" w:rsidRDefault="00884D58" w:rsidP="00BA7F4F">
            <w:pPr>
              <w:pStyle w:val="TableText"/>
              <w:rPr>
                <w:lang w:val="en-US"/>
              </w:rPr>
            </w:pPr>
            <w:r>
              <w:rPr>
                <w:lang w:val="en-US"/>
              </w:rPr>
              <w:t>Rapidly degraded on exposure to sunlight or UV light when in solution, DT</w:t>
            </w:r>
            <w:r w:rsidRPr="003B2FCF">
              <w:rPr>
                <w:vertAlign w:val="subscript"/>
                <w:lang w:val="en-US"/>
              </w:rPr>
              <w:t>50</w:t>
            </w:r>
            <w:r>
              <w:rPr>
                <w:lang w:val="en-US"/>
              </w:rPr>
              <w:t xml:space="preserve"> approximately 1 hour</w:t>
            </w:r>
          </w:p>
        </w:tc>
        <w:tc>
          <w:tcPr>
            <w:tcW w:w="1386" w:type="pct"/>
          </w:tcPr>
          <w:p w14:paraId="0F2186BF" w14:textId="77777777" w:rsidR="00884D58" w:rsidRDefault="00884D58" w:rsidP="00BA7F4F">
            <w:pPr>
              <w:pStyle w:val="TableText"/>
              <w:rPr>
                <w:lang w:val="en-US"/>
              </w:rPr>
            </w:pPr>
            <w:r w:rsidRPr="00C31F89">
              <w:t>BCPC, 2016</w:t>
            </w:r>
          </w:p>
        </w:tc>
      </w:tr>
      <w:tr w:rsidR="00884D58" w:rsidRPr="002A150C" w14:paraId="3E0B8059" w14:textId="77777777" w:rsidTr="00533B55">
        <w:tc>
          <w:tcPr>
            <w:tcW w:w="1525" w:type="pct"/>
            <w:shd w:val="clear" w:color="auto" w:fill="F0F4F5"/>
          </w:tcPr>
          <w:p w14:paraId="3601B6F1" w14:textId="77777777" w:rsidR="00884D58" w:rsidRDefault="00884D58" w:rsidP="00BA7F4F">
            <w:pPr>
              <w:pStyle w:val="TableText"/>
              <w:rPr>
                <w:lang w:val="en-US"/>
              </w:rPr>
            </w:pPr>
            <w:r>
              <w:rPr>
                <w:lang w:val="en-US"/>
              </w:rPr>
              <w:t>Safety properties</w:t>
            </w:r>
          </w:p>
        </w:tc>
        <w:tc>
          <w:tcPr>
            <w:tcW w:w="2089" w:type="pct"/>
          </w:tcPr>
          <w:p w14:paraId="7AD40D4B" w14:textId="77777777" w:rsidR="00884D58" w:rsidRDefault="00884D58" w:rsidP="00BA7F4F">
            <w:pPr>
              <w:pStyle w:val="TableText"/>
              <w:rPr>
                <w:lang w:val="en-US"/>
              </w:rPr>
            </w:pPr>
            <w:r>
              <w:rPr>
                <w:lang w:val="en-US"/>
              </w:rPr>
              <w:t>Not flammable or oxidizing, not self-eahting, dust combustible and can ignite and potentially explode</w:t>
            </w:r>
          </w:p>
        </w:tc>
        <w:tc>
          <w:tcPr>
            <w:tcW w:w="1386" w:type="pct"/>
          </w:tcPr>
          <w:p w14:paraId="340EFCF8" w14:textId="77777777" w:rsidR="00884D58" w:rsidRPr="00774526" w:rsidRDefault="00884D58" w:rsidP="00BA7F4F">
            <w:pPr>
              <w:pStyle w:val="TableText"/>
              <w:rPr>
                <w:vertAlign w:val="superscript"/>
                <w:lang w:val="en-US"/>
              </w:rPr>
            </w:pPr>
            <w:r w:rsidRPr="003A7D3A">
              <w:rPr>
                <w:lang w:val="en-US"/>
              </w:rPr>
              <w:t>Kuchta C., 2024</w:t>
            </w:r>
          </w:p>
        </w:tc>
      </w:tr>
    </w:tbl>
    <w:p w14:paraId="5A47B065" w14:textId="365D40FC" w:rsidR="00884D58" w:rsidRDefault="00884D58" w:rsidP="00884D58">
      <w:pPr>
        <w:pStyle w:val="NormalText"/>
      </w:pPr>
      <w:r>
        <w:t>Coumatetralyl is generally supplied in the market to end</w:t>
      </w:r>
      <w:r w:rsidR="008E14A6">
        <w:t>-</w:t>
      </w:r>
      <w:r>
        <w:t>use product manufacturers as the technical active constituent (TC) with a minimum purity of 98%.</w:t>
      </w:r>
    </w:p>
    <w:p w14:paraId="0B46F946" w14:textId="3292E3AE" w:rsidR="00884D58" w:rsidRDefault="00884D58" w:rsidP="00884D58">
      <w:pPr>
        <w:pStyle w:val="NormalText"/>
      </w:pPr>
      <w:r>
        <w:t xml:space="preserve">There are currently two active constituent approvals for coumatetralyl </w:t>
      </w:r>
      <w:r w:rsidR="008E14A6">
        <w:t>that fall within the</w:t>
      </w:r>
      <w:r>
        <w:t xml:space="preserve"> scope of th</w:t>
      </w:r>
      <w:r w:rsidR="008E14A6">
        <w:t>is</w:t>
      </w:r>
      <w:r>
        <w:t xml:space="preserve"> reconsideration</w:t>
      </w:r>
      <w:r w:rsidR="008E14A6">
        <w:t xml:space="preserve"> (n</w:t>
      </w:r>
      <w:r>
        <w:t>ote that approvals issued after completion of the risk assessment will be dealt with through a separate regulatory process</w:t>
      </w:r>
      <w:r w:rsidR="003B2FCF">
        <w:t xml:space="preserve"> if necessary</w:t>
      </w:r>
      <w:r w:rsidR="008E14A6">
        <w:t>)</w:t>
      </w:r>
      <w:r>
        <w:t>.</w:t>
      </w:r>
    </w:p>
    <w:p w14:paraId="3CD59918" w14:textId="2A4DFFE7" w:rsidR="00884D58" w:rsidRDefault="00884D58" w:rsidP="00884D58">
      <w:pPr>
        <w:pStyle w:val="Caption"/>
      </w:pPr>
      <w:bookmarkStart w:id="87" w:name="_Ref214960337"/>
      <w:bookmarkStart w:id="88" w:name="_Toc213945990"/>
      <w:bookmarkStart w:id="89" w:name="_Toc216695676"/>
      <w:r>
        <w:t xml:space="preserve">Table </w:t>
      </w:r>
      <w:r>
        <w:fldChar w:fldCharType="begin"/>
      </w:r>
      <w:r>
        <w:instrText xml:space="preserve"> SEQ Table \* ARABIC </w:instrText>
      </w:r>
      <w:r>
        <w:fldChar w:fldCharType="separate"/>
      </w:r>
      <w:r w:rsidR="003861AC">
        <w:rPr>
          <w:noProof/>
        </w:rPr>
        <w:t>14</w:t>
      </w:r>
      <w:r>
        <w:rPr>
          <w:noProof/>
        </w:rPr>
        <w:fldChar w:fldCharType="end"/>
      </w:r>
      <w:bookmarkEnd w:id="87"/>
      <w:r>
        <w:rPr>
          <w:noProof/>
        </w:rPr>
        <w:t>:</w:t>
      </w:r>
      <w:r>
        <w:t xml:space="preserve"> Current active constituent active constituent approvals for coumatetralyl</w:t>
      </w:r>
      <w:bookmarkEnd w:id="88"/>
      <w:bookmarkEnd w:id="89"/>
    </w:p>
    <w:tbl>
      <w:tblPr>
        <w:tblStyle w:val="TableGrid"/>
        <w:tblW w:w="5000" w:type="pct"/>
        <w:tblLook w:val="04A0" w:firstRow="1" w:lastRow="0" w:firstColumn="1" w:lastColumn="0" w:noHBand="0" w:noVBand="1"/>
      </w:tblPr>
      <w:tblGrid>
        <w:gridCol w:w="2161"/>
        <w:gridCol w:w="2085"/>
        <w:gridCol w:w="2259"/>
        <w:gridCol w:w="3123"/>
      </w:tblGrid>
      <w:tr w:rsidR="00884D58" w14:paraId="64611BA7" w14:textId="77777777" w:rsidTr="00533B55">
        <w:tc>
          <w:tcPr>
            <w:tcW w:w="1122" w:type="pct"/>
            <w:shd w:val="clear" w:color="auto" w:fill="53284F"/>
          </w:tcPr>
          <w:p w14:paraId="695EFD11" w14:textId="77777777" w:rsidR="00884D58" w:rsidRDefault="00884D58" w:rsidP="00BA7F4F">
            <w:pPr>
              <w:pStyle w:val="TableHead"/>
            </w:pPr>
            <w:r>
              <w:t>Approval number</w:t>
            </w:r>
          </w:p>
        </w:tc>
        <w:tc>
          <w:tcPr>
            <w:tcW w:w="1083" w:type="pct"/>
            <w:shd w:val="clear" w:color="auto" w:fill="53284F"/>
          </w:tcPr>
          <w:p w14:paraId="7C1F5CB9" w14:textId="77777777" w:rsidR="00884D58" w:rsidRDefault="00884D58" w:rsidP="00BA7F4F">
            <w:pPr>
              <w:pStyle w:val="TableHead"/>
            </w:pPr>
            <w:r>
              <w:t>Active name</w:t>
            </w:r>
          </w:p>
        </w:tc>
        <w:tc>
          <w:tcPr>
            <w:tcW w:w="1173" w:type="pct"/>
            <w:shd w:val="clear" w:color="auto" w:fill="53284F"/>
          </w:tcPr>
          <w:p w14:paraId="5A352675" w14:textId="77777777" w:rsidR="00884D58" w:rsidRDefault="00884D58" w:rsidP="00BA7F4F">
            <w:pPr>
              <w:pStyle w:val="TableHead"/>
            </w:pPr>
            <w:r>
              <w:t>Approval holder</w:t>
            </w:r>
          </w:p>
        </w:tc>
        <w:tc>
          <w:tcPr>
            <w:tcW w:w="1622" w:type="pct"/>
            <w:shd w:val="clear" w:color="auto" w:fill="53284F"/>
          </w:tcPr>
          <w:p w14:paraId="44113D15" w14:textId="77777777" w:rsidR="00884D58" w:rsidRDefault="00884D58" w:rsidP="00BA7F4F">
            <w:pPr>
              <w:pStyle w:val="TableHead"/>
            </w:pPr>
            <w:r>
              <w:t>Recommendation</w:t>
            </w:r>
          </w:p>
        </w:tc>
      </w:tr>
      <w:tr w:rsidR="00884D58" w14:paraId="1ED4AF08" w14:textId="77777777" w:rsidTr="00533B55">
        <w:tc>
          <w:tcPr>
            <w:tcW w:w="1122" w:type="pct"/>
          </w:tcPr>
          <w:p w14:paraId="7C6ECB60" w14:textId="77777777" w:rsidR="00884D58" w:rsidRDefault="00884D58" w:rsidP="00BA7F4F">
            <w:pPr>
              <w:pStyle w:val="TableText"/>
            </w:pPr>
            <w:r>
              <w:t>44211</w:t>
            </w:r>
          </w:p>
        </w:tc>
        <w:tc>
          <w:tcPr>
            <w:tcW w:w="1083" w:type="pct"/>
          </w:tcPr>
          <w:p w14:paraId="417D2FCA" w14:textId="29BB0538" w:rsidR="00884D58" w:rsidRDefault="005D7727" w:rsidP="00BA7F4F">
            <w:pPr>
              <w:pStyle w:val="TableText"/>
            </w:pPr>
            <w:r>
              <w:t>Coumatetralyl</w:t>
            </w:r>
          </w:p>
        </w:tc>
        <w:tc>
          <w:tcPr>
            <w:tcW w:w="1173" w:type="pct"/>
          </w:tcPr>
          <w:p w14:paraId="7A9F336B" w14:textId="293CBE9F" w:rsidR="00884D58" w:rsidRDefault="005D7727" w:rsidP="00BA7F4F">
            <w:pPr>
              <w:pStyle w:val="TableText"/>
            </w:pPr>
            <w:r>
              <w:t>2022 Environmental Science Au Pty Ltd</w:t>
            </w:r>
          </w:p>
        </w:tc>
        <w:tc>
          <w:tcPr>
            <w:tcW w:w="1622" w:type="pct"/>
          </w:tcPr>
          <w:p w14:paraId="4884844F" w14:textId="17125B8F" w:rsidR="00884D58" w:rsidRDefault="00DB4169" w:rsidP="00BA7F4F">
            <w:pPr>
              <w:pStyle w:val="TableText"/>
            </w:pPr>
            <w:r>
              <w:t>A</w:t>
            </w:r>
            <w:r w:rsidR="00884D58">
              <w:t>ffirm approval</w:t>
            </w:r>
          </w:p>
        </w:tc>
      </w:tr>
      <w:tr w:rsidR="00884D58" w14:paraId="08C637BE" w14:textId="77777777" w:rsidTr="00533B55">
        <w:tc>
          <w:tcPr>
            <w:tcW w:w="1122" w:type="pct"/>
          </w:tcPr>
          <w:p w14:paraId="604B81B3" w14:textId="77777777" w:rsidR="00884D58" w:rsidRDefault="00884D58" w:rsidP="00BA7F4F">
            <w:pPr>
              <w:pStyle w:val="TableText"/>
            </w:pPr>
            <w:r>
              <w:t>64241</w:t>
            </w:r>
          </w:p>
        </w:tc>
        <w:tc>
          <w:tcPr>
            <w:tcW w:w="1083" w:type="pct"/>
          </w:tcPr>
          <w:p w14:paraId="4BBB87EB" w14:textId="60533833" w:rsidR="00884D58" w:rsidRDefault="005D7727" w:rsidP="00BA7F4F">
            <w:pPr>
              <w:pStyle w:val="TableText"/>
            </w:pPr>
            <w:r>
              <w:t>Coumatetralyl</w:t>
            </w:r>
          </w:p>
        </w:tc>
        <w:tc>
          <w:tcPr>
            <w:tcW w:w="1173" w:type="pct"/>
          </w:tcPr>
          <w:p w14:paraId="745A1EAE" w14:textId="57067946" w:rsidR="00884D58" w:rsidRDefault="005D7727" w:rsidP="00BA7F4F">
            <w:pPr>
              <w:pStyle w:val="TableText"/>
            </w:pPr>
            <w:r>
              <w:t>2022 Environmental Science Au Pty Ltd</w:t>
            </w:r>
          </w:p>
        </w:tc>
        <w:tc>
          <w:tcPr>
            <w:tcW w:w="1622" w:type="pct"/>
          </w:tcPr>
          <w:p w14:paraId="4057F106" w14:textId="1A79CF4F" w:rsidR="00884D58" w:rsidRDefault="00DB4169" w:rsidP="00BA7F4F">
            <w:pPr>
              <w:pStyle w:val="TableText"/>
            </w:pPr>
            <w:r>
              <w:t>A</w:t>
            </w:r>
            <w:r w:rsidR="00884D58">
              <w:t>ffirm approval</w:t>
            </w:r>
          </w:p>
        </w:tc>
      </w:tr>
    </w:tbl>
    <w:p w14:paraId="5B0289E0" w14:textId="6680D215" w:rsidR="005D7727" w:rsidRDefault="00884D58" w:rsidP="005D7727">
      <w:pPr>
        <w:pStyle w:val="NormalText"/>
      </w:pPr>
      <w:r>
        <w:t xml:space="preserve">The </w:t>
      </w:r>
      <w:r w:rsidR="005D7727" w:rsidRPr="00377F3A">
        <w:rPr>
          <w:rStyle w:val="NormalTextChar"/>
        </w:rPr>
        <w:t>Active Constituent Standards</w:t>
      </w:r>
      <w:r w:rsidR="005D7727" w:rsidDel="005D7727">
        <w:rPr>
          <w:i/>
          <w:iCs/>
        </w:rPr>
        <w:t xml:space="preserve"> </w:t>
      </w:r>
      <w:r>
        <w:t xml:space="preserve">specification for the standard for coumatetralyl active constituent </w:t>
      </w:r>
      <w:r w:rsidR="00597DA7">
        <w:t>is</w:t>
      </w:r>
      <w:r>
        <w:t xml:space="preserve"> provided in </w:t>
      </w:r>
      <w:r>
        <w:fldChar w:fldCharType="begin"/>
      </w:r>
      <w:r>
        <w:instrText xml:space="preserve"> REF _Ref213153538 \h </w:instrText>
      </w:r>
      <w:r>
        <w:fldChar w:fldCharType="separate"/>
      </w:r>
      <w:r w:rsidR="003861AC">
        <w:t xml:space="preserve">Table </w:t>
      </w:r>
      <w:r w:rsidR="003861AC">
        <w:rPr>
          <w:noProof/>
        </w:rPr>
        <w:t>15</w:t>
      </w:r>
      <w:r>
        <w:fldChar w:fldCharType="end"/>
      </w:r>
      <w:r>
        <w:t>.</w:t>
      </w:r>
      <w:r w:rsidR="00597DA7">
        <w:t xml:space="preserve"> No changes are proposed to this standard.</w:t>
      </w:r>
      <w:r w:rsidR="005D7727" w:rsidRPr="005D7727">
        <w:t xml:space="preserve"> </w:t>
      </w:r>
      <w:r w:rsidR="005D7727">
        <w:t>There is no FAO specification for coumatetralyl.</w:t>
      </w:r>
    </w:p>
    <w:p w14:paraId="5A013DDA" w14:textId="33DE8910" w:rsidR="00884D58" w:rsidRDefault="00884D58" w:rsidP="00884D58">
      <w:pPr>
        <w:pStyle w:val="Caption"/>
      </w:pPr>
      <w:bookmarkStart w:id="90" w:name="_Ref213153538"/>
      <w:bookmarkStart w:id="91" w:name="_Toc213945991"/>
      <w:bookmarkStart w:id="92" w:name="_Toc216695677"/>
      <w:r>
        <w:lastRenderedPageBreak/>
        <w:t xml:space="preserve">Table </w:t>
      </w:r>
      <w:r>
        <w:fldChar w:fldCharType="begin"/>
      </w:r>
      <w:r>
        <w:instrText xml:space="preserve"> SEQ Table \* ARABIC </w:instrText>
      </w:r>
      <w:r>
        <w:fldChar w:fldCharType="separate"/>
      </w:r>
      <w:r w:rsidR="003861AC">
        <w:rPr>
          <w:noProof/>
        </w:rPr>
        <w:t>15</w:t>
      </w:r>
      <w:r>
        <w:fldChar w:fldCharType="end"/>
      </w:r>
      <w:bookmarkEnd w:id="90"/>
      <w:r>
        <w:t xml:space="preserve">: The </w:t>
      </w:r>
      <w:r>
        <w:rPr>
          <w:u w:color="000000"/>
        </w:rPr>
        <w:t>A</w:t>
      </w:r>
      <w:r w:rsidRPr="00E078CC">
        <w:rPr>
          <w:u w:color="000000"/>
        </w:rPr>
        <w:t xml:space="preserve">ctive </w:t>
      </w:r>
      <w:r>
        <w:rPr>
          <w:u w:color="000000"/>
        </w:rPr>
        <w:t xml:space="preserve">Constituent Standards specification for </w:t>
      </w:r>
      <w:r>
        <w:t>coumatetralyl</w:t>
      </w:r>
      <w:bookmarkEnd w:id="91"/>
      <w:bookmarkEnd w:id="92"/>
    </w:p>
    <w:tbl>
      <w:tblPr>
        <w:tblStyle w:val="TableGrid"/>
        <w:tblW w:w="5000" w:type="pct"/>
        <w:tblLook w:val="04A0" w:firstRow="1" w:lastRow="0" w:firstColumn="1" w:lastColumn="0" w:noHBand="0" w:noVBand="1"/>
      </w:tblPr>
      <w:tblGrid>
        <w:gridCol w:w="4814"/>
        <w:gridCol w:w="4814"/>
      </w:tblGrid>
      <w:tr w:rsidR="00884D58" w14:paraId="6A74B547" w14:textId="77777777" w:rsidTr="00533B55">
        <w:tc>
          <w:tcPr>
            <w:tcW w:w="2500" w:type="pct"/>
            <w:shd w:val="clear" w:color="auto" w:fill="53284F"/>
          </w:tcPr>
          <w:p w14:paraId="7CAEAB1C" w14:textId="77777777" w:rsidR="00884D58" w:rsidRDefault="00884D58" w:rsidP="00BA7F4F">
            <w:pPr>
              <w:pStyle w:val="TableHead"/>
            </w:pPr>
            <w:r>
              <w:t>Active constituent</w:t>
            </w:r>
          </w:p>
        </w:tc>
        <w:tc>
          <w:tcPr>
            <w:tcW w:w="2500" w:type="pct"/>
            <w:shd w:val="clear" w:color="auto" w:fill="53284F"/>
          </w:tcPr>
          <w:p w14:paraId="53E745FC" w14:textId="77777777" w:rsidR="00884D58" w:rsidRDefault="00884D58" w:rsidP="00BA7F4F">
            <w:pPr>
              <w:pStyle w:val="TableHead"/>
            </w:pPr>
            <w:r>
              <w:t>Minimum purity</w:t>
            </w:r>
          </w:p>
        </w:tc>
      </w:tr>
      <w:tr w:rsidR="00884D58" w14:paraId="21B7CE31" w14:textId="77777777" w:rsidTr="00533B55">
        <w:tc>
          <w:tcPr>
            <w:tcW w:w="2500" w:type="pct"/>
          </w:tcPr>
          <w:p w14:paraId="1A5B51BE" w14:textId="77777777" w:rsidR="00884D58" w:rsidRDefault="00884D58" w:rsidP="00BA7F4F">
            <w:pPr>
              <w:pStyle w:val="TableText"/>
            </w:pPr>
            <w:r>
              <w:t>Coumatetralyl</w:t>
            </w:r>
          </w:p>
        </w:tc>
        <w:tc>
          <w:tcPr>
            <w:tcW w:w="2500" w:type="pct"/>
          </w:tcPr>
          <w:p w14:paraId="3C5B9D8C" w14:textId="77777777" w:rsidR="00884D58" w:rsidRDefault="00884D58" w:rsidP="00BA7F4F">
            <w:pPr>
              <w:pStyle w:val="TableText"/>
            </w:pPr>
            <w:r>
              <w:t>980 g/kg</w:t>
            </w:r>
          </w:p>
        </w:tc>
      </w:tr>
    </w:tbl>
    <w:p w14:paraId="4A7C260D" w14:textId="55864FB4" w:rsidR="00884D58" w:rsidRPr="003A7D3A" w:rsidRDefault="005D7727" w:rsidP="00884D58">
      <w:pPr>
        <w:pStyle w:val="NormalText"/>
      </w:pPr>
      <w:r w:rsidRPr="005D7727">
        <w:t xml:space="preserve">The continued approval of the current brodifacoum active constituents listed in </w:t>
      </w:r>
      <w:r>
        <w:fldChar w:fldCharType="begin"/>
      </w:r>
      <w:r>
        <w:instrText xml:space="preserve"> REF _Ref214960337 \h </w:instrText>
      </w:r>
      <w:r>
        <w:fldChar w:fldCharType="separate"/>
      </w:r>
      <w:r w:rsidR="003861AC">
        <w:t xml:space="preserve">Table </w:t>
      </w:r>
      <w:r w:rsidR="003861AC">
        <w:rPr>
          <w:noProof/>
        </w:rPr>
        <w:t>14</w:t>
      </w:r>
      <w:r>
        <w:fldChar w:fldCharType="end"/>
      </w:r>
      <w:r w:rsidRPr="005D7727">
        <w:t xml:space="preserve"> is supported in this chemistry and manufacture risk assessment</w:t>
      </w:r>
      <w:r w:rsidR="00884D58">
        <w:t xml:space="preserve"> </w:t>
      </w:r>
    </w:p>
    <w:p w14:paraId="2072C418" w14:textId="77777777" w:rsidR="00884D58" w:rsidRDefault="00884D58" w:rsidP="00377F3A">
      <w:pPr>
        <w:pStyle w:val="Heading3"/>
      </w:pPr>
      <w:bookmarkStart w:id="93" w:name="_Toc214025463"/>
      <w:bookmarkStart w:id="94" w:name="_Toc216695547"/>
      <w:r>
        <w:t>Active constituent - Difenacoum</w:t>
      </w:r>
      <w:bookmarkEnd w:id="93"/>
      <w:bookmarkEnd w:id="94"/>
    </w:p>
    <w:p w14:paraId="6DD97FE4" w14:textId="483565C6" w:rsidR="00884D58" w:rsidRDefault="00884D58" w:rsidP="00884D58">
      <w:pPr>
        <w:pStyle w:val="NormalText"/>
      </w:pPr>
      <w:r>
        <w:t>Difenacoum is a hydroxycoumarin second generation anticoagulant rodenticide</w:t>
      </w:r>
      <w:r w:rsidR="00597DA7">
        <w:t xml:space="preserve"> that</w:t>
      </w:r>
      <w:r>
        <w:t xml:space="preserve"> inhibits the vitamin K</w:t>
      </w:r>
      <w:r w:rsidR="00597DA7">
        <w:t>-</w:t>
      </w:r>
      <w:r>
        <w:t xml:space="preserve">dependent steps in the synthesis of clotting factors II, VII, IX and X </w:t>
      </w:r>
      <w:r w:rsidR="00783780">
        <w:t xml:space="preserve">(reviewed in BCPC, 2016). </w:t>
      </w:r>
      <w:r>
        <w:t xml:space="preserve">It was first reported in 1975 (Redfern R., </w:t>
      </w:r>
      <w:r w:rsidR="00367F74" w:rsidRPr="00B7183A">
        <w:rPr>
          <w:i/>
          <w:iCs/>
        </w:rPr>
        <w:t>et al</w:t>
      </w:r>
      <w:r w:rsidR="00367F74">
        <w:t xml:space="preserve">, </w:t>
      </w:r>
      <w:r>
        <w:t>1976) and first marketed in 1976.</w:t>
      </w:r>
    </w:p>
    <w:p w14:paraId="4C0C505A" w14:textId="5FEF7E2E" w:rsidR="00884D58" w:rsidRDefault="00884D58" w:rsidP="00884D58">
      <w:pPr>
        <w:pStyle w:val="Caption"/>
      </w:pPr>
      <w:bookmarkStart w:id="95" w:name="_Toc213945992"/>
      <w:bookmarkStart w:id="96" w:name="_Toc216695678"/>
      <w:r>
        <w:t xml:space="preserve">Table </w:t>
      </w:r>
      <w:r>
        <w:fldChar w:fldCharType="begin"/>
      </w:r>
      <w:r>
        <w:instrText xml:space="preserve"> SEQ Table \* ARABIC </w:instrText>
      </w:r>
      <w:r>
        <w:fldChar w:fldCharType="separate"/>
      </w:r>
      <w:r w:rsidR="003861AC">
        <w:rPr>
          <w:noProof/>
        </w:rPr>
        <w:t>16</w:t>
      </w:r>
      <w:r>
        <w:rPr>
          <w:noProof/>
        </w:rPr>
        <w:fldChar w:fldCharType="end"/>
      </w:r>
      <w:r>
        <w:rPr>
          <w:noProof/>
        </w:rPr>
        <w:t>:</w:t>
      </w:r>
      <w:r>
        <w:t xml:space="preserve"> Nomenclature and structural formula of the active constituent difenacoum</w:t>
      </w:r>
      <w:bookmarkEnd w:id="95"/>
      <w:bookmarkEnd w:id="96"/>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884D58" w:rsidRPr="002D1539" w14:paraId="62C38BD2" w14:textId="77777777" w:rsidTr="00533B55">
        <w:tc>
          <w:tcPr>
            <w:tcW w:w="1303" w:type="pct"/>
            <w:shd w:val="clear" w:color="auto" w:fill="53284F"/>
          </w:tcPr>
          <w:p w14:paraId="0F7376B9" w14:textId="77777777" w:rsidR="00884D58" w:rsidRPr="00244B68" w:rsidRDefault="00884D58" w:rsidP="00BA7F4F">
            <w:pPr>
              <w:pStyle w:val="TableHead"/>
            </w:pPr>
            <w:r w:rsidRPr="00244B68">
              <w:rPr>
                <w:lang w:val="en-US"/>
              </w:rPr>
              <w:t>Common Name</w:t>
            </w:r>
          </w:p>
        </w:tc>
        <w:tc>
          <w:tcPr>
            <w:tcW w:w="3697" w:type="pct"/>
          </w:tcPr>
          <w:p w14:paraId="5B9E4B81" w14:textId="77777777" w:rsidR="00884D58" w:rsidRPr="002D1539" w:rsidRDefault="00884D58" w:rsidP="00BA7F4F">
            <w:pPr>
              <w:pStyle w:val="TableText"/>
              <w:rPr>
                <w:lang w:val="en-US"/>
              </w:rPr>
            </w:pPr>
            <w:r>
              <w:rPr>
                <w:lang w:val="en-US"/>
              </w:rPr>
              <w:t>Difenacoum (ISO 1750)</w:t>
            </w:r>
          </w:p>
        </w:tc>
      </w:tr>
      <w:tr w:rsidR="00884D58" w:rsidRPr="002D1539" w14:paraId="7AE4F1A0" w14:textId="77777777" w:rsidTr="00533B55">
        <w:tc>
          <w:tcPr>
            <w:tcW w:w="1303" w:type="pct"/>
            <w:shd w:val="clear" w:color="auto" w:fill="53284F"/>
          </w:tcPr>
          <w:p w14:paraId="02D7F014" w14:textId="77777777" w:rsidR="00884D58" w:rsidRPr="00244B68" w:rsidRDefault="00884D58" w:rsidP="00BA7F4F">
            <w:pPr>
              <w:pStyle w:val="TableHead"/>
              <w:rPr>
                <w:lang w:val="en-US"/>
              </w:rPr>
            </w:pPr>
            <w:r w:rsidRPr="00244B68">
              <w:rPr>
                <w:lang w:val="en-US"/>
              </w:rPr>
              <w:t>IUPAC Name</w:t>
            </w:r>
          </w:p>
        </w:tc>
        <w:tc>
          <w:tcPr>
            <w:tcW w:w="3697" w:type="pct"/>
          </w:tcPr>
          <w:p w14:paraId="3121DB40" w14:textId="77777777" w:rsidR="00884D58" w:rsidRPr="002D1539" w:rsidRDefault="00884D58" w:rsidP="00BA7F4F">
            <w:pPr>
              <w:pStyle w:val="TableText"/>
              <w:rPr>
                <w:lang w:val="en-US"/>
              </w:rPr>
            </w:pPr>
            <w:r>
              <w:rPr>
                <w:lang w:val="en-US"/>
              </w:rPr>
              <w:t>3-[(1</w:t>
            </w:r>
            <w:r w:rsidRPr="00A361A9">
              <w:rPr>
                <w:i/>
                <w:iCs/>
                <w:lang w:val="en-US"/>
              </w:rPr>
              <w:t>RS</w:t>
            </w:r>
            <w:r>
              <w:rPr>
                <w:lang w:val="en-US"/>
              </w:rPr>
              <w:t>,3</w:t>
            </w:r>
            <w:r w:rsidRPr="00A361A9">
              <w:rPr>
                <w:i/>
                <w:iCs/>
                <w:lang w:val="en-US"/>
              </w:rPr>
              <w:t>RS</w:t>
            </w:r>
            <w:r>
              <w:rPr>
                <w:lang w:val="en-US"/>
              </w:rPr>
              <w:t>;1</w:t>
            </w:r>
            <w:r w:rsidRPr="00A361A9">
              <w:rPr>
                <w:i/>
                <w:iCs/>
                <w:lang w:val="en-US"/>
              </w:rPr>
              <w:t>RS</w:t>
            </w:r>
            <w:r>
              <w:rPr>
                <w:lang w:val="en-US"/>
              </w:rPr>
              <w:t>,3</w:t>
            </w:r>
            <w:r w:rsidRPr="00A361A9">
              <w:rPr>
                <w:i/>
                <w:iCs/>
                <w:lang w:val="en-US"/>
              </w:rPr>
              <w:t>SR</w:t>
            </w:r>
            <w:r>
              <w:rPr>
                <w:lang w:val="en-US"/>
              </w:rPr>
              <w:t>)-3-biphenyl-4-yl-1,2,3,4-tetrahydro-1-napthyl]-4-hydroxy-2</w:t>
            </w:r>
            <w:r w:rsidRPr="00A361A9">
              <w:rPr>
                <w:i/>
                <w:iCs/>
                <w:lang w:val="en-US"/>
              </w:rPr>
              <w:t>H</w:t>
            </w:r>
            <w:r>
              <w:rPr>
                <w:lang w:val="en-US"/>
              </w:rPr>
              <w:t>-chromen-2-one</w:t>
            </w:r>
          </w:p>
        </w:tc>
      </w:tr>
      <w:tr w:rsidR="00884D58" w:rsidRPr="002D1539" w14:paraId="0D95B95A" w14:textId="77777777" w:rsidTr="00533B55">
        <w:tc>
          <w:tcPr>
            <w:tcW w:w="1303" w:type="pct"/>
            <w:shd w:val="clear" w:color="auto" w:fill="53284F"/>
          </w:tcPr>
          <w:p w14:paraId="3C1693FE" w14:textId="77777777" w:rsidR="00884D58" w:rsidRPr="00244B68" w:rsidRDefault="00884D58" w:rsidP="00BA7F4F">
            <w:pPr>
              <w:pStyle w:val="TableHead"/>
              <w:rPr>
                <w:lang w:val="en-US"/>
              </w:rPr>
            </w:pPr>
            <w:r w:rsidRPr="00244B68">
              <w:rPr>
                <w:lang w:val="en-US"/>
              </w:rPr>
              <w:t>CAS Name</w:t>
            </w:r>
          </w:p>
        </w:tc>
        <w:tc>
          <w:tcPr>
            <w:tcW w:w="3697" w:type="pct"/>
          </w:tcPr>
          <w:p w14:paraId="49383D55" w14:textId="77777777" w:rsidR="00884D58" w:rsidRPr="002D1539" w:rsidRDefault="00884D58" w:rsidP="00BA7F4F">
            <w:pPr>
              <w:pStyle w:val="TableText"/>
              <w:rPr>
                <w:lang w:val="en-US"/>
              </w:rPr>
            </w:pPr>
            <w:r w:rsidRPr="00AA5403">
              <w:t>3-</w:t>
            </w:r>
            <w:r>
              <w:t>[</w:t>
            </w:r>
            <w:r w:rsidRPr="00AA5403">
              <w:t>3-</w:t>
            </w:r>
            <w:r>
              <w:t>(</w:t>
            </w:r>
            <w:r w:rsidRPr="00AA5403">
              <w:t>1,1′-biphenyl</w:t>
            </w:r>
            <w:r>
              <w:t>)</w:t>
            </w:r>
            <w:r w:rsidRPr="00AA5403">
              <w:t>-4-yl-1,2,3,4-tetrahydro-1-naphthalenyl]-4-hydroxy-2</w:t>
            </w:r>
            <w:r w:rsidRPr="00AA5403">
              <w:rPr>
                <w:i/>
                <w:iCs/>
              </w:rPr>
              <w:t>H</w:t>
            </w:r>
            <w:r w:rsidRPr="00AA5403">
              <w:t>-1-benzopyran-2-one</w:t>
            </w:r>
          </w:p>
        </w:tc>
      </w:tr>
      <w:tr w:rsidR="00884D58" w:rsidRPr="002D1539" w14:paraId="243318F6" w14:textId="77777777" w:rsidTr="00533B55">
        <w:tc>
          <w:tcPr>
            <w:tcW w:w="1303" w:type="pct"/>
            <w:shd w:val="clear" w:color="auto" w:fill="53284F"/>
          </w:tcPr>
          <w:p w14:paraId="43F47282" w14:textId="77777777" w:rsidR="00884D58" w:rsidRPr="00244B68" w:rsidRDefault="00884D58" w:rsidP="00BA7F4F">
            <w:pPr>
              <w:pStyle w:val="TableHead"/>
              <w:rPr>
                <w:lang w:val="en-US"/>
              </w:rPr>
            </w:pPr>
            <w:r w:rsidRPr="00244B68">
              <w:rPr>
                <w:lang w:val="en-US"/>
              </w:rPr>
              <w:t>CAS Registry Number</w:t>
            </w:r>
          </w:p>
        </w:tc>
        <w:tc>
          <w:tcPr>
            <w:tcW w:w="3697" w:type="pct"/>
          </w:tcPr>
          <w:p w14:paraId="13D9C3A4" w14:textId="77777777" w:rsidR="00884D58" w:rsidRPr="002D1539" w:rsidRDefault="00884D58" w:rsidP="00BA7F4F">
            <w:pPr>
              <w:pStyle w:val="TableText"/>
              <w:rPr>
                <w:lang w:val="en-US"/>
              </w:rPr>
            </w:pPr>
            <w:r>
              <w:rPr>
                <w:lang w:val="en-US"/>
              </w:rPr>
              <w:t>56073-07-5</w:t>
            </w:r>
          </w:p>
        </w:tc>
      </w:tr>
      <w:tr w:rsidR="00884D58" w:rsidRPr="002D1539" w14:paraId="07EC7417" w14:textId="77777777" w:rsidTr="00533B55">
        <w:tc>
          <w:tcPr>
            <w:tcW w:w="1303" w:type="pct"/>
            <w:shd w:val="clear" w:color="auto" w:fill="53284F"/>
          </w:tcPr>
          <w:p w14:paraId="5751598D" w14:textId="77777777" w:rsidR="00884D58" w:rsidRPr="00244B68" w:rsidRDefault="00884D58" w:rsidP="00BA7F4F">
            <w:pPr>
              <w:pStyle w:val="TableHead"/>
              <w:rPr>
                <w:lang w:val="en-US"/>
              </w:rPr>
            </w:pPr>
            <w:r w:rsidRPr="00244B68">
              <w:rPr>
                <w:lang w:val="en-US"/>
              </w:rPr>
              <w:t>EC Number</w:t>
            </w:r>
          </w:p>
        </w:tc>
        <w:tc>
          <w:tcPr>
            <w:tcW w:w="3697" w:type="pct"/>
          </w:tcPr>
          <w:p w14:paraId="66E55B4D" w14:textId="77777777" w:rsidR="00884D58" w:rsidRPr="002D1539" w:rsidRDefault="00884D58" w:rsidP="00BA7F4F">
            <w:pPr>
              <w:pStyle w:val="TableText"/>
              <w:rPr>
                <w:lang w:val="en-US"/>
              </w:rPr>
            </w:pPr>
            <w:r>
              <w:rPr>
                <w:lang w:val="en-US"/>
              </w:rPr>
              <w:t>259-978-4</w:t>
            </w:r>
          </w:p>
        </w:tc>
      </w:tr>
      <w:tr w:rsidR="00884D58" w:rsidRPr="002D1539" w14:paraId="50FF4D1C" w14:textId="77777777" w:rsidTr="00533B55">
        <w:tc>
          <w:tcPr>
            <w:tcW w:w="1303" w:type="pct"/>
            <w:shd w:val="clear" w:color="auto" w:fill="53284F"/>
          </w:tcPr>
          <w:p w14:paraId="152E450A" w14:textId="77777777" w:rsidR="00884D58" w:rsidRPr="00244B68" w:rsidRDefault="00884D58" w:rsidP="00BA7F4F">
            <w:pPr>
              <w:pStyle w:val="TableHead"/>
              <w:rPr>
                <w:lang w:val="en-US"/>
              </w:rPr>
            </w:pPr>
            <w:r w:rsidRPr="00244B68">
              <w:rPr>
                <w:lang w:val="en-US"/>
              </w:rPr>
              <w:t>Molecular Formula</w:t>
            </w:r>
          </w:p>
        </w:tc>
        <w:tc>
          <w:tcPr>
            <w:tcW w:w="3697" w:type="pct"/>
          </w:tcPr>
          <w:p w14:paraId="2B1B4A54" w14:textId="77777777" w:rsidR="00884D58" w:rsidRPr="002D1539" w:rsidRDefault="00884D58" w:rsidP="00BA7F4F">
            <w:pPr>
              <w:pStyle w:val="TableText"/>
              <w:rPr>
                <w:lang w:val="en-US"/>
              </w:rPr>
            </w:pPr>
            <w:r>
              <w:rPr>
                <w:lang w:val="en-US"/>
              </w:rPr>
              <w:t>C</w:t>
            </w:r>
            <w:r w:rsidRPr="00AA5403">
              <w:rPr>
                <w:vertAlign w:val="subscript"/>
                <w:lang w:val="en-US"/>
              </w:rPr>
              <w:t>31</w:t>
            </w:r>
            <w:r>
              <w:rPr>
                <w:lang w:val="en-US"/>
              </w:rPr>
              <w:t>H</w:t>
            </w:r>
            <w:r w:rsidRPr="00AA5403">
              <w:rPr>
                <w:vertAlign w:val="subscript"/>
                <w:lang w:val="en-US"/>
              </w:rPr>
              <w:t>2</w:t>
            </w:r>
            <w:r>
              <w:rPr>
                <w:vertAlign w:val="subscript"/>
                <w:lang w:val="en-US"/>
              </w:rPr>
              <w:t>4</w:t>
            </w:r>
            <w:r>
              <w:rPr>
                <w:lang w:val="en-US"/>
              </w:rPr>
              <w:t>O</w:t>
            </w:r>
            <w:r w:rsidRPr="00AA5403">
              <w:rPr>
                <w:vertAlign w:val="subscript"/>
                <w:lang w:val="en-US"/>
              </w:rPr>
              <w:t>3</w:t>
            </w:r>
          </w:p>
        </w:tc>
      </w:tr>
      <w:tr w:rsidR="00884D58" w:rsidRPr="002D1539" w14:paraId="21A40143" w14:textId="77777777" w:rsidTr="00533B55">
        <w:tc>
          <w:tcPr>
            <w:tcW w:w="1303" w:type="pct"/>
            <w:shd w:val="clear" w:color="auto" w:fill="53284F"/>
          </w:tcPr>
          <w:p w14:paraId="6D3E07C8" w14:textId="77777777" w:rsidR="00884D58" w:rsidRPr="00244B68" w:rsidRDefault="00884D58" w:rsidP="00BA7F4F">
            <w:pPr>
              <w:pStyle w:val="TableHead"/>
              <w:rPr>
                <w:lang w:val="en-US"/>
              </w:rPr>
            </w:pPr>
            <w:r w:rsidRPr="00244B68">
              <w:rPr>
                <w:lang w:val="en-US"/>
              </w:rPr>
              <w:t>Molecular Weight</w:t>
            </w:r>
          </w:p>
        </w:tc>
        <w:tc>
          <w:tcPr>
            <w:tcW w:w="3697" w:type="pct"/>
          </w:tcPr>
          <w:p w14:paraId="7FBD70F9" w14:textId="77777777" w:rsidR="00884D58" w:rsidRPr="002D1539" w:rsidRDefault="00884D58" w:rsidP="00BA7F4F">
            <w:pPr>
              <w:pStyle w:val="TableText"/>
              <w:rPr>
                <w:lang w:val="en-US"/>
              </w:rPr>
            </w:pPr>
            <w:r>
              <w:rPr>
                <w:lang w:val="en-US"/>
              </w:rPr>
              <w:t>444.5 gmol</w:t>
            </w:r>
            <w:r w:rsidRPr="00AA5403">
              <w:rPr>
                <w:vertAlign w:val="superscript"/>
                <w:lang w:val="en-US"/>
              </w:rPr>
              <w:t>-1</w:t>
            </w:r>
          </w:p>
        </w:tc>
      </w:tr>
      <w:tr w:rsidR="00884D58" w:rsidRPr="002A150C" w14:paraId="0D6FE2D4" w14:textId="77777777" w:rsidTr="00533B55">
        <w:trPr>
          <w:trHeight w:val="3251"/>
        </w:trPr>
        <w:tc>
          <w:tcPr>
            <w:tcW w:w="1303" w:type="pct"/>
            <w:shd w:val="clear" w:color="auto" w:fill="53284F"/>
          </w:tcPr>
          <w:p w14:paraId="2BD1241C" w14:textId="77777777" w:rsidR="00884D58" w:rsidRPr="00244B68" w:rsidRDefault="00884D58" w:rsidP="00BA7F4F">
            <w:pPr>
              <w:pStyle w:val="TableHead"/>
              <w:rPr>
                <w:lang w:val="en-US"/>
              </w:rPr>
            </w:pPr>
            <w:r w:rsidRPr="00244B68">
              <w:rPr>
                <w:lang w:val="en-US"/>
              </w:rPr>
              <w:t>Structure</w:t>
            </w:r>
          </w:p>
        </w:tc>
        <w:tc>
          <w:tcPr>
            <w:tcW w:w="3697" w:type="pct"/>
          </w:tcPr>
          <w:p w14:paraId="1ED9326B" w14:textId="2434C02D" w:rsidR="00884D58" w:rsidRPr="002A150C" w:rsidRDefault="00783780" w:rsidP="008B66D5">
            <w:pPr>
              <w:spacing w:line="210" w:lineRule="exact"/>
              <w:rPr>
                <w:spacing w:val="6"/>
              </w:rPr>
            </w:pPr>
            <w:r w:rsidRPr="00A361A9">
              <w:rPr>
                <w:noProof/>
                <w:spacing w:val="6"/>
              </w:rPr>
              <w:drawing>
                <wp:anchor distT="0" distB="0" distL="114300" distR="114300" simplePos="0" relativeHeight="251672576" behindDoc="0" locked="0" layoutInCell="1" allowOverlap="1" wp14:anchorId="57E0EF74" wp14:editId="30ADDAF8">
                  <wp:simplePos x="0" y="0"/>
                  <wp:positionH relativeFrom="column">
                    <wp:posOffset>-635</wp:posOffset>
                  </wp:positionH>
                  <wp:positionV relativeFrom="paragraph">
                    <wp:posOffset>0</wp:posOffset>
                  </wp:positionV>
                  <wp:extent cx="4077970" cy="2085340"/>
                  <wp:effectExtent l="0" t="0" r="0" b="0"/>
                  <wp:wrapSquare wrapText="bothSides"/>
                  <wp:docPr id="99422955"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96053" name="Picture 1" descr="A structure of a chemical formula&#10;&#10;AI-generated content may be incorrect."/>
                          <pic:cNvPicPr/>
                        </pic:nvPicPr>
                        <pic:blipFill rotWithShape="1">
                          <a:blip r:embed="rId31">
                            <a:extLst>
                              <a:ext uri="{28A0092B-C50C-407E-A947-70E740481C1C}">
                                <a14:useLocalDpi xmlns:a14="http://schemas.microsoft.com/office/drawing/2010/main" val="0"/>
                              </a:ext>
                            </a:extLst>
                          </a:blip>
                          <a:srcRect t="7597"/>
                          <a:stretch>
                            <a:fillRect/>
                          </a:stretch>
                        </pic:blipFill>
                        <pic:spPr bwMode="auto">
                          <a:xfrm>
                            <a:off x="0" y="0"/>
                            <a:ext cx="4077970" cy="208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84D58" w:rsidRPr="002D1539" w14:paraId="71AA89CE" w14:textId="77777777" w:rsidTr="00533B55">
        <w:tc>
          <w:tcPr>
            <w:tcW w:w="1303" w:type="pct"/>
            <w:shd w:val="clear" w:color="auto" w:fill="53284F"/>
          </w:tcPr>
          <w:p w14:paraId="185D9C16" w14:textId="77777777" w:rsidR="00884D58" w:rsidRPr="00244B68" w:rsidRDefault="00884D58" w:rsidP="00BA7F4F">
            <w:pPr>
              <w:pStyle w:val="TableHead"/>
              <w:rPr>
                <w:lang w:val="en-US"/>
              </w:rPr>
            </w:pPr>
            <w:r w:rsidRPr="00244B68">
              <w:rPr>
                <w:lang w:val="en-US"/>
              </w:rPr>
              <w:t>Chemical Family</w:t>
            </w:r>
          </w:p>
        </w:tc>
        <w:tc>
          <w:tcPr>
            <w:tcW w:w="3697" w:type="pct"/>
          </w:tcPr>
          <w:p w14:paraId="5A39ACE4" w14:textId="77777777" w:rsidR="00884D58" w:rsidRPr="002D1539" w:rsidRDefault="00884D58" w:rsidP="00BA7F4F">
            <w:pPr>
              <w:pStyle w:val="TableText"/>
              <w:rPr>
                <w:lang w:val="en-US"/>
              </w:rPr>
            </w:pPr>
            <w:r>
              <w:rPr>
                <w:lang w:val="en-US"/>
              </w:rPr>
              <w:t>hydroxycoumarin</w:t>
            </w:r>
            <w:r w:rsidRPr="002D1539">
              <w:rPr>
                <w:lang w:val="en-US"/>
              </w:rPr>
              <w:tab/>
            </w:r>
          </w:p>
        </w:tc>
      </w:tr>
    </w:tbl>
    <w:p w14:paraId="3675A204" w14:textId="14CAC3A3" w:rsidR="00884D58" w:rsidRDefault="00884D58" w:rsidP="00884D58">
      <w:pPr>
        <w:pStyle w:val="Caption"/>
        <w:spacing w:after="0"/>
      </w:pPr>
      <w:bookmarkStart w:id="97" w:name="_Toc213945993"/>
      <w:bookmarkStart w:id="98" w:name="_Toc216695679"/>
      <w:r>
        <w:lastRenderedPageBreak/>
        <w:t xml:space="preserve">Table </w:t>
      </w:r>
      <w:r>
        <w:fldChar w:fldCharType="begin"/>
      </w:r>
      <w:r>
        <w:instrText xml:space="preserve"> SEQ Table \* ARABIC </w:instrText>
      </w:r>
      <w:r>
        <w:fldChar w:fldCharType="separate"/>
      </w:r>
      <w:r w:rsidR="003861AC">
        <w:rPr>
          <w:noProof/>
        </w:rPr>
        <w:t>17</w:t>
      </w:r>
      <w:r>
        <w:rPr>
          <w:noProof/>
        </w:rPr>
        <w:fldChar w:fldCharType="end"/>
      </w:r>
      <w:r>
        <w:rPr>
          <w:noProof/>
        </w:rPr>
        <w:t>:</w:t>
      </w:r>
      <w:r>
        <w:t xml:space="preserve"> Key physicochemical properties of the active constituent difenacoum</w:t>
      </w:r>
      <w:r>
        <w:rPr>
          <w:rStyle w:val="FootnoteReference"/>
        </w:rPr>
        <w:footnoteReference w:id="5"/>
      </w:r>
      <w:bookmarkEnd w:id="97"/>
      <w:bookmarkEnd w:id="98"/>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731"/>
      </w:tblGrid>
      <w:tr w:rsidR="00884D58" w:rsidRPr="002A150C" w14:paraId="21D2CA53" w14:textId="77777777" w:rsidTr="00533B55">
        <w:tc>
          <w:tcPr>
            <w:tcW w:w="2543" w:type="pct"/>
            <w:shd w:val="clear" w:color="auto" w:fill="53284F"/>
          </w:tcPr>
          <w:p w14:paraId="59D548CC" w14:textId="77777777" w:rsidR="00884D58" w:rsidRPr="002D1539" w:rsidRDefault="00884D58" w:rsidP="00BA7F4F">
            <w:pPr>
              <w:pStyle w:val="TableHead"/>
              <w:rPr>
                <w:lang w:val="en-US"/>
              </w:rPr>
            </w:pPr>
            <w:r w:rsidRPr="002D1539">
              <w:rPr>
                <w:lang w:val="en-US"/>
              </w:rPr>
              <w:t>Parameters</w:t>
            </w:r>
          </w:p>
        </w:tc>
        <w:tc>
          <w:tcPr>
            <w:tcW w:w="2457" w:type="pct"/>
            <w:shd w:val="clear" w:color="auto" w:fill="53284F"/>
          </w:tcPr>
          <w:p w14:paraId="66568FAD" w14:textId="77777777" w:rsidR="00884D58" w:rsidRPr="002D1539" w:rsidRDefault="00884D58" w:rsidP="00BA7F4F">
            <w:pPr>
              <w:pStyle w:val="TableHead"/>
              <w:rPr>
                <w:lang w:val="en-US"/>
              </w:rPr>
            </w:pPr>
            <w:r w:rsidRPr="002D1539">
              <w:rPr>
                <w:lang w:val="en-US"/>
              </w:rPr>
              <w:t>Properties</w:t>
            </w:r>
          </w:p>
        </w:tc>
      </w:tr>
      <w:tr w:rsidR="00884D58" w:rsidRPr="002A150C" w14:paraId="4899E90D" w14:textId="77777777" w:rsidTr="00533B55">
        <w:tc>
          <w:tcPr>
            <w:tcW w:w="2543" w:type="pct"/>
            <w:shd w:val="clear" w:color="auto" w:fill="F0F4F5"/>
          </w:tcPr>
          <w:p w14:paraId="2EA889E6" w14:textId="77777777" w:rsidR="00884D58" w:rsidRPr="00244B68" w:rsidRDefault="00884D58" w:rsidP="00BA7F4F">
            <w:pPr>
              <w:pStyle w:val="TableText"/>
              <w:rPr>
                <w:lang w:val="en-US"/>
              </w:rPr>
            </w:pPr>
            <w:r>
              <w:rPr>
                <w:lang w:val="en-US"/>
              </w:rPr>
              <w:t>Appearance</w:t>
            </w:r>
          </w:p>
        </w:tc>
        <w:tc>
          <w:tcPr>
            <w:tcW w:w="2457" w:type="pct"/>
          </w:tcPr>
          <w:p w14:paraId="12BF1BCB" w14:textId="77777777" w:rsidR="00884D58" w:rsidRPr="002D1539" w:rsidRDefault="00884D58" w:rsidP="00BA7F4F">
            <w:pPr>
              <w:pStyle w:val="TableText"/>
              <w:rPr>
                <w:lang w:val="en-US"/>
              </w:rPr>
            </w:pPr>
            <w:r>
              <w:rPr>
                <w:lang w:val="en-US"/>
              </w:rPr>
              <w:t>White to tan fine powder</w:t>
            </w:r>
          </w:p>
        </w:tc>
      </w:tr>
      <w:tr w:rsidR="00884D58" w:rsidRPr="002A150C" w14:paraId="24B4CCB9" w14:textId="77777777" w:rsidTr="00533B55">
        <w:tc>
          <w:tcPr>
            <w:tcW w:w="2543" w:type="pct"/>
            <w:shd w:val="clear" w:color="auto" w:fill="F0F4F5"/>
          </w:tcPr>
          <w:p w14:paraId="538E7B4D" w14:textId="77777777" w:rsidR="00884D58" w:rsidRPr="00244B68" w:rsidRDefault="00884D58" w:rsidP="00BA7F4F">
            <w:pPr>
              <w:pStyle w:val="TableText"/>
              <w:rPr>
                <w:lang w:val="en-US"/>
              </w:rPr>
            </w:pPr>
            <w:r w:rsidRPr="00244B68">
              <w:rPr>
                <w:lang w:val="en-US"/>
              </w:rPr>
              <w:t>Melting point</w:t>
            </w:r>
          </w:p>
        </w:tc>
        <w:tc>
          <w:tcPr>
            <w:tcW w:w="2457" w:type="pct"/>
          </w:tcPr>
          <w:p w14:paraId="1C1D222D" w14:textId="77777777" w:rsidR="00884D58" w:rsidRPr="002D1539" w:rsidRDefault="00884D58" w:rsidP="00BA7F4F">
            <w:pPr>
              <w:pStyle w:val="TableText"/>
              <w:rPr>
                <w:lang w:val="en-US"/>
              </w:rPr>
            </w:pPr>
            <w:r>
              <w:rPr>
                <w:lang w:val="en-US"/>
              </w:rPr>
              <w:t xml:space="preserve">211-215 </w:t>
            </w:r>
            <w:r w:rsidRPr="002D1539">
              <w:rPr>
                <w:lang w:val="en-US"/>
              </w:rPr>
              <w:t>°C</w:t>
            </w:r>
          </w:p>
        </w:tc>
      </w:tr>
      <w:tr w:rsidR="00884D58" w:rsidRPr="002A150C" w14:paraId="576ED127" w14:textId="77777777" w:rsidTr="00533B55">
        <w:tc>
          <w:tcPr>
            <w:tcW w:w="2543" w:type="pct"/>
            <w:shd w:val="clear" w:color="auto" w:fill="F0F4F5"/>
          </w:tcPr>
          <w:p w14:paraId="471EADC6" w14:textId="77777777" w:rsidR="00884D58" w:rsidRPr="00244B68" w:rsidRDefault="00884D58" w:rsidP="00BA7F4F">
            <w:pPr>
              <w:pStyle w:val="TableText"/>
              <w:rPr>
                <w:lang w:val="en-US"/>
              </w:rPr>
            </w:pPr>
            <w:r w:rsidRPr="00244B68">
              <w:rPr>
                <w:lang w:val="en-US"/>
              </w:rPr>
              <w:t xml:space="preserve">Density </w:t>
            </w:r>
          </w:p>
        </w:tc>
        <w:tc>
          <w:tcPr>
            <w:tcW w:w="2457" w:type="pct"/>
          </w:tcPr>
          <w:p w14:paraId="7EFD533A" w14:textId="77777777" w:rsidR="00884D58" w:rsidRPr="002D1539" w:rsidRDefault="00884D58" w:rsidP="00BA7F4F">
            <w:pPr>
              <w:pStyle w:val="TableText"/>
              <w:rPr>
                <w:lang w:val="en-US"/>
              </w:rPr>
            </w:pPr>
            <w:r>
              <w:rPr>
                <w:lang w:val="en-US"/>
              </w:rPr>
              <w:t>1.2717</w:t>
            </w:r>
          </w:p>
        </w:tc>
      </w:tr>
      <w:tr w:rsidR="00884D58" w:rsidRPr="002A150C" w14:paraId="74AE61B4" w14:textId="77777777" w:rsidTr="00533B55">
        <w:tc>
          <w:tcPr>
            <w:tcW w:w="2543" w:type="pct"/>
            <w:shd w:val="clear" w:color="auto" w:fill="F0F4F5"/>
          </w:tcPr>
          <w:p w14:paraId="515AB363" w14:textId="77777777" w:rsidR="00884D58" w:rsidRPr="00244B68" w:rsidRDefault="00884D58" w:rsidP="00BA7F4F">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p>
        </w:tc>
        <w:tc>
          <w:tcPr>
            <w:tcW w:w="2457" w:type="pct"/>
          </w:tcPr>
          <w:p w14:paraId="1FA0BE39" w14:textId="77777777" w:rsidR="00884D58" w:rsidRPr="002D1539" w:rsidRDefault="00884D58" w:rsidP="00BA7F4F">
            <w:pPr>
              <w:pStyle w:val="TableText"/>
              <w:rPr>
                <w:lang w:val="en-US"/>
              </w:rPr>
            </w:pPr>
            <w:r>
              <w:rPr>
                <w:lang w:val="en-US"/>
              </w:rPr>
              <w:t>7.6</w:t>
            </w:r>
          </w:p>
        </w:tc>
      </w:tr>
      <w:tr w:rsidR="00884D58" w:rsidRPr="002A150C" w14:paraId="3D09B869" w14:textId="77777777" w:rsidTr="00533B55">
        <w:tc>
          <w:tcPr>
            <w:tcW w:w="2543" w:type="pct"/>
            <w:shd w:val="clear" w:color="auto" w:fill="F0F4F5"/>
          </w:tcPr>
          <w:p w14:paraId="60E71DCA" w14:textId="77777777" w:rsidR="00884D58" w:rsidRPr="00244B68" w:rsidRDefault="00884D58" w:rsidP="00BA7F4F">
            <w:pPr>
              <w:pStyle w:val="TableText"/>
              <w:rPr>
                <w:lang w:val="en-US"/>
              </w:rPr>
            </w:pPr>
            <w:r w:rsidRPr="00244B68">
              <w:rPr>
                <w:lang w:val="en-US"/>
              </w:rPr>
              <w:t>Vapour pressure</w:t>
            </w:r>
          </w:p>
        </w:tc>
        <w:tc>
          <w:tcPr>
            <w:tcW w:w="2457" w:type="pct"/>
          </w:tcPr>
          <w:p w14:paraId="1D6EC1B3" w14:textId="77777777" w:rsidR="00884D58" w:rsidRPr="002D1539" w:rsidRDefault="00884D58" w:rsidP="00BA7F4F">
            <w:pPr>
              <w:pStyle w:val="TableText"/>
              <w:rPr>
                <w:lang w:val="en-US"/>
              </w:rPr>
            </w:pPr>
            <w:r>
              <w:rPr>
                <w:lang w:val="en-US"/>
              </w:rPr>
              <w:t xml:space="preserve">5.4 </w:t>
            </w:r>
            <w:r>
              <w:rPr>
                <w:rFonts w:ascii="Engravers MT" w:hAnsi="Engravers MT"/>
                <w:lang w:val="en-US"/>
              </w:rPr>
              <w:t>×</w:t>
            </w:r>
            <w:r>
              <w:rPr>
                <w:lang w:val="en-US"/>
              </w:rPr>
              <w:t xml:space="preserve"> 10</w:t>
            </w:r>
            <w:r w:rsidRPr="000D0683">
              <w:rPr>
                <w:vertAlign w:val="superscript"/>
                <w:lang w:val="en-US"/>
              </w:rPr>
              <w:t>-14</w:t>
            </w:r>
            <w:r>
              <w:rPr>
                <w:lang w:val="en-US"/>
              </w:rPr>
              <w:t xml:space="preserve"> – 6.7 × 10</w:t>
            </w:r>
            <w:r w:rsidRPr="000D0683">
              <w:rPr>
                <w:vertAlign w:val="superscript"/>
                <w:lang w:val="en-US"/>
              </w:rPr>
              <w:t>-9</w:t>
            </w:r>
            <w:r>
              <w:rPr>
                <w:lang w:val="en-US"/>
              </w:rPr>
              <w:t xml:space="preserve"> </w:t>
            </w:r>
            <w:r w:rsidRPr="002D1539">
              <w:rPr>
                <w:lang w:val="en-US"/>
              </w:rPr>
              <w:t>Pa (</w:t>
            </w:r>
            <w:r>
              <w:rPr>
                <w:lang w:val="en-US"/>
              </w:rPr>
              <w:t xml:space="preserve">25 </w:t>
            </w:r>
            <w:r w:rsidRPr="002D1539">
              <w:rPr>
                <w:lang w:val="en-US"/>
              </w:rPr>
              <w:t>°C)</w:t>
            </w:r>
          </w:p>
        </w:tc>
      </w:tr>
      <w:tr w:rsidR="00884D58" w:rsidRPr="00136C92" w14:paraId="3D7BFA7A" w14:textId="77777777" w:rsidTr="00533B55">
        <w:tc>
          <w:tcPr>
            <w:tcW w:w="2543" w:type="pct"/>
            <w:shd w:val="clear" w:color="auto" w:fill="F0F4F5"/>
          </w:tcPr>
          <w:p w14:paraId="38F45974" w14:textId="77777777" w:rsidR="00884D58" w:rsidRPr="00244B68" w:rsidRDefault="00884D58" w:rsidP="00BA7F4F">
            <w:pPr>
              <w:pStyle w:val="TableText"/>
              <w:rPr>
                <w:lang w:val="en-US"/>
              </w:rPr>
            </w:pPr>
            <w:r>
              <w:rPr>
                <w:lang w:val="en-US"/>
              </w:rPr>
              <w:t>Water s</w:t>
            </w:r>
            <w:r w:rsidRPr="00244B68">
              <w:rPr>
                <w:lang w:val="en-US"/>
              </w:rPr>
              <w:t>olubility</w:t>
            </w:r>
          </w:p>
        </w:tc>
        <w:tc>
          <w:tcPr>
            <w:tcW w:w="2457" w:type="pct"/>
          </w:tcPr>
          <w:p w14:paraId="111891A8" w14:textId="77777777" w:rsidR="00884D58" w:rsidRPr="003B2FCF" w:rsidRDefault="00884D58" w:rsidP="00BA7F4F">
            <w:pPr>
              <w:pStyle w:val="TableText"/>
              <w:rPr>
                <w:lang w:val="de-CH"/>
              </w:rPr>
            </w:pPr>
            <w:r w:rsidRPr="003B2FCF">
              <w:rPr>
                <w:lang w:val="de-CH"/>
              </w:rPr>
              <w:t>pH 4: &lt;0.05 mg/L</w:t>
            </w:r>
          </w:p>
          <w:p w14:paraId="76989DB0" w14:textId="77777777" w:rsidR="00884D58" w:rsidRPr="003B2FCF" w:rsidRDefault="00884D58" w:rsidP="00BA7F4F">
            <w:pPr>
              <w:pStyle w:val="TableText"/>
              <w:rPr>
                <w:lang w:val="de-CH"/>
              </w:rPr>
            </w:pPr>
            <w:r w:rsidRPr="003B2FCF">
              <w:rPr>
                <w:lang w:val="de-CH"/>
              </w:rPr>
              <w:t>pH 7: 1.7 mg/L</w:t>
            </w:r>
          </w:p>
          <w:p w14:paraId="57E669F7" w14:textId="77777777" w:rsidR="00884D58" w:rsidRPr="001549D4" w:rsidRDefault="00884D58" w:rsidP="00BA7F4F">
            <w:pPr>
              <w:pStyle w:val="TableText"/>
              <w:rPr>
                <w:lang w:val="de-CH"/>
              </w:rPr>
            </w:pPr>
            <w:r w:rsidRPr="003B2FCF">
              <w:rPr>
                <w:lang w:val="de-CH"/>
              </w:rPr>
              <w:t>pH 9: 61.0 mg/L</w:t>
            </w:r>
          </w:p>
        </w:tc>
      </w:tr>
      <w:tr w:rsidR="00884D58" w:rsidRPr="002A150C" w14:paraId="46DED9FD" w14:textId="77777777" w:rsidTr="00533B55">
        <w:tc>
          <w:tcPr>
            <w:tcW w:w="2543" w:type="pct"/>
            <w:shd w:val="clear" w:color="auto" w:fill="F0F4F5"/>
          </w:tcPr>
          <w:p w14:paraId="5844FAAD" w14:textId="77777777" w:rsidR="00884D58" w:rsidRDefault="00884D58" w:rsidP="00BA7F4F">
            <w:pPr>
              <w:pStyle w:val="TableText"/>
              <w:rPr>
                <w:lang w:val="en-US"/>
              </w:rPr>
            </w:pPr>
            <w:r>
              <w:rPr>
                <w:lang w:val="en-US"/>
              </w:rPr>
              <w:t>Organic solvent solubility</w:t>
            </w:r>
          </w:p>
        </w:tc>
        <w:tc>
          <w:tcPr>
            <w:tcW w:w="2457" w:type="pct"/>
          </w:tcPr>
          <w:p w14:paraId="6951AF50" w14:textId="77777777" w:rsidR="00884D58" w:rsidRDefault="00884D58" w:rsidP="00BA7F4F">
            <w:pPr>
              <w:pStyle w:val="TableText"/>
              <w:rPr>
                <w:lang w:val="en-US"/>
              </w:rPr>
            </w:pPr>
            <w:r>
              <w:rPr>
                <w:lang w:val="en-US"/>
              </w:rPr>
              <w:t>Acetone: 7.6 g/L</w:t>
            </w:r>
          </w:p>
          <w:p w14:paraId="7DBF828D" w14:textId="77777777" w:rsidR="00884D58" w:rsidRDefault="00884D58" w:rsidP="00BA7F4F">
            <w:pPr>
              <w:pStyle w:val="TableText"/>
              <w:rPr>
                <w:lang w:val="en-US"/>
              </w:rPr>
            </w:pPr>
            <w:r>
              <w:rPr>
                <w:lang w:val="en-US"/>
              </w:rPr>
              <w:t>Propan-2-ol (isopropanol): 1.5 g/L</w:t>
            </w:r>
          </w:p>
          <w:p w14:paraId="37004A0B" w14:textId="77777777" w:rsidR="00884D58" w:rsidRDefault="00884D58" w:rsidP="00BA7F4F">
            <w:pPr>
              <w:pStyle w:val="TableText"/>
              <w:rPr>
                <w:lang w:val="en-US"/>
              </w:rPr>
            </w:pPr>
            <w:r>
              <w:rPr>
                <w:lang w:val="en-US"/>
              </w:rPr>
              <w:t>Ethyl acetate: 3.7 g/L</w:t>
            </w:r>
          </w:p>
          <w:p w14:paraId="2125545A" w14:textId="77777777" w:rsidR="00884D58" w:rsidRDefault="00884D58" w:rsidP="00BA7F4F">
            <w:pPr>
              <w:pStyle w:val="TableText"/>
              <w:rPr>
                <w:lang w:val="en-US"/>
              </w:rPr>
            </w:pPr>
            <w:r>
              <w:rPr>
                <w:lang w:val="en-US"/>
              </w:rPr>
              <w:t>Toluene: 1.2 g/L</w:t>
            </w:r>
          </w:p>
          <w:p w14:paraId="3021B7B2" w14:textId="77777777" w:rsidR="00884D58" w:rsidRDefault="00884D58" w:rsidP="00BA7F4F">
            <w:pPr>
              <w:pStyle w:val="TableText"/>
              <w:rPr>
                <w:lang w:val="en-US"/>
              </w:rPr>
            </w:pPr>
            <w:r>
              <w:rPr>
                <w:lang w:val="en-US"/>
              </w:rPr>
              <w:t>Methanol: 1.2 g/L</w:t>
            </w:r>
          </w:p>
          <w:p w14:paraId="1890E795" w14:textId="77777777" w:rsidR="00884D58" w:rsidRDefault="00884D58" w:rsidP="00BA7F4F">
            <w:pPr>
              <w:pStyle w:val="TableText"/>
              <w:rPr>
                <w:lang w:val="en-US"/>
              </w:rPr>
            </w:pPr>
            <w:r>
              <w:rPr>
                <w:lang w:val="en-US"/>
              </w:rPr>
              <w:t>Hexane: 0.01 g/L</w:t>
            </w:r>
          </w:p>
          <w:p w14:paraId="0A10F049" w14:textId="77777777" w:rsidR="00884D58" w:rsidRPr="002D1539" w:rsidRDefault="00884D58" w:rsidP="00BA7F4F">
            <w:pPr>
              <w:pStyle w:val="TableText"/>
              <w:rPr>
                <w:lang w:val="en-US"/>
              </w:rPr>
            </w:pPr>
            <w:r>
              <w:rPr>
                <w:lang w:val="en-US"/>
              </w:rPr>
              <w:t>Dichloromethane: 19.6 g/L</w:t>
            </w:r>
          </w:p>
        </w:tc>
      </w:tr>
    </w:tbl>
    <w:p w14:paraId="10657D1D" w14:textId="41A43791" w:rsidR="00597DA7" w:rsidRDefault="00884D58" w:rsidP="00884D58">
      <w:pPr>
        <w:pStyle w:val="NormalText"/>
      </w:pPr>
      <w:r>
        <w:t>Difenacoum may be supplied to end</w:t>
      </w:r>
      <w:r w:rsidR="00597DA7">
        <w:t>-</w:t>
      </w:r>
      <w:r>
        <w:t>use product manufacturers in the form of the technical active constituent (TC), with a purity at or above 96%.</w:t>
      </w:r>
    </w:p>
    <w:p w14:paraId="198E5A58" w14:textId="417281AE" w:rsidR="00884D58" w:rsidRDefault="00884D58" w:rsidP="00884D58">
      <w:pPr>
        <w:pStyle w:val="NormalText"/>
      </w:pPr>
      <w:r>
        <w:t xml:space="preserve">The </w:t>
      </w:r>
      <w:r w:rsidR="0024689B">
        <w:t>APVMA Record</w:t>
      </w:r>
      <w:r>
        <w:t xml:space="preserve"> currently </w:t>
      </w:r>
      <w:r w:rsidR="0024689B">
        <w:t>lists</w:t>
      </w:r>
      <w:r>
        <w:t xml:space="preserve"> </w:t>
      </w:r>
      <w:r w:rsidR="005D7727">
        <w:t xml:space="preserve">2 approved sources of </w:t>
      </w:r>
      <w:r>
        <w:t xml:space="preserve">difenacoum active constituent. </w:t>
      </w:r>
      <w:r w:rsidR="00367F74">
        <w:t xml:space="preserve">A summary of the current difenacoum active constituent approvals and recommendations, based on review of the information entered in the APVMA’s Record of active constituent approvals, is provided in </w:t>
      </w:r>
      <w:r w:rsidR="00367F74">
        <w:fldChar w:fldCharType="begin"/>
      </w:r>
      <w:r w:rsidR="00367F74">
        <w:instrText xml:space="preserve"> REF _Ref214964219 \h </w:instrText>
      </w:r>
      <w:r w:rsidR="00367F74">
        <w:fldChar w:fldCharType="separate"/>
      </w:r>
      <w:r w:rsidR="003861AC">
        <w:t xml:space="preserve">Table </w:t>
      </w:r>
      <w:r w:rsidR="003861AC">
        <w:rPr>
          <w:noProof/>
        </w:rPr>
        <w:t>18</w:t>
      </w:r>
      <w:r w:rsidR="00367F74">
        <w:fldChar w:fldCharType="end"/>
      </w:r>
      <w:r w:rsidR="00367F74">
        <w:t>. Conditional approval, requiring confirmation of the composition and purity of the active constituent and the provision of adequate supporting information, is recommended in instances where potential inconsistencies in the APVMA Record have been identified with respect to whether the active constituent is manufactured and supplied as a technical material or manufacturing concentrate.</w:t>
      </w:r>
    </w:p>
    <w:p w14:paraId="052CA7E1" w14:textId="13CBA230" w:rsidR="00884D58" w:rsidRDefault="00884D58" w:rsidP="00884D58">
      <w:pPr>
        <w:pStyle w:val="Caption"/>
      </w:pPr>
      <w:bookmarkStart w:id="99" w:name="_Ref214964219"/>
      <w:bookmarkStart w:id="100" w:name="_Toc213945994"/>
      <w:bookmarkStart w:id="101" w:name="_Toc216695680"/>
      <w:r>
        <w:t xml:space="preserve">Table </w:t>
      </w:r>
      <w:r>
        <w:fldChar w:fldCharType="begin"/>
      </w:r>
      <w:r>
        <w:instrText xml:space="preserve"> SEQ Table \* ARABIC </w:instrText>
      </w:r>
      <w:r>
        <w:fldChar w:fldCharType="separate"/>
      </w:r>
      <w:r w:rsidR="003861AC">
        <w:rPr>
          <w:noProof/>
        </w:rPr>
        <w:t>18</w:t>
      </w:r>
      <w:r>
        <w:rPr>
          <w:noProof/>
        </w:rPr>
        <w:fldChar w:fldCharType="end"/>
      </w:r>
      <w:bookmarkEnd w:id="99"/>
      <w:r>
        <w:rPr>
          <w:noProof/>
        </w:rPr>
        <w:t>:</w:t>
      </w:r>
      <w:r>
        <w:t xml:space="preserve"> Current active constituent approvals for difenacoum</w:t>
      </w:r>
      <w:bookmarkEnd w:id="100"/>
      <w:bookmarkEnd w:id="101"/>
    </w:p>
    <w:tbl>
      <w:tblPr>
        <w:tblStyle w:val="TableGrid"/>
        <w:tblW w:w="9776" w:type="dxa"/>
        <w:tblLook w:val="04A0" w:firstRow="1" w:lastRow="0" w:firstColumn="1" w:lastColumn="0" w:noHBand="0" w:noVBand="1"/>
      </w:tblPr>
      <w:tblGrid>
        <w:gridCol w:w="1692"/>
        <w:gridCol w:w="2803"/>
        <w:gridCol w:w="2067"/>
        <w:gridCol w:w="3214"/>
      </w:tblGrid>
      <w:tr w:rsidR="00884D58" w14:paraId="7D226987" w14:textId="77777777" w:rsidTr="00533B55">
        <w:trPr>
          <w:cantSplit/>
          <w:tblHeader/>
        </w:trPr>
        <w:tc>
          <w:tcPr>
            <w:tcW w:w="1692" w:type="dxa"/>
            <w:shd w:val="clear" w:color="auto" w:fill="53284F"/>
          </w:tcPr>
          <w:p w14:paraId="1D312846" w14:textId="77777777" w:rsidR="00884D58" w:rsidRDefault="00884D58" w:rsidP="00BA7F4F">
            <w:pPr>
              <w:pStyle w:val="TableHead"/>
            </w:pPr>
            <w:r>
              <w:t>Approval number</w:t>
            </w:r>
          </w:p>
        </w:tc>
        <w:tc>
          <w:tcPr>
            <w:tcW w:w="2803" w:type="dxa"/>
            <w:shd w:val="clear" w:color="auto" w:fill="53284F"/>
          </w:tcPr>
          <w:p w14:paraId="01E2CE7D" w14:textId="77777777" w:rsidR="00884D58" w:rsidRDefault="00884D58" w:rsidP="00BA7F4F">
            <w:pPr>
              <w:pStyle w:val="TableHead"/>
            </w:pPr>
            <w:r>
              <w:t>Name</w:t>
            </w:r>
          </w:p>
        </w:tc>
        <w:tc>
          <w:tcPr>
            <w:tcW w:w="2067" w:type="dxa"/>
            <w:shd w:val="clear" w:color="auto" w:fill="53284F"/>
          </w:tcPr>
          <w:p w14:paraId="751848B4" w14:textId="77777777" w:rsidR="00884D58" w:rsidRDefault="00884D58" w:rsidP="00BA7F4F">
            <w:pPr>
              <w:pStyle w:val="TableHead"/>
            </w:pPr>
            <w:r>
              <w:t>Approval holder</w:t>
            </w:r>
          </w:p>
        </w:tc>
        <w:tc>
          <w:tcPr>
            <w:tcW w:w="3214" w:type="dxa"/>
            <w:shd w:val="clear" w:color="auto" w:fill="53284F"/>
          </w:tcPr>
          <w:p w14:paraId="3FAA238B" w14:textId="77777777" w:rsidR="00884D58" w:rsidRDefault="00884D58" w:rsidP="00BA7F4F">
            <w:pPr>
              <w:pStyle w:val="TableHead"/>
            </w:pPr>
            <w:r>
              <w:t>Recommendation</w:t>
            </w:r>
          </w:p>
        </w:tc>
      </w:tr>
      <w:tr w:rsidR="00367F74" w14:paraId="0C0A30DE" w14:textId="77777777" w:rsidTr="00DB4169">
        <w:tc>
          <w:tcPr>
            <w:tcW w:w="1692" w:type="dxa"/>
          </w:tcPr>
          <w:p w14:paraId="2C375EAC" w14:textId="77777777" w:rsidR="00367F74" w:rsidRPr="008B66D5" w:rsidRDefault="00367F74" w:rsidP="00367F74">
            <w:pPr>
              <w:pStyle w:val="TableText"/>
            </w:pPr>
            <w:r w:rsidRPr="008B66D5">
              <w:t>63286</w:t>
            </w:r>
          </w:p>
        </w:tc>
        <w:tc>
          <w:tcPr>
            <w:tcW w:w="2803" w:type="dxa"/>
          </w:tcPr>
          <w:p w14:paraId="6337C56C" w14:textId="77777777" w:rsidR="00367F74" w:rsidRPr="008B66D5" w:rsidRDefault="00367F74" w:rsidP="00367F74">
            <w:pPr>
              <w:pStyle w:val="TableText"/>
            </w:pPr>
            <w:r w:rsidRPr="008B66D5">
              <w:t>Difenacoum</w:t>
            </w:r>
          </w:p>
        </w:tc>
        <w:tc>
          <w:tcPr>
            <w:tcW w:w="2067" w:type="dxa"/>
          </w:tcPr>
          <w:p w14:paraId="6D9DB160" w14:textId="77777777" w:rsidR="00367F74" w:rsidRPr="001549D4" w:rsidRDefault="00367F74" w:rsidP="00367F74">
            <w:pPr>
              <w:pStyle w:val="TableText"/>
              <w:rPr>
                <w:lang w:val="de-CH"/>
              </w:rPr>
            </w:pPr>
            <w:r w:rsidRPr="001549D4">
              <w:rPr>
                <w:lang w:val="de-CH"/>
              </w:rPr>
              <w:t>Pelgar International (Aus) Pty Ltd</w:t>
            </w:r>
          </w:p>
        </w:tc>
        <w:tc>
          <w:tcPr>
            <w:tcW w:w="3214" w:type="dxa"/>
          </w:tcPr>
          <w:p w14:paraId="55AA945A" w14:textId="47C935C3" w:rsidR="00367F74" w:rsidRPr="008B66D5" w:rsidRDefault="00367F74" w:rsidP="00367F74">
            <w:pPr>
              <w:pStyle w:val="TableText"/>
            </w:pPr>
            <w:r>
              <w:t>Affirm approval</w:t>
            </w:r>
          </w:p>
        </w:tc>
      </w:tr>
      <w:tr w:rsidR="00884D58" w14:paraId="75A16DD8" w14:textId="77777777" w:rsidTr="00DB4169">
        <w:tc>
          <w:tcPr>
            <w:tcW w:w="1692" w:type="dxa"/>
          </w:tcPr>
          <w:p w14:paraId="7E0164E6" w14:textId="77777777" w:rsidR="00884D58" w:rsidRPr="008B66D5" w:rsidRDefault="00884D58" w:rsidP="00DB4169">
            <w:pPr>
              <w:pStyle w:val="TableText"/>
            </w:pPr>
            <w:r w:rsidRPr="008B66D5">
              <w:lastRenderedPageBreak/>
              <w:t>67881</w:t>
            </w:r>
          </w:p>
        </w:tc>
        <w:tc>
          <w:tcPr>
            <w:tcW w:w="2803" w:type="dxa"/>
          </w:tcPr>
          <w:p w14:paraId="1688CADC" w14:textId="77777777" w:rsidR="00884D58" w:rsidRPr="008B66D5" w:rsidRDefault="00884D58" w:rsidP="00DB4169">
            <w:pPr>
              <w:pStyle w:val="TableText"/>
            </w:pPr>
            <w:r w:rsidRPr="008B66D5">
              <w:t>Difenacoum</w:t>
            </w:r>
          </w:p>
        </w:tc>
        <w:tc>
          <w:tcPr>
            <w:tcW w:w="2067" w:type="dxa"/>
          </w:tcPr>
          <w:p w14:paraId="18DB24C7" w14:textId="37073A98" w:rsidR="00884D58" w:rsidRPr="008B66D5" w:rsidRDefault="005D7727" w:rsidP="00DB4169">
            <w:pPr>
              <w:pStyle w:val="TableText"/>
            </w:pPr>
            <w:r w:rsidRPr="00821EFC">
              <w:t xml:space="preserve">Endura </w:t>
            </w:r>
            <w:r w:rsidR="00884D58" w:rsidRPr="00821EFC">
              <w:t>S.P.A</w:t>
            </w:r>
          </w:p>
        </w:tc>
        <w:tc>
          <w:tcPr>
            <w:tcW w:w="3214" w:type="dxa"/>
          </w:tcPr>
          <w:p w14:paraId="2A1EAB61" w14:textId="77777777" w:rsidR="00884D58" w:rsidRPr="008B66D5" w:rsidRDefault="00884D58" w:rsidP="00DB4169">
            <w:pPr>
              <w:pStyle w:val="TableText"/>
            </w:pPr>
            <w:r w:rsidRPr="002A555B">
              <w:t>Conditional approval – confirm concentration and formulation of the active constituent</w:t>
            </w:r>
            <w:r w:rsidRPr="008B66D5">
              <w:t xml:space="preserve"> </w:t>
            </w:r>
          </w:p>
        </w:tc>
      </w:tr>
    </w:tbl>
    <w:p w14:paraId="320CBF0A" w14:textId="71A0EF0B" w:rsidR="005D7727" w:rsidRDefault="00884D58" w:rsidP="005D7727">
      <w:pPr>
        <w:pStyle w:val="NormalText"/>
      </w:pPr>
      <w:r>
        <w:t xml:space="preserve">The </w:t>
      </w:r>
      <w:r w:rsidR="005D7727" w:rsidRPr="00377F3A">
        <w:rPr>
          <w:rStyle w:val="NormalTextChar"/>
        </w:rPr>
        <w:t>Active Constituent Standards</w:t>
      </w:r>
      <w:r w:rsidR="005D7727">
        <w:rPr>
          <w:rStyle w:val="NormalTextChar"/>
        </w:rPr>
        <w:t xml:space="preserve"> </w:t>
      </w:r>
      <w:r w:rsidR="00367F74">
        <w:rPr>
          <w:rStyle w:val="NormalTextChar"/>
        </w:rPr>
        <w:t xml:space="preserve">specification for the </w:t>
      </w:r>
      <w:r w:rsidR="005D7727">
        <w:rPr>
          <w:rStyle w:val="NormalTextChar"/>
        </w:rPr>
        <w:t xml:space="preserve">standard for </w:t>
      </w:r>
      <w:r>
        <w:t>difenacoum active constituent</w:t>
      </w:r>
      <w:r w:rsidR="005D7727">
        <w:t xml:space="preserve"> </w:t>
      </w:r>
      <w:r w:rsidR="00367F74">
        <w:t xml:space="preserve">is provided in </w:t>
      </w:r>
      <w:r w:rsidR="005D7727">
        <w:fldChar w:fldCharType="begin"/>
      </w:r>
      <w:r w:rsidR="005D7727">
        <w:instrText xml:space="preserve"> REF _Ref214959946 \h </w:instrText>
      </w:r>
      <w:r w:rsidR="005D7727">
        <w:fldChar w:fldCharType="separate"/>
      </w:r>
      <w:r w:rsidR="003861AC">
        <w:t xml:space="preserve">Table </w:t>
      </w:r>
      <w:r w:rsidR="003861AC">
        <w:rPr>
          <w:noProof/>
        </w:rPr>
        <w:t>19</w:t>
      </w:r>
      <w:r w:rsidR="005D7727">
        <w:fldChar w:fldCharType="end"/>
      </w:r>
      <w:r w:rsidR="0024689B">
        <w:t>. No changes are proposed to this standard.</w:t>
      </w:r>
      <w:r w:rsidR="005D7727" w:rsidRPr="005D7727">
        <w:t xml:space="preserve"> </w:t>
      </w:r>
      <w:r w:rsidR="005D7727">
        <w:t>There is no FAO specification for difenacoum.</w:t>
      </w:r>
    </w:p>
    <w:p w14:paraId="1154C41A" w14:textId="3B26B3CA" w:rsidR="00884D58" w:rsidRDefault="00884D58" w:rsidP="005D7727">
      <w:pPr>
        <w:pStyle w:val="Caption"/>
      </w:pPr>
      <w:bookmarkStart w:id="102" w:name="_Ref214959946"/>
      <w:bookmarkStart w:id="103" w:name="_Toc213945995"/>
      <w:bookmarkStart w:id="104" w:name="_Toc216695681"/>
      <w:r>
        <w:t xml:space="preserve">Table </w:t>
      </w:r>
      <w:r>
        <w:fldChar w:fldCharType="begin"/>
      </w:r>
      <w:r>
        <w:instrText xml:space="preserve"> SEQ Table \* ARABIC </w:instrText>
      </w:r>
      <w:r>
        <w:fldChar w:fldCharType="separate"/>
      </w:r>
      <w:r w:rsidR="003861AC">
        <w:rPr>
          <w:noProof/>
        </w:rPr>
        <w:t>19</w:t>
      </w:r>
      <w:r>
        <w:fldChar w:fldCharType="end"/>
      </w:r>
      <w:bookmarkEnd w:id="102"/>
      <w:r>
        <w:t xml:space="preserve">: The </w:t>
      </w:r>
      <w:r w:rsidRPr="003B2FCF">
        <w:t>Active Constituent Standards specification for difenacoum</w:t>
      </w:r>
      <w:bookmarkEnd w:id="103"/>
      <w:bookmarkEnd w:id="104"/>
    </w:p>
    <w:tbl>
      <w:tblPr>
        <w:tblStyle w:val="TableGrid"/>
        <w:tblW w:w="9776" w:type="dxa"/>
        <w:tblLook w:val="04A0" w:firstRow="1" w:lastRow="0" w:firstColumn="1" w:lastColumn="0" w:noHBand="0" w:noVBand="1"/>
      </w:tblPr>
      <w:tblGrid>
        <w:gridCol w:w="4508"/>
        <w:gridCol w:w="5268"/>
      </w:tblGrid>
      <w:tr w:rsidR="00884D58" w14:paraId="012580DC" w14:textId="77777777" w:rsidTr="008B66D5">
        <w:tc>
          <w:tcPr>
            <w:tcW w:w="4508" w:type="dxa"/>
            <w:shd w:val="clear" w:color="auto" w:fill="53284F"/>
          </w:tcPr>
          <w:p w14:paraId="7BF3CF3E" w14:textId="77777777" w:rsidR="00884D58" w:rsidRDefault="00884D58" w:rsidP="00BA7F4F">
            <w:pPr>
              <w:pStyle w:val="TableHead"/>
            </w:pPr>
            <w:r>
              <w:t>Active constituent</w:t>
            </w:r>
          </w:p>
        </w:tc>
        <w:tc>
          <w:tcPr>
            <w:tcW w:w="5268" w:type="dxa"/>
            <w:shd w:val="clear" w:color="auto" w:fill="53284F"/>
          </w:tcPr>
          <w:p w14:paraId="53626765" w14:textId="77777777" w:rsidR="00884D58" w:rsidRDefault="00884D58" w:rsidP="00BA7F4F">
            <w:pPr>
              <w:pStyle w:val="TableHead"/>
            </w:pPr>
            <w:r>
              <w:t>Minimum purity</w:t>
            </w:r>
          </w:p>
        </w:tc>
      </w:tr>
      <w:tr w:rsidR="00884D58" w14:paraId="24A4714B" w14:textId="77777777" w:rsidTr="008B66D5">
        <w:tc>
          <w:tcPr>
            <w:tcW w:w="4508" w:type="dxa"/>
          </w:tcPr>
          <w:p w14:paraId="16CD325E" w14:textId="77777777" w:rsidR="00884D58" w:rsidRDefault="00884D58" w:rsidP="00DB4169">
            <w:pPr>
              <w:pStyle w:val="TableText"/>
            </w:pPr>
            <w:r>
              <w:t>Difenacoum</w:t>
            </w:r>
          </w:p>
        </w:tc>
        <w:tc>
          <w:tcPr>
            <w:tcW w:w="5268" w:type="dxa"/>
          </w:tcPr>
          <w:p w14:paraId="59120DB3" w14:textId="77777777" w:rsidR="00884D58" w:rsidRDefault="00884D58" w:rsidP="00DB4169">
            <w:pPr>
              <w:pStyle w:val="TableText"/>
            </w:pPr>
            <w:r>
              <w:t>960 g/kg</w:t>
            </w:r>
          </w:p>
        </w:tc>
      </w:tr>
    </w:tbl>
    <w:p w14:paraId="67E1B711" w14:textId="24F85F84" w:rsidR="00367F74" w:rsidRDefault="00367F74" w:rsidP="00DB4169">
      <w:pPr>
        <w:pStyle w:val="NormalText"/>
      </w:pPr>
      <w:r w:rsidRPr="00367F74">
        <w:t xml:space="preserve">It is noted that the Active Constituent Standards does not currently include an entry for </w:t>
      </w:r>
      <w:r>
        <w:t>difencaoum</w:t>
      </w:r>
      <w:r w:rsidRPr="00367F74">
        <w:t xml:space="preserve"> manufacturing concentrates and appropriate proposed specifications for such an entry are included below in </w:t>
      </w:r>
      <w:r>
        <w:fldChar w:fldCharType="begin"/>
      </w:r>
      <w:r>
        <w:instrText xml:space="preserve"> REF _Ref214964496 \h </w:instrText>
      </w:r>
      <w:r>
        <w:fldChar w:fldCharType="separate"/>
      </w:r>
      <w:r w:rsidR="003861AC">
        <w:t xml:space="preserve">Table </w:t>
      </w:r>
      <w:r w:rsidR="003861AC">
        <w:rPr>
          <w:noProof/>
        </w:rPr>
        <w:t>20</w:t>
      </w:r>
      <w:r>
        <w:fldChar w:fldCharType="end"/>
      </w:r>
      <w:r w:rsidRPr="00367F74">
        <w:t xml:space="preserve">. It is anticipated that the APVMA will propose to vary the Active Constituent Standards in future to include an entry for </w:t>
      </w:r>
      <w:r>
        <w:t>difencaoum</w:t>
      </w:r>
      <w:r w:rsidRPr="00367F74">
        <w:t xml:space="preserve"> manufacturing concentrates. However, this has not been considered as part of reconsideration</w:t>
      </w:r>
      <w:r>
        <w:t>, as it is a separate legislative process.</w:t>
      </w:r>
    </w:p>
    <w:p w14:paraId="5AC53AE9" w14:textId="0A5DC7E9" w:rsidR="00884D58" w:rsidRDefault="00884D58" w:rsidP="00884D58">
      <w:pPr>
        <w:pStyle w:val="Caption"/>
      </w:pPr>
      <w:bookmarkStart w:id="105" w:name="_Ref214964496"/>
      <w:bookmarkStart w:id="106" w:name="_Toc213945996"/>
      <w:bookmarkStart w:id="107" w:name="_Toc216695682"/>
      <w:r>
        <w:t xml:space="preserve">Table </w:t>
      </w:r>
      <w:r>
        <w:fldChar w:fldCharType="begin"/>
      </w:r>
      <w:r>
        <w:instrText xml:space="preserve"> SEQ Table \* ARABIC </w:instrText>
      </w:r>
      <w:r>
        <w:fldChar w:fldCharType="separate"/>
      </w:r>
      <w:r w:rsidR="003861AC">
        <w:rPr>
          <w:noProof/>
        </w:rPr>
        <w:t>20</w:t>
      </w:r>
      <w:r>
        <w:fldChar w:fldCharType="end"/>
      </w:r>
      <w:bookmarkEnd w:id="105"/>
      <w:r>
        <w:t>: Proposed APVMA specification for difenacoum manufacturing concentrates</w:t>
      </w:r>
      <w:bookmarkEnd w:id="106"/>
      <w:bookmarkEnd w:id="107"/>
    </w:p>
    <w:tbl>
      <w:tblPr>
        <w:tblStyle w:val="TableGrid"/>
        <w:tblW w:w="5000" w:type="pct"/>
        <w:tblLook w:val="04A0" w:firstRow="1" w:lastRow="0" w:firstColumn="1" w:lastColumn="0" w:noHBand="0" w:noVBand="1"/>
      </w:tblPr>
      <w:tblGrid>
        <w:gridCol w:w="3209"/>
        <w:gridCol w:w="3209"/>
        <w:gridCol w:w="3210"/>
      </w:tblGrid>
      <w:tr w:rsidR="00884D58" w14:paraId="0B9929C0" w14:textId="77777777" w:rsidTr="00533B55">
        <w:tc>
          <w:tcPr>
            <w:tcW w:w="1666" w:type="pct"/>
            <w:shd w:val="clear" w:color="auto" w:fill="53284F"/>
          </w:tcPr>
          <w:p w14:paraId="5B71EE9D" w14:textId="77777777" w:rsidR="00884D58" w:rsidRDefault="00884D58" w:rsidP="00BA7F4F">
            <w:pPr>
              <w:pStyle w:val="TableHead"/>
            </w:pPr>
            <w:r>
              <w:t>Common name</w:t>
            </w:r>
          </w:p>
        </w:tc>
        <w:tc>
          <w:tcPr>
            <w:tcW w:w="1666" w:type="pct"/>
            <w:shd w:val="clear" w:color="auto" w:fill="53284F"/>
          </w:tcPr>
          <w:p w14:paraId="3CDBD214" w14:textId="77777777" w:rsidR="00884D58" w:rsidRDefault="00884D58" w:rsidP="00BA7F4F">
            <w:pPr>
              <w:pStyle w:val="TableHead"/>
            </w:pPr>
            <w:r>
              <w:t>Description</w:t>
            </w:r>
          </w:p>
        </w:tc>
        <w:tc>
          <w:tcPr>
            <w:tcW w:w="1667" w:type="pct"/>
            <w:shd w:val="clear" w:color="auto" w:fill="53284F"/>
          </w:tcPr>
          <w:p w14:paraId="58172953" w14:textId="77777777" w:rsidR="00884D58" w:rsidRDefault="00884D58" w:rsidP="00BA7F4F">
            <w:pPr>
              <w:pStyle w:val="TableHead"/>
            </w:pPr>
            <w:r>
              <w:t>Purity</w:t>
            </w:r>
          </w:p>
        </w:tc>
      </w:tr>
      <w:tr w:rsidR="00884D58" w14:paraId="6FDDE6BC" w14:textId="77777777" w:rsidTr="00533B55">
        <w:tc>
          <w:tcPr>
            <w:tcW w:w="1666" w:type="pct"/>
          </w:tcPr>
          <w:p w14:paraId="0DE36100" w14:textId="77777777" w:rsidR="00884D58" w:rsidRDefault="00884D58" w:rsidP="00BA7F4F">
            <w:pPr>
              <w:pStyle w:val="TableText"/>
            </w:pPr>
            <w:r>
              <w:t>Difenacoum manufacturing concentrate</w:t>
            </w:r>
          </w:p>
        </w:tc>
        <w:tc>
          <w:tcPr>
            <w:tcW w:w="1666" w:type="pct"/>
          </w:tcPr>
          <w:p w14:paraId="670D03F4" w14:textId="77777777" w:rsidR="00884D58" w:rsidRDefault="00884D58" w:rsidP="00BA7F4F">
            <w:pPr>
              <w:pStyle w:val="TableText"/>
            </w:pPr>
            <w:r>
              <w:t xml:space="preserve">The material shall consist of a solution of technical difenacoum in a suitable solvent, typically a glycol solvent such as propylene glycol. The manufacturing concentrate may also contain related manufacturing impurities, as well as denatonium benzoate as a bittering agent and a suitable dye but is otherwise from visible extraneous matter and adding modifying agents. </w:t>
            </w:r>
          </w:p>
        </w:tc>
        <w:tc>
          <w:tcPr>
            <w:tcW w:w="1667" w:type="pct"/>
          </w:tcPr>
          <w:p w14:paraId="1910FA3D" w14:textId="40ED77E8" w:rsidR="00884D58" w:rsidRDefault="00884D58" w:rsidP="00BA7F4F">
            <w:pPr>
              <w:pStyle w:val="TableText"/>
            </w:pPr>
            <w:r>
              <w:t>Minimum purity on a solvent and additive (dye and bittering agent) free basis: 930 g/kg</w:t>
            </w:r>
          </w:p>
          <w:p w14:paraId="3B5CB2C7" w14:textId="77777777" w:rsidR="00884D58" w:rsidRDefault="00884D58" w:rsidP="00BA7F4F">
            <w:pPr>
              <w:pStyle w:val="TableText"/>
            </w:pPr>
            <w:r>
              <w:t>Difenacoum manufacturing concentrate is typically supplied with a concentration in the range 2.5-50 g/kg. The content must be declared, and when measured, shall not differ from the declared amount by more than the amount specified in the table below:</w:t>
            </w:r>
          </w:p>
          <w:tbl>
            <w:tblPr>
              <w:tblStyle w:val="TableGrid"/>
              <w:tblW w:w="0" w:type="auto"/>
              <w:tblLook w:val="04A0" w:firstRow="1" w:lastRow="0" w:firstColumn="1" w:lastColumn="0" w:noHBand="0" w:noVBand="1"/>
            </w:tblPr>
            <w:tblGrid>
              <w:gridCol w:w="1390"/>
              <w:gridCol w:w="1390"/>
            </w:tblGrid>
            <w:tr w:rsidR="00884D58" w14:paraId="6B3B1C98" w14:textId="77777777" w:rsidTr="008B66D5">
              <w:tc>
                <w:tcPr>
                  <w:tcW w:w="1390" w:type="dxa"/>
                </w:tcPr>
                <w:p w14:paraId="6E43541B" w14:textId="77777777" w:rsidR="00884D58" w:rsidRDefault="00884D58" w:rsidP="00BA7F4F">
                  <w:pPr>
                    <w:pStyle w:val="TableText"/>
                  </w:pPr>
                  <w:r>
                    <w:t>Declared content (g/kg)</w:t>
                  </w:r>
                </w:p>
              </w:tc>
              <w:tc>
                <w:tcPr>
                  <w:tcW w:w="1390" w:type="dxa"/>
                </w:tcPr>
                <w:p w14:paraId="27FE8B84" w14:textId="77777777" w:rsidR="00884D58" w:rsidRDefault="00884D58" w:rsidP="00BA7F4F">
                  <w:pPr>
                    <w:pStyle w:val="TableText"/>
                  </w:pPr>
                  <w:r>
                    <w:t>Allowable deviation from declared content</w:t>
                  </w:r>
                </w:p>
              </w:tc>
            </w:tr>
            <w:tr w:rsidR="00884D58" w14:paraId="7298ABF3" w14:textId="77777777" w:rsidTr="008B66D5">
              <w:tc>
                <w:tcPr>
                  <w:tcW w:w="1390" w:type="dxa"/>
                </w:tcPr>
                <w:p w14:paraId="55C4E4A9" w14:textId="77777777" w:rsidR="00884D58" w:rsidRDefault="00884D58" w:rsidP="00BA7F4F">
                  <w:pPr>
                    <w:pStyle w:val="TableText"/>
                  </w:pPr>
                  <w:r>
                    <w:t>Up to 25</w:t>
                  </w:r>
                </w:p>
              </w:tc>
              <w:tc>
                <w:tcPr>
                  <w:tcW w:w="1390" w:type="dxa"/>
                </w:tcPr>
                <w:p w14:paraId="7D850188" w14:textId="77777777" w:rsidR="00884D58" w:rsidRDefault="00884D58" w:rsidP="00BA7F4F">
                  <w:pPr>
                    <w:pStyle w:val="TableText"/>
                  </w:pPr>
                  <w:r>
                    <w:t>± 15%</w:t>
                  </w:r>
                </w:p>
              </w:tc>
            </w:tr>
            <w:tr w:rsidR="00884D58" w14:paraId="79FC85CF" w14:textId="77777777" w:rsidTr="008B66D5">
              <w:tc>
                <w:tcPr>
                  <w:tcW w:w="1390" w:type="dxa"/>
                </w:tcPr>
                <w:p w14:paraId="660978B2" w14:textId="77777777" w:rsidR="00884D58" w:rsidRDefault="00884D58" w:rsidP="00BA7F4F">
                  <w:pPr>
                    <w:pStyle w:val="TableText"/>
                  </w:pPr>
                  <w:r>
                    <w:t>More than 25, up to 100</w:t>
                  </w:r>
                </w:p>
              </w:tc>
              <w:tc>
                <w:tcPr>
                  <w:tcW w:w="1390" w:type="dxa"/>
                </w:tcPr>
                <w:p w14:paraId="14682267" w14:textId="77777777" w:rsidR="00884D58" w:rsidRDefault="00884D58" w:rsidP="00BA7F4F">
                  <w:pPr>
                    <w:pStyle w:val="TableText"/>
                  </w:pPr>
                  <w:r>
                    <w:t>± 10%</w:t>
                  </w:r>
                </w:p>
              </w:tc>
            </w:tr>
          </w:tbl>
          <w:p w14:paraId="67A63F79" w14:textId="77777777" w:rsidR="00884D58" w:rsidRDefault="00884D58" w:rsidP="00BA7F4F">
            <w:pPr>
              <w:pStyle w:val="TableText"/>
            </w:pPr>
          </w:p>
        </w:tc>
      </w:tr>
    </w:tbl>
    <w:p w14:paraId="7D8C0C43" w14:textId="52D2F336" w:rsidR="00367F74" w:rsidRDefault="00367F74" w:rsidP="00367F74">
      <w:pPr>
        <w:pStyle w:val="NormalText"/>
      </w:pPr>
      <w:r>
        <w:t xml:space="preserve">The continued approval of the current difenacoum active constituents listed in </w:t>
      </w:r>
      <w:r>
        <w:fldChar w:fldCharType="begin"/>
      </w:r>
      <w:r>
        <w:instrText xml:space="preserve"> REF _Ref214964219 \h </w:instrText>
      </w:r>
      <w:r>
        <w:fldChar w:fldCharType="separate"/>
      </w:r>
      <w:r w:rsidR="003861AC">
        <w:t xml:space="preserve">Table </w:t>
      </w:r>
      <w:r w:rsidR="003861AC">
        <w:rPr>
          <w:noProof/>
        </w:rPr>
        <w:t>18</w:t>
      </w:r>
      <w:r>
        <w:fldChar w:fldCharType="end"/>
      </w:r>
      <w:r>
        <w:t xml:space="preserve"> is supported in this chemistry and manufacture risk assessment, subject to:</w:t>
      </w:r>
    </w:p>
    <w:p w14:paraId="44D369BB" w14:textId="5623A405" w:rsidR="00367F74" w:rsidRDefault="00367F74" w:rsidP="00284BE8">
      <w:pPr>
        <w:pStyle w:val="Bullet1"/>
      </w:pPr>
      <w:r>
        <w:lastRenderedPageBreak/>
        <w:t xml:space="preserve">The composition and purity of the relevant active constituent is confirmed by the holders, as noted in </w:t>
      </w:r>
      <w:r>
        <w:fldChar w:fldCharType="begin"/>
      </w:r>
      <w:r>
        <w:instrText xml:space="preserve"> REF _Ref214964219 \h </w:instrText>
      </w:r>
      <w:r>
        <w:fldChar w:fldCharType="separate"/>
      </w:r>
      <w:r w:rsidR="003861AC">
        <w:t xml:space="preserve">Table </w:t>
      </w:r>
      <w:r w:rsidR="003861AC">
        <w:rPr>
          <w:noProof/>
        </w:rPr>
        <w:t>18</w:t>
      </w:r>
      <w:r>
        <w:fldChar w:fldCharType="end"/>
      </w:r>
      <w:r>
        <w:t xml:space="preserve"> above, and appropriate supporting information is provided as required. The APVMA Record for difenacoum active constituents are updated as required.</w:t>
      </w:r>
    </w:p>
    <w:p w14:paraId="7A32A551" w14:textId="77777777" w:rsidR="00884D58" w:rsidRDefault="00884D58" w:rsidP="00377F3A">
      <w:pPr>
        <w:pStyle w:val="Heading3"/>
      </w:pPr>
      <w:bookmarkStart w:id="108" w:name="_Toc214025464"/>
      <w:bookmarkStart w:id="109" w:name="_Toc216695548"/>
      <w:r>
        <w:t>Active constituent - Difethialone</w:t>
      </w:r>
      <w:bookmarkEnd w:id="108"/>
      <w:bookmarkEnd w:id="109"/>
    </w:p>
    <w:p w14:paraId="03FD0D24" w14:textId="3B4923E3" w:rsidR="00884D58" w:rsidRDefault="00884D58" w:rsidP="00884D58">
      <w:pPr>
        <w:pStyle w:val="NormalText"/>
      </w:pPr>
      <w:r>
        <w:t>Difethialone is a benzothiinone analogue of a hydroxycoumarin second generation anticoagulant rodenticide</w:t>
      </w:r>
      <w:r w:rsidR="00783780">
        <w:t xml:space="preserve"> (reviewed in BCPC, 2016)</w:t>
      </w:r>
      <w:r>
        <w:t xml:space="preserve">. It was first reported in 1986 (Redfern R., </w:t>
      </w:r>
      <w:r w:rsidR="00B7183A" w:rsidRPr="00B7183A">
        <w:rPr>
          <w:i/>
          <w:iCs/>
        </w:rPr>
        <w:t>et al</w:t>
      </w:r>
      <w:r>
        <w:t>., 1976).</w:t>
      </w:r>
    </w:p>
    <w:p w14:paraId="1DEDC32C" w14:textId="7C30E4BF" w:rsidR="00884D58" w:rsidRDefault="00884D58" w:rsidP="00884D58">
      <w:pPr>
        <w:pStyle w:val="Caption"/>
      </w:pPr>
      <w:bookmarkStart w:id="110" w:name="_Toc213945997"/>
      <w:bookmarkStart w:id="111" w:name="_Toc216695683"/>
      <w:r>
        <w:t xml:space="preserve">Table </w:t>
      </w:r>
      <w:r>
        <w:fldChar w:fldCharType="begin"/>
      </w:r>
      <w:r>
        <w:instrText xml:space="preserve"> SEQ Table \* ARABIC </w:instrText>
      </w:r>
      <w:r>
        <w:fldChar w:fldCharType="separate"/>
      </w:r>
      <w:r w:rsidR="003861AC">
        <w:rPr>
          <w:noProof/>
        </w:rPr>
        <w:t>21</w:t>
      </w:r>
      <w:r>
        <w:rPr>
          <w:noProof/>
        </w:rPr>
        <w:fldChar w:fldCharType="end"/>
      </w:r>
      <w:r>
        <w:rPr>
          <w:noProof/>
        </w:rPr>
        <w:t>:</w:t>
      </w:r>
      <w:r>
        <w:t xml:space="preserve"> Nomenclature and structural formula of the active constituent difethialone</w:t>
      </w:r>
      <w:bookmarkEnd w:id="110"/>
      <w:bookmarkEnd w:id="111"/>
    </w:p>
    <w:tbl>
      <w:tblPr>
        <w:tblpPr w:leftFromText="180" w:rightFromText="180" w:vertAnchor="text" w:horzAnchor="margin" w:tblpY="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6893"/>
      </w:tblGrid>
      <w:tr w:rsidR="00884D58" w:rsidRPr="002D1539" w14:paraId="1E571C72" w14:textId="77777777" w:rsidTr="00BE6FB2">
        <w:tc>
          <w:tcPr>
            <w:tcW w:w="2429" w:type="dxa"/>
            <w:shd w:val="clear" w:color="auto" w:fill="53284F"/>
          </w:tcPr>
          <w:p w14:paraId="45651F17" w14:textId="77777777" w:rsidR="00884D58" w:rsidRPr="00244B68" w:rsidRDefault="00884D58" w:rsidP="00BA7F4F">
            <w:pPr>
              <w:pStyle w:val="TableHead"/>
            </w:pPr>
            <w:r w:rsidRPr="00244B68">
              <w:rPr>
                <w:lang w:val="en-US"/>
              </w:rPr>
              <w:t>Common Name</w:t>
            </w:r>
          </w:p>
        </w:tc>
        <w:tc>
          <w:tcPr>
            <w:tcW w:w="6893" w:type="dxa"/>
          </w:tcPr>
          <w:p w14:paraId="5366805C" w14:textId="77777777" w:rsidR="00884D58" w:rsidRPr="002D1539" w:rsidRDefault="00884D58" w:rsidP="00BA7F4F">
            <w:pPr>
              <w:pStyle w:val="TableText"/>
              <w:rPr>
                <w:lang w:val="en-US"/>
              </w:rPr>
            </w:pPr>
            <w:r>
              <w:rPr>
                <w:lang w:val="en-US"/>
              </w:rPr>
              <w:t>Difethialone (ISO 1750)</w:t>
            </w:r>
          </w:p>
        </w:tc>
      </w:tr>
      <w:tr w:rsidR="00884D58" w:rsidRPr="002D1539" w14:paraId="0985C176" w14:textId="77777777" w:rsidTr="00BE6FB2">
        <w:tc>
          <w:tcPr>
            <w:tcW w:w="2429" w:type="dxa"/>
            <w:shd w:val="clear" w:color="auto" w:fill="53284F"/>
          </w:tcPr>
          <w:p w14:paraId="0EEAFEC9" w14:textId="77777777" w:rsidR="00884D58" w:rsidRPr="00244B68" w:rsidRDefault="00884D58" w:rsidP="00BA7F4F">
            <w:pPr>
              <w:pStyle w:val="TableHead"/>
              <w:rPr>
                <w:lang w:val="en-US"/>
              </w:rPr>
            </w:pPr>
            <w:r w:rsidRPr="00244B68">
              <w:rPr>
                <w:lang w:val="en-US"/>
              </w:rPr>
              <w:t>IUPAC Name</w:t>
            </w:r>
          </w:p>
        </w:tc>
        <w:tc>
          <w:tcPr>
            <w:tcW w:w="6893" w:type="dxa"/>
          </w:tcPr>
          <w:p w14:paraId="683D0F6D" w14:textId="77777777" w:rsidR="00884D58" w:rsidRPr="002D1539" w:rsidRDefault="00884D58" w:rsidP="00BA7F4F">
            <w:pPr>
              <w:pStyle w:val="TableText"/>
              <w:rPr>
                <w:lang w:val="en-US"/>
              </w:rPr>
            </w:pPr>
            <w:r w:rsidRPr="001819C2">
              <w:t>3-[(1</w:t>
            </w:r>
            <w:r w:rsidRPr="001819C2">
              <w:rPr>
                <w:i/>
                <w:iCs/>
              </w:rPr>
              <w:t>RS</w:t>
            </w:r>
            <w:r w:rsidRPr="001819C2">
              <w:t>,3</w:t>
            </w:r>
            <w:r w:rsidRPr="001819C2">
              <w:rPr>
                <w:i/>
                <w:iCs/>
              </w:rPr>
              <w:t>RS</w:t>
            </w:r>
            <w:r w:rsidRPr="001819C2">
              <w:t>;1</w:t>
            </w:r>
            <w:r w:rsidRPr="001819C2">
              <w:rPr>
                <w:i/>
                <w:iCs/>
              </w:rPr>
              <w:t>RS</w:t>
            </w:r>
            <w:r w:rsidRPr="001819C2">
              <w:t>,3</w:t>
            </w:r>
            <w:r w:rsidRPr="001819C2">
              <w:rPr>
                <w:i/>
                <w:iCs/>
              </w:rPr>
              <w:t>SR</w:t>
            </w:r>
            <w:r w:rsidRPr="001819C2">
              <w:t>)-3-(4′-bromobiphenyl-4-yl)-1,2,3,4-tetrahydro-1-naphthyl]-4-hydroxy-1-benzothiin-2-one containing 0–15% of the (1</w:t>
            </w:r>
            <w:r w:rsidRPr="001819C2">
              <w:rPr>
                <w:i/>
                <w:iCs/>
              </w:rPr>
              <w:t>RS</w:t>
            </w:r>
            <w:r w:rsidRPr="001819C2">
              <w:t>,3</w:t>
            </w:r>
            <w:r w:rsidRPr="001819C2">
              <w:rPr>
                <w:i/>
                <w:iCs/>
              </w:rPr>
              <w:t>RS</w:t>
            </w:r>
            <w:r w:rsidRPr="001819C2">
              <w:t>)-racemate and 85–100% of the (1</w:t>
            </w:r>
            <w:r w:rsidRPr="001819C2">
              <w:rPr>
                <w:i/>
                <w:iCs/>
              </w:rPr>
              <w:t>RS</w:t>
            </w:r>
            <w:r w:rsidRPr="001819C2">
              <w:t>,3</w:t>
            </w:r>
            <w:r w:rsidRPr="001819C2">
              <w:rPr>
                <w:i/>
                <w:iCs/>
              </w:rPr>
              <w:t>SR</w:t>
            </w:r>
            <w:r w:rsidRPr="001819C2">
              <w:t>)-racemate</w:t>
            </w:r>
          </w:p>
        </w:tc>
      </w:tr>
      <w:tr w:rsidR="00884D58" w:rsidRPr="002D1539" w14:paraId="646A9BCE" w14:textId="77777777" w:rsidTr="00BE6FB2">
        <w:tc>
          <w:tcPr>
            <w:tcW w:w="2429" w:type="dxa"/>
            <w:shd w:val="clear" w:color="auto" w:fill="53284F"/>
          </w:tcPr>
          <w:p w14:paraId="6B5B7ED1" w14:textId="77777777" w:rsidR="00884D58" w:rsidRPr="00244B68" w:rsidRDefault="00884D58" w:rsidP="00BA7F4F">
            <w:pPr>
              <w:pStyle w:val="TableHead"/>
              <w:rPr>
                <w:lang w:val="en-US"/>
              </w:rPr>
            </w:pPr>
            <w:r w:rsidRPr="00244B68">
              <w:rPr>
                <w:lang w:val="en-US"/>
              </w:rPr>
              <w:t>CAS Name</w:t>
            </w:r>
          </w:p>
        </w:tc>
        <w:tc>
          <w:tcPr>
            <w:tcW w:w="6893" w:type="dxa"/>
          </w:tcPr>
          <w:p w14:paraId="301D058C" w14:textId="77777777" w:rsidR="00884D58" w:rsidRPr="002D1539" w:rsidRDefault="00884D58" w:rsidP="00BA7F4F">
            <w:pPr>
              <w:pStyle w:val="TableText"/>
              <w:rPr>
                <w:lang w:val="en-US"/>
              </w:rPr>
            </w:pPr>
            <w:r w:rsidRPr="00EA3D3A">
              <w:t>3-[3-(4′-bromo[1,1′-biphenyl]-4-yl)-1,2,3,4-tetrahydro-1-naphthalenyl]-4-hydroxy-2</w:t>
            </w:r>
            <w:r w:rsidRPr="00EA3D3A">
              <w:rPr>
                <w:i/>
                <w:iCs/>
              </w:rPr>
              <w:t>H</w:t>
            </w:r>
            <w:r w:rsidRPr="00EA3D3A">
              <w:t>-1-benzothiopyran-2-one</w:t>
            </w:r>
          </w:p>
        </w:tc>
      </w:tr>
      <w:tr w:rsidR="00884D58" w:rsidRPr="002D1539" w14:paraId="60E5F554" w14:textId="77777777" w:rsidTr="00BE6FB2">
        <w:tc>
          <w:tcPr>
            <w:tcW w:w="2429" w:type="dxa"/>
            <w:shd w:val="clear" w:color="auto" w:fill="53284F"/>
          </w:tcPr>
          <w:p w14:paraId="68E826C5" w14:textId="77777777" w:rsidR="00884D58" w:rsidRPr="00244B68" w:rsidRDefault="00884D58" w:rsidP="00BA7F4F">
            <w:pPr>
              <w:pStyle w:val="TableHead"/>
              <w:rPr>
                <w:lang w:val="en-US"/>
              </w:rPr>
            </w:pPr>
            <w:r w:rsidRPr="00244B68">
              <w:rPr>
                <w:lang w:val="en-US"/>
              </w:rPr>
              <w:t>CAS Registry Number</w:t>
            </w:r>
          </w:p>
        </w:tc>
        <w:tc>
          <w:tcPr>
            <w:tcW w:w="6893" w:type="dxa"/>
          </w:tcPr>
          <w:p w14:paraId="2D2433DA" w14:textId="77777777" w:rsidR="00884D58" w:rsidRPr="002D1539" w:rsidRDefault="00884D58" w:rsidP="00BA7F4F">
            <w:pPr>
              <w:pStyle w:val="TableText"/>
              <w:rPr>
                <w:lang w:val="en-US"/>
              </w:rPr>
            </w:pPr>
            <w:r>
              <w:rPr>
                <w:lang w:val="en-US"/>
              </w:rPr>
              <w:t>104653-34-1</w:t>
            </w:r>
          </w:p>
        </w:tc>
      </w:tr>
      <w:tr w:rsidR="00884D58" w:rsidRPr="002D1539" w14:paraId="642A927C" w14:textId="77777777" w:rsidTr="00BE6FB2">
        <w:tc>
          <w:tcPr>
            <w:tcW w:w="2429" w:type="dxa"/>
            <w:shd w:val="clear" w:color="auto" w:fill="53284F"/>
          </w:tcPr>
          <w:p w14:paraId="71018E20" w14:textId="77777777" w:rsidR="00884D58" w:rsidRPr="00244B68" w:rsidRDefault="00884D58" w:rsidP="00BA7F4F">
            <w:pPr>
              <w:pStyle w:val="TableHead"/>
              <w:rPr>
                <w:lang w:val="en-US"/>
              </w:rPr>
            </w:pPr>
            <w:r w:rsidRPr="00244B68">
              <w:rPr>
                <w:lang w:val="en-US"/>
              </w:rPr>
              <w:t>EC Number</w:t>
            </w:r>
          </w:p>
        </w:tc>
        <w:tc>
          <w:tcPr>
            <w:tcW w:w="6893" w:type="dxa"/>
          </w:tcPr>
          <w:p w14:paraId="63B65011" w14:textId="77777777" w:rsidR="00884D58" w:rsidRPr="002D1539" w:rsidRDefault="00884D58" w:rsidP="00BA7F4F">
            <w:pPr>
              <w:pStyle w:val="TableText"/>
              <w:rPr>
                <w:lang w:val="en-US"/>
              </w:rPr>
            </w:pPr>
            <w:r>
              <w:rPr>
                <w:lang w:val="en-US"/>
              </w:rPr>
              <w:t>600-594-7</w:t>
            </w:r>
          </w:p>
        </w:tc>
      </w:tr>
      <w:tr w:rsidR="00884D58" w:rsidRPr="002D1539" w14:paraId="51C7B6BB" w14:textId="77777777" w:rsidTr="00BE6FB2">
        <w:tc>
          <w:tcPr>
            <w:tcW w:w="2429" w:type="dxa"/>
            <w:shd w:val="clear" w:color="auto" w:fill="53284F"/>
          </w:tcPr>
          <w:p w14:paraId="504297FB" w14:textId="77777777" w:rsidR="00884D58" w:rsidRPr="00244B68" w:rsidRDefault="00884D58" w:rsidP="00BA7F4F">
            <w:pPr>
              <w:pStyle w:val="TableHead"/>
              <w:rPr>
                <w:lang w:val="en-US"/>
              </w:rPr>
            </w:pPr>
            <w:r w:rsidRPr="00244B68">
              <w:rPr>
                <w:lang w:val="en-US"/>
              </w:rPr>
              <w:t>Molecular Formula</w:t>
            </w:r>
          </w:p>
        </w:tc>
        <w:tc>
          <w:tcPr>
            <w:tcW w:w="6893" w:type="dxa"/>
          </w:tcPr>
          <w:p w14:paraId="25CD5878" w14:textId="77777777" w:rsidR="00884D58" w:rsidRPr="002D1539" w:rsidRDefault="00884D58" w:rsidP="00BA7F4F">
            <w:pPr>
              <w:pStyle w:val="TableText"/>
              <w:rPr>
                <w:lang w:val="en-US"/>
              </w:rPr>
            </w:pPr>
            <w:r>
              <w:rPr>
                <w:lang w:val="en-US"/>
              </w:rPr>
              <w:t>C</w:t>
            </w:r>
            <w:r w:rsidRPr="00AA5403">
              <w:rPr>
                <w:vertAlign w:val="subscript"/>
                <w:lang w:val="en-US"/>
              </w:rPr>
              <w:t>31</w:t>
            </w:r>
            <w:r>
              <w:rPr>
                <w:lang w:val="en-US"/>
              </w:rPr>
              <w:t>H</w:t>
            </w:r>
            <w:r w:rsidRPr="00AA5403">
              <w:rPr>
                <w:vertAlign w:val="subscript"/>
                <w:lang w:val="en-US"/>
              </w:rPr>
              <w:t>2</w:t>
            </w:r>
            <w:r>
              <w:rPr>
                <w:vertAlign w:val="subscript"/>
                <w:lang w:val="en-US"/>
              </w:rPr>
              <w:t>3</w:t>
            </w:r>
            <w:r>
              <w:rPr>
                <w:lang w:val="en-US"/>
              </w:rPr>
              <w:t>BrO</w:t>
            </w:r>
            <w:r w:rsidRPr="001819C2">
              <w:rPr>
                <w:vertAlign w:val="subscript"/>
                <w:lang w:val="en-US"/>
              </w:rPr>
              <w:t>2</w:t>
            </w:r>
            <w:r>
              <w:rPr>
                <w:lang w:val="en-US"/>
              </w:rPr>
              <w:t>S</w:t>
            </w:r>
          </w:p>
        </w:tc>
      </w:tr>
      <w:tr w:rsidR="00884D58" w:rsidRPr="002D1539" w14:paraId="26BD097B" w14:textId="77777777" w:rsidTr="00BE6FB2">
        <w:tc>
          <w:tcPr>
            <w:tcW w:w="2429" w:type="dxa"/>
            <w:shd w:val="clear" w:color="auto" w:fill="53284F"/>
          </w:tcPr>
          <w:p w14:paraId="75B9F42E" w14:textId="77777777" w:rsidR="00884D58" w:rsidRPr="00244B68" w:rsidRDefault="00884D58" w:rsidP="00BA7F4F">
            <w:pPr>
              <w:pStyle w:val="TableHead"/>
              <w:rPr>
                <w:lang w:val="en-US"/>
              </w:rPr>
            </w:pPr>
            <w:r w:rsidRPr="00244B68">
              <w:rPr>
                <w:lang w:val="en-US"/>
              </w:rPr>
              <w:t>Molecular Weight</w:t>
            </w:r>
          </w:p>
        </w:tc>
        <w:tc>
          <w:tcPr>
            <w:tcW w:w="6893" w:type="dxa"/>
          </w:tcPr>
          <w:p w14:paraId="79D97727" w14:textId="77777777" w:rsidR="00884D58" w:rsidRPr="002D1539" w:rsidRDefault="00884D58" w:rsidP="00BA7F4F">
            <w:pPr>
              <w:pStyle w:val="TableText"/>
              <w:rPr>
                <w:lang w:val="en-US"/>
              </w:rPr>
            </w:pPr>
            <w:r>
              <w:rPr>
                <w:lang w:val="en-US"/>
              </w:rPr>
              <w:t>539.5 gmol</w:t>
            </w:r>
            <w:r w:rsidRPr="00AA5403">
              <w:rPr>
                <w:vertAlign w:val="superscript"/>
                <w:lang w:val="en-US"/>
              </w:rPr>
              <w:t>-1</w:t>
            </w:r>
          </w:p>
        </w:tc>
      </w:tr>
      <w:tr w:rsidR="00884D58" w:rsidRPr="002A150C" w14:paraId="6F399BC0" w14:textId="77777777" w:rsidTr="00BE6FB2">
        <w:trPr>
          <w:trHeight w:val="3251"/>
        </w:trPr>
        <w:tc>
          <w:tcPr>
            <w:tcW w:w="2429" w:type="dxa"/>
            <w:shd w:val="clear" w:color="auto" w:fill="53284F"/>
          </w:tcPr>
          <w:p w14:paraId="3D218654" w14:textId="77777777" w:rsidR="00884D58" w:rsidRPr="00244B68" w:rsidRDefault="00884D58" w:rsidP="00BA7F4F">
            <w:pPr>
              <w:pStyle w:val="TableHead"/>
              <w:rPr>
                <w:lang w:val="en-US"/>
              </w:rPr>
            </w:pPr>
            <w:r w:rsidRPr="00244B68">
              <w:rPr>
                <w:lang w:val="en-US"/>
              </w:rPr>
              <w:t>Structure</w:t>
            </w:r>
          </w:p>
        </w:tc>
        <w:tc>
          <w:tcPr>
            <w:tcW w:w="6893" w:type="dxa"/>
          </w:tcPr>
          <w:p w14:paraId="4A2B2BC4" w14:textId="77777777" w:rsidR="00884D58" w:rsidRDefault="00884D58" w:rsidP="00BE6FB2">
            <w:pPr>
              <w:spacing w:line="210" w:lineRule="exact"/>
              <w:rPr>
                <w:spacing w:val="6"/>
              </w:rPr>
            </w:pPr>
          </w:p>
          <w:p w14:paraId="753AE394" w14:textId="77777777" w:rsidR="00884D58" w:rsidRPr="002A150C" w:rsidRDefault="00884D58" w:rsidP="00BE6FB2">
            <w:pPr>
              <w:spacing w:line="210" w:lineRule="exact"/>
              <w:rPr>
                <w:spacing w:val="6"/>
              </w:rPr>
            </w:pPr>
            <w:r w:rsidRPr="00EA3D3A">
              <w:rPr>
                <w:noProof/>
                <w:spacing w:val="6"/>
              </w:rPr>
              <w:drawing>
                <wp:anchor distT="0" distB="0" distL="114300" distR="114300" simplePos="0" relativeHeight="251674624" behindDoc="0" locked="0" layoutInCell="1" allowOverlap="1" wp14:anchorId="591C416B" wp14:editId="2C0679B8">
                  <wp:simplePos x="0" y="0"/>
                  <wp:positionH relativeFrom="column">
                    <wp:posOffset>-1905</wp:posOffset>
                  </wp:positionH>
                  <wp:positionV relativeFrom="paragraph">
                    <wp:posOffset>-133350</wp:posOffset>
                  </wp:positionV>
                  <wp:extent cx="4064400" cy="2300400"/>
                  <wp:effectExtent l="0" t="0" r="0" b="5080"/>
                  <wp:wrapSquare wrapText="bothSides"/>
                  <wp:docPr id="908995544"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409" name="Picture 1" descr="A structure of a chemical formula&#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4064400" cy="2300400"/>
                          </a:xfrm>
                          <a:prstGeom prst="rect">
                            <a:avLst/>
                          </a:prstGeom>
                        </pic:spPr>
                      </pic:pic>
                    </a:graphicData>
                  </a:graphic>
                  <wp14:sizeRelH relativeFrom="margin">
                    <wp14:pctWidth>0</wp14:pctWidth>
                  </wp14:sizeRelH>
                  <wp14:sizeRelV relativeFrom="margin">
                    <wp14:pctHeight>0</wp14:pctHeight>
                  </wp14:sizeRelV>
                </wp:anchor>
              </w:drawing>
            </w:r>
          </w:p>
        </w:tc>
      </w:tr>
      <w:tr w:rsidR="00884D58" w:rsidRPr="002D1539" w14:paraId="0DEF8B61" w14:textId="77777777" w:rsidTr="00BE6FB2">
        <w:tc>
          <w:tcPr>
            <w:tcW w:w="2429" w:type="dxa"/>
            <w:shd w:val="clear" w:color="auto" w:fill="53284F"/>
          </w:tcPr>
          <w:p w14:paraId="1018FFAD" w14:textId="77777777" w:rsidR="00884D58" w:rsidRPr="00244B68" w:rsidRDefault="00884D58" w:rsidP="00BA7F4F">
            <w:pPr>
              <w:pStyle w:val="TableHead"/>
              <w:rPr>
                <w:lang w:val="en-US"/>
              </w:rPr>
            </w:pPr>
            <w:r w:rsidRPr="00244B68">
              <w:rPr>
                <w:lang w:val="en-US"/>
              </w:rPr>
              <w:t>Chemical Family</w:t>
            </w:r>
          </w:p>
        </w:tc>
        <w:tc>
          <w:tcPr>
            <w:tcW w:w="6893" w:type="dxa"/>
          </w:tcPr>
          <w:p w14:paraId="2A154B1E" w14:textId="77777777" w:rsidR="00884D58" w:rsidRPr="002D1539" w:rsidRDefault="00884D58" w:rsidP="00BA7F4F">
            <w:pPr>
              <w:pStyle w:val="TableText"/>
              <w:rPr>
                <w:lang w:val="en-US"/>
              </w:rPr>
            </w:pPr>
            <w:r>
              <w:rPr>
                <w:lang w:val="en-US"/>
              </w:rPr>
              <w:t>hydroxycoumarin</w:t>
            </w:r>
            <w:r w:rsidRPr="002D1539">
              <w:rPr>
                <w:lang w:val="en-US"/>
              </w:rPr>
              <w:tab/>
            </w:r>
          </w:p>
        </w:tc>
      </w:tr>
    </w:tbl>
    <w:p w14:paraId="39C2B4AC" w14:textId="3B04441B" w:rsidR="00884D58" w:rsidRDefault="00884D58" w:rsidP="00884D58">
      <w:pPr>
        <w:pStyle w:val="Caption"/>
      </w:pPr>
      <w:bookmarkStart w:id="112" w:name="_Toc213945998"/>
      <w:bookmarkStart w:id="113" w:name="_Toc216695684"/>
      <w:r>
        <w:lastRenderedPageBreak/>
        <w:t xml:space="preserve">Table </w:t>
      </w:r>
      <w:r>
        <w:fldChar w:fldCharType="begin"/>
      </w:r>
      <w:r>
        <w:instrText xml:space="preserve"> SEQ Table \* ARABIC </w:instrText>
      </w:r>
      <w:r>
        <w:fldChar w:fldCharType="separate"/>
      </w:r>
      <w:r w:rsidR="003861AC">
        <w:rPr>
          <w:noProof/>
        </w:rPr>
        <w:t>22</w:t>
      </w:r>
      <w:r>
        <w:rPr>
          <w:noProof/>
        </w:rPr>
        <w:fldChar w:fldCharType="end"/>
      </w:r>
      <w:r>
        <w:rPr>
          <w:noProof/>
        </w:rPr>
        <w:t>:</w:t>
      </w:r>
      <w:r>
        <w:t xml:space="preserve"> Key physicochemical properties of the active constituent difethialone</w:t>
      </w:r>
      <w:bookmarkEnd w:id="112"/>
      <w:bookmarkEnd w:id="113"/>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557"/>
        <w:gridCol w:w="3112"/>
      </w:tblGrid>
      <w:tr w:rsidR="00884D58" w:rsidRPr="002A150C" w14:paraId="5737FD7A" w14:textId="77777777" w:rsidTr="00533B55">
        <w:tc>
          <w:tcPr>
            <w:tcW w:w="1537" w:type="pct"/>
            <w:shd w:val="clear" w:color="auto" w:fill="53284F"/>
          </w:tcPr>
          <w:p w14:paraId="7D99F94E" w14:textId="77777777" w:rsidR="00884D58" w:rsidRPr="002D1539" w:rsidRDefault="00884D58" w:rsidP="00BA7F4F">
            <w:pPr>
              <w:pStyle w:val="TableHead"/>
              <w:rPr>
                <w:lang w:val="en-US"/>
              </w:rPr>
            </w:pPr>
            <w:r w:rsidRPr="002D1539">
              <w:rPr>
                <w:lang w:val="en-US"/>
              </w:rPr>
              <w:t>Parameters</w:t>
            </w:r>
          </w:p>
        </w:tc>
        <w:tc>
          <w:tcPr>
            <w:tcW w:w="1847" w:type="pct"/>
            <w:shd w:val="clear" w:color="auto" w:fill="53284F"/>
          </w:tcPr>
          <w:p w14:paraId="16FE28D7" w14:textId="77777777" w:rsidR="00884D58" w:rsidRPr="002D1539" w:rsidRDefault="00884D58" w:rsidP="00BA7F4F">
            <w:pPr>
              <w:pStyle w:val="TableHead"/>
              <w:rPr>
                <w:lang w:val="en-US"/>
              </w:rPr>
            </w:pPr>
            <w:r w:rsidRPr="002D1539">
              <w:rPr>
                <w:lang w:val="en-US"/>
              </w:rPr>
              <w:t>Properties</w:t>
            </w:r>
          </w:p>
        </w:tc>
        <w:tc>
          <w:tcPr>
            <w:tcW w:w="1616" w:type="pct"/>
            <w:shd w:val="clear" w:color="auto" w:fill="53284F"/>
          </w:tcPr>
          <w:p w14:paraId="2F716B31" w14:textId="77777777" w:rsidR="00884D58" w:rsidRPr="002D1539" w:rsidRDefault="00884D58" w:rsidP="00BA7F4F">
            <w:pPr>
              <w:pStyle w:val="TableHead"/>
              <w:rPr>
                <w:lang w:val="en-US"/>
              </w:rPr>
            </w:pPr>
            <w:r>
              <w:rPr>
                <w:lang w:val="en-US"/>
              </w:rPr>
              <w:t>Data source</w:t>
            </w:r>
          </w:p>
        </w:tc>
      </w:tr>
      <w:tr w:rsidR="00884D58" w:rsidRPr="002A150C" w14:paraId="25BCE3E7" w14:textId="77777777" w:rsidTr="00533B55">
        <w:tc>
          <w:tcPr>
            <w:tcW w:w="1537" w:type="pct"/>
            <w:shd w:val="clear" w:color="auto" w:fill="F0F4F5"/>
          </w:tcPr>
          <w:p w14:paraId="3E99FA1C" w14:textId="77777777" w:rsidR="00884D58" w:rsidRPr="00244B68" w:rsidRDefault="00884D58" w:rsidP="00BA7F4F">
            <w:pPr>
              <w:pStyle w:val="TableText"/>
              <w:rPr>
                <w:lang w:val="en-US"/>
              </w:rPr>
            </w:pPr>
            <w:r>
              <w:rPr>
                <w:lang w:val="en-US"/>
              </w:rPr>
              <w:t>Appearance</w:t>
            </w:r>
          </w:p>
        </w:tc>
        <w:tc>
          <w:tcPr>
            <w:tcW w:w="1847" w:type="pct"/>
          </w:tcPr>
          <w:p w14:paraId="341CCECD" w14:textId="77777777" w:rsidR="00884D58" w:rsidRPr="002D1539" w:rsidRDefault="00884D58" w:rsidP="00BA7F4F">
            <w:pPr>
              <w:pStyle w:val="TableText"/>
              <w:rPr>
                <w:lang w:val="en-US"/>
              </w:rPr>
            </w:pPr>
            <w:r>
              <w:rPr>
                <w:lang w:val="en-US"/>
              </w:rPr>
              <w:t>White to slightly yellowish powder</w:t>
            </w:r>
          </w:p>
        </w:tc>
        <w:tc>
          <w:tcPr>
            <w:tcW w:w="1616" w:type="pct"/>
          </w:tcPr>
          <w:p w14:paraId="50366504" w14:textId="77777777" w:rsidR="00884D58" w:rsidRDefault="00884D58" w:rsidP="00BA7F4F">
            <w:pPr>
              <w:pStyle w:val="TableText"/>
              <w:rPr>
                <w:lang w:val="en-US"/>
              </w:rPr>
            </w:pPr>
            <w:r w:rsidRPr="00E078CC">
              <w:t>BCPC, 2016</w:t>
            </w:r>
          </w:p>
        </w:tc>
      </w:tr>
      <w:tr w:rsidR="00884D58" w:rsidRPr="002A150C" w14:paraId="0B3F10E5" w14:textId="77777777" w:rsidTr="00533B55">
        <w:tc>
          <w:tcPr>
            <w:tcW w:w="1537" w:type="pct"/>
            <w:shd w:val="clear" w:color="auto" w:fill="F0F4F5"/>
          </w:tcPr>
          <w:p w14:paraId="6B25507F" w14:textId="77777777" w:rsidR="00884D58" w:rsidRPr="00244B68" w:rsidRDefault="00884D58" w:rsidP="00BA7F4F">
            <w:pPr>
              <w:pStyle w:val="TableText"/>
              <w:rPr>
                <w:lang w:val="en-US"/>
              </w:rPr>
            </w:pPr>
            <w:r w:rsidRPr="00244B68">
              <w:rPr>
                <w:lang w:val="en-US"/>
              </w:rPr>
              <w:t>Melting point</w:t>
            </w:r>
          </w:p>
        </w:tc>
        <w:tc>
          <w:tcPr>
            <w:tcW w:w="1847" w:type="pct"/>
          </w:tcPr>
          <w:p w14:paraId="118DFC3E" w14:textId="77777777" w:rsidR="00884D58" w:rsidRPr="002D1539" w:rsidRDefault="00884D58" w:rsidP="00BA7F4F">
            <w:pPr>
              <w:pStyle w:val="TableText"/>
              <w:rPr>
                <w:lang w:val="en-US"/>
              </w:rPr>
            </w:pPr>
            <w:r>
              <w:rPr>
                <w:lang w:val="en-US"/>
              </w:rPr>
              <w:t xml:space="preserve">233-236 </w:t>
            </w:r>
            <w:r w:rsidRPr="002D1539">
              <w:rPr>
                <w:lang w:val="en-US"/>
              </w:rPr>
              <w:t>°C</w:t>
            </w:r>
          </w:p>
        </w:tc>
        <w:tc>
          <w:tcPr>
            <w:tcW w:w="1616" w:type="pct"/>
          </w:tcPr>
          <w:p w14:paraId="0F12A3C7" w14:textId="77777777" w:rsidR="00884D58" w:rsidRDefault="00884D58" w:rsidP="00BA7F4F">
            <w:pPr>
              <w:pStyle w:val="TableText"/>
              <w:rPr>
                <w:lang w:val="en-US"/>
              </w:rPr>
            </w:pPr>
            <w:r w:rsidRPr="00D130E6">
              <w:t>BCPC, 2016</w:t>
            </w:r>
          </w:p>
        </w:tc>
      </w:tr>
      <w:tr w:rsidR="00884D58" w:rsidRPr="002A150C" w14:paraId="4C5E6ED4" w14:textId="77777777" w:rsidTr="00533B55">
        <w:tc>
          <w:tcPr>
            <w:tcW w:w="1537" w:type="pct"/>
            <w:shd w:val="clear" w:color="auto" w:fill="F0F4F5"/>
          </w:tcPr>
          <w:p w14:paraId="7FE33142" w14:textId="77777777" w:rsidR="00884D58" w:rsidRPr="00244B68" w:rsidRDefault="00884D58" w:rsidP="00BA7F4F">
            <w:pPr>
              <w:pStyle w:val="TableText"/>
              <w:rPr>
                <w:lang w:val="en-US"/>
              </w:rPr>
            </w:pPr>
            <w:r>
              <w:rPr>
                <w:lang w:val="en-US"/>
              </w:rPr>
              <w:t>Specific gravity</w:t>
            </w:r>
            <w:r w:rsidRPr="00244B68">
              <w:rPr>
                <w:lang w:val="en-US"/>
              </w:rPr>
              <w:t xml:space="preserve"> </w:t>
            </w:r>
          </w:p>
        </w:tc>
        <w:tc>
          <w:tcPr>
            <w:tcW w:w="1847" w:type="pct"/>
          </w:tcPr>
          <w:p w14:paraId="49E5B35A" w14:textId="77777777" w:rsidR="00884D58" w:rsidRPr="002D1539" w:rsidRDefault="00884D58" w:rsidP="00BA7F4F">
            <w:pPr>
              <w:pStyle w:val="TableText"/>
              <w:rPr>
                <w:lang w:val="en-US"/>
              </w:rPr>
            </w:pPr>
            <w:r>
              <w:rPr>
                <w:lang w:val="en-US"/>
              </w:rPr>
              <w:t xml:space="preserve">1.2614 (25 </w:t>
            </w:r>
            <w:r w:rsidRPr="002D1539">
              <w:rPr>
                <w:lang w:val="en-US"/>
              </w:rPr>
              <w:t>°C</w:t>
            </w:r>
            <w:r>
              <w:rPr>
                <w:lang w:val="en-US"/>
              </w:rPr>
              <w:t>)</w:t>
            </w:r>
          </w:p>
        </w:tc>
        <w:tc>
          <w:tcPr>
            <w:tcW w:w="1616" w:type="pct"/>
          </w:tcPr>
          <w:p w14:paraId="0C1E5FA3" w14:textId="77777777" w:rsidR="00884D58" w:rsidRDefault="00884D58" w:rsidP="00BA7F4F">
            <w:pPr>
              <w:pStyle w:val="TableText"/>
              <w:rPr>
                <w:lang w:val="en-US"/>
              </w:rPr>
            </w:pPr>
            <w:r w:rsidRPr="00D130E6">
              <w:t>BCPC, 2016</w:t>
            </w:r>
          </w:p>
        </w:tc>
      </w:tr>
      <w:tr w:rsidR="00884D58" w:rsidRPr="002A150C" w14:paraId="0DBBF3D3" w14:textId="77777777" w:rsidTr="00533B55">
        <w:tc>
          <w:tcPr>
            <w:tcW w:w="1537" w:type="pct"/>
            <w:shd w:val="clear" w:color="auto" w:fill="F0F4F5"/>
          </w:tcPr>
          <w:p w14:paraId="4AA4B761" w14:textId="77777777" w:rsidR="00884D58" w:rsidRPr="00244B68" w:rsidRDefault="00884D58" w:rsidP="00BA7F4F">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r>
              <w:rPr>
                <w:lang w:val="en-US"/>
              </w:rPr>
              <w:t xml:space="preserve"> </w:t>
            </w:r>
          </w:p>
        </w:tc>
        <w:tc>
          <w:tcPr>
            <w:tcW w:w="1847" w:type="pct"/>
          </w:tcPr>
          <w:p w14:paraId="2C1BDCF4" w14:textId="77777777" w:rsidR="00884D58" w:rsidRPr="002D1539" w:rsidRDefault="00884D58" w:rsidP="00BA7F4F">
            <w:pPr>
              <w:pStyle w:val="TableText"/>
              <w:rPr>
                <w:lang w:val="en-US"/>
              </w:rPr>
            </w:pPr>
            <w:r>
              <w:rPr>
                <w:lang w:val="en-US"/>
              </w:rPr>
              <w:t>5.17</w:t>
            </w:r>
          </w:p>
        </w:tc>
        <w:tc>
          <w:tcPr>
            <w:tcW w:w="1616" w:type="pct"/>
          </w:tcPr>
          <w:p w14:paraId="43F858E1" w14:textId="77777777" w:rsidR="00884D58" w:rsidRDefault="00884D58" w:rsidP="00BA7F4F">
            <w:pPr>
              <w:pStyle w:val="TableText"/>
              <w:rPr>
                <w:lang w:val="en-US"/>
              </w:rPr>
            </w:pPr>
            <w:r w:rsidRPr="00D130E6">
              <w:t>BCPC, 2016</w:t>
            </w:r>
          </w:p>
        </w:tc>
      </w:tr>
      <w:tr w:rsidR="00884D58" w:rsidRPr="002A150C" w14:paraId="0F64EA19" w14:textId="77777777" w:rsidTr="00533B55">
        <w:tc>
          <w:tcPr>
            <w:tcW w:w="1537" w:type="pct"/>
            <w:shd w:val="clear" w:color="auto" w:fill="F0F4F5"/>
          </w:tcPr>
          <w:p w14:paraId="413B7EF3" w14:textId="77777777" w:rsidR="00884D58" w:rsidRPr="00244B68" w:rsidRDefault="00884D58" w:rsidP="00BA7F4F">
            <w:pPr>
              <w:pStyle w:val="TableText"/>
              <w:rPr>
                <w:lang w:val="en-US"/>
              </w:rPr>
            </w:pPr>
            <w:r w:rsidRPr="00244B68">
              <w:rPr>
                <w:lang w:val="en-US"/>
              </w:rPr>
              <w:t>Vapour pressure</w:t>
            </w:r>
          </w:p>
        </w:tc>
        <w:tc>
          <w:tcPr>
            <w:tcW w:w="1847" w:type="pct"/>
          </w:tcPr>
          <w:p w14:paraId="22820A7E" w14:textId="77777777" w:rsidR="00884D58" w:rsidRPr="002D1539" w:rsidRDefault="00884D58" w:rsidP="00BA7F4F">
            <w:pPr>
              <w:pStyle w:val="TableText"/>
              <w:rPr>
                <w:lang w:val="en-US"/>
              </w:rPr>
            </w:pPr>
            <w:r>
              <w:rPr>
                <w:lang w:val="en-US"/>
              </w:rPr>
              <w:t xml:space="preserve">0.074 mPa (25 </w:t>
            </w:r>
            <w:r w:rsidRPr="002D1539">
              <w:rPr>
                <w:lang w:val="en-US"/>
              </w:rPr>
              <w:t>°C</w:t>
            </w:r>
            <w:r>
              <w:rPr>
                <w:lang w:val="en-US"/>
              </w:rPr>
              <w:t>)</w:t>
            </w:r>
          </w:p>
        </w:tc>
        <w:tc>
          <w:tcPr>
            <w:tcW w:w="1616" w:type="pct"/>
          </w:tcPr>
          <w:p w14:paraId="71D951EC" w14:textId="77777777" w:rsidR="00884D58" w:rsidRDefault="00884D58" w:rsidP="00BA7F4F">
            <w:pPr>
              <w:pStyle w:val="TableText"/>
              <w:rPr>
                <w:lang w:val="en-US"/>
              </w:rPr>
            </w:pPr>
            <w:r w:rsidRPr="00D130E6">
              <w:t>BCPC, 2016</w:t>
            </w:r>
          </w:p>
        </w:tc>
      </w:tr>
      <w:tr w:rsidR="00884D58" w:rsidRPr="002A150C" w14:paraId="7B41FE68" w14:textId="77777777" w:rsidTr="00533B55">
        <w:tc>
          <w:tcPr>
            <w:tcW w:w="1537" w:type="pct"/>
            <w:shd w:val="clear" w:color="auto" w:fill="F0F4F5"/>
          </w:tcPr>
          <w:p w14:paraId="69D66F59" w14:textId="77777777" w:rsidR="00884D58" w:rsidRPr="00244B68" w:rsidRDefault="00884D58" w:rsidP="00BA7F4F">
            <w:pPr>
              <w:pStyle w:val="TableText"/>
              <w:rPr>
                <w:lang w:val="en-US"/>
              </w:rPr>
            </w:pPr>
            <w:r>
              <w:rPr>
                <w:lang w:val="en-US"/>
              </w:rPr>
              <w:t>Henry’s Law Constant</w:t>
            </w:r>
          </w:p>
        </w:tc>
        <w:tc>
          <w:tcPr>
            <w:tcW w:w="1847" w:type="pct"/>
          </w:tcPr>
          <w:p w14:paraId="627A97C6" w14:textId="77777777" w:rsidR="00884D58" w:rsidRPr="000219A1" w:rsidRDefault="00884D58" w:rsidP="00BA7F4F">
            <w:pPr>
              <w:pStyle w:val="TableText"/>
              <w:rPr>
                <w:lang w:val="en-US"/>
              </w:rPr>
            </w:pPr>
            <w:r>
              <w:rPr>
                <w:lang w:val="en-US"/>
              </w:rPr>
              <w:t xml:space="preserve">0.102 (25 </w:t>
            </w:r>
            <w:r w:rsidRPr="002D1539">
              <w:rPr>
                <w:lang w:val="en-US"/>
              </w:rPr>
              <w:t>°C</w:t>
            </w:r>
            <w:r>
              <w:rPr>
                <w:lang w:val="en-US"/>
              </w:rPr>
              <w:t>, calculated)</w:t>
            </w:r>
          </w:p>
        </w:tc>
        <w:tc>
          <w:tcPr>
            <w:tcW w:w="1616" w:type="pct"/>
          </w:tcPr>
          <w:p w14:paraId="141D7D18" w14:textId="77777777" w:rsidR="00884D58" w:rsidRDefault="00884D58" w:rsidP="00BA7F4F">
            <w:pPr>
              <w:pStyle w:val="TableText"/>
              <w:rPr>
                <w:lang w:val="en-US"/>
              </w:rPr>
            </w:pPr>
            <w:r w:rsidRPr="00D130E6">
              <w:t>BCPC, 2016</w:t>
            </w:r>
          </w:p>
        </w:tc>
      </w:tr>
      <w:tr w:rsidR="00884D58" w:rsidRPr="002A150C" w14:paraId="79DE10A3" w14:textId="77777777" w:rsidTr="00533B55">
        <w:tc>
          <w:tcPr>
            <w:tcW w:w="1537" w:type="pct"/>
            <w:shd w:val="clear" w:color="auto" w:fill="F0F4F5"/>
          </w:tcPr>
          <w:p w14:paraId="314A5339" w14:textId="77777777" w:rsidR="00884D58" w:rsidRPr="00244B68" w:rsidRDefault="00884D58" w:rsidP="00BA7F4F">
            <w:pPr>
              <w:pStyle w:val="TableText"/>
              <w:rPr>
                <w:lang w:val="en-US"/>
              </w:rPr>
            </w:pPr>
            <w:r>
              <w:rPr>
                <w:lang w:val="en-US"/>
              </w:rPr>
              <w:t>Water s</w:t>
            </w:r>
            <w:r w:rsidRPr="00244B68">
              <w:rPr>
                <w:lang w:val="en-US"/>
              </w:rPr>
              <w:t>olubility</w:t>
            </w:r>
          </w:p>
        </w:tc>
        <w:tc>
          <w:tcPr>
            <w:tcW w:w="1847" w:type="pct"/>
          </w:tcPr>
          <w:p w14:paraId="0B677419" w14:textId="77777777" w:rsidR="00884D58" w:rsidRPr="002D1539" w:rsidRDefault="00884D58" w:rsidP="00BA7F4F">
            <w:pPr>
              <w:pStyle w:val="TableText"/>
              <w:rPr>
                <w:lang w:val="en-US"/>
              </w:rPr>
            </w:pPr>
            <w:r>
              <w:rPr>
                <w:lang w:val="en-US"/>
              </w:rPr>
              <w:t xml:space="preserve">0.39 mg/L (25 </w:t>
            </w:r>
            <w:r w:rsidRPr="002D1539">
              <w:rPr>
                <w:lang w:val="en-US"/>
              </w:rPr>
              <w:t>°C</w:t>
            </w:r>
            <w:r>
              <w:rPr>
                <w:lang w:val="en-US"/>
              </w:rPr>
              <w:t>)</w:t>
            </w:r>
          </w:p>
        </w:tc>
        <w:tc>
          <w:tcPr>
            <w:tcW w:w="1616" w:type="pct"/>
          </w:tcPr>
          <w:p w14:paraId="1ADD9403" w14:textId="77777777" w:rsidR="00884D58" w:rsidRDefault="00884D58" w:rsidP="00BA7F4F">
            <w:pPr>
              <w:pStyle w:val="TableText"/>
              <w:rPr>
                <w:lang w:val="en-US"/>
              </w:rPr>
            </w:pPr>
            <w:r w:rsidRPr="00D130E6">
              <w:t>BCPC, 2016</w:t>
            </w:r>
          </w:p>
        </w:tc>
      </w:tr>
      <w:tr w:rsidR="00884D58" w:rsidRPr="002A150C" w14:paraId="44FA913D" w14:textId="77777777" w:rsidTr="00533B55">
        <w:tc>
          <w:tcPr>
            <w:tcW w:w="1537" w:type="pct"/>
            <w:shd w:val="clear" w:color="auto" w:fill="F0F4F5"/>
          </w:tcPr>
          <w:p w14:paraId="004E45DF" w14:textId="77777777" w:rsidR="00884D58" w:rsidRDefault="00884D58" w:rsidP="00BA7F4F">
            <w:pPr>
              <w:pStyle w:val="TableText"/>
              <w:rPr>
                <w:lang w:val="en-US"/>
              </w:rPr>
            </w:pPr>
            <w:r>
              <w:rPr>
                <w:lang w:val="en-US"/>
              </w:rPr>
              <w:t>Organic solvent solubility (purified active ingredient)</w:t>
            </w:r>
          </w:p>
        </w:tc>
        <w:tc>
          <w:tcPr>
            <w:tcW w:w="1847" w:type="pct"/>
          </w:tcPr>
          <w:p w14:paraId="55DB3D7F" w14:textId="77777777" w:rsidR="00884D58" w:rsidRDefault="00884D58" w:rsidP="00BA7F4F">
            <w:pPr>
              <w:pStyle w:val="TableText"/>
              <w:rPr>
                <w:lang w:val="en-US"/>
              </w:rPr>
            </w:pPr>
            <w:r>
              <w:rPr>
                <w:lang w:val="en-US"/>
              </w:rPr>
              <w:t>Ethanol: 0.7 g/L</w:t>
            </w:r>
          </w:p>
          <w:p w14:paraId="56D327E6" w14:textId="77777777" w:rsidR="00884D58" w:rsidRDefault="00884D58" w:rsidP="00BA7F4F">
            <w:pPr>
              <w:pStyle w:val="TableText"/>
              <w:rPr>
                <w:lang w:val="en-US"/>
              </w:rPr>
            </w:pPr>
            <w:r>
              <w:rPr>
                <w:lang w:val="en-US"/>
              </w:rPr>
              <w:t>Methanol: 0.47 g/L</w:t>
            </w:r>
          </w:p>
          <w:p w14:paraId="7DAE86F5" w14:textId="77777777" w:rsidR="00884D58" w:rsidRDefault="00884D58" w:rsidP="00BA7F4F">
            <w:pPr>
              <w:pStyle w:val="TableText"/>
              <w:rPr>
                <w:lang w:val="en-US"/>
              </w:rPr>
            </w:pPr>
            <w:r>
              <w:rPr>
                <w:lang w:val="en-US"/>
              </w:rPr>
              <w:t>Hexane: 0.2 g/L</w:t>
            </w:r>
          </w:p>
          <w:p w14:paraId="2B7C4E21" w14:textId="77777777" w:rsidR="00884D58" w:rsidRDefault="00884D58" w:rsidP="00BA7F4F">
            <w:pPr>
              <w:pStyle w:val="TableText"/>
              <w:rPr>
                <w:lang w:val="en-US"/>
              </w:rPr>
            </w:pPr>
            <w:r>
              <w:rPr>
                <w:lang w:val="en-US"/>
              </w:rPr>
              <w:t>Chloroform: 40.8 g/L</w:t>
            </w:r>
          </w:p>
          <w:p w14:paraId="5ACE1BD5" w14:textId="77777777" w:rsidR="00884D58" w:rsidRDefault="00884D58" w:rsidP="00BA7F4F">
            <w:pPr>
              <w:pStyle w:val="TableText"/>
              <w:rPr>
                <w:lang w:val="en-US"/>
              </w:rPr>
            </w:pPr>
            <w:r>
              <w:rPr>
                <w:lang w:val="en-US"/>
              </w:rPr>
              <w:t>Dimethyl formamide: 332.7 g/L</w:t>
            </w:r>
          </w:p>
          <w:p w14:paraId="300E9E09" w14:textId="77777777" w:rsidR="00884D58" w:rsidRDefault="00884D58" w:rsidP="00BA7F4F">
            <w:pPr>
              <w:pStyle w:val="TableText"/>
              <w:rPr>
                <w:lang w:val="en-US"/>
              </w:rPr>
            </w:pPr>
            <w:r>
              <w:rPr>
                <w:lang w:val="en-US"/>
              </w:rPr>
              <w:t>Acetone: 4.3 g/L</w:t>
            </w:r>
          </w:p>
          <w:p w14:paraId="3BD18913" w14:textId="77777777" w:rsidR="00884D58" w:rsidRPr="002D1539" w:rsidRDefault="00884D58" w:rsidP="00BA7F4F">
            <w:pPr>
              <w:pStyle w:val="TableText"/>
              <w:rPr>
                <w:lang w:val="en-US"/>
              </w:rPr>
            </w:pPr>
            <w:r>
              <w:rPr>
                <w:lang w:val="en-US"/>
              </w:rPr>
              <w:t xml:space="preserve">All at 20-25 </w:t>
            </w:r>
            <w:r w:rsidRPr="002D1539">
              <w:rPr>
                <w:lang w:val="en-US"/>
              </w:rPr>
              <w:t>°C</w:t>
            </w:r>
            <w:r>
              <w:rPr>
                <w:lang w:val="en-US"/>
              </w:rPr>
              <w:t>)</w:t>
            </w:r>
          </w:p>
        </w:tc>
        <w:tc>
          <w:tcPr>
            <w:tcW w:w="1616" w:type="pct"/>
          </w:tcPr>
          <w:p w14:paraId="70847484" w14:textId="77777777" w:rsidR="00884D58" w:rsidRDefault="00884D58" w:rsidP="00BA7F4F">
            <w:pPr>
              <w:pStyle w:val="TableText"/>
              <w:rPr>
                <w:lang w:val="en-US"/>
              </w:rPr>
            </w:pPr>
            <w:r w:rsidRPr="00D130E6">
              <w:t>BCPC, 2016</w:t>
            </w:r>
          </w:p>
        </w:tc>
      </w:tr>
    </w:tbl>
    <w:p w14:paraId="121B6977" w14:textId="7FF2A110" w:rsidR="00884D58" w:rsidRDefault="00884D58" w:rsidP="00884D58">
      <w:pPr>
        <w:pStyle w:val="NormalText"/>
      </w:pPr>
      <w:r>
        <w:t>Difethialone is generally supplied in to end use product manufacturers as the technical active constituent (TC).</w:t>
      </w:r>
    </w:p>
    <w:p w14:paraId="40A9BFD7" w14:textId="4772F21E" w:rsidR="00884D58" w:rsidRDefault="00884D58" w:rsidP="00884D58">
      <w:pPr>
        <w:pStyle w:val="NormalText"/>
      </w:pPr>
      <w:r>
        <w:t>The</w:t>
      </w:r>
      <w:r w:rsidR="009621AC">
        <w:t xml:space="preserve"> </w:t>
      </w:r>
      <w:r>
        <w:t xml:space="preserve">APVMA </w:t>
      </w:r>
      <w:r w:rsidR="009621AC">
        <w:t xml:space="preserve">Record lists one source of difethialone </w:t>
      </w:r>
      <w:r>
        <w:t xml:space="preserve">active constituent. A summary of the current </w:t>
      </w:r>
      <w:r w:rsidR="003E4BD6">
        <w:t>difethialone</w:t>
      </w:r>
      <w:r>
        <w:t xml:space="preserve"> active constituent approval and recommendations based on review of the information entered in the APVMA’s Record of active constituent approvals is provided in</w:t>
      </w:r>
      <w:r w:rsidR="009621AC">
        <w:t xml:space="preserve"> </w:t>
      </w:r>
      <w:r w:rsidR="009621AC">
        <w:fldChar w:fldCharType="begin"/>
      </w:r>
      <w:r w:rsidR="009621AC">
        <w:instrText xml:space="preserve"> REF _Ref214965717 \h </w:instrText>
      </w:r>
      <w:r w:rsidR="009621AC">
        <w:fldChar w:fldCharType="separate"/>
      </w:r>
      <w:r w:rsidR="003861AC">
        <w:t xml:space="preserve">Table </w:t>
      </w:r>
      <w:r w:rsidR="003861AC">
        <w:rPr>
          <w:noProof/>
        </w:rPr>
        <w:t>23</w:t>
      </w:r>
      <w:r w:rsidR="009621AC">
        <w:fldChar w:fldCharType="end"/>
      </w:r>
      <w:r>
        <w:t>.</w:t>
      </w:r>
    </w:p>
    <w:p w14:paraId="4B3176A1" w14:textId="2BD3074F" w:rsidR="00884D58" w:rsidRDefault="00884D58" w:rsidP="00884D58">
      <w:pPr>
        <w:pStyle w:val="Caption"/>
      </w:pPr>
      <w:bookmarkStart w:id="114" w:name="_Ref214965717"/>
      <w:bookmarkStart w:id="115" w:name="_Toc213945999"/>
      <w:bookmarkStart w:id="116" w:name="_Toc216695685"/>
      <w:r>
        <w:t xml:space="preserve">Table </w:t>
      </w:r>
      <w:r>
        <w:fldChar w:fldCharType="begin"/>
      </w:r>
      <w:r>
        <w:instrText xml:space="preserve"> SEQ Table \* ARABIC </w:instrText>
      </w:r>
      <w:r>
        <w:fldChar w:fldCharType="separate"/>
      </w:r>
      <w:r w:rsidR="003861AC">
        <w:rPr>
          <w:noProof/>
        </w:rPr>
        <w:t>23</w:t>
      </w:r>
      <w:r>
        <w:rPr>
          <w:noProof/>
        </w:rPr>
        <w:fldChar w:fldCharType="end"/>
      </w:r>
      <w:bookmarkEnd w:id="114"/>
      <w:r>
        <w:rPr>
          <w:noProof/>
        </w:rPr>
        <w:t>:</w:t>
      </w:r>
      <w:r>
        <w:t xml:space="preserve"> Current active constituent active constituent approval for difethialone</w:t>
      </w:r>
      <w:bookmarkEnd w:id="115"/>
      <w:bookmarkEnd w:id="116"/>
    </w:p>
    <w:tbl>
      <w:tblPr>
        <w:tblStyle w:val="TableGrid"/>
        <w:tblW w:w="5000" w:type="pct"/>
        <w:tblLook w:val="04A0" w:firstRow="1" w:lastRow="0" w:firstColumn="1" w:lastColumn="0" w:noHBand="0" w:noVBand="1"/>
      </w:tblPr>
      <w:tblGrid>
        <w:gridCol w:w="2302"/>
        <w:gridCol w:w="2424"/>
        <w:gridCol w:w="2035"/>
        <w:gridCol w:w="2867"/>
      </w:tblGrid>
      <w:tr w:rsidR="00884D58" w14:paraId="142F66C2" w14:textId="77777777" w:rsidTr="00533B55">
        <w:tc>
          <w:tcPr>
            <w:tcW w:w="1195" w:type="pct"/>
            <w:shd w:val="clear" w:color="auto" w:fill="53284F"/>
          </w:tcPr>
          <w:p w14:paraId="43A0E6A4" w14:textId="77777777" w:rsidR="00884D58" w:rsidRDefault="00884D58" w:rsidP="00BA7F4F">
            <w:pPr>
              <w:pStyle w:val="TableHead"/>
            </w:pPr>
            <w:r>
              <w:t>Approval number</w:t>
            </w:r>
          </w:p>
        </w:tc>
        <w:tc>
          <w:tcPr>
            <w:tcW w:w="1259" w:type="pct"/>
            <w:shd w:val="clear" w:color="auto" w:fill="53284F"/>
          </w:tcPr>
          <w:p w14:paraId="0EBCE77D" w14:textId="77777777" w:rsidR="00884D58" w:rsidRDefault="00884D58" w:rsidP="00BA7F4F">
            <w:pPr>
              <w:pStyle w:val="TableHead"/>
            </w:pPr>
            <w:r>
              <w:t>Active constituent name</w:t>
            </w:r>
          </w:p>
        </w:tc>
        <w:tc>
          <w:tcPr>
            <w:tcW w:w="1057" w:type="pct"/>
            <w:shd w:val="clear" w:color="auto" w:fill="53284F"/>
          </w:tcPr>
          <w:p w14:paraId="00096BF3" w14:textId="77777777" w:rsidR="00884D58" w:rsidRDefault="00884D58" w:rsidP="00BA7F4F">
            <w:pPr>
              <w:pStyle w:val="TableHead"/>
            </w:pPr>
            <w:r>
              <w:t>Approval holder</w:t>
            </w:r>
          </w:p>
        </w:tc>
        <w:tc>
          <w:tcPr>
            <w:tcW w:w="1489" w:type="pct"/>
            <w:shd w:val="clear" w:color="auto" w:fill="53284F"/>
          </w:tcPr>
          <w:p w14:paraId="047EEBF9" w14:textId="77777777" w:rsidR="00884D58" w:rsidRDefault="00884D58" w:rsidP="00BA7F4F">
            <w:pPr>
              <w:pStyle w:val="TableHead"/>
            </w:pPr>
            <w:r>
              <w:t>Recommendation</w:t>
            </w:r>
          </w:p>
        </w:tc>
      </w:tr>
      <w:tr w:rsidR="00884D58" w14:paraId="6CAFF0CD" w14:textId="77777777" w:rsidTr="00533B55">
        <w:tc>
          <w:tcPr>
            <w:tcW w:w="1195" w:type="pct"/>
          </w:tcPr>
          <w:p w14:paraId="7985E38E" w14:textId="77777777" w:rsidR="00884D58" w:rsidRDefault="00884D58" w:rsidP="00BA7F4F">
            <w:pPr>
              <w:pStyle w:val="TableText"/>
            </w:pPr>
            <w:r>
              <w:t>45234</w:t>
            </w:r>
          </w:p>
        </w:tc>
        <w:tc>
          <w:tcPr>
            <w:tcW w:w="1259" w:type="pct"/>
          </w:tcPr>
          <w:p w14:paraId="2077A662" w14:textId="77777777" w:rsidR="00884D58" w:rsidRDefault="00884D58" w:rsidP="00BA7F4F">
            <w:pPr>
              <w:pStyle w:val="TableText"/>
            </w:pPr>
            <w:r>
              <w:t>Difethialone</w:t>
            </w:r>
          </w:p>
        </w:tc>
        <w:tc>
          <w:tcPr>
            <w:tcW w:w="1057" w:type="pct"/>
          </w:tcPr>
          <w:p w14:paraId="2936BF51" w14:textId="77777777" w:rsidR="00884D58" w:rsidRDefault="00884D58" w:rsidP="00BA7F4F">
            <w:pPr>
              <w:pStyle w:val="TableText"/>
            </w:pPr>
            <w:r>
              <w:t>Liphatech SAS</w:t>
            </w:r>
          </w:p>
        </w:tc>
        <w:tc>
          <w:tcPr>
            <w:tcW w:w="1489" w:type="pct"/>
          </w:tcPr>
          <w:p w14:paraId="3456455E" w14:textId="5DA21F38" w:rsidR="00884D58" w:rsidRDefault="009621AC" w:rsidP="00BA7F4F">
            <w:pPr>
              <w:pStyle w:val="TableText"/>
            </w:pPr>
            <w:r>
              <w:t>A</w:t>
            </w:r>
            <w:r w:rsidR="00884D58">
              <w:t>ffirm approval</w:t>
            </w:r>
          </w:p>
        </w:tc>
      </w:tr>
    </w:tbl>
    <w:p w14:paraId="23A7BBC6" w14:textId="5C7A9F1B" w:rsidR="009621AC" w:rsidRPr="00C66E16" w:rsidRDefault="00884D58" w:rsidP="009621AC">
      <w:pPr>
        <w:pStyle w:val="NormalText"/>
      </w:pPr>
      <w:r>
        <w:t xml:space="preserve">The </w:t>
      </w:r>
      <w:r w:rsidR="009621AC" w:rsidRPr="00377F3A">
        <w:rPr>
          <w:rStyle w:val="NormalTextChar"/>
        </w:rPr>
        <w:t>Active Constituent Standards</w:t>
      </w:r>
      <w:r w:rsidR="009621AC">
        <w:rPr>
          <w:rStyle w:val="NormalTextChar"/>
        </w:rPr>
        <w:t xml:space="preserve"> specification for the standard for </w:t>
      </w:r>
      <w:r>
        <w:t>difethialone active constituent</w:t>
      </w:r>
      <w:r w:rsidR="003A796E">
        <w:t xml:space="preserve"> is provided in </w:t>
      </w:r>
      <w:r w:rsidR="009621AC">
        <w:fldChar w:fldCharType="begin"/>
      </w:r>
      <w:r w:rsidR="009621AC">
        <w:instrText xml:space="preserve"> REF _Ref214965741 \h </w:instrText>
      </w:r>
      <w:r w:rsidR="009621AC">
        <w:fldChar w:fldCharType="separate"/>
      </w:r>
      <w:r w:rsidR="003861AC">
        <w:t xml:space="preserve">Table </w:t>
      </w:r>
      <w:r w:rsidR="003861AC">
        <w:rPr>
          <w:noProof/>
        </w:rPr>
        <w:t>24</w:t>
      </w:r>
      <w:r w:rsidR="009621AC">
        <w:fldChar w:fldCharType="end"/>
      </w:r>
      <w:r w:rsidR="009621AC">
        <w:t>.</w:t>
      </w:r>
      <w:r w:rsidR="003E4BD6">
        <w:t xml:space="preserve"> No changes are proposed to this standard</w:t>
      </w:r>
      <w:r>
        <w:t>.</w:t>
      </w:r>
      <w:r w:rsidR="009621AC" w:rsidRPr="009621AC">
        <w:t xml:space="preserve"> </w:t>
      </w:r>
      <w:r w:rsidR="009621AC" w:rsidRPr="00C66E16">
        <w:t>There is no FAO specification for difethialone.</w:t>
      </w:r>
    </w:p>
    <w:p w14:paraId="3F19C449" w14:textId="61DB33B4" w:rsidR="00884D58" w:rsidRDefault="00884D58" w:rsidP="00884D58">
      <w:pPr>
        <w:pStyle w:val="Caption"/>
      </w:pPr>
      <w:bookmarkStart w:id="117" w:name="_Ref214965741"/>
      <w:bookmarkStart w:id="118" w:name="_Toc213946000"/>
      <w:bookmarkStart w:id="119" w:name="_Toc216695686"/>
      <w:r>
        <w:t xml:space="preserve">Table </w:t>
      </w:r>
      <w:r>
        <w:fldChar w:fldCharType="begin"/>
      </w:r>
      <w:r>
        <w:instrText xml:space="preserve"> SEQ Table \* ARABIC </w:instrText>
      </w:r>
      <w:r>
        <w:fldChar w:fldCharType="separate"/>
      </w:r>
      <w:r w:rsidR="003861AC">
        <w:rPr>
          <w:noProof/>
        </w:rPr>
        <w:t>24</w:t>
      </w:r>
      <w:r>
        <w:fldChar w:fldCharType="end"/>
      </w:r>
      <w:bookmarkEnd w:id="117"/>
      <w:r>
        <w:t>: The Active Constituent Standards specification for difethialone</w:t>
      </w:r>
      <w:bookmarkEnd w:id="118"/>
      <w:bookmarkEnd w:id="119"/>
    </w:p>
    <w:tbl>
      <w:tblPr>
        <w:tblStyle w:val="TableGrid"/>
        <w:tblW w:w="5000" w:type="pct"/>
        <w:tblLook w:val="04A0" w:firstRow="1" w:lastRow="0" w:firstColumn="1" w:lastColumn="0" w:noHBand="0" w:noVBand="1"/>
      </w:tblPr>
      <w:tblGrid>
        <w:gridCol w:w="4814"/>
        <w:gridCol w:w="4814"/>
      </w:tblGrid>
      <w:tr w:rsidR="00884D58" w14:paraId="164CD7D8" w14:textId="77777777" w:rsidTr="00533B55">
        <w:tc>
          <w:tcPr>
            <w:tcW w:w="2500" w:type="pct"/>
            <w:shd w:val="clear" w:color="auto" w:fill="53284F"/>
          </w:tcPr>
          <w:p w14:paraId="5A8BFC7C" w14:textId="77777777" w:rsidR="00884D58" w:rsidRDefault="00884D58" w:rsidP="00BA7F4F">
            <w:pPr>
              <w:pStyle w:val="TableHead"/>
            </w:pPr>
            <w:r>
              <w:t>Active constituent</w:t>
            </w:r>
          </w:p>
        </w:tc>
        <w:tc>
          <w:tcPr>
            <w:tcW w:w="2500" w:type="pct"/>
            <w:shd w:val="clear" w:color="auto" w:fill="53284F"/>
          </w:tcPr>
          <w:p w14:paraId="47620454" w14:textId="77777777" w:rsidR="00884D58" w:rsidRDefault="00884D58" w:rsidP="00BA7F4F">
            <w:pPr>
              <w:pStyle w:val="TableHead"/>
            </w:pPr>
            <w:r>
              <w:t>Minimum purity</w:t>
            </w:r>
          </w:p>
        </w:tc>
      </w:tr>
      <w:tr w:rsidR="00884D58" w14:paraId="10628BE1" w14:textId="77777777" w:rsidTr="00533B55">
        <w:tc>
          <w:tcPr>
            <w:tcW w:w="2500" w:type="pct"/>
          </w:tcPr>
          <w:p w14:paraId="1D013E55" w14:textId="77777777" w:rsidR="00884D58" w:rsidRDefault="00884D58" w:rsidP="00BA7F4F">
            <w:pPr>
              <w:pStyle w:val="TableText"/>
            </w:pPr>
            <w:r>
              <w:t>Difethialone</w:t>
            </w:r>
          </w:p>
        </w:tc>
        <w:tc>
          <w:tcPr>
            <w:tcW w:w="2500" w:type="pct"/>
          </w:tcPr>
          <w:p w14:paraId="53C0F395" w14:textId="77777777" w:rsidR="00884D58" w:rsidRDefault="00884D58" w:rsidP="00BA7F4F">
            <w:pPr>
              <w:pStyle w:val="TableText"/>
            </w:pPr>
            <w:r>
              <w:t>980 g/kg</w:t>
            </w:r>
          </w:p>
          <w:p w14:paraId="32EEDB5F" w14:textId="1F775D9D" w:rsidR="00884D58" w:rsidRDefault="00884D58" w:rsidP="00BA7F4F">
            <w:pPr>
              <w:pStyle w:val="TableText"/>
            </w:pPr>
            <w:r w:rsidRPr="008E20BA">
              <w:t>The ratio of (1RS,3RS) isomers to (1RS,3SR) isomers shall be in the range 0-15 to 85-100.</w:t>
            </w:r>
          </w:p>
        </w:tc>
      </w:tr>
    </w:tbl>
    <w:p w14:paraId="31FD2FB7" w14:textId="323A7203" w:rsidR="00884D58" w:rsidRDefault="009621AC" w:rsidP="009621AC">
      <w:pPr>
        <w:pStyle w:val="NormalText"/>
      </w:pPr>
      <w:r w:rsidRPr="009621AC">
        <w:lastRenderedPageBreak/>
        <w:t xml:space="preserve">The continued approval of the current </w:t>
      </w:r>
      <w:r>
        <w:t>difethialone</w:t>
      </w:r>
      <w:r w:rsidRPr="009621AC">
        <w:t xml:space="preserve"> active constituent listed in </w:t>
      </w:r>
      <w:r>
        <w:fldChar w:fldCharType="begin"/>
      </w:r>
      <w:r>
        <w:instrText xml:space="preserve"> REF _Ref214965717 \h </w:instrText>
      </w:r>
      <w:r>
        <w:fldChar w:fldCharType="separate"/>
      </w:r>
      <w:r w:rsidR="003861AC">
        <w:t xml:space="preserve">Table </w:t>
      </w:r>
      <w:r w:rsidR="003861AC">
        <w:rPr>
          <w:noProof/>
        </w:rPr>
        <w:t>23</w:t>
      </w:r>
      <w:r>
        <w:fldChar w:fldCharType="end"/>
      </w:r>
      <w:r>
        <w:t xml:space="preserve"> </w:t>
      </w:r>
      <w:r w:rsidRPr="009621AC">
        <w:t>is supported in this chemistry and manufacture risk assessment</w:t>
      </w:r>
      <w:r w:rsidR="00884D58" w:rsidRPr="00C66E16">
        <w:t>.</w:t>
      </w:r>
    </w:p>
    <w:p w14:paraId="38F1B691" w14:textId="77777777" w:rsidR="00884D58" w:rsidRDefault="00884D58" w:rsidP="00377F3A">
      <w:pPr>
        <w:pStyle w:val="Heading3"/>
      </w:pPr>
      <w:bookmarkStart w:id="120" w:name="_Toc214025465"/>
      <w:bookmarkStart w:id="121" w:name="_Toc216695549"/>
      <w:r>
        <w:t>Active constituent - Diphacinone</w:t>
      </w:r>
      <w:bookmarkEnd w:id="120"/>
      <w:bookmarkEnd w:id="121"/>
    </w:p>
    <w:p w14:paraId="2BF5B3F1" w14:textId="1E9DA677" w:rsidR="00884D58" w:rsidRDefault="00884D58" w:rsidP="00884D58">
      <w:pPr>
        <w:pStyle w:val="NormalText"/>
      </w:pPr>
      <w:r>
        <w:t xml:space="preserve">Diphacinone is an indandione first generation anticoagulant rodenticide, which inhibits the vitamin K dependent steps in the formation synthesis of the clotting factors </w:t>
      </w:r>
      <w:r w:rsidR="00DB4169">
        <w:t>II, VII</w:t>
      </w:r>
      <w:r>
        <w:t xml:space="preserve"> and X and was first reported in 1952 (</w:t>
      </w:r>
      <w:r w:rsidR="003A796E">
        <w:t xml:space="preserve">reviewed in </w:t>
      </w:r>
      <w:r>
        <w:t>BCPC, 2016).</w:t>
      </w:r>
    </w:p>
    <w:p w14:paraId="0C04E12C" w14:textId="28BCF880" w:rsidR="00884D58" w:rsidRDefault="00884D58" w:rsidP="00884D58">
      <w:pPr>
        <w:pStyle w:val="Caption"/>
      </w:pPr>
      <w:bookmarkStart w:id="122" w:name="_Toc213946001"/>
      <w:bookmarkStart w:id="123" w:name="_Toc216695687"/>
      <w:r>
        <w:t xml:space="preserve">Table </w:t>
      </w:r>
      <w:r>
        <w:fldChar w:fldCharType="begin"/>
      </w:r>
      <w:r>
        <w:instrText xml:space="preserve"> SEQ Table \* ARABIC </w:instrText>
      </w:r>
      <w:r>
        <w:fldChar w:fldCharType="separate"/>
      </w:r>
      <w:r w:rsidR="003861AC">
        <w:rPr>
          <w:noProof/>
        </w:rPr>
        <w:t>25</w:t>
      </w:r>
      <w:r>
        <w:rPr>
          <w:noProof/>
        </w:rPr>
        <w:fldChar w:fldCharType="end"/>
      </w:r>
      <w:r>
        <w:rPr>
          <w:noProof/>
        </w:rPr>
        <w:t>:</w:t>
      </w:r>
      <w:r>
        <w:t xml:space="preserve"> Nomenclature and structural formula of the active constituent diphacinone</w:t>
      </w:r>
      <w:bookmarkEnd w:id="122"/>
      <w:bookmarkEnd w:id="123"/>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884D58" w:rsidRPr="002D1539" w14:paraId="4F2E2479" w14:textId="77777777" w:rsidTr="00533B55">
        <w:tc>
          <w:tcPr>
            <w:tcW w:w="1303" w:type="pct"/>
            <w:shd w:val="clear" w:color="auto" w:fill="53284F"/>
          </w:tcPr>
          <w:p w14:paraId="323F0670" w14:textId="77777777" w:rsidR="00884D58" w:rsidRPr="00244B68" w:rsidRDefault="00884D58" w:rsidP="00BA7F4F">
            <w:pPr>
              <w:pStyle w:val="TableHead"/>
            </w:pPr>
            <w:r w:rsidRPr="00244B68">
              <w:rPr>
                <w:lang w:val="en-US"/>
              </w:rPr>
              <w:t>Common Name</w:t>
            </w:r>
          </w:p>
        </w:tc>
        <w:tc>
          <w:tcPr>
            <w:tcW w:w="3697" w:type="pct"/>
          </w:tcPr>
          <w:p w14:paraId="36E6CC08" w14:textId="77777777" w:rsidR="00884D58" w:rsidRPr="002D1539" w:rsidRDefault="00884D58" w:rsidP="00BA7F4F">
            <w:pPr>
              <w:pStyle w:val="TableText"/>
              <w:rPr>
                <w:lang w:val="en-US"/>
              </w:rPr>
            </w:pPr>
            <w:r>
              <w:rPr>
                <w:lang w:val="en-US"/>
              </w:rPr>
              <w:t>Diphacinone (ISO 1750)</w:t>
            </w:r>
          </w:p>
        </w:tc>
      </w:tr>
      <w:tr w:rsidR="00884D58" w:rsidRPr="002D1539" w14:paraId="3F5863C6" w14:textId="77777777" w:rsidTr="00533B55">
        <w:tc>
          <w:tcPr>
            <w:tcW w:w="1303" w:type="pct"/>
            <w:shd w:val="clear" w:color="auto" w:fill="53284F"/>
          </w:tcPr>
          <w:p w14:paraId="383A206E" w14:textId="77777777" w:rsidR="00884D58" w:rsidRPr="00244B68" w:rsidRDefault="00884D58" w:rsidP="00BA7F4F">
            <w:pPr>
              <w:pStyle w:val="TableHead"/>
              <w:rPr>
                <w:lang w:val="en-US"/>
              </w:rPr>
            </w:pPr>
            <w:r w:rsidRPr="00244B68">
              <w:rPr>
                <w:lang w:val="en-US"/>
              </w:rPr>
              <w:t>IUPAC Name</w:t>
            </w:r>
          </w:p>
        </w:tc>
        <w:tc>
          <w:tcPr>
            <w:tcW w:w="3697" w:type="pct"/>
          </w:tcPr>
          <w:p w14:paraId="28FAFA13" w14:textId="77777777" w:rsidR="00884D58" w:rsidRPr="002D1539" w:rsidRDefault="00884D58" w:rsidP="00BA7F4F">
            <w:pPr>
              <w:pStyle w:val="TableText"/>
              <w:rPr>
                <w:lang w:val="en-US"/>
              </w:rPr>
            </w:pPr>
            <w:r>
              <w:t>2</w:t>
            </w:r>
            <w:r w:rsidRPr="00596C31">
              <w:t>-(diphenylacetyl)indane-1,3-dione</w:t>
            </w:r>
          </w:p>
        </w:tc>
      </w:tr>
      <w:tr w:rsidR="00884D58" w:rsidRPr="00136C92" w14:paraId="600C6A18" w14:textId="77777777" w:rsidTr="00533B55">
        <w:tc>
          <w:tcPr>
            <w:tcW w:w="1303" w:type="pct"/>
            <w:shd w:val="clear" w:color="auto" w:fill="53284F"/>
          </w:tcPr>
          <w:p w14:paraId="3CF87799" w14:textId="77777777" w:rsidR="00884D58" w:rsidRPr="00244B68" w:rsidRDefault="00884D58" w:rsidP="00BA7F4F">
            <w:pPr>
              <w:pStyle w:val="TableHead"/>
              <w:rPr>
                <w:lang w:val="en-US"/>
              </w:rPr>
            </w:pPr>
            <w:r w:rsidRPr="00244B68">
              <w:rPr>
                <w:lang w:val="en-US"/>
              </w:rPr>
              <w:t>CAS Name</w:t>
            </w:r>
          </w:p>
        </w:tc>
        <w:tc>
          <w:tcPr>
            <w:tcW w:w="3697" w:type="pct"/>
          </w:tcPr>
          <w:p w14:paraId="23110C2A" w14:textId="77777777" w:rsidR="00884D58" w:rsidRPr="001549D4" w:rsidRDefault="00884D58" w:rsidP="00BA7F4F">
            <w:pPr>
              <w:pStyle w:val="TableText"/>
              <w:rPr>
                <w:lang w:val="de-CH"/>
              </w:rPr>
            </w:pPr>
            <w:r w:rsidRPr="001549D4">
              <w:rPr>
                <w:lang w:val="de-CH"/>
              </w:rPr>
              <w:t>2-(2,2-diphenylacetyl)-1</w:t>
            </w:r>
            <w:r w:rsidRPr="001549D4">
              <w:rPr>
                <w:i/>
                <w:lang w:val="de-CH"/>
              </w:rPr>
              <w:t>H</w:t>
            </w:r>
            <w:r w:rsidRPr="001549D4">
              <w:rPr>
                <w:lang w:val="de-CH"/>
              </w:rPr>
              <w:t>-indene-1,3(2</w:t>
            </w:r>
            <w:r w:rsidRPr="001549D4">
              <w:rPr>
                <w:i/>
                <w:lang w:val="de-CH"/>
              </w:rPr>
              <w:t>H</w:t>
            </w:r>
            <w:r w:rsidRPr="001549D4">
              <w:rPr>
                <w:lang w:val="de-CH"/>
              </w:rPr>
              <w:t>)-dione</w:t>
            </w:r>
          </w:p>
        </w:tc>
      </w:tr>
      <w:tr w:rsidR="00884D58" w:rsidRPr="002D1539" w14:paraId="1A5E1AD7" w14:textId="77777777" w:rsidTr="00533B55">
        <w:tc>
          <w:tcPr>
            <w:tcW w:w="1303" w:type="pct"/>
            <w:shd w:val="clear" w:color="auto" w:fill="53284F"/>
          </w:tcPr>
          <w:p w14:paraId="574EF575" w14:textId="77777777" w:rsidR="00884D58" w:rsidRPr="00244B68" w:rsidRDefault="00884D58" w:rsidP="00BA7F4F">
            <w:pPr>
              <w:pStyle w:val="TableHead"/>
              <w:rPr>
                <w:lang w:val="en-US"/>
              </w:rPr>
            </w:pPr>
            <w:r w:rsidRPr="00244B68">
              <w:rPr>
                <w:lang w:val="en-US"/>
              </w:rPr>
              <w:t>CAS Registry Number</w:t>
            </w:r>
          </w:p>
        </w:tc>
        <w:tc>
          <w:tcPr>
            <w:tcW w:w="3697" w:type="pct"/>
          </w:tcPr>
          <w:p w14:paraId="0B2B6213" w14:textId="77777777" w:rsidR="00884D58" w:rsidRPr="002D1539" w:rsidRDefault="00884D58" w:rsidP="00BA7F4F">
            <w:pPr>
              <w:pStyle w:val="TableText"/>
              <w:rPr>
                <w:lang w:val="en-US"/>
              </w:rPr>
            </w:pPr>
            <w:r>
              <w:rPr>
                <w:lang w:val="en-US"/>
              </w:rPr>
              <w:t>82-66-6</w:t>
            </w:r>
          </w:p>
        </w:tc>
      </w:tr>
      <w:tr w:rsidR="00884D58" w:rsidRPr="002D1539" w14:paraId="1A0A8445" w14:textId="77777777" w:rsidTr="00533B55">
        <w:tc>
          <w:tcPr>
            <w:tcW w:w="1303" w:type="pct"/>
            <w:shd w:val="clear" w:color="auto" w:fill="53284F"/>
          </w:tcPr>
          <w:p w14:paraId="27387CD4" w14:textId="77777777" w:rsidR="00884D58" w:rsidRPr="00244B68" w:rsidRDefault="00884D58" w:rsidP="00BA7F4F">
            <w:pPr>
              <w:pStyle w:val="TableHead"/>
              <w:rPr>
                <w:lang w:val="en-US"/>
              </w:rPr>
            </w:pPr>
            <w:r w:rsidRPr="00244B68">
              <w:rPr>
                <w:lang w:val="en-US"/>
              </w:rPr>
              <w:t>EC Number</w:t>
            </w:r>
          </w:p>
        </w:tc>
        <w:tc>
          <w:tcPr>
            <w:tcW w:w="3697" w:type="pct"/>
          </w:tcPr>
          <w:p w14:paraId="3D1998DF" w14:textId="77777777" w:rsidR="00884D58" w:rsidRPr="002D1539" w:rsidRDefault="00884D58" w:rsidP="00BA7F4F">
            <w:pPr>
              <w:pStyle w:val="TableText"/>
              <w:rPr>
                <w:lang w:val="en-US"/>
              </w:rPr>
            </w:pPr>
            <w:r>
              <w:rPr>
                <w:lang w:val="en-US"/>
              </w:rPr>
              <w:t>201-434-5</w:t>
            </w:r>
          </w:p>
        </w:tc>
      </w:tr>
      <w:tr w:rsidR="00884D58" w:rsidRPr="002D1539" w14:paraId="701CFFEE" w14:textId="77777777" w:rsidTr="00533B55">
        <w:tc>
          <w:tcPr>
            <w:tcW w:w="1303" w:type="pct"/>
            <w:shd w:val="clear" w:color="auto" w:fill="53284F"/>
          </w:tcPr>
          <w:p w14:paraId="20811C11" w14:textId="77777777" w:rsidR="00884D58" w:rsidRPr="00244B68" w:rsidRDefault="00884D58" w:rsidP="00BA7F4F">
            <w:pPr>
              <w:pStyle w:val="TableHead"/>
              <w:rPr>
                <w:lang w:val="en-US"/>
              </w:rPr>
            </w:pPr>
            <w:r w:rsidRPr="00244B68">
              <w:rPr>
                <w:lang w:val="en-US"/>
              </w:rPr>
              <w:t>Molecular Formula</w:t>
            </w:r>
          </w:p>
        </w:tc>
        <w:tc>
          <w:tcPr>
            <w:tcW w:w="3697" w:type="pct"/>
          </w:tcPr>
          <w:p w14:paraId="141E7937" w14:textId="77777777" w:rsidR="00884D58" w:rsidRPr="002D1539" w:rsidRDefault="00884D58" w:rsidP="00BA7F4F">
            <w:pPr>
              <w:pStyle w:val="TableText"/>
              <w:rPr>
                <w:lang w:val="en-US"/>
              </w:rPr>
            </w:pPr>
            <w:r>
              <w:rPr>
                <w:lang w:val="en-US"/>
              </w:rPr>
              <w:t>C</w:t>
            </w:r>
            <w:r>
              <w:rPr>
                <w:vertAlign w:val="subscript"/>
                <w:lang w:val="en-US"/>
              </w:rPr>
              <w:t>23</w:t>
            </w:r>
            <w:r>
              <w:rPr>
                <w:lang w:val="en-US"/>
              </w:rPr>
              <w:t>H</w:t>
            </w:r>
            <w:r>
              <w:rPr>
                <w:vertAlign w:val="subscript"/>
                <w:lang w:val="en-US"/>
              </w:rPr>
              <w:t>16</w:t>
            </w:r>
            <w:r>
              <w:rPr>
                <w:lang w:val="en-US"/>
              </w:rPr>
              <w:t>O</w:t>
            </w:r>
            <w:r>
              <w:rPr>
                <w:vertAlign w:val="subscript"/>
                <w:lang w:val="en-US"/>
              </w:rPr>
              <w:t>3</w:t>
            </w:r>
          </w:p>
        </w:tc>
      </w:tr>
      <w:tr w:rsidR="00884D58" w:rsidRPr="002D1539" w14:paraId="6A986891" w14:textId="77777777" w:rsidTr="00533B55">
        <w:tc>
          <w:tcPr>
            <w:tcW w:w="1303" w:type="pct"/>
            <w:shd w:val="clear" w:color="auto" w:fill="53284F"/>
          </w:tcPr>
          <w:p w14:paraId="23933C35" w14:textId="77777777" w:rsidR="00884D58" w:rsidRPr="00244B68" w:rsidRDefault="00884D58" w:rsidP="00BA7F4F">
            <w:pPr>
              <w:pStyle w:val="TableHead"/>
              <w:rPr>
                <w:lang w:val="en-US"/>
              </w:rPr>
            </w:pPr>
            <w:r w:rsidRPr="00244B68">
              <w:rPr>
                <w:lang w:val="en-US"/>
              </w:rPr>
              <w:t>Molecular Weight</w:t>
            </w:r>
          </w:p>
        </w:tc>
        <w:tc>
          <w:tcPr>
            <w:tcW w:w="3697" w:type="pct"/>
          </w:tcPr>
          <w:p w14:paraId="627982B6" w14:textId="77777777" w:rsidR="00884D58" w:rsidRPr="002D1539" w:rsidRDefault="00884D58" w:rsidP="00BA7F4F">
            <w:pPr>
              <w:pStyle w:val="TableText"/>
              <w:rPr>
                <w:lang w:val="en-US"/>
              </w:rPr>
            </w:pPr>
            <w:r>
              <w:rPr>
                <w:lang w:val="en-US"/>
              </w:rPr>
              <w:t>340.4 gmol</w:t>
            </w:r>
            <w:r w:rsidRPr="00AA5403">
              <w:rPr>
                <w:vertAlign w:val="superscript"/>
                <w:lang w:val="en-US"/>
              </w:rPr>
              <w:t>-1</w:t>
            </w:r>
          </w:p>
        </w:tc>
      </w:tr>
      <w:tr w:rsidR="00884D58" w:rsidRPr="002A150C" w14:paraId="308B5FAC" w14:textId="77777777" w:rsidTr="00533B55">
        <w:trPr>
          <w:trHeight w:val="3251"/>
        </w:trPr>
        <w:tc>
          <w:tcPr>
            <w:tcW w:w="1303" w:type="pct"/>
            <w:shd w:val="clear" w:color="auto" w:fill="53284F"/>
          </w:tcPr>
          <w:p w14:paraId="73F06474" w14:textId="77777777" w:rsidR="00884D58" w:rsidRPr="00244B68" w:rsidRDefault="00884D58" w:rsidP="00BA7F4F">
            <w:pPr>
              <w:pStyle w:val="TableHead"/>
              <w:rPr>
                <w:lang w:val="en-US"/>
              </w:rPr>
            </w:pPr>
            <w:r w:rsidRPr="00244B68">
              <w:rPr>
                <w:lang w:val="en-US"/>
              </w:rPr>
              <w:t>Structure</w:t>
            </w:r>
          </w:p>
        </w:tc>
        <w:tc>
          <w:tcPr>
            <w:tcW w:w="3697" w:type="pct"/>
          </w:tcPr>
          <w:p w14:paraId="684AB7EA" w14:textId="77777777" w:rsidR="00884D58" w:rsidRDefault="00884D58" w:rsidP="00805ADF">
            <w:pPr>
              <w:spacing w:line="210" w:lineRule="exact"/>
              <w:rPr>
                <w:spacing w:val="6"/>
              </w:rPr>
            </w:pPr>
          </w:p>
          <w:p w14:paraId="157E7CED" w14:textId="77777777" w:rsidR="00884D58" w:rsidRPr="002A150C" w:rsidRDefault="00884D58" w:rsidP="00805ADF">
            <w:pPr>
              <w:spacing w:line="210" w:lineRule="exact"/>
              <w:rPr>
                <w:spacing w:val="6"/>
              </w:rPr>
            </w:pPr>
            <w:r w:rsidRPr="00664308">
              <w:rPr>
                <w:noProof/>
                <w:spacing w:val="6"/>
              </w:rPr>
              <w:drawing>
                <wp:anchor distT="0" distB="0" distL="114300" distR="114300" simplePos="0" relativeHeight="251676672" behindDoc="0" locked="0" layoutInCell="1" allowOverlap="1" wp14:anchorId="0B7DFEAB" wp14:editId="7B9F9925">
                  <wp:simplePos x="0" y="0"/>
                  <wp:positionH relativeFrom="column">
                    <wp:posOffset>-4445</wp:posOffset>
                  </wp:positionH>
                  <wp:positionV relativeFrom="paragraph">
                    <wp:posOffset>-133350</wp:posOffset>
                  </wp:positionV>
                  <wp:extent cx="2484000" cy="1785600"/>
                  <wp:effectExtent l="0" t="0" r="0" b="5715"/>
                  <wp:wrapSquare wrapText="bothSides"/>
                  <wp:docPr id="162997334" name="Picture 1" descr="A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37058" name="Picture 1" descr="A structure of a molecule&#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2484000" cy="1785600"/>
                          </a:xfrm>
                          <a:prstGeom prst="rect">
                            <a:avLst/>
                          </a:prstGeom>
                        </pic:spPr>
                      </pic:pic>
                    </a:graphicData>
                  </a:graphic>
                  <wp14:sizeRelH relativeFrom="margin">
                    <wp14:pctWidth>0</wp14:pctWidth>
                  </wp14:sizeRelH>
                  <wp14:sizeRelV relativeFrom="margin">
                    <wp14:pctHeight>0</wp14:pctHeight>
                  </wp14:sizeRelV>
                </wp:anchor>
              </w:drawing>
            </w:r>
          </w:p>
        </w:tc>
      </w:tr>
      <w:tr w:rsidR="00884D58" w:rsidRPr="002D1539" w14:paraId="00A2E183" w14:textId="77777777" w:rsidTr="00533B55">
        <w:tc>
          <w:tcPr>
            <w:tcW w:w="1303" w:type="pct"/>
            <w:shd w:val="clear" w:color="auto" w:fill="53284F"/>
          </w:tcPr>
          <w:p w14:paraId="6DE21F93" w14:textId="77777777" w:rsidR="00884D58" w:rsidRPr="00244B68" w:rsidRDefault="00884D58" w:rsidP="00BA7F4F">
            <w:pPr>
              <w:pStyle w:val="TableHead"/>
              <w:rPr>
                <w:lang w:val="en-US"/>
              </w:rPr>
            </w:pPr>
            <w:r w:rsidRPr="00244B68">
              <w:rPr>
                <w:lang w:val="en-US"/>
              </w:rPr>
              <w:t>Chemical Family</w:t>
            </w:r>
          </w:p>
        </w:tc>
        <w:tc>
          <w:tcPr>
            <w:tcW w:w="3697" w:type="pct"/>
          </w:tcPr>
          <w:p w14:paraId="16E23F4B" w14:textId="77777777" w:rsidR="00884D58" w:rsidRPr="002D1539" w:rsidRDefault="00884D58" w:rsidP="00BA7F4F">
            <w:pPr>
              <w:pStyle w:val="TableText"/>
              <w:rPr>
                <w:lang w:val="en-US"/>
              </w:rPr>
            </w:pPr>
            <w:r>
              <w:rPr>
                <w:lang w:val="en-US"/>
              </w:rPr>
              <w:t>indandione</w:t>
            </w:r>
          </w:p>
        </w:tc>
      </w:tr>
    </w:tbl>
    <w:p w14:paraId="03B21A16" w14:textId="6DAC031F" w:rsidR="00884D58" w:rsidRDefault="00884D58" w:rsidP="00884D58">
      <w:pPr>
        <w:pStyle w:val="Caption"/>
      </w:pPr>
      <w:bookmarkStart w:id="124" w:name="_Toc213946002"/>
      <w:bookmarkStart w:id="125" w:name="_Toc216695688"/>
      <w:r>
        <w:lastRenderedPageBreak/>
        <w:t xml:space="preserve">Table </w:t>
      </w:r>
      <w:r>
        <w:fldChar w:fldCharType="begin"/>
      </w:r>
      <w:r>
        <w:instrText xml:space="preserve"> SEQ Table \* ARABIC </w:instrText>
      </w:r>
      <w:r>
        <w:fldChar w:fldCharType="separate"/>
      </w:r>
      <w:r w:rsidR="003861AC">
        <w:rPr>
          <w:noProof/>
        </w:rPr>
        <w:t>26</w:t>
      </w:r>
      <w:r>
        <w:rPr>
          <w:noProof/>
        </w:rPr>
        <w:fldChar w:fldCharType="end"/>
      </w:r>
      <w:r>
        <w:rPr>
          <w:noProof/>
        </w:rPr>
        <w:t>:</w:t>
      </w:r>
      <w:r>
        <w:t xml:space="preserve"> Key physicochemical properties of the active constituent diphacinone</w:t>
      </w:r>
      <w:r>
        <w:rPr>
          <w:rStyle w:val="FootnoteReference"/>
        </w:rPr>
        <w:footnoteReference w:id="6"/>
      </w:r>
      <w:bookmarkEnd w:id="124"/>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731"/>
      </w:tblGrid>
      <w:tr w:rsidR="00884D58" w:rsidRPr="002A150C" w14:paraId="196671D0" w14:textId="77777777" w:rsidTr="00533B55">
        <w:trPr>
          <w:cantSplit/>
          <w:tblHeader/>
        </w:trPr>
        <w:tc>
          <w:tcPr>
            <w:tcW w:w="2543" w:type="pct"/>
            <w:shd w:val="clear" w:color="auto" w:fill="53284F"/>
          </w:tcPr>
          <w:p w14:paraId="629F7A02" w14:textId="77777777" w:rsidR="00884D58" w:rsidRPr="002D1539" w:rsidRDefault="00884D58" w:rsidP="00DB4169">
            <w:pPr>
              <w:pStyle w:val="TableHead"/>
              <w:rPr>
                <w:lang w:val="en-US"/>
              </w:rPr>
            </w:pPr>
            <w:r w:rsidRPr="002D1539">
              <w:rPr>
                <w:lang w:val="en-US"/>
              </w:rPr>
              <w:t>Parameters</w:t>
            </w:r>
          </w:p>
        </w:tc>
        <w:tc>
          <w:tcPr>
            <w:tcW w:w="2457" w:type="pct"/>
            <w:shd w:val="clear" w:color="auto" w:fill="53284F"/>
          </w:tcPr>
          <w:p w14:paraId="1B189706" w14:textId="77777777" w:rsidR="00884D58" w:rsidRPr="002D1539" w:rsidRDefault="00884D58" w:rsidP="00DB4169">
            <w:pPr>
              <w:pStyle w:val="TableHead"/>
              <w:rPr>
                <w:lang w:val="en-US"/>
              </w:rPr>
            </w:pPr>
            <w:r w:rsidRPr="002D1539">
              <w:rPr>
                <w:lang w:val="en-US"/>
              </w:rPr>
              <w:t>Properties</w:t>
            </w:r>
          </w:p>
        </w:tc>
      </w:tr>
      <w:tr w:rsidR="00884D58" w:rsidRPr="002A150C" w14:paraId="6974DB2D" w14:textId="77777777" w:rsidTr="00533B55">
        <w:trPr>
          <w:cantSplit/>
          <w:tblHeader/>
        </w:trPr>
        <w:tc>
          <w:tcPr>
            <w:tcW w:w="2543" w:type="pct"/>
            <w:shd w:val="clear" w:color="auto" w:fill="F0F4F5"/>
          </w:tcPr>
          <w:p w14:paraId="0A28E79F" w14:textId="77777777" w:rsidR="00884D58" w:rsidRPr="00244B68" w:rsidRDefault="00884D58" w:rsidP="00DB4169">
            <w:pPr>
              <w:pStyle w:val="TableText"/>
              <w:rPr>
                <w:lang w:val="en-US"/>
              </w:rPr>
            </w:pPr>
            <w:r>
              <w:rPr>
                <w:lang w:val="en-US"/>
              </w:rPr>
              <w:t>Appearance</w:t>
            </w:r>
          </w:p>
        </w:tc>
        <w:tc>
          <w:tcPr>
            <w:tcW w:w="2457" w:type="pct"/>
          </w:tcPr>
          <w:p w14:paraId="5E4A74EF" w14:textId="77777777" w:rsidR="00884D58" w:rsidRPr="002D1539" w:rsidRDefault="00884D58" w:rsidP="00DB4169">
            <w:pPr>
              <w:pStyle w:val="TableText"/>
              <w:rPr>
                <w:lang w:val="en-US"/>
              </w:rPr>
            </w:pPr>
            <w:r>
              <w:rPr>
                <w:lang w:val="en-US"/>
              </w:rPr>
              <w:t>Light yellow free flowing powder with a slight earthy odour (purified and technical active ingredient)</w:t>
            </w:r>
          </w:p>
        </w:tc>
      </w:tr>
      <w:tr w:rsidR="00884D58" w:rsidRPr="002A150C" w14:paraId="2503EC1C" w14:textId="77777777" w:rsidTr="00533B55">
        <w:trPr>
          <w:cantSplit/>
          <w:tblHeader/>
        </w:trPr>
        <w:tc>
          <w:tcPr>
            <w:tcW w:w="2543" w:type="pct"/>
            <w:shd w:val="clear" w:color="auto" w:fill="F0F4F5"/>
          </w:tcPr>
          <w:p w14:paraId="43092BD5" w14:textId="77777777" w:rsidR="00884D58" w:rsidRPr="00244B68" w:rsidRDefault="00884D58" w:rsidP="00DB4169">
            <w:pPr>
              <w:pStyle w:val="TableText"/>
              <w:rPr>
                <w:lang w:val="en-US"/>
              </w:rPr>
            </w:pPr>
            <w:r w:rsidRPr="00244B68">
              <w:rPr>
                <w:lang w:val="en-US"/>
              </w:rPr>
              <w:t>Melting point</w:t>
            </w:r>
          </w:p>
        </w:tc>
        <w:tc>
          <w:tcPr>
            <w:tcW w:w="2457" w:type="pct"/>
          </w:tcPr>
          <w:p w14:paraId="51E36617" w14:textId="77777777" w:rsidR="00884D58" w:rsidRDefault="00884D58" w:rsidP="00DB4169">
            <w:pPr>
              <w:pStyle w:val="TableText"/>
              <w:rPr>
                <w:lang w:val="en-US"/>
              </w:rPr>
            </w:pPr>
            <w:r>
              <w:rPr>
                <w:lang w:val="en-US"/>
              </w:rPr>
              <w:t xml:space="preserve">143-146 </w:t>
            </w:r>
            <w:r w:rsidRPr="002D1539">
              <w:rPr>
                <w:lang w:val="en-US"/>
              </w:rPr>
              <w:t>°C</w:t>
            </w:r>
            <w:r>
              <w:rPr>
                <w:lang w:val="en-US"/>
              </w:rPr>
              <w:t xml:space="preserve"> (purified active ingredient)</w:t>
            </w:r>
          </w:p>
          <w:p w14:paraId="1BD066C9" w14:textId="77777777" w:rsidR="00884D58" w:rsidRPr="002D1539" w:rsidRDefault="00884D58" w:rsidP="00DB4169">
            <w:pPr>
              <w:pStyle w:val="TableText"/>
              <w:rPr>
                <w:lang w:val="en-US"/>
              </w:rPr>
            </w:pPr>
            <w:r>
              <w:rPr>
                <w:lang w:val="en-US"/>
              </w:rPr>
              <w:t xml:space="preserve">144-147 </w:t>
            </w:r>
            <w:r w:rsidRPr="002D1539">
              <w:rPr>
                <w:lang w:val="en-US"/>
              </w:rPr>
              <w:t>°C</w:t>
            </w:r>
            <w:r>
              <w:rPr>
                <w:lang w:val="en-US"/>
              </w:rPr>
              <w:t xml:space="preserve"> (technical active ingredient, 98.6%)</w:t>
            </w:r>
          </w:p>
        </w:tc>
      </w:tr>
      <w:tr w:rsidR="00884D58" w:rsidRPr="002A150C" w14:paraId="12856583" w14:textId="77777777" w:rsidTr="00533B55">
        <w:trPr>
          <w:cantSplit/>
          <w:tblHeader/>
        </w:trPr>
        <w:tc>
          <w:tcPr>
            <w:tcW w:w="2543" w:type="pct"/>
            <w:shd w:val="clear" w:color="auto" w:fill="F0F4F5"/>
          </w:tcPr>
          <w:p w14:paraId="2285C5C4" w14:textId="77777777" w:rsidR="00884D58" w:rsidRPr="00244B68" w:rsidRDefault="00884D58" w:rsidP="00DB4169">
            <w:pPr>
              <w:pStyle w:val="TableText"/>
              <w:rPr>
                <w:lang w:val="en-US"/>
              </w:rPr>
            </w:pPr>
            <w:r w:rsidRPr="00244B68">
              <w:rPr>
                <w:lang w:val="en-US"/>
              </w:rPr>
              <w:t xml:space="preserve">Density </w:t>
            </w:r>
          </w:p>
        </w:tc>
        <w:tc>
          <w:tcPr>
            <w:tcW w:w="2457" w:type="pct"/>
          </w:tcPr>
          <w:p w14:paraId="0100B0A5" w14:textId="77777777" w:rsidR="00884D58" w:rsidRPr="002D1539" w:rsidRDefault="00884D58" w:rsidP="00DB4169">
            <w:pPr>
              <w:pStyle w:val="TableText"/>
              <w:rPr>
                <w:lang w:val="en-US"/>
              </w:rPr>
            </w:pPr>
            <w:r>
              <w:rPr>
                <w:lang w:val="en-US"/>
              </w:rPr>
              <w:t xml:space="preserve">1.32 g/mL (20 </w:t>
            </w:r>
            <w:r w:rsidRPr="002D1539">
              <w:rPr>
                <w:lang w:val="en-US"/>
              </w:rPr>
              <w:t>°C</w:t>
            </w:r>
            <w:r>
              <w:rPr>
                <w:lang w:val="en-US"/>
              </w:rPr>
              <w:t>)</w:t>
            </w:r>
          </w:p>
        </w:tc>
      </w:tr>
      <w:tr w:rsidR="00884D58" w:rsidRPr="002A150C" w14:paraId="628E561F" w14:textId="77777777" w:rsidTr="00533B55">
        <w:trPr>
          <w:cantSplit/>
          <w:tblHeader/>
        </w:trPr>
        <w:tc>
          <w:tcPr>
            <w:tcW w:w="2543" w:type="pct"/>
            <w:shd w:val="clear" w:color="auto" w:fill="F0F4F5"/>
          </w:tcPr>
          <w:p w14:paraId="22941594" w14:textId="77777777" w:rsidR="00884D58" w:rsidRPr="00244B68" w:rsidRDefault="00884D58" w:rsidP="00DB4169">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r>
              <w:rPr>
                <w:lang w:val="en-US"/>
              </w:rPr>
              <w:t xml:space="preserve"> – purified active ingredient (20 °C)</w:t>
            </w:r>
          </w:p>
        </w:tc>
        <w:tc>
          <w:tcPr>
            <w:tcW w:w="2457" w:type="pct"/>
          </w:tcPr>
          <w:p w14:paraId="260C9C95" w14:textId="77777777" w:rsidR="00884D58" w:rsidRDefault="00884D58" w:rsidP="00DB4169">
            <w:pPr>
              <w:pStyle w:val="TableText"/>
              <w:rPr>
                <w:lang w:val="en-US"/>
              </w:rPr>
            </w:pPr>
            <w:r>
              <w:rPr>
                <w:lang w:val="en-US"/>
              </w:rPr>
              <w:t>pH 4: 3.62</w:t>
            </w:r>
          </w:p>
          <w:p w14:paraId="4CDFB8BD" w14:textId="77777777" w:rsidR="00884D58" w:rsidRDefault="00884D58" w:rsidP="00DB4169">
            <w:pPr>
              <w:pStyle w:val="TableText"/>
              <w:rPr>
                <w:lang w:val="en-US"/>
              </w:rPr>
            </w:pPr>
            <w:r>
              <w:rPr>
                <w:lang w:val="en-US"/>
              </w:rPr>
              <w:t>pH 7: 1.36</w:t>
            </w:r>
          </w:p>
          <w:p w14:paraId="3DBEFA1F" w14:textId="77777777" w:rsidR="00884D58" w:rsidRPr="002D1539" w:rsidRDefault="00884D58" w:rsidP="00DB4169">
            <w:pPr>
              <w:pStyle w:val="TableText"/>
              <w:rPr>
                <w:lang w:val="en-US"/>
              </w:rPr>
            </w:pPr>
            <w:r>
              <w:rPr>
                <w:lang w:val="en-US"/>
              </w:rPr>
              <w:t>pH 10: 1.25</w:t>
            </w:r>
          </w:p>
        </w:tc>
      </w:tr>
      <w:tr w:rsidR="00884D58" w:rsidRPr="002A150C" w14:paraId="5FB81EB1" w14:textId="77777777" w:rsidTr="00533B55">
        <w:trPr>
          <w:cantSplit/>
          <w:tblHeader/>
        </w:trPr>
        <w:tc>
          <w:tcPr>
            <w:tcW w:w="2543" w:type="pct"/>
            <w:shd w:val="clear" w:color="auto" w:fill="F0F4F5"/>
          </w:tcPr>
          <w:p w14:paraId="098ABB75" w14:textId="77777777" w:rsidR="00884D58" w:rsidRDefault="00884D58" w:rsidP="00DB4169">
            <w:pPr>
              <w:pStyle w:val="TableText"/>
              <w:rPr>
                <w:lang w:val="en-US"/>
              </w:rPr>
            </w:pPr>
            <w:r>
              <w:rPr>
                <w:lang w:val="en-US"/>
              </w:rPr>
              <w:t>pKa</w:t>
            </w:r>
          </w:p>
        </w:tc>
        <w:tc>
          <w:tcPr>
            <w:tcW w:w="2457" w:type="pct"/>
          </w:tcPr>
          <w:p w14:paraId="2A4622F7" w14:textId="77777777" w:rsidR="00884D58" w:rsidRDefault="00884D58" w:rsidP="00DB4169">
            <w:pPr>
              <w:pStyle w:val="TableText"/>
              <w:rPr>
                <w:lang w:val="en-US"/>
              </w:rPr>
            </w:pPr>
            <w:r>
              <w:rPr>
                <w:lang w:val="en-US"/>
              </w:rPr>
              <w:t xml:space="preserve">2.7 (20 </w:t>
            </w:r>
            <w:r w:rsidRPr="002D1539">
              <w:rPr>
                <w:lang w:val="en-US"/>
              </w:rPr>
              <w:t>°C</w:t>
            </w:r>
            <w:r>
              <w:rPr>
                <w:lang w:val="en-US"/>
              </w:rPr>
              <w:t>, purified active ingredient)</w:t>
            </w:r>
          </w:p>
        </w:tc>
      </w:tr>
      <w:tr w:rsidR="00884D58" w:rsidRPr="002A150C" w14:paraId="7E8E5E21" w14:textId="77777777" w:rsidTr="00533B55">
        <w:trPr>
          <w:cantSplit/>
          <w:tblHeader/>
        </w:trPr>
        <w:tc>
          <w:tcPr>
            <w:tcW w:w="2543" w:type="pct"/>
            <w:shd w:val="clear" w:color="auto" w:fill="F0F4F5"/>
          </w:tcPr>
          <w:p w14:paraId="357E58A6" w14:textId="77777777" w:rsidR="00884D58" w:rsidRPr="00244B68" w:rsidRDefault="00884D58" w:rsidP="00DB4169">
            <w:pPr>
              <w:pStyle w:val="TableText"/>
              <w:rPr>
                <w:lang w:val="en-US"/>
              </w:rPr>
            </w:pPr>
            <w:r w:rsidRPr="00244B68">
              <w:rPr>
                <w:lang w:val="en-US"/>
              </w:rPr>
              <w:t>Vapour pressure</w:t>
            </w:r>
          </w:p>
        </w:tc>
        <w:tc>
          <w:tcPr>
            <w:tcW w:w="2457" w:type="pct"/>
          </w:tcPr>
          <w:p w14:paraId="4B1BA4CE" w14:textId="77777777" w:rsidR="00884D58" w:rsidRPr="002D1539" w:rsidRDefault="00884D58" w:rsidP="00DB4169">
            <w:pPr>
              <w:pStyle w:val="TableText"/>
              <w:rPr>
                <w:lang w:val="en-US"/>
              </w:rPr>
            </w:pPr>
            <w:r>
              <w:rPr>
                <w:lang w:val="en-US"/>
              </w:rPr>
              <w:t>1.5 × 10</w:t>
            </w:r>
            <w:r w:rsidRPr="000D0683">
              <w:rPr>
                <w:vertAlign w:val="superscript"/>
                <w:lang w:val="en-US"/>
              </w:rPr>
              <w:t>-</w:t>
            </w:r>
            <w:r>
              <w:rPr>
                <w:vertAlign w:val="superscript"/>
                <w:lang w:val="en-US"/>
              </w:rPr>
              <w:t>5</w:t>
            </w:r>
            <w:r>
              <w:rPr>
                <w:lang w:val="en-US"/>
              </w:rPr>
              <w:t xml:space="preserve"> </w:t>
            </w:r>
            <w:r w:rsidRPr="002D1539">
              <w:rPr>
                <w:lang w:val="en-US"/>
              </w:rPr>
              <w:t>Pa (</w:t>
            </w:r>
            <w:r>
              <w:rPr>
                <w:lang w:val="en-US"/>
              </w:rPr>
              <w:t xml:space="preserve">25 </w:t>
            </w:r>
            <w:r w:rsidRPr="002D1539">
              <w:rPr>
                <w:lang w:val="en-US"/>
              </w:rPr>
              <w:t>°C</w:t>
            </w:r>
            <w:r>
              <w:rPr>
                <w:lang w:val="en-US"/>
              </w:rPr>
              <w:t>, purified active ingredient</w:t>
            </w:r>
            <w:r w:rsidRPr="002D1539">
              <w:rPr>
                <w:lang w:val="en-US"/>
              </w:rPr>
              <w:t>)</w:t>
            </w:r>
          </w:p>
        </w:tc>
      </w:tr>
      <w:tr w:rsidR="00884D58" w:rsidRPr="002A150C" w14:paraId="49EAC218" w14:textId="77777777" w:rsidTr="00533B55">
        <w:trPr>
          <w:cantSplit/>
          <w:tblHeader/>
        </w:trPr>
        <w:tc>
          <w:tcPr>
            <w:tcW w:w="2543" w:type="pct"/>
            <w:shd w:val="clear" w:color="auto" w:fill="F0F4F5"/>
          </w:tcPr>
          <w:p w14:paraId="36BE1C63" w14:textId="77777777" w:rsidR="00884D58" w:rsidRPr="00244B68" w:rsidRDefault="00884D58" w:rsidP="00DB4169">
            <w:pPr>
              <w:pStyle w:val="TableText"/>
              <w:rPr>
                <w:lang w:val="en-US"/>
              </w:rPr>
            </w:pPr>
            <w:r>
              <w:rPr>
                <w:lang w:val="en-US"/>
              </w:rPr>
              <w:t>Henry’s Law Constant</w:t>
            </w:r>
          </w:p>
        </w:tc>
        <w:tc>
          <w:tcPr>
            <w:tcW w:w="2457" w:type="pct"/>
          </w:tcPr>
          <w:p w14:paraId="3653DA4E" w14:textId="77777777" w:rsidR="00884D58" w:rsidRPr="000219A1" w:rsidRDefault="00884D58" w:rsidP="00DB4169">
            <w:pPr>
              <w:pStyle w:val="TableText"/>
              <w:rPr>
                <w:lang w:val="en-US"/>
              </w:rPr>
            </w:pPr>
            <w:r>
              <w:rPr>
                <w:lang w:val="en-US"/>
              </w:rPr>
              <w:t>2.6 × 10</w:t>
            </w:r>
            <w:r w:rsidRPr="000D0683">
              <w:rPr>
                <w:vertAlign w:val="superscript"/>
                <w:lang w:val="en-US"/>
              </w:rPr>
              <w:t>-</w:t>
            </w:r>
            <w:r>
              <w:rPr>
                <w:vertAlign w:val="superscript"/>
                <w:lang w:val="en-US"/>
              </w:rPr>
              <w:t>14</w:t>
            </w:r>
            <w:r>
              <w:rPr>
                <w:lang w:val="en-US"/>
              </w:rPr>
              <w:t xml:space="preserve"> (25 </w:t>
            </w:r>
            <w:r w:rsidRPr="002D1539">
              <w:rPr>
                <w:lang w:val="en-US"/>
              </w:rPr>
              <w:t>°C</w:t>
            </w:r>
            <w:r>
              <w:rPr>
                <w:lang w:val="en-US"/>
              </w:rPr>
              <w:t>)</w:t>
            </w:r>
          </w:p>
        </w:tc>
      </w:tr>
      <w:tr w:rsidR="00884D58" w:rsidRPr="002A150C" w14:paraId="6469D07F" w14:textId="77777777" w:rsidTr="00533B55">
        <w:trPr>
          <w:cantSplit/>
          <w:tblHeader/>
        </w:trPr>
        <w:tc>
          <w:tcPr>
            <w:tcW w:w="2543" w:type="pct"/>
            <w:shd w:val="clear" w:color="auto" w:fill="F0F4F5"/>
          </w:tcPr>
          <w:p w14:paraId="4E24F1CD" w14:textId="77777777" w:rsidR="00884D58" w:rsidRPr="00244B68" w:rsidRDefault="00884D58" w:rsidP="00DB4169">
            <w:pPr>
              <w:pStyle w:val="TableText"/>
              <w:rPr>
                <w:lang w:val="en-US"/>
              </w:rPr>
            </w:pPr>
            <w:r>
              <w:rPr>
                <w:lang w:val="en-US"/>
              </w:rPr>
              <w:t>Water s</w:t>
            </w:r>
            <w:r w:rsidRPr="00244B68">
              <w:rPr>
                <w:lang w:val="en-US"/>
              </w:rPr>
              <w:t>olubility</w:t>
            </w:r>
          </w:p>
        </w:tc>
        <w:tc>
          <w:tcPr>
            <w:tcW w:w="2457" w:type="pct"/>
          </w:tcPr>
          <w:p w14:paraId="7A5D3291" w14:textId="77777777" w:rsidR="00884D58" w:rsidRPr="002D1539" w:rsidRDefault="00884D58" w:rsidP="00DB4169">
            <w:pPr>
              <w:pStyle w:val="TableText"/>
              <w:rPr>
                <w:lang w:val="en-US"/>
              </w:rPr>
            </w:pPr>
            <w:r>
              <w:rPr>
                <w:lang w:val="en-US"/>
              </w:rPr>
              <w:t xml:space="preserve">0.00968 g/L (20 </w:t>
            </w:r>
            <w:r w:rsidRPr="002D1539">
              <w:rPr>
                <w:lang w:val="en-US"/>
              </w:rPr>
              <w:t>°C</w:t>
            </w:r>
            <w:r>
              <w:rPr>
                <w:lang w:val="en-US"/>
              </w:rPr>
              <w:t>, purified active ingredient)</w:t>
            </w:r>
          </w:p>
        </w:tc>
      </w:tr>
      <w:tr w:rsidR="00884D58" w:rsidRPr="002A150C" w14:paraId="2904FDF9" w14:textId="77777777" w:rsidTr="00533B55">
        <w:trPr>
          <w:cantSplit/>
          <w:tblHeader/>
        </w:trPr>
        <w:tc>
          <w:tcPr>
            <w:tcW w:w="2543" w:type="pct"/>
            <w:shd w:val="clear" w:color="auto" w:fill="F0F4F5"/>
          </w:tcPr>
          <w:p w14:paraId="4A7080A9" w14:textId="77777777" w:rsidR="00884D58" w:rsidRDefault="00884D58" w:rsidP="00DB4169">
            <w:pPr>
              <w:pStyle w:val="TableText"/>
              <w:rPr>
                <w:lang w:val="en-US"/>
              </w:rPr>
            </w:pPr>
            <w:r>
              <w:rPr>
                <w:lang w:val="en-US"/>
              </w:rPr>
              <w:t>Organic solvent solubility (purified active ingredient)</w:t>
            </w:r>
          </w:p>
        </w:tc>
        <w:tc>
          <w:tcPr>
            <w:tcW w:w="2457" w:type="pct"/>
          </w:tcPr>
          <w:p w14:paraId="5904BC25" w14:textId="77777777" w:rsidR="00884D58" w:rsidRPr="003B2FCF" w:rsidRDefault="00884D58" w:rsidP="00DB4169">
            <w:pPr>
              <w:pStyle w:val="TableText"/>
              <w:rPr>
                <w:lang w:val="de-CH"/>
              </w:rPr>
            </w:pPr>
            <w:r w:rsidRPr="003B2FCF">
              <w:rPr>
                <w:lang w:val="de-CH"/>
              </w:rPr>
              <w:t xml:space="preserve">Heptane: 0.82 g/L (20 </w:t>
            </w:r>
            <w:r w:rsidRPr="001549D4">
              <w:rPr>
                <w:lang w:val="de-CH"/>
              </w:rPr>
              <w:t>°</w:t>
            </w:r>
            <w:r w:rsidRPr="003B2FCF">
              <w:rPr>
                <w:lang w:val="de-CH"/>
              </w:rPr>
              <w:t>C)</w:t>
            </w:r>
          </w:p>
          <w:p w14:paraId="25B2AEBC" w14:textId="77777777" w:rsidR="00884D58" w:rsidRPr="003B2FCF" w:rsidRDefault="00884D58" w:rsidP="00DB4169">
            <w:pPr>
              <w:pStyle w:val="TableText"/>
              <w:rPr>
                <w:lang w:val="de-CH"/>
              </w:rPr>
            </w:pPr>
            <w:r w:rsidRPr="003B2FCF">
              <w:rPr>
                <w:lang w:val="de-CH"/>
              </w:rPr>
              <w:t xml:space="preserve">Xylene: 39.7 g/L (20 </w:t>
            </w:r>
            <w:r w:rsidRPr="001549D4">
              <w:rPr>
                <w:lang w:val="de-CH"/>
              </w:rPr>
              <w:t>°</w:t>
            </w:r>
            <w:r w:rsidRPr="003B2FCF">
              <w:rPr>
                <w:lang w:val="de-CH"/>
              </w:rPr>
              <w:t>C)</w:t>
            </w:r>
          </w:p>
          <w:p w14:paraId="52E62D39" w14:textId="77777777" w:rsidR="00884D58" w:rsidRDefault="00884D58" w:rsidP="00DB4169">
            <w:pPr>
              <w:pStyle w:val="TableText"/>
              <w:rPr>
                <w:lang w:val="en-US"/>
              </w:rPr>
            </w:pPr>
            <w:r>
              <w:rPr>
                <w:lang w:val="en-US"/>
              </w:rPr>
              <w:t xml:space="preserve">1,2-dichloroethane: 131 g/L (20 </w:t>
            </w:r>
            <w:r w:rsidRPr="002D1539">
              <w:rPr>
                <w:lang w:val="en-US"/>
              </w:rPr>
              <w:t>°</w:t>
            </w:r>
            <w:r>
              <w:rPr>
                <w:lang w:val="en-US"/>
              </w:rPr>
              <w:t>C)</w:t>
            </w:r>
          </w:p>
          <w:p w14:paraId="6361D61F" w14:textId="77777777" w:rsidR="00884D58" w:rsidRDefault="00884D58" w:rsidP="00DB4169">
            <w:pPr>
              <w:pStyle w:val="TableText"/>
              <w:rPr>
                <w:lang w:val="en-US"/>
              </w:rPr>
            </w:pPr>
            <w:r>
              <w:rPr>
                <w:lang w:val="en-US"/>
              </w:rPr>
              <w:t xml:space="preserve">Methanol: 0.99 g/L (20 </w:t>
            </w:r>
            <w:r w:rsidRPr="002D1539">
              <w:rPr>
                <w:lang w:val="en-US"/>
              </w:rPr>
              <w:t>°</w:t>
            </w:r>
            <w:r>
              <w:rPr>
                <w:lang w:val="en-US"/>
              </w:rPr>
              <w:t>C)</w:t>
            </w:r>
          </w:p>
          <w:p w14:paraId="3B604B1D" w14:textId="77777777" w:rsidR="00884D58" w:rsidRDefault="00884D58" w:rsidP="00DB4169">
            <w:pPr>
              <w:pStyle w:val="TableText"/>
              <w:rPr>
                <w:lang w:val="en-US"/>
              </w:rPr>
            </w:pPr>
            <w:r>
              <w:rPr>
                <w:lang w:val="en-US"/>
              </w:rPr>
              <w:t xml:space="preserve">Acetone: 23.2 g/L (20 </w:t>
            </w:r>
            <w:r w:rsidRPr="002D1539">
              <w:rPr>
                <w:lang w:val="en-US"/>
              </w:rPr>
              <w:t>°</w:t>
            </w:r>
            <w:r>
              <w:rPr>
                <w:lang w:val="en-US"/>
              </w:rPr>
              <w:t>C)</w:t>
            </w:r>
          </w:p>
          <w:p w14:paraId="782E67EE" w14:textId="77777777" w:rsidR="00884D58" w:rsidRDefault="00884D58" w:rsidP="00DB4169">
            <w:pPr>
              <w:pStyle w:val="TableText"/>
              <w:rPr>
                <w:lang w:val="en-US"/>
              </w:rPr>
            </w:pPr>
            <w:r>
              <w:rPr>
                <w:lang w:val="en-US"/>
              </w:rPr>
              <w:t xml:space="preserve">Ethyl acetate: 27.2 g/L (20 </w:t>
            </w:r>
            <w:r w:rsidRPr="002D1539">
              <w:rPr>
                <w:lang w:val="en-US"/>
              </w:rPr>
              <w:t>°</w:t>
            </w:r>
            <w:r>
              <w:rPr>
                <w:lang w:val="en-US"/>
              </w:rPr>
              <w:t>C)</w:t>
            </w:r>
          </w:p>
          <w:p w14:paraId="275611D8" w14:textId="77777777" w:rsidR="00884D58" w:rsidRDefault="00884D58" w:rsidP="00DB4169">
            <w:pPr>
              <w:pStyle w:val="TableText"/>
              <w:rPr>
                <w:lang w:val="en-US"/>
              </w:rPr>
            </w:pPr>
            <w:r>
              <w:rPr>
                <w:lang w:val="en-US"/>
              </w:rPr>
              <w:t xml:space="preserve">Chloroform: 204 g/L (25 </w:t>
            </w:r>
            <w:r w:rsidRPr="002D1539">
              <w:rPr>
                <w:lang w:val="en-US"/>
              </w:rPr>
              <w:t>°C</w:t>
            </w:r>
            <w:r>
              <w:rPr>
                <w:lang w:val="en-US"/>
              </w:rPr>
              <w:t>)</w:t>
            </w:r>
          </w:p>
          <w:p w14:paraId="2BF75307" w14:textId="77777777" w:rsidR="00884D58" w:rsidRDefault="00884D58" w:rsidP="00DB4169">
            <w:pPr>
              <w:pStyle w:val="TableText"/>
              <w:rPr>
                <w:lang w:val="en-US"/>
              </w:rPr>
            </w:pPr>
            <w:r>
              <w:rPr>
                <w:lang w:val="en-US"/>
              </w:rPr>
              <w:t xml:space="preserve">Toluene: 73 g/L (25 </w:t>
            </w:r>
            <w:r w:rsidRPr="002D1539">
              <w:rPr>
                <w:lang w:val="en-US"/>
              </w:rPr>
              <w:t>°C</w:t>
            </w:r>
            <w:r>
              <w:rPr>
                <w:lang w:val="en-US"/>
              </w:rPr>
              <w:t>)</w:t>
            </w:r>
          </w:p>
          <w:p w14:paraId="4A38F8ED" w14:textId="77777777" w:rsidR="00884D58" w:rsidRDefault="00884D58" w:rsidP="00DB4169">
            <w:pPr>
              <w:pStyle w:val="TableText"/>
              <w:rPr>
                <w:lang w:val="en-US"/>
              </w:rPr>
            </w:pPr>
            <w:r>
              <w:rPr>
                <w:lang w:val="en-US"/>
              </w:rPr>
              <w:t xml:space="preserve">Xylene: 50 g/L (25 </w:t>
            </w:r>
            <w:r w:rsidRPr="002D1539">
              <w:rPr>
                <w:lang w:val="en-US"/>
              </w:rPr>
              <w:t>°C</w:t>
            </w:r>
            <w:r>
              <w:rPr>
                <w:lang w:val="en-US"/>
              </w:rPr>
              <w:t>)</w:t>
            </w:r>
          </w:p>
          <w:p w14:paraId="06B27D95" w14:textId="77777777" w:rsidR="00884D58" w:rsidRDefault="00884D58" w:rsidP="00DB4169">
            <w:pPr>
              <w:pStyle w:val="TableText"/>
              <w:rPr>
                <w:lang w:val="en-US"/>
              </w:rPr>
            </w:pPr>
            <w:r>
              <w:rPr>
                <w:lang w:val="en-US"/>
              </w:rPr>
              <w:t xml:space="preserve">Acetone 29 g/L (25 </w:t>
            </w:r>
            <w:r w:rsidRPr="002D1539">
              <w:rPr>
                <w:lang w:val="en-US"/>
              </w:rPr>
              <w:t>°C</w:t>
            </w:r>
            <w:r>
              <w:rPr>
                <w:lang w:val="en-US"/>
              </w:rPr>
              <w:t>)</w:t>
            </w:r>
          </w:p>
          <w:p w14:paraId="08887CAC" w14:textId="77777777" w:rsidR="00884D58" w:rsidRDefault="00884D58" w:rsidP="00DB4169">
            <w:pPr>
              <w:pStyle w:val="TableText"/>
              <w:rPr>
                <w:lang w:val="en-US"/>
              </w:rPr>
            </w:pPr>
            <w:r>
              <w:rPr>
                <w:lang w:val="en-US"/>
              </w:rPr>
              <w:t xml:space="preserve">Ethanol: 2.1 g/L (25 </w:t>
            </w:r>
            <w:r w:rsidRPr="002D1539">
              <w:rPr>
                <w:lang w:val="en-US"/>
              </w:rPr>
              <w:t>°C</w:t>
            </w:r>
            <w:r>
              <w:rPr>
                <w:lang w:val="en-US"/>
              </w:rPr>
              <w:t>)</w:t>
            </w:r>
          </w:p>
          <w:p w14:paraId="77238728" w14:textId="77777777" w:rsidR="00884D58" w:rsidRPr="002D1539" w:rsidRDefault="00884D58" w:rsidP="00DB4169">
            <w:pPr>
              <w:pStyle w:val="TableText"/>
              <w:rPr>
                <w:lang w:val="en-US"/>
              </w:rPr>
            </w:pPr>
            <w:r>
              <w:rPr>
                <w:lang w:val="en-US"/>
              </w:rPr>
              <w:t xml:space="preserve">Heptane: 1.8 g/L (25 </w:t>
            </w:r>
            <w:r w:rsidRPr="002D1539">
              <w:rPr>
                <w:lang w:val="en-US"/>
              </w:rPr>
              <w:t>°C</w:t>
            </w:r>
            <w:r>
              <w:rPr>
                <w:lang w:val="en-US"/>
              </w:rPr>
              <w:t>)</w:t>
            </w:r>
          </w:p>
        </w:tc>
      </w:tr>
      <w:tr w:rsidR="00884D58" w:rsidRPr="002A150C" w14:paraId="3F94F038" w14:textId="77777777" w:rsidTr="00533B55">
        <w:trPr>
          <w:cantSplit/>
          <w:tblHeader/>
        </w:trPr>
        <w:tc>
          <w:tcPr>
            <w:tcW w:w="2543" w:type="pct"/>
            <w:shd w:val="clear" w:color="auto" w:fill="F0F4F5"/>
          </w:tcPr>
          <w:p w14:paraId="3F8FF76C" w14:textId="77777777" w:rsidR="00884D58" w:rsidRDefault="00884D58" w:rsidP="00DB4169">
            <w:pPr>
              <w:pStyle w:val="TableText"/>
              <w:rPr>
                <w:lang w:val="en-US"/>
              </w:rPr>
            </w:pPr>
            <w:r>
              <w:rPr>
                <w:lang w:val="en-US"/>
              </w:rPr>
              <w:t>Hydrolysis</w:t>
            </w:r>
          </w:p>
        </w:tc>
        <w:tc>
          <w:tcPr>
            <w:tcW w:w="2457" w:type="pct"/>
          </w:tcPr>
          <w:p w14:paraId="1113CC65" w14:textId="3DF03E3F" w:rsidR="00884D58" w:rsidRDefault="00884D58" w:rsidP="00DB4169">
            <w:pPr>
              <w:pStyle w:val="TableText"/>
              <w:rPr>
                <w:lang w:val="en-US"/>
              </w:rPr>
            </w:pPr>
            <w:r>
              <w:rPr>
                <w:lang w:val="en-US"/>
              </w:rPr>
              <w:t xml:space="preserve">Does not readily </w:t>
            </w:r>
            <w:r w:rsidR="003F74B7">
              <w:rPr>
                <w:lang w:val="en-US"/>
              </w:rPr>
              <w:t>hydrolyze</w:t>
            </w:r>
            <w:r>
              <w:rPr>
                <w:lang w:val="en-US"/>
              </w:rPr>
              <w:t>, but decomposes in water at pH 5</w:t>
            </w:r>
          </w:p>
        </w:tc>
      </w:tr>
      <w:tr w:rsidR="00884D58" w:rsidRPr="002A150C" w14:paraId="38F8692B" w14:textId="77777777" w:rsidTr="00533B55">
        <w:trPr>
          <w:cantSplit/>
          <w:tblHeader/>
        </w:trPr>
        <w:tc>
          <w:tcPr>
            <w:tcW w:w="2543" w:type="pct"/>
            <w:shd w:val="clear" w:color="auto" w:fill="F0F4F5"/>
          </w:tcPr>
          <w:p w14:paraId="4FD070A8" w14:textId="77777777" w:rsidR="00884D58" w:rsidRDefault="00884D58" w:rsidP="00DB4169">
            <w:pPr>
              <w:pStyle w:val="TableText"/>
              <w:rPr>
                <w:lang w:val="en-US"/>
              </w:rPr>
            </w:pPr>
            <w:r>
              <w:rPr>
                <w:lang w:val="en-US"/>
              </w:rPr>
              <w:t>Photolysis</w:t>
            </w:r>
          </w:p>
        </w:tc>
        <w:tc>
          <w:tcPr>
            <w:tcW w:w="2457" w:type="pct"/>
          </w:tcPr>
          <w:p w14:paraId="0A7EAE7B" w14:textId="77777777" w:rsidR="00884D58" w:rsidRDefault="00884D58" w:rsidP="00DB4169">
            <w:pPr>
              <w:pStyle w:val="TableText"/>
              <w:rPr>
                <w:lang w:val="en-US"/>
              </w:rPr>
            </w:pPr>
            <w:r>
              <w:rPr>
                <w:lang w:val="en-US"/>
              </w:rPr>
              <w:t>Rapidly decomposes under sunlight in water</w:t>
            </w:r>
          </w:p>
        </w:tc>
      </w:tr>
      <w:tr w:rsidR="00884D58" w:rsidRPr="002A150C" w14:paraId="7A5D1A6D" w14:textId="77777777" w:rsidTr="00533B55">
        <w:trPr>
          <w:cantSplit/>
          <w:tblHeader/>
        </w:trPr>
        <w:tc>
          <w:tcPr>
            <w:tcW w:w="2543" w:type="pct"/>
            <w:shd w:val="clear" w:color="auto" w:fill="F0F4F5"/>
          </w:tcPr>
          <w:p w14:paraId="2CE77136" w14:textId="77777777" w:rsidR="00884D58" w:rsidRDefault="00884D58" w:rsidP="00DB4169">
            <w:pPr>
              <w:pStyle w:val="TableText"/>
              <w:rPr>
                <w:lang w:val="en-US"/>
              </w:rPr>
            </w:pPr>
            <w:r>
              <w:rPr>
                <w:lang w:val="en-US"/>
              </w:rPr>
              <w:t>Safety properties</w:t>
            </w:r>
          </w:p>
        </w:tc>
        <w:tc>
          <w:tcPr>
            <w:tcW w:w="2457" w:type="pct"/>
          </w:tcPr>
          <w:p w14:paraId="45EEEF3F" w14:textId="204FA0B9" w:rsidR="00884D58" w:rsidRDefault="00884D58" w:rsidP="00DB4169">
            <w:pPr>
              <w:pStyle w:val="TableText"/>
              <w:rPr>
                <w:lang w:val="en-US"/>
              </w:rPr>
            </w:pPr>
            <w:r>
              <w:rPr>
                <w:lang w:val="en-US"/>
              </w:rPr>
              <w:t xml:space="preserve">Not highly flammable, not self-igniting, not explosive, not </w:t>
            </w:r>
            <w:r w:rsidR="003F74B7">
              <w:rPr>
                <w:lang w:val="en-US"/>
              </w:rPr>
              <w:t>oxidizing</w:t>
            </w:r>
          </w:p>
        </w:tc>
      </w:tr>
    </w:tbl>
    <w:p w14:paraId="60CBBFEE" w14:textId="17A925D5" w:rsidR="00884D58" w:rsidRDefault="00884D58" w:rsidP="00884D58">
      <w:pPr>
        <w:pStyle w:val="NormalText"/>
      </w:pPr>
      <w:r>
        <w:lastRenderedPageBreak/>
        <w:t>Diphacinone is generally supplied in the market to end</w:t>
      </w:r>
      <w:r w:rsidR="003F74B7">
        <w:t>-</w:t>
      </w:r>
      <w:r>
        <w:t>use product manufacturers as the technical active constituent (TC) with a minimum purity of 98.3%.</w:t>
      </w:r>
    </w:p>
    <w:p w14:paraId="038F02E1" w14:textId="1DECE8B3" w:rsidR="00884D58" w:rsidRDefault="000A6D1A" w:rsidP="00884D58">
      <w:pPr>
        <w:pStyle w:val="NormalText"/>
      </w:pPr>
      <w:r>
        <w:t xml:space="preserve">The APVMA Record lists one source of </w:t>
      </w:r>
      <w:r w:rsidR="00884D58">
        <w:t>diphacinone</w:t>
      </w:r>
      <w:r>
        <w:t xml:space="preserve"> active constituent</w:t>
      </w:r>
      <w:r w:rsidR="00884D58">
        <w:t>. A summary of the active constituent approval and recommendations based on review of the information entered in the APVMA’s Record of active constituent approvals is provided in</w:t>
      </w:r>
      <w:r>
        <w:t xml:space="preserve"> </w:t>
      </w:r>
      <w:r>
        <w:fldChar w:fldCharType="begin"/>
      </w:r>
      <w:r>
        <w:instrText xml:space="preserve"> REF _Ref214965874 \h </w:instrText>
      </w:r>
      <w:r>
        <w:fldChar w:fldCharType="separate"/>
      </w:r>
      <w:r w:rsidR="003861AC">
        <w:t xml:space="preserve">Table </w:t>
      </w:r>
      <w:r w:rsidR="003861AC">
        <w:rPr>
          <w:noProof/>
        </w:rPr>
        <w:t>27</w:t>
      </w:r>
      <w:r>
        <w:fldChar w:fldCharType="end"/>
      </w:r>
      <w:r w:rsidR="00884D58">
        <w:t>.</w:t>
      </w:r>
    </w:p>
    <w:p w14:paraId="206E170E" w14:textId="333F2ABA" w:rsidR="00884D58" w:rsidRDefault="00884D58" w:rsidP="00884D58">
      <w:pPr>
        <w:pStyle w:val="Caption"/>
      </w:pPr>
      <w:bookmarkStart w:id="126" w:name="_Ref214965874"/>
      <w:bookmarkStart w:id="127" w:name="_Toc213946003"/>
      <w:bookmarkStart w:id="128" w:name="_Toc216695689"/>
      <w:r>
        <w:t xml:space="preserve">Table </w:t>
      </w:r>
      <w:r>
        <w:fldChar w:fldCharType="begin"/>
      </w:r>
      <w:r>
        <w:instrText xml:space="preserve"> SEQ Table \* ARABIC </w:instrText>
      </w:r>
      <w:r>
        <w:fldChar w:fldCharType="separate"/>
      </w:r>
      <w:r w:rsidR="003861AC">
        <w:rPr>
          <w:noProof/>
        </w:rPr>
        <w:t>27</w:t>
      </w:r>
      <w:r>
        <w:rPr>
          <w:noProof/>
        </w:rPr>
        <w:fldChar w:fldCharType="end"/>
      </w:r>
      <w:bookmarkEnd w:id="126"/>
      <w:r>
        <w:rPr>
          <w:noProof/>
        </w:rPr>
        <w:t>:</w:t>
      </w:r>
      <w:r>
        <w:t xml:space="preserve"> Current active constituent active constituent approval for diphacinone</w:t>
      </w:r>
      <w:bookmarkEnd w:id="127"/>
      <w:bookmarkEnd w:id="128"/>
    </w:p>
    <w:tbl>
      <w:tblPr>
        <w:tblStyle w:val="TableGrid"/>
        <w:tblW w:w="5000" w:type="pct"/>
        <w:tblLook w:val="04A0" w:firstRow="1" w:lastRow="0" w:firstColumn="1" w:lastColumn="0" w:noHBand="0" w:noVBand="1"/>
      </w:tblPr>
      <w:tblGrid>
        <w:gridCol w:w="2267"/>
        <w:gridCol w:w="2401"/>
        <w:gridCol w:w="2555"/>
        <w:gridCol w:w="2405"/>
      </w:tblGrid>
      <w:tr w:rsidR="00884D58" w14:paraId="158B679C" w14:textId="77777777" w:rsidTr="00533B55">
        <w:tc>
          <w:tcPr>
            <w:tcW w:w="1177" w:type="pct"/>
            <w:shd w:val="clear" w:color="auto" w:fill="5C2946"/>
          </w:tcPr>
          <w:p w14:paraId="3A773918" w14:textId="77777777" w:rsidR="00884D58" w:rsidRDefault="00884D58" w:rsidP="00BA7F4F">
            <w:pPr>
              <w:pStyle w:val="TableHead"/>
            </w:pPr>
            <w:r>
              <w:t>Approval number</w:t>
            </w:r>
          </w:p>
        </w:tc>
        <w:tc>
          <w:tcPr>
            <w:tcW w:w="1247" w:type="pct"/>
            <w:shd w:val="clear" w:color="auto" w:fill="5C2946"/>
          </w:tcPr>
          <w:p w14:paraId="0AD632BA" w14:textId="77777777" w:rsidR="00884D58" w:rsidRDefault="00884D58" w:rsidP="00BA7F4F">
            <w:pPr>
              <w:pStyle w:val="TableHead"/>
            </w:pPr>
            <w:r>
              <w:t>Active name</w:t>
            </w:r>
          </w:p>
        </w:tc>
        <w:tc>
          <w:tcPr>
            <w:tcW w:w="1327" w:type="pct"/>
            <w:shd w:val="clear" w:color="auto" w:fill="5C2946"/>
          </w:tcPr>
          <w:p w14:paraId="5664B75A" w14:textId="77777777" w:rsidR="00884D58" w:rsidRDefault="00884D58" w:rsidP="00BA7F4F">
            <w:pPr>
              <w:pStyle w:val="TableHead"/>
            </w:pPr>
            <w:r>
              <w:t>Approval holder</w:t>
            </w:r>
          </w:p>
        </w:tc>
        <w:tc>
          <w:tcPr>
            <w:tcW w:w="1250" w:type="pct"/>
            <w:shd w:val="clear" w:color="auto" w:fill="5C2946"/>
          </w:tcPr>
          <w:p w14:paraId="70DAD0DB" w14:textId="77777777" w:rsidR="00884D58" w:rsidRDefault="00884D58" w:rsidP="00BA7F4F">
            <w:pPr>
              <w:pStyle w:val="TableHead"/>
            </w:pPr>
            <w:r>
              <w:t>Recommendation</w:t>
            </w:r>
          </w:p>
        </w:tc>
      </w:tr>
      <w:tr w:rsidR="00884D58" w14:paraId="3683F2FE" w14:textId="77777777" w:rsidTr="00533B55">
        <w:tc>
          <w:tcPr>
            <w:tcW w:w="1177" w:type="pct"/>
          </w:tcPr>
          <w:p w14:paraId="20127D80" w14:textId="77777777" w:rsidR="00884D58" w:rsidRPr="00DB4169" w:rsidRDefault="00884D58" w:rsidP="00DB4169">
            <w:pPr>
              <w:pStyle w:val="TableText"/>
            </w:pPr>
            <w:r w:rsidRPr="00DB4169">
              <w:t>54768</w:t>
            </w:r>
          </w:p>
        </w:tc>
        <w:tc>
          <w:tcPr>
            <w:tcW w:w="1247" w:type="pct"/>
          </w:tcPr>
          <w:p w14:paraId="00656953" w14:textId="77777777" w:rsidR="00884D58" w:rsidRPr="00DB4169" w:rsidRDefault="00884D58" w:rsidP="00DB4169">
            <w:pPr>
              <w:pStyle w:val="TableText"/>
            </w:pPr>
            <w:r w:rsidRPr="00DB4169">
              <w:t>Diphacinone</w:t>
            </w:r>
          </w:p>
        </w:tc>
        <w:tc>
          <w:tcPr>
            <w:tcW w:w="1327" w:type="pct"/>
          </w:tcPr>
          <w:p w14:paraId="4D86561D" w14:textId="77777777" w:rsidR="00884D58" w:rsidRPr="00DB4169" w:rsidRDefault="00884D58" w:rsidP="00DB4169">
            <w:pPr>
              <w:pStyle w:val="TableText"/>
            </w:pPr>
            <w:r w:rsidRPr="00DB4169">
              <w:t>Neogen Australasia Pty Ltd</w:t>
            </w:r>
          </w:p>
        </w:tc>
        <w:tc>
          <w:tcPr>
            <w:tcW w:w="1250" w:type="pct"/>
          </w:tcPr>
          <w:p w14:paraId="35A282E2" w14:textId="219209F7" w:rsidR="00884D58" w:rsidRPr="00DB4169" w:rsidRDefault="00DB4169" w:rsidP="00DB4169">
            <w:pPr>
              <w:pStyle w:val="TableText"/>
            </w:pPr>
            <w:r>
              <w:t>A</w:t>
            </w:r>
            <w:r w:rsidR="00884D58" w:rsidRPr="00DB4169">
              <w:t>ffirm approval</w:t>
            </w:r>
          </w:p>
        </w:tc>
      </w:tr>
    </w:tbl>
    <w:p w14:paraId="5EA101CF" w14:textId="13E6ECEB" w:rsidR="00D14493" w:rsidRDefault="00884D58" w:rsidP="00D14493">
      <w:pPr>
        <w:pStyle w:val="NormalText"/>
      </w:pPr>
      <w:r>
        <w:t xml:space="preserve">The </w:t>
      </w:r>
      <w:r w:rsidR="000A6D1A" w:rsidRPr="00377F3A">
        <w:rPr>
          <w:rStyle w:val="NormalTextChar"/>
        </w:rPr>
        <w:t>Active Constituent Standards</w:t>
      </w:r>
      <w:r w:rsidR="000A6D1A">
        <w:rPr>
          <w:rStyle w:val="NormalTextChar"/>
        </w:rPr>
        <w:t xml:space="preserve"> specification for the standard for </w:t>
      </w:r>
      <w:r>
        <w:t>diphacinone active constituent</w:t>
      </w:r>
      <w:r w:rsidR="00BD7A65">
        <w:t xml:space="preserve"> is provided in </w:t>
      </w:r>
      <w:r w:rsidR="00D14493">
        <w:fldChar w:fldCharType="begin"/>
      </w:r>
      <w:r w:rsidR="00D14493">
        <w:instrText xml:space="preserve"> REF _Ref214965902 \h </w:instrText>
      </w:r>
      <w:r w:rsidR="00D14493">
        <w:fldChar w:fldCharType="separate"/>
      </w:r>
      <w:r w:rsidR="003861AC">
        <w:t xml:space="preserve">Table </w:t>
      </w:r>
      <w:r w:rsidR="003861AC">
        <w:rPr>
          <w:noProof/>
        </w:rPr>
        <w:t>28</w:t>
      </w:r>
      <w:r w:rsidR="00D14493">
        <w:fldChar w:fldCharType="end"/>
      </w:r>
      <w:r>
        <w:t xml:space="preserve">. </w:t>
      </w:r>
      <w:r w:rsidR="00BD7A65">
        <w:t>No changes are proposed to this standard.</w:t>
      </w:r>
      <w:r w:rsidR="00D14493">
        <w:t xml:space="preserve"> There is no FAO specification for diphacinone.</w:t>
      </w:r>
    </w:p>
    <w:p w14:paraId="4CB53A91" w14:textId="3B7088EA" w:rsidR="00884D58" w:rsidRDefault="00884D58" w:rsidP="005C7C98">
      <w:pPr>
        <w:pStyle w:val="Caption"/>
      </w:pPr>
      <w:bookmarkStart w:id="129" w:name="_Ref214965902"/>
      <w:bookmarkStart w:id="130" w:name="_Toc213946004"/>
      <w:bookmarkStart w:id="131" w:name="_Toc216695690"/>
      <w:r>
        <w:t xml:space="preserve">Table </w:t>
      </w:r>
      <w:r>
        <w:fldChar w:fldCharType="begin"/>
      </w:r>
      <w:r>
        <w:instrText xml:space="preserve"> SEQ Table \* ARABIC </w:instrText>
      </w:r>
      <w:r>
        <w:fldChar w:fldCharType="separate"/>
      </w:r>
      <w:r w:rsidR="003861AC">
        <w:rPr>
          <w:noProof/>
        </w:rPr>
        <w:t>28</w:t>
      </w:r>
      <w:r>
        <w:fldChar w:fldCharType="end"/>
      </w:r>
      <w:bookmarkEnd w:id="129"/>
      <w:r>
        <w:t>: The Active Constituent Standard for diphacinone active constituent</w:t>
      </w:r>
      <w:bookmarkEnd w:id="130"/>
      <w:bookmarkEnd w:id="131"/>
    </w:p>
    <w:tbl>
      <w:tblPr>
        <w:tblStyle w:val="TableGrid"/>
        <w:tblW w:w="5000" w:type="pct"/>
        <w:tblLook w:val="04A0" w:firstRow="1" w:lastRow="0" w:firstColumn="1" w:lastColumn="0" w:noHBand="0" w:noVBand="1"/>
      </w:tblPr>
      <w:tblGrid>
        <w:gridCol w:w="4814"/>
        <w:gridCol w:w="4814"/>
      </w:tblGrid>
      <w:tr w:rsidR="00884D58" w14:paraId="41DBFFB3" w14:textId="77777777" w:rsidTr="00533B55">
        <w:tc>
          <w:tcPr>
            <w:tcW w:w="2500" w:type="pct"/>
            <w:shd w:val="clear" w:color="auto" w:fill="5C2946"/>
          </w:tcPr>
          <w:p w14:paraId="5F94A038" w14:textId="77777777" w:rsidR="00884D58" w:rsidRDefault="00884D58" w:rsidP="00DB4169">
            <w:pPr>
              <w:pStyle w:val="TableHead"/>
            </w:pPr>
            <w:r>
              <w:t>Active constituent</w:t>
            </w:r>
          </w:p>
        </w:tc>
        <w:tc>
          <w:tcPr>
            <w:tcW w:w="2500" w:type="pct"/>
            <w:shd w:val="clear" w:color="auto" w:fill="5C2946"/>
          </w:tcPr>
          <w:p w14:paraId="63D3727D" w14:textId="77777777" w:rsidR="00884D58" w:rsidRDefault="00884D58" w:rsidP="00DB4169">
            <w:pPr>
              <w:pStyle w:val="TableHead"/>
            </w:pPr>
            <w:r>
              <w:t>Minimum purity</w:t>
            </w:r>
          </w:p>
        </w:tc>
      </w:tr>
      <w:tr w:rsidR="00884D58" w14:paraId="555FD4C4" w14:textId="77777777" w:rsidTr="00533B55">
        <w:trPr>
          <w:trHeight w:val="323"/>
        </w:trPr>
        <w:tc>
          <w:tcPr>
            <w:tcW w:w="2500" w:type="pct"/>
          </w:tcPr>
          <w:p w14:paraId="2FED4B26" w14:textId="77777777" w:rsidR="00884D58" w:rsidRDefault="00884D58" w:rsidP="003B2FCF">
            <w:pPr>
              <w:pStyle w:val="TableText"/>
            </w:pPr>
            <w:r>
              <w:t>Diphacinone</w:t>
            </w:r>
          </w:p>
        </w:tc>
        <w:tc>
          <w:tcPr>
            <w:tcW w:w="2500" w:type="pct"/>
          </w:tcPr>
          <w:p w14:paraId="18677E2A" w14:textId="1557A153" w:rsidR="00884D58" w:rsidRDefault="00884D58" w:rsidP="003B2FCF">
            <w:pPr>
              <w:pStyle w:val="TableText"/>
            </w:pPr>
            <w:r>
              <w:t>983 g/kg</w:t>
            </w:r>
          </w:p>
        </w:tc>
      </w:tr>
    </w:tbl>
    <w:p w14:paraId="35655516" w14:textId="2D674804" w:rsidR="00884D58" w:rsidRDefault="00D14493" w:rsidP="00884D58">
      <w:pPr>
        <w:pStyle w:val="NormalText"/>
      </w:pPr>
      <w:r w:rsidRPr="00D14493">
        <w:t xml:space="preserve">The continued approval of the current </w:t>
      </w:r>
      <w:r>
        <w:t xml:space="preserve">diphacinone </w:t>
      </w:r>
      <w:r w:rsidRPr="00D14493">
        <w:t xml:space="preserve">active constituent listed in </w:t>
      </w:r>
      <w:r>
        <w:fldChar w:fldCharType="begin"/>
      </w:r>
      <w:r>
        <w:instrText xml:space="preserve"> REF _Ref214965874 \h </w:instrText>
      </w:r>
      <w:r>
        <w:fldChar w:fldCharType="separate"/>
      </w:r>
      <w:r w:rsidR="003861AC">
        <w:t xml:space="preserve">Table </w:t>
      </w:r>
      <w:r w:rsidR="003861AC">
        <w:rPr>
          <w:noProof/>
        </w:rPr>
        <w:t>27</w:t>
      </w:r>
      <w:r>
        <w:fldChar w:fldCharType="end"/>
      </w:r>
      <w:r>
        <w:t xml:space="preserve"> </w:t>
      </w:r>
      <w:r w:rsidRPr="00D14493">
        <w:t>is supported in this chemistry and manufacture risk assessment</w:t>
      </w:r>
      <w:r w:rsidR="00884D58">
        <w:t xml:space="preserve">. </w:t>
      </w:r>
    </w:p>
    <w:p w14:paraId="0812C20E" w14:textId="77777777" w:rsidR="00884D58" w:rsidRDefault="00884D58" w:rsidP="00377F3A">
      <w:pPr>
        <w:pStyle w:val="Heading3"/>
      </w:pPr>
      <w:bookmarkStart w:id="132" w:name="_Toc214025466"/>
      <w:bookmarkStart w:id="133" w:name="_Toc216695550"/>
      <w:r>
        <w:t>Active constituent - Flocoumafen</w:t>
      </w:r>
      <w:bookmarkEnd w:id="132"/>
      <w:bookmarkEnd w:id="133"/>
    </w:p>
    <w:p w14:paraId="52AB4D87" w14:textId="77777777" w:rsidR="00884D58" w:rsidRDefault="00884D58" w:rsidP="00884D58">
      <w:pPr>
        <w:pStyle w:val="NormalText"/>
      </w:pPr>
      <w:r>
        <w:t>Flocoumafen is a hydroxycoumarin second generation anticoagulant rodenticide, which acts through inhibition in the metabolism of vitamin K, thus reducing the formation of vitamin K dependent clotting factors and blocking the formation of prothrombin and was first reported in 1984 (</w:t>
      </w:r>
      <w:r w:rsidR="00BD7A65">
        <w:t xml:space="preserve">reviewed in </w:t>
      </w:r>
      <w:r>
        <w:t>BCPC, 2016).</w:t>
      </w:r>
    </w:p>
    <w:p w14:paraId="10CA27F6" w14:textId="3EBF2059" w:rsidR="00884D58" w:rsidRDefault="00884D58" w:rsidP="00884D58">
      <w:pPr>
        <w:pStyle w:val="Caption"/>
      </w:pPr>
      <w:bookmarkStart w:id="134" w:name="_Toc213946005"/>
      <w:bookmarkStart w:id="135" w:name="_Toc216695691"/>
      <w:r>
        <w:t xml:space="preserve">Table </w:t>
      </w:r>
      <w:r>
        <w:fldChar w:fldCharType="begin"/>
      </w:r>
      <w:r>
        <w:instrText xml:space="preserve"> SEQ Table \* ARABIC </w:instrText>
      </w:r>
      <w:r>
        <w:fldChar w:fldCharType="separate"/>
      </w:r>
      <w:r w:rsidR="003861AC">
        <w:rPr>
          <w:noProof/>
        </w:rPr>
        <w:t>29</w:t>
      </w:r>
      <w:r>
        <w:rPr>
          <w:noProof/>
        </w:rPr>
        <w:fldChar w:fldCharType="end"/>
      </w:r>
      <w:r>
        <w:rPr>
          <w:noProof/>
        </w:rPr>
        <w:t>:</w:t>
      </w:r>
      <w:r>
        <w:t xml:space="preserve"> Nomenclature and structural formula of the active constituent flocoumafen</w:t>
      </w:r>
      <w:bookmarkEnd w:id="134"/>
      <w:bookmarkEnd w:id="135"/>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454"/>
      </w:tblGrid>
      <w:tr w:rsidR="00884D58" w:rsidRPr="002D1539" w14:paraId="09FB1795" w14:textId="77777777" w:rsidTr="00533B55">
        <w:tc>
          <w:tcPr>
            <w:tcW w:w="1129" w:type="pct"/>
            <w:shd w:val="clear" w:color="auto" w:fill="53284F"/>
          </w:tcPr>
          <w:p w14:paraId="366BBBC5" w14:textId="77777777" w:rsidR="00884D58" w:rsidRPr="00244B68" w:rsidRDefault="00884D58" w:rsidP="00BA7F4F">
            <w:pPr>
              <w:pStyle w:val="TableHead"/>
            </w:pPr>
            <w:r w:rsidRPr="00244B68">
              <w:rPr>
                <w:lang w:val="en-US"/>
              </w:rPr>
              <w:t>Common Name</w:t>
            </w:r>
          </w:p>
        </w:tc>
        <w:tc>
          <w:tcPr>
            <w:tcW w:w="3871" w:type="pct"/>
          </w:tcPr>
          <w:p w14:paraId="5E0F3F45" w14:textId="77777777" w:rsidR="00884D58" w:rsidRPr="002D1539" w:rsidRDefault="00884D58" w:rsidP="00BA7F4F">
            <w:pPr>
              <w:pStyle w:val="TableText"/>
              <w:rPr>
                <w:lang w:val="en-US"/>
              </w:rPr>
            </w:pPr>
            <w:r>
              <w:rPr>
                <w:lang w:val="en-US"/>
              </w:rPr>
              <w:t>Flocoumafen (ISO 1750)</w:t>
            </w:r>
          </w:p>
        </w:tc>
      </w:tr>
      <w:tr w:rsidR="00884D58" w:rsidRPr="002D1539" w14:paraId="19753912" w14:textId="77777777" w:rsidTr="00533B55">
        <w:tc>
          <w:tcPr>
            <w:tcW w:w="1129" w:type="pct"/>
            <w:shd w:val="clear" w:color="auto" w:fill="53284F"/>
          </w:tcPr>
          <w:p w14:paraId="00C4569F" w14:textId="77777777" w:rsidR="00884D58" w:rsidRPr="00244B68" w:rsidRDefault="00884D58" w:rsidP="00BA7F4F">
            <w:pPr>
              <w:pStyle w:val="TableHead"/>
              <w:rPr>
                <w:lang w:val="en-US"/>
              </w:rPr>
            </w:pPr>
            <w:r w:rsidRPr="00244B68">
              <w:rPr>
                <w:lang w:val="en-US"/>
              </w:rPr>
              <w:t>IUPAC Name</w:t>
            </w:r>
          </w:p>
        </w:tc>
        <w:tc>
          <w:tcPr>
            <w:tcW w:w="3871" w:type="pct"/>
          </w:tcPr>
          <w:p w14:paraId="073BBAAD" w14:textId="77777777" w:rsidR="00884D58" w:rsidRPr="002D1539" w:rsidRDefault="00884D58" w:rsidP="00BA7F4F">
            <w:pPr>
              <w:pStyle w:val="TableText"/>
              <w:rPr>
                <w:lang w:val="en-US"/>
              </w:rPr>
            </w:pPr>
            <w:r w:rsidRPr="007A502E">
              <w:t>mixture of 50–80% </w:t>
            </w:r>
            <w:r w:rsidRPr="007A502E">
              <w:rPr>
                <w:i/>
                <w:iCs/>
              </w:rPr>
              <w:t>cis</w:t>
            </w:r>
            <w:r w:rsidRPr="007A502E">
              <w:t>-isomers 4-hydroxy-3-[(1</w:t>
            </w:r>
            <w:r w:rsidRPr="007A502E">
              <w:rPr>
                <w:i/>
                <w:iCs/>
              </w:rPr>
              <w:t>RS</w:t>
            </w:r>
            <w:r w:rsidRPr="007A502E">
              <w:t>,3</w:t>
            </w:r>
            <w:r w:rsidRPr="007A502E">
              <w:rPr>
                <w:i/>
                <w:iCs/>
              </w:rPr>
              <w:t>SR</w:t>
            </w:r>
            <w:r w:rsidRPr="007A502E">
              <w:t>)-3-(4-{[4-(trifluoromethyl)phenyl]methoxy}phenyl)-1,2,3,4-tetrahydro-1-naphthyl]-2</w:t>
            </w:r>
            <w:r w:rsidRPr="007A502E">
              <w:rPr>
                <w:i/>
                <w:iCs/>
              </w:rPr>
              <w:t>H</w:t>
            </w:r>
            <w:r w:rsidRPr="007A502E">
              <w:t>-chromen-2-one and 50–20% </w:t>
            </w:r>
            <w:r w:rsidRPr="007A502E">
              <w:rPr>
                <w:i/>
                <w:iCs/>
              </w:rPr>
              <w:t>trans</w:t>
            </w:r>
            <w:r w:rsidRPr="007A502E">
              <w:t>-isomers 4-hydroxy-3-[(1</w:t>
            </w:r>
            <w:r w:rsidRPr="007A502E">
              <w:rPr>
                <w:i/>
                <w:iCs/>
              </w:rPr>
              <w:t>RS</w:t>
            </w:r>
            <w:r w:rsidRPr="007A502E">
              <w:t>,3</w:t>
            </w:r>
            <w:r w:rsidRPr="007A502E">
              <w:rPr>
                <w:i/>
                <w:iCs/>
              </w:rPr>
              <w:t>RS</w:t>
            </w:r>
            <w:r w:rsidRPr="007A502E">
              <w:t>)-3-(4-{[4-(trifluoromethyl)phenyl]methoxy}phenyl)-1,2,3,4-tetrahydro-1-naphthyl]-2</w:t>
            </w:r>
            <w:r w:rsidRPr="007A502E">
              <w:rPr>
                <w:i/>
                <w:iCs/>
              </w:rPr>
              <w:t>H</w:t>
            </w:r>
            <w:r w:rsidRPr="007A502E">
              <w:t>-chromen-2-one</w:t>
            </w:r>
          </w:p>
        </w:tc>
      </w:tr>
      <w:tr w:rsidR="00884D58" w:rsidRPr="002D1539" w14:paraId="0B3DBFBA" w14:textId="77777777" w:rsidTr="00533B55">
        <w:tc>
          <w:tcPr>
            <w:tcW w:w="1129" w:type="pct"/>
            <w:shd w:val="clear" w:color="auto" w:fill="53284F"/>
          </w:tcPr>
          <w:p w14:paraId="411B2BB0" w14:textId="77777777" w:rsidR="00884D58" w:rsidRPr="00244B68" w:rsidRDefault="00884D58" w:rsidP="00BA7F4F">
            <w:pPr>
              <w:pStyle w:val="TableHead"/>
              <w:rPr>
                <w:lang w:val="en-US"/>
              </w:rPr>
            </w:pPr>
            <w:r w:rsidRPr="00244B68">
              <w:rPr>
                <w:lang w:val="en-US"/>
              </w:rPr>
              <w:t>CAS Name</w:t>
            </w:r>
          </w:p>
        </w:tc>
        <w:tc>
          <w:tcPr>
            <w:tcW w:w="3871" w:type="pct"/>
          </w:tcPr>
          <w:p w14:paraId="4A67CD5A" w14:textId="77777777" w:rsidR="00884D58" w:rsidRPr="002D1539" w:rsidRDefault="00884D58" w:rsidP="00BA7F4F">
            <w:pPr>
              <w:pStyle w:val="TableText"/>
              <w:rPr>
                <w:lang w:val="en-US"/>
              </w:rPr>
            </w:pPr>
            <w:r w:rsidRPr="007A502E">
              <w:t>4-hydroxy-3-[1,2,3,4-tetrahydro-3-[4-[[4-(trifluoromethyl)phenyl]methoxy]phenyl]-1-naphthalenyl]-2</w:t>
            </w:r>
            <w:r w:rsidRPr="007A502E">
              <w:rPr>
                <w:i/>
                <w:iCs/>
              </w:rPr>
              <w:t>H</w:t>
            </w:r>
            <w:r w:rsidRPr="007A502E">
              <w:t>-1-benzopyran-2-one</w:t>
            </w:r>
          </w:p>
        </w:tc>
      </w:tr>
      <w:tr w:rsidR="00884D58" w:rsidRPr="002D1539" w14:paraId="1A8A367F" w14:textId="77777777" w:rsidTr="00533B55">
        <w:tc>
          <w:tcPr>
            <w:tcW w:w="1129" w:type="pct"/>
            <w:shd w:val="clear" w:color="auto" w:fill="53284F"/>
          </w:tcPr>
          <w:p w14:paraId="5AF107BA" w14:textId="77777777" w:rsidR="00884D58" w:rsidRPr="00244B68" w:rsidRDefault="00884D58" w:rsidP="00BA7F4F">
            <w:pPr>
              <w:pStyle w:val="TableHead"/>
              <w:rPr>
                <w:lang w:val="en-US"/>
              </w:rPr>
            </w:pPr>
            <w:r w:rsidRPr="00244B68">
              <w:rPr>
                <w:lang w:val="en-US"/>
              </w:rPr>
              <w:t>CAS Registry Number</w:t>
            </w:r>
          </w:p>
        </w:tc>
        <w:tc>
          <w:tcPr>
            <w:tcW w:w="3871" w:type="pct"/>
          </w:tcPr>
          <w:p w14:paraId="6BC25D82" w14:textId="77777777" w:rsidR="00884D58" w:rsidRPr="002D1539" w:rsidRDefault="00884D58" w:rsidP="00BA7F4F">
            <w:pPr>
              <w:pStyle w:val="TableText"/>
              <w:rPr>
                <w:lang w:val="en-US"/>
              </w:rPr>
            </w:pPr>
            <w:r>
              <w:rPr>
                <w:lang w:val="en-US"/>
              </w:rPr>
              <w:t>90035-08-8</w:t>
            </w:r>
          </w:p>
        </w:tc>
      </w:tr>
      <w:tr w:rsidR="00884D58" w:rsidRPr="002D1539" w14:paraId="77D4A5EC" w14:textId="77777777" w:rsidTr="00533B55">
        <w:tc>
          <w:tcPr>
            <w:tcW w:w="1129" w:type="pct"/>
            <w:shd w:val="clear" w:color="auto" w:fill="53284F"/>
          </w:tcPr>
          <w:p w14:paraId="435959C3" w14:textId="77777777" w:rsidR="00884D58" w:rsidRPr="00244B68" w:rsidRDefault="00884D58" w:rsidP="00BA7F4F">
            <w:pPr>
              <w:pStyle w:val="TableHead"/>
              <w:rPr>
                <w:lang w:val="en-US"/>
              </w:rPr>
            </w:pPr>
            <w:r w:rsidRPr="00244B68">
              <w:rPr>
                <w:lang w:val="en-US"/>
              </w:rPr>
              <w:t>EC Number</w:t>
            </w:r>
          </w:p>
        </w:tc>
        <w:tc>
          <w:tcPr>
            <w:tcW w:w="3871" w:type="pct"/>
          </w:tcPr>
          <w:p w14:paraId="55D56D73" w14:textId="77777777" w:rsidR="00884D58" w:rsidRPr="002D1539" w:rsidRDefault="00884D58" w:rsidP="00BA7F4F">
            <w:pPr>
              <w:pStyle w:val="TableText"/>
              <w:rPr>
                <w:lang w:val="en-US"/>
              </w:rPr>
            </w:pPr>
            <w:r>
              <w:rPr>
                <w:lang w:val="en-US"/>
              </w:rPr>
              <w:t>421-960-0</w:t>
            </w:r>
          </w:p>
        </w:tc>
      </w:tr>
      <w:tr w:rsidR="00884D58" w:rsidRPr="002D1539" w14:paraId="2B6B7CE8" w14:textId="77777777" w:rsidTr="00533B55">
        <w:tc>
          <w:tcPr>
            <w:tcW w:w="1129" w:type="pct"/>
            <w:shd w:val="clear" w:color="auto" w:fill="53284F"/>
          </w:tcPr>
          <w:p w14:paraId="33EE4413" w14:textId="77777777" w:rsidR="00884D58" w:rsidRPr="00244B68" w:rsidRDefault="00884D58" w:rsidP="00BA7F4F">
            <w:pPr>
              <w:pStyle w:val="TableHead"/>
              <w:rPr>
                <w:lang w:val="en-US"/>
              </w:rPr>
            </w:pPr>
            <w:r w:rsidRPr="00244B68">
              <w:rPr>
                <w:lang w:val="en-US"/>
              </w:rPr>
              <w:t>Molecular Formula</w:t>
            </w:r>
          </w:p>
        </w:tc>
        <w:tc>
          <w:tcPr>
            <w:tcW w:w="3871" w:type="pct"/>
          </w:tcPr>
          <w:p w14:paraId="56B651C3" w14:textId="77777777" w:rsidR="00884D58" w:rsidRPr="002D1539" w:rsidRDefault="00884D58" w:rsidP="00BA7F4F">
            <w:pPr>
              <w:pStyle w:val="TableText"/>
              <w:rPr>
                <w:lang w:val="en-US"/>
              </w:rPr>
            </w:pPr>
            <w:r>
              <w:rPr>
                <w:lang w:val="en-US"/>
              </w:rPr>
              <w:t>C</w:t>
            </w:r>
            <w:r>
              <w:rPr>
                <w:vertAlign w:val="subscript"/>
                <w:lang w:val="en-US"/>
              </w:rPr>
              <w:t>33</w:t>
            </w:r>
            <w:r>
              <w:rPr>
                <w:lang w:val="en-US"/>
              </w:rPr>
              <w:t>H</w:t>
            </w:r>
            <w:r>
              <w:rPr>
                <w:vertAlign w:val="subscript"/>
                <w:lang w:val="en-US"/>
              </w:rPr>
              <w:t>25</w:t>
            </w:r>
            <w:r>
              <w:rPr>
                <w:lang w:val="en-US"/>
              </w:rPr>
              <w:t>F</w:t>
            </w:r>
            <w:r w:rsidRPr="00664308">
              <w:rPr>
                <w:vertAlign w:val="subscript"/>
                <w:lang w:val="en-US"/>
              </w:rPr>
              <w:t>3</w:t>
            </w:r>
            <w:r>
              <w:rPr>
                <w:lang w:val="en-US"/>
              </w:rPr>
              <w:t>O</w:t>
            </w:r>
            <w:r>
              <w:rPr>
                <w:vertAlign w:val="subscript"/>
                <w:lang w:val="en-US"/>
              </w:rPr>
              <w:t>4</w:t>
            </w:r>
          </w:p>
        </w:tc>
      </w:tr>
      <w:tr w:rsidR="00884D58" w:rsidRPr="002D1539" w14:paraId="15691280" w14:textId="77777777" w:rsidTr="00533B55">
        <w:tc>
          <w:tcPr>
            <w:tcW w:w="1129" w:type="pct"/>
            <w:shd w:val="clear" w:color="auto" w:fill="53284F"/>
          </w:tcPr>
          <w:p w14:paraId="55A3ACAB" w14:textId="77777777" w:rsidR="00884D58" w:rsidRPr="00244B68" w:rsidRDefault="00884D58" w:rsidP="00BA7F4F">
            <w:pPr>
              <w:pStyle w:val="TableHead"/>
              <w:rPr>
                <w:lang w:val="en-US"/>
              </w:rPr>
            </w:pPr>
            <w:r w:rsidRPr="00244B68">
              <w:rPr>
                <w:lang w:val="en-US"/>
              </w:rPr>
              <w:lastRenderedPageBreak/>
              <w:t>Molecular Weight</w:t>
            </w:r>
          </w:p>
        </w:tc>
        <w:tc>
          <w:tcPr>
            <w:tcW w:w="3871" w:type="pct"/>
          </w:tcPr>
          <w:p w14:paraId="0323F48A" w14:textId="77777777" w:rsidR="00884D58" w:rsidRPr="002D1539" w:rsidRDefault="00884D58" w:rsidP="00BA7F4F">
            <w:pPr>
              <w:pStyle w:val="TableText"/>
              <w:rPr>
                <w:lang w:val="en-US"/>
              </w:rPr>
            </w:pPr>
            <w:r>
              <w:rPr>
                <w:lang w:val="en-US"/>
              </w:rPr>
              <w:t>542.6 gmol</w:t>
            </w:r>
            <w:r w:rsidRPr="00AA5403">
              <w:rPr>
                <w:vertAlign w:val="superscript"/>
                <w:lang w:val="en-US"/>
              </w:rPr>
              <w:t>-1</w:t>
            </w:r>
          </w:p>
        </w:tc>
      </w:tr>
      <w:tr w:rsidR="00884D58" w:rsidRPr="002A150C" w14:paraId="305556F6" w14:textId="77777777" w:rsidTr="00533B55">
        <w:trPr>
          <w:trHeight w:val="3251"/>
        </w:trPr>
        <w:tc>
          <w:tcPr>
            <w:tcW w:w="1129" w:type="pct"/>
            <w:shd w:val="clear" w:color="auto" w:fill="53284F"/>
          </w:tcPr>
          <w:p w14:paraId="7AF76D19" w14:textId="77777777" w:rsidR="00884D58" w:rsidRPr="00244B68" w:rsidRDefault="00884D58" w:rsidP="00BA7F4F">
            <w:pPr>
              <w:pStyle w:val="TableHead"/>
              <w:rPr>
                <w:lang w:val="en-US"/>
              </w:rPr>
            </w:pPr>
            <w:r w:rsidRPr="00244B68">
              <w:rPr>
                <w:lang w:val="en-US"/>
              </w:rPr>
              <w:t>Structure</w:t>
            </w:r>
          </w:p>
        </w:tc>
        <w:tc>
          <w:tcPr>
            <w:tcW w:w="3871" w:type="pct"/>
          </w:tcPr>
          <w:p w14:paraId="01215C8F" w14:textId="77777777" w:rsidR="00884D58" w:rsidRDefault="00884D58" w:rsidP="004D255C">
            <w:pPr>
              <w:spacing w:line="210" w:lineRule="exact"/>
              <w:rPr>
                <w:spacing w:val="6"/>
              </w:rPr>
            </w:pPr>
          </w:p>
          <w:p w14:paraId="77E892D1" w14:textId="77777777" w:rsidR="00884D58" w:rsidRPr="002A150C" w:rsidRDefault="00884D58" w:rsidP="004D255C">
            <w:pPr>
              <w:spacing w:line="210" w:lineRule="exact"/>
              <w:rPr>
                <w:spacing w:val="6"/>
              </w:rPr>
            </w:pPr>
            <w:r w:rsidRPr="00664308">
              <w:rPr>
                <w:noProof/>
                <w:spacing w:val="6"/>
              </w:rPr>
              <w:drawing>
                <wp:anchor distT="0" distB="0" distL="114300" distR="114300" simplePos="0" relativeHeight="251678720" behindDoc="0" locked="0" layoutInCell="1" allowOverlap="1" wp14:anchorId="624444AE" wp14:editId="700BC370">
                  <wp:simplePos x="0" y="0"/>
                  <wp:positionH relativeFrom="column">
                    <wp:posOffset>-1905</wp:posOffset>
                  </wp:positionH>
                  <wp:positionV relativeFrom="paragraph">
                    <wp:posOffset>-133350</wp:posOffset>
                  </wp:positionV>
                  <wp:extent cx="4446000" cy="2822400"/>
                  <wp:effectExtent l="0" t="0" r="0" b="0"/>
                  <wp:wrapSquare wrapText="bothSides"/>
                  <wp:docPr id="216640312" name="Picture 1" descr="A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402" name="Picture 1" descr="A structure of a molecule&#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4446000" cy="2822400"/>
                          </a:xfrm>
                          <a:prstGeom prst="rect">
                            <a:avLst/>
                          </a:prstGeom>
                        </pic:spPr>
                      </pic:pic>
                    </a:graphicData>
                  </a:graphic>
                  <wp14:sizeRelH relativeFrom="margin">
                    <wp14:pctWidth>0</wp14:pctWidth>
                  </wp14:sizeRelH>
                  <wp14:sizeRelV relativeFrom="margin">
                    <wp14:pctHeight>0</wp14:pctHeight>
                  </wp14:sizeRelV>
                </wp:anchor>
              </w:drawing>
            </w:r>
          </w:p>
        </w:tc>
      </w:tr>
      <w:tr w:rsidR="00884D58" w:rsidRPr="002D1539" w14:paraId="65CEE56A" w14:textId="77777777" w:rsidTr="00533B55">
        <w:tc>
          <w:tcPr>
            <w:tcW w:w="1129" w:type="pct"/>
            <w:shd w:val="clear" w:color="auto" w:fill="53284F"/>
          </w:tcPr>
          <w:p w14:paraId="54F5E41F" w14:textId="77777777" w:rsidR="00884D58" w:rsidRPr="00244B68" w:rsidRDefault="00884D58" w:rsidP="00BA7F4F">
            <w:pPr>
              <w:pStyle w:val="TableHead"/>
              <w:rPr>
                <w:lang w:val="en-US"/>
              </w:rPr>
            </w:pPr>
            <w:r w:rsidRPr="00244B68">
              <w:rPr>
                <w:lang w:val="en-US"/>
              </w:rPr>
              <w:t>Chemical Family</w:t>
            </w:r>
          </w:p>
        </w:tc>
        <w:tc>
          <w:tcPr>
            <w:tcW w:w="3871" w:type="pct"/>
          </w:tcPr>
          <w:p w14:paraId="783D6169" w14:textId="77777777" w:rsidR="00884D58" w:rsidRPr="002D1539" w:rsidRDefault="00884D58" w:rsidP="00BA7F4F">
            <w:pPr>
              <w:pStyle w:val="TableText"/>
              <w:rPr>
                <w:lang w:val="en-US"/>
              </w:rPr>
            </w:pPr>
            <w:r>
              <w:rPr>
                <w:lang w:val="en-US"/>
              </w:rPr>
              <w:t>hydroxycoumarin</w:t>
            </w:r>
          </w:p>
        </w:tc>
      </w:tr>
    </w:tbl>
    <w:p w14:paraId="4D43FF7B" w14:textId="03FB1909" w:rsidR="00884D58" w:rsidRDefault="00884D58" w:rsidP="00884D58">
      <w:pPr>
        <w:pStyle w:val="Caption"/>
      </w:pPr>
      <w:bookmarkStart w:id="136" w:name="_Toc213946006"/>
      <w:bookmarkStart w:id="137" w:name="_Toc216695692"/>
      <w:r>
        <w:t xml:space="preserve">Table </w:t>
      </w:r>
      <w:r>
        <w:fldChar w:fldCharType="begin"/>
      </w:r>
      <w:r>
        <w:instrText xml:space="preserve"> SEQ Table \* ARABIC </w:instrText>
      </w:r>
      <w:r>
        <w:fldChar w:fldCharType="separate"/>
      </w:r>
      <w:r w:rsidR="003861AC">
        <w:rPr>
          <w:noProof/>
        </w:rPr>
        <w:t>30</w:t>
      </w:r>
      <w:r>
        <w:rPr>
          <w:noProof/>
        </w:rPr>
        <w:fldChar w:fldCharType="end"/>
      </w:r>
      <w:r>
        <w:rPr>
          <w:noProof/>
        </w:rPr>
        <w:t>:</w:t>
      </w:r>
      <w:r>
        <w:t xml:space="preserve"> Key physicochemical properties of the active constituent flocoumafen</w:t>
      </w:r>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173"/>
        <w:gridCol w:w="3171"/>
      </w:tblGrid>
      <w:tr w:rsidR="00884D58" w:rsidRPr="002A150C" w14:paraId="7CF37AA7" w14:textId="77777777" w:rsidTr="00DB4169">
        <w:trPr>
          <w:tblHeader/>
        </w:trPr>
        <w:tc>
          <w:tcPr>
            <w:tcW w:w="1705" w:type="pct"/>
            <w:shd w:val="clear" w:color="auto" w:fill="53284F"/>
          </w:tcPr>
          <w:p w14:paraId="44ACE1B5" w14:textId="77777777" w:rsidR="00884D58" w:rsidRPr="002D1539" w:rsidRDefault="00884D58" w:rsidP="00DB4169">
            <w:pPr>
              <w:pStyle w:val="TableHead"/>
              <w:rPr>
                <w:lang w:val="en-US"/>
              </w:rPr>
            </w:pPr>
            <w:r w:rsidRPr="002D1539">
              <w:rPr>
                <w:lang w:val="en-US"/>
              </w:rPr>
              <w:t>Parameters</w:t>
            </w:r>
          </w:p>
        </w:tc>
        <w:tc>
          <w:tcPr>
            <w:tcW w:w="1648" w:type="pct"/>
            <w:shd w:val="clear" w:color="auto" w:fill="53284F"/>
          </w:tcPr>
          <w:p w14:paraId="375BB64B" w14:textId="77777777" w:rsidR="00884D58" w:rsidRPr="002D1539" w:rsidRDefault="00884D58" w:rsidP="00DB4169">
            <w:pPr>
              <w:pStyle w:val="TableHead"/>
              <w:rPr>
                <w:lang w:val="en-US"/>
              </w:rPr>
            </w:pPr>
            <w:r w:rsidRPr="002D1539">
              <w:rPr>
                <w:lang w:val="en-US"/>
              </w:rPr>
              <w:t>Properties</w:t>
            </w:r>
          </w:p>
        </w:tc>
        <w:tc>
          <w:tcPr>
            <w:tcW w:w="1647" w:type="pct"/>
            <w:shd w:val="clear" w:color="auto" w:fill="53284F"/>
          </w:tcPr>
          <w:p w14:paraId="546D3768" w14:textId="77777777" w:rsidR="00884D58" w:rsidRPr="002D1539" w:rsidRDefault="00884D58" w:rsidP="00DB4169">
            <w:pPr>
              <w:pStyle w:val="TableHead"/>
              <w:rPr>
                <w:lang w:val="en-US"/>
              </w:rPr>
            </w:pPr>
            <w:r>
              <w:rPr>
                <w:lang w:val="en-US"/>
              </w:rPr>
              <w:t>Data source</w:t>
            </w:r>
          </w:p>
        </w:tc>
      </w:tr>
      <w:tr w:rsidR="00884D58" w:rsidRPr="002A150C" w14:paraId="28C85CA0" w14:textId="77777777" w:rsidTr="00DB4169">
        <w:tc>
          <w:tcPr>
            <w:tcW w:w="1705" w:type="pct"/>
            <w:shd w:val="clear" w:color="auto" w:fill="F0F4F5"/>
          </w:tcPr>
          <w:p w14:paraId="23B54BC3" w14:textId="77777777" w:rsidR="00884D58" w:rsidRPr="00244B68" w:rsidRDefault="00884D58" w:rsidP="00DB4169">
            <w:pPr>
              <w:pStyle w:val="TableText"/>
              <w:rPr>
                <w:lang w:val="en-US"/>
              </w:rPr>
            </w:pPr>
            <w:r>
              <w:rPr>
                <w:lang w:val="en-US"/>
              </w:rPr>
              <w:t>Appearance</w:t>
            </w:r>
          </w:p>
        </w:tc>
        <w:tc>
          <w:tcPr>
            <w:tcW w:w="1648" w:type="pct"/>
          </w:tcPr>
          <w:p w14:paraId="7D282B50" w14:textId="77777777" w:rsidR="00884D58" w:rsidRPr="002D1539" w:rsidRDefault="00884D58" w:rsidP="00DB4169">
            <w:pPr>
              <w:pStyle w:val="TableText"/>
              <w:rPr>
                <w:lang w:val="en-US"/>
              </w:rPr>
            </w:pPr>
            <w:r>
              <w:rPr>
                <w:lang w:val="en-US"/>
              </w:rPr>
              <w:t>Off-white solid</w:t>
            </w:r>
          </w:p>
        </w:tc>
        <w:tc>
          <w:tcPr>
            <w:tcW w:w="1647" w:type="pct"/>
          </w:tcPr>
          <w:p w14:paraId="0912941A" w14:textId="77777777" w:rsidR="00884D58" w:rsidRPr="004D255C" w:rsidRDefault="00884D58" w:rsidP="00DB4169">
            <w:pPr>
              <w:pStyle w:val="TableText"/>
            </w:pPr>
            <w:r w:rsidRPr="004D255C">
              <w:t>BCPC, 2016</w:t>
            </w:r>
          </w:p>
        </w:tc>
      </w:tr>
      <w:tr w:rsidR="00884D58" w:rsidRPr="002A150C" w14:paraId="2247C1E5" w14:textId="77777777" w:rsidTr="00DB4169">
        <w:tc>
          <w:tcPr>
            <w:tcW w:w="1705" w:type="pct"/>
            <w:shd w:val="clear" w:color="auto" w:fill="F0F4F5"/>
          </w:tcPr>
          <w:p w14:paraId="29961BED" w14:textId="77777777" w:rsidR="00884D58" w:rsidRPr="00244B68" w:rsidRDefault="00884D58" w:rsidP="00DB4169">
            <w:pPr>
              <w:pStyle w:val="TableText"/>
              <w:rPr>
                <w:lang w:val="en-US"/>
              </w:rPr>
            </w:pPr>
            <w:r w:rsidRPr="00244B68">
              <w:rPr>
                <w:lang w:val="en-US"/>
              </w:rPr>
              <w:t>Melting point</w:t>
            </w:r>
          </w:p>
        </w:tc>
        <w:tc>
          <w:tcPr>
            <w:tcW w:w="1648" w:type="pct"/>
          </w:tcPr>
          <w:p w14:paraId="7EBA169B" w14:textId="77777777" w:rsidR="00884D58" w:rsidRPr="002D1539" w:rsidRDefault="00884D58" w:rsidP="00DB4169">
            <w:pPr>
              <w:pStyle w:val="TableText"/>
              <w:rPr>
                <w:lang w:val="en-US"/>
              </w:rPr>
            </w:pPr>
            <w:r>
              <w:rPr>
                <w:lang w:val="en-US"/>
              </w:rPr>
              <w:t>166.1-168.3 °C</w:t>
            </w:r>
          </w:p>
        </w:tc>
        <w:tc>
          <w:tcPr>
            <w:tcW w:w="1647" w:type="pct"/>
          </w:tcPr>
          <w:p w14:paraId="44022B66" w14:textId="77777777" w:rsidR="00884D58" w:rsidRPr="004D255C" w:rsidRDefault="00884D58" w:rsidP="00DB4169">
            <w:pPr>
              <w:pStyle w:val="TableText"/>
            </w:pPr>
            <w:r w:rsidRPr="004D255C">
              <w:t>BCPC, 2016</w:t>
            </w:r>
          </w:p>
        </w:tc>
      </w:tr>
      <w:tr w:rsidR="00884D58" w:rsidRPr="002A150C" w14:paraId="230CBDA8" w14:textId="77777777" w:rsidTr="00DB4169">
        <w:tc>
          <w:tcPr>
            <w:tcW w:w="1705" w:type="pct"/>
            <w:shd w:val="clear" w:color="auto" w:fill="F0F4F5"/>
          </w:tcPr>
          <w:p w14:paraId="35E63FDD" w14:textId="77777777" w:rsidR="00884D58" w:rsidRPr="00244B68" w:rsidRDefault="00884D58" w:rsidP="00DB4169">
            <w:pPr>
              <w:pStyle w:val="TableText"/>
              <w:rPr>
                <w:lang w:val="en-US"/>
              </w:rPr>
            </w:pPr>
            <w:r w:rsidRPr="00244B68">
              <w:rPr>
                <w:lang w:val="en-US"/>
              </w:rPr>
              <w:t xml:space="preserve">Density </w:t>
            </w:r>
          </w:p>
        </w:tc>
        <w:tc>
          <w:tcPr>
            <w:tcW w:w="1648" w:type="pct"/>
          </w:tcPr>
          <w:p w14:paraId="5D2CDAAC" w14:textId="77777777" w:rsidR="00884D58" w:rsidRPr="002D1539" w:rsidRDefault="00884D58" w:rsidP="00DB4169">
            <w:pPr>
              <w:pStyle w:val="TableText"/>
              <w:rPr>
                <w:lang w:val="en-US"/>
              </w:rPr>
            </w:pPr>
            <w:r>
              <w:rPr>
                <w:lang w:val="en-US"/>
              </w:rPr>
              <w:t>1.40</w:t>
            </w:r>
          </w:p>
        </w:tc>
        <w:tc>
          <w:tcPr>
            <w:tcW w:w="1647" w:type="pct"/>
          </w:tcPr>
          <w:p w14:paraId="1CCDED13" w14:textId="77777777" w:rsidR="00884D58" w:rsidRPr="004D255C" w:rsidRDefault="00884D58" w:rsidP="00DB4169">
            <w:pPr>
              <w:pStyle w:val="TableText"/>
            </w:pPr>
            <w:r w:rsidRPr="004D255C">
              <w:t>BCPC, 2016</w:t>
            </w:r>
          </w:p>
        </w:tc>
      </w:tr>
      <w:tr w:rsidR="00884D58" w:rsidRPr="002A150C" w14:paraId="489FF257" w14:textId="77777777" w:rsidTr="00DB4169">
        <w:tc>
          <w:tcPr>
            <w:tcW w:w="1705" w:type="pct"/>
            <w:shd w:val="clear" w:color="auto" w:fill="F0F4F5"/>
          </w:tcPr>
          <w:p w14:paraId="3AD4A202" w14:textId="77777777" w:rsidR="00884D58" w:rsidRPr="00244B68" w:rsidRDefault="00884D58" w:rsidP="00DB4169">
            <w:pPr>
              <w:pStyle w:val="TableText"/>
              <w:rPr>
                <w:lang w:val="en-US"/>
              </w:rPr>
            </w:pPr>
            <w:r>
              <w:rPr>
                <w:lang w:val="en-US"/>
              </w:rPr>
              <w:t>Octanol-water p</w:t>
            </w:r>
            <w:r w:rsidRPr="00244B68">
              <w:rPr>
                <w:lang w:val="en-US"/>
              </w:rPr>
              <w:t>artition coefficient</w:t>
            </w:r>
            <w:r>
              <w:rPr>
                <w:lang w:val="en-US"/>
              </w:rPr>
              <w:t xml:space="preserve"> </w:t>
            </w:r>
            <w:r w:rsidRPr="00244B68">
              <w:rPr>
                <w:lang w:val="en-US"/>
              </w:rPr>
              <w:t>(log K</w:t>
            </w:r>
            <w:r w:rsidRPr="00244B68">
              <w:rPr>
                <w:vertAlign w:val="subscript"/>
                <w:lang w:val="en-US"/>
              </w:rPr>
              <w:t>ow</w:t>
            </w:r>
            <w:r w:rsidRPr="00244B68">
              <w:rPr>
                <w:lang w:val="en-US"/>
              </w:rPr>
              <w:t>)</w:t>
            </w:r>
            <w:r>
              <w:rPr>
                <w:lang w:val="en-US"/>
              </w:rPr>
              <w:t xml:space="preserve"> </w:t>
            </w:r>
          </w:p>
        </w:tc>
        <w:tc>
          <w:tcPr>
            <w:tcW w:w="1648" w:type="pct"/>
          </w:tcPr>
          <w:p w14:paraId="0A58079D" w14:textId="77777777" w:rsidR="00884D58" w:rsidRDefault="00884D58" w:rsidP="00DB4169">
            <w:pPr>
              <w:pStyle w:val="TableText"/>
              <w:rPr>
                <w:lang w:val="en-US"/>
              </w:rPr>
            </w:pPr>
            <w:r>
              <w:rPr>
                <w:lang w:val="en-US"/>
              </w:rPr>
              <w:t>Deionised water: 4.51</w:t>
            </w:r>
          </w:p>
          <w:p w14:paraId="6E28C030" w14:textId="77777777" w:rsidR="00884D58" w:rsidRDefault="00884D58" w:rsidP="00DB4169">
            <w:pPr>
              <w:pStyle w:val="TableText"/>
              <w:rPr>
                <w:lang w:val="en-US"/>
              </w:rPr>
            </w:pPr>
            <w:r>
              <w:rPr>
                <w:lang w:val="en-US"/>
              </w:rPr>
              <w:t>pH 7: 6.12</w:t>
            </w:r>
          </w:p>
          <w:p w14:paraId="2C61ED72" w14:textId="77777777" w:rsidR="00884D58" w:rsidRDefault="00884D58" w:rsidP="00DB4169">
            <w:pPr>
              <w:pStyle w:val="TableText"/>
              <w:rPr>
                <w:lang w:val="en-US"/>
              </w:rPr>
            </w:pPr>
            <w:r>
              <w:rPr>
                <w:lang w:val="en-US"/>
              </w:rPr>
              <w:t>pH 9: 5.11</w:t>
            </w:r>
          </w:p>
          <w:p w14:paraId="43DEF991" w14:textId="77777777" w:rsidR="00884D58" w:rsidRPr="002D1539" w:rsidRDefault="00884D58" w:rsidP="00DB4169">
            <w:pPr>
              <w:pStyle w:val="TableText"/>
              <w:rPr>
                <w:lang w:val="en-US"/>
              </w:rPr>
            </w:pPr>
            <w:r>
              <w:rPr>
                <w:lang w:val="en-US"/>
              </w:rPr>
              <w:t>(all at 20 °C, using purified active ingredient and the shaken flask method)</w:t>
            </w:r>
          </w:p>
        </w:tc>
        <w:tc>
          <w:tcPr>
            <w:tcW w:w="1647" w:type="pct"/>
          </w:tcPr>
          <w:p w14:paraId="5C1910A2" w14:textId="77777777" w:rsidR="00884D58" w:rsidRPr="004D255C" w:rsidRDefault="00884D58" w:rsidP="00DB4169">
            <w:pPr>
              <w:pStyle w:val="TableText"/>
            </w:pPr>
            <w:r w:rsidRPr="004D255C">
              <w:t>Daum A., 2002(a)</w:t>
            </w:r>
          </w:p>
        </w:tc>
      </w:tr>
      <w:tr w:rsidR="00884D58" w:rsidRPr="002A150C" w14:paraId="5D318878" w14:textId="77777777" w:rsidTr="00DB4169">
        <w:tc>
          <w:tcPr>
            <w:tcW w:w="1705" w:type="pct"/>
            <w:shd w:val="clear" w:color="auto" w:fill="F0F4F5"/>
          </w:tcPr>
          <w:p w14:paraId="3B20C521" w14:textId="77777777" w:rsidR="00884D58" w:rsidRDefault="00884D58" w:rsidP="00DB4169">
            <w:pPr>
              <w:pStyle w:val="TableText"/>
              <w:rPr>
                <w:lang w:val="en-US"/>
              </w:rPr>
            </w:pPr>
            <w:r>
              <w:rPr>
                <w:lang w:val="en-US"/>
              </w:rPr>
              <w:t>pKa</w:t>
            </w:r>
          </w:p>
        </w:tc>
        <w:tc>
          <w:tcPr>
            <w:tcW w:w="1648" w:type="pct"/>
          </w:tcPr>
          <w:p w14:paraId="73374E70" w14:textId="77777777" w:rsidR="00884D58" w:rsidRDefault="00884D58" w:rsidP="00DB4169">
            <w:pPr>
              <w:pStyle w:val="TableText"/>
              <w:rPr>
                <w:lang w:val="en-US"/>
              </w:rPr>
            </w:pPr>
            <w:r>
              <w:rPr>
                <w:lang w:val="en-US"/>
              </w:rPr>
              <w:t xml:space="preserve">4.5 (solubility method using purified active ingredient) </w:t>
            </w:r>
          </w:p>
        </w:tc>
        <w:tc>
          <w:tcPr>
            <w:tcW w:w="1647" w:type="pct"/>
          </w:tcPr>
          <w:p w14:paraId="2BC91B85" w14:textId="77777777" w:rsidR="00884D58" w:rsidRPr="004D255C" w:rsidRDefault="00884D58" w:rsidP="00DB4169">
            <w:pPr>
              <w:pStyle w:val="TableText"/>
            </w:pPr>
            <w:r w:rsidRPr="004D255C">
              <w:t>Daum A., 2002(b)</w:t>
            </w:r>
          </w:p>
        </w:tc>
      </w:tr>
      <w:tr w:rsidR="00884D58" w:rsidRPr="002A150C" w14:paraId="4F7CEA08" w14:textId="77777777" w:rsidTr="00DB4169">
        <w:trPr>
          <w:trHeight w:val="910"/>
        </w:trPr>
        <w:tc>
          <w:tcPr>
            <w:tcW w:w="1705" w:type="pct"/>
            <w:shd w:val="clear" w:color="auto" w:fill="F0F4F5"/>
          </w:tcPr>
          <w:p w14:paraId="504D448D" w14:textId="77777777" w:rsidR="00884D58" w:rsidRPr="00244B68" w:rsidRDefault="00884D58" w:rsidP="00DB4169">
            <w:pPr>
              <w:pStyle w:val="TableText"/>
              <w:rPr>
                <w:lang w:val="en-US"/>
              </w:rPr>
            </w:pPr>
            <w:r w:rsidRPr="00244B68">
              <w:rPr>
                <w:lang w:val="en-US"/>
              </w:rPr>
              <w:t>Vapour pressure</w:t>
            </w:r>
          </w:p>
        </w:tc>
        <w:tc>
          <w:tcPr>
            <w:tcW w:w="1648" w:type="pct"/>
          </w:tcPr>
          <w:p w14:paraId="3F4BB0B6" w14:textId="77777777" w:rsidR="00884D58" w:rsidRPr="002D1539" w:rsidRDefault="00884D58" w:rsidP="00DB4169">
            <w:pPr>
              <w:pStyle w:val="TableText"/>
              <w:rPr>
                <w:lang w:val="en-US"/>
              </w:rPr>
            </w:pPr>
            <w:r>
              <w:rPr>
                <w:lang w:val="en-US"/>
              </w:rPr>
              <w:t>&lt;1 mPa (20-50 °C, using purified active ingredient and the vapour pressure balance method)</w:t>
            </w:r>
          </w:p>
        </w:tc>
        <w:tc>
          <w:tcPr>
            <w:tcW w:w="1647" w:type="pct"/>
          </w:tcPr>
          <w:p w14:paraId="55C707A3" w14:textId="77777777" w:rsidR="00884D58" w:rsidRPr="004D255C" w:rsidRDefault="00884D58" w:rsidP="00DB4169">
            <w:pPr>
              <w:pStyle w:val="TableText"/>
            </w:pPr>
            <w:r w:rsidRPr="004D255C">
              <w:t>Franke J., 2001</w:t>
            </w:r>
          </w:p>
        </w:tc>
      </w:tr>
      <w:tr w:rsidR="00884D58" w:rsidRPr="002A150C" w14:paraId="1F8CA435" w14:textId="77777777" w:rsidTr="00DB4169">
        <w:tc>
          <w:tcPr>
            <w:tcW w:w="1705" w:type="pct"/>
            <w:shd w:val="clear" w:color="auto" w:fill="F0F4F5"/>
          </w:tcPr>
          <w:p w14:paraId="062B0B61" w14:textId="77777777" w:rsidR="00884D58" w:rsidRPr="00244B68" w:rsidRDefault="00884D58" w:rsidP="00DB4169">
            <w:pPr>
              <w:pStyle w:val="TableText"/>
              <w:rPr>
                <w:lang w:val="en-US"/>
              </w:rPr>
            </w:pPr>
            <w:r>
              <w:rPr>
                <w:lang w:val="en-US"/>
              </w:rPr>
              <w:t>Henry’s Law Constant</w:t>
            </w:r>
          </w:p>
        </w:tc>
        <w:tc>
          <w:tcPr>
            <w:tcW w:w="1648" w:type="pct"/>
          </w:tcPr>
          <w:p w14:paraId="3C602CE1" w14:textId="77777777" w:rsidR="00884D58" w:rsidRPr="000219A1" w:rsidRDefault="00884D58" w:rsidP="00DB4169">
            <w:pPr>
              <w:pStyle w:val="TableText"/>
              <w:rPr>
                <w:lang w:val="en-US"/>
              </w:rPr>
            </w:pPr>
            <w:r>
              <w:rPr>
                <w:lang w:val="en-US"/>
              </w:rPr>
              <w:t>&lt;3.8 Pam</w:t>
            </w:r>
            <w:r w:rsidRPr="00564077">
              <w:rPr>
                <w:vertAlign w:val="superscript"/>
                <w:lang w:val="en-US"/>
              </w:rPr>
              <w:t>3</w:t>
            </w:r>
            <w:r>
              <w:rPr>
                <w:lang w:val="en-US"/>
              </w:rPr>
              <w:t>mol</w:t>
            </w:r>
            <w:r w:rsidRPr="00564077">
              <w:rPr>
                <w:vertAlign w:val="superscript"/>
                <w:lang w:val="en-US"/>
              </w:rPr>
              <w:t>-1</w:t>
            </w:r>
            <w:r>
              <w:rPr>
                <w:lang w:val="en-US"/>
              </w:rPr>
              <w:t xml:space="preserve"> (calculated)</w:t>
            </w:r>
          </w:p>
        </w:tc>
        <w:tc>
          <w:tcPr>
            <w:tcW w:w="1647" w:type="pct"/>
          </w:tcPr>
          <w:p w14:paraId="50A686C2" w14:textId="77777777" w:rsidR="00884D58" w:rsidRPr="004D255C" w:rsidRDefault="00884D58" w:rsidP="00DB4169">
            <w:pPr>
              <w:pStyle w:val="TableText"/>
            </w:pPr>
            <w:r w:rsidRPr="004D255C">
              <w:t>BCPC, 2016</w:t>
            </w:r>
          </w:p>
        </w:tc>
      </w:tr>
      <w:tr w:rsidR="00884D58" w:rsidRPr="002A150C" w14:paraId="3F0F1128" w14:textId="77777777" w:rsidTr="00DB4169">
        <w:tc>
          <w:tcPr>
            <w:tcW w:w="1705" w:type="pct"/>
            <w:shd w:val="clear" w:color="auto" w:fill="F0F4F5"/>
          </w:tcPr>
          <w:p w14:paraId="71845606" w14:textId="77777777" w:rsidR="00884D58" w:rsidRPr="00244B68" w:rsidRDefault="00884D58" w:rsidP="00DB4169">
            <w:pPr>
              <w:pStyle w:val="TableText"/>
              <w:rPr>
                <w:lang w:val="en-US"/>
              </w:rPr>
            </w:pPr>
            <w:r>
              <w:rPr>
                <w:lang w:val="en-US"/>
              </w:rPr>
              <w:lastRenderedPageBreak/>
              <w:t>Water s</w:t>
            </w:r>
            <w:r w:rsidRPr="00244B68">
              <w:rPr>
                <w:lang w:val="en-US"/>
              </w:rPr>
              <w:t>olubility</w:t>
            </w:r>
          </w:p>
        </w:tc>
        <w:tc>
          <w:tcPr>
            <w:tcW w:w="1648" w:type="pct"/>
          </w:tcPr>
          <w:p w14:paraId="7CE51D09" w14:textId="77777777" w:rsidR="00884D58" w:rsidRDefault="00884D58" w:rsidP="00DB4169">
            <w:pPr>
              <w:pStyle w:val="TableText"/>
              <w:rPr>
                <w:lang w:val="en-US"/>
              </w:rPr>
            </w:pPr>
            <w:r>
              <w:rPr>
                <w:lang w:val="en-US"/>
              </w:rPr>
              <w:t>Deionised water: 0.14 mg/L</w:t>
            </w:r>
          </w:p>
          <w:p w14:paraId="7C97E205" w14:textId="77777777" w:rsidR="00884D58" w:rsidRDefault="00884D58" w:rsidP="00DB4169">
            <w:pPr>
              <w:pStyle w:val="TableText"/>
              <w:rPr>
                <w:lang w:val="en-US"/>
              </w:rPr>
            </w:pPr>
            <w:r>
              <w:rPr>
                <w:lang w:val="en-US"/>
              </w:rPr>
              <w:t>pH 4: 0.0024 mg/L</w:t>
            </w:r>
          </w:p>
          <w:p w14:paraId="69C6CE7A" w14:textId="77777777" w:rsidR="00884D58" w:rsidRPr="001549D4" w:rsidRDefault="00884D58" w:rsidP="00DB4169">
            <w:pPr>
              <w:pStyle w:val="TableText"/>
            </w:pPr>
            <w:r w:rsidRPr="001549D4">
              <w:t>pH 7: 0.114 mg/L</w:t>
            </w:r>
          </w:p>
          <w:p w14:paraId="0AEC177C" w14:textId="29A28E79" w:rsidR="00884D58" w:rsidRPr="001549D4" w:rsidRDefault="00884D58" w:rsidP="00DB4169">
            <w:pPr>
              <w:pStyle w:val="TableText"/>
            </w:pPr>
            <w:r w:rsidRPr="001549D4">
              <w:t>pH 9: 14.0 mg/L</w:t>
            </w:r>
          </w:p>
          <w:p w14:paraId="1E4D9883" w14:textId="77777777" w:rsidR="00884D58" w:rsidRPr="002D1539" w:rsidRDefault="00884D58" w:rsidP="00DB4169">
            <w:pPr>
              <w:pStyle w:val="TableText"/>
              <w:rPr>
                <w:lang w:val="en-US"/>
              </w:rPr>
            </w:pPr>
            <w:r>
              <w:rPr>
                <w:lang w:val="en-US"/>
              </w:rPr>
              <w:t>(all at 20 °C, using purified active ingredient and the column elution method)</w:t>
            </w:r>
          </w:p>
        </w:tc>
        <w:tc>
          <w:tcPr>
            <w:tcW w:w="1647" w:type="pct"/>
          </w:tcPr>
          <w:p w14:paraId="21E0905D" w14:textId="77777777" w:rsidR="00884D58" w:rsidRPr="004D255C" w:rsidRDefault="00884D58" w:rsidP="00DB4169">
            <w:pPr>
              <w:pStyle w:val="TableText"/>
            </w:pPr>
            <w:r w:rsidRPr="004D255C">
              <w:t>Daum A., 2002(c)</w:t>
            </w:r>
          </w:p>
        </w:tc>
      </w:tr>
      <w:tr w:rsidR="00884D58" w:rsidRPr="002A150C" w14:paraId="30C66800" w14:textId="77777777" w:rsidTr="00DB4169">
        <w:tc>
          <w:tcPr>
            <w:tcW w:w="1705" w:type="pct"/>
            <w:shd w:val="clear" w:color="auto" w:fill="F0F4F5"/>
          </w:tcPr>
          <w:p w14:paraId="40120F69" w14:textId="77777777" w:rsidR="00884D58" w:rsidRDefault="00884D58" w:rsidP="00DB4169">
            <w:pPr>
              <w:pStyle w:val="TableText"/>
              <w:rPr>
                <w:lang w:val="en-US"/>
              </w:rPr>
            </w:pPr>
            <w:r>
              <w:rPr>
                <w:lang w:val="en-US"/>
              </w:rPr>
              <w:t>Organic solvent solubility</w:t>
            </w:r>
          </w:p>
        </w:tc>
        <w:tc>
          <w:tcPr>
            <w:tcW w:w="1648" w:type="pct"/>
          </w:tcPr>
          <w:p w14:paraId="0FE60DDB" w14:textId="77777777" w:rsidR="00884D58" w:rsidRDefault="00884D58" w:rsidP="00DB4169">
            <w:pPr>
              <w:pStyle w:val="TableText"/>
              <w:rPr>
                <w:lang w:val="en-US"/>
              </w:rPr>
            </w:pPr>
            <w:r>
              <w:rPr>
                <w:lang w:val="en-US"/>
              </w:rPr>
              <w:t>n-Heptane: 0.3 g/L</w:t>
            </w:r>
          </w:p>
          <w:p w14:paraId="07AE54D1" w14:textId="77777777" w:rsidR="00884D58" w:rsidRDefault="00884D58" w:rsidP="00DB4169">
            <w:pPr>
              <w:pStyle w:val="TableText"/>
              <w:rPr>
                <w:lang w:val="en-US"/>
              </w:rPr>
            </w:pPr>
            <w:r>
              <w:rPr>
                <w:lang w:val="en-US"/>
              </w:rPr>
              <w:t>Acetonitrile: 13.7 g/L</w:t>
            </w:r>
          </w:p>
          <w:p w14:paraId="45F889A0" w14:textId="77777777" w:rsidR="00884D58" w:rsidRDefault="00884D58" w:rsidP="00DB4169">
            <w:pPr>
              <w:pStyle w:val="TableText"/>
              <w:rPr>
                <w:lang w:val="en-US"/>
              </w:rPr>
            </w:pPr>
            <w:r>
              <w:rPr>
                <w:lang w:val="en-US"/>
              </w:rPr>
              <w:t>Methanol: 14.1 g/L</w:t>
            </w:r>
          </w:p>
          <w:p w14:paraId="6AC4A5B3" w14:textId="77777777" w:rsidR="00884D58" w:rsidRDefault="00884D58" w:rsidP="00DB4169">
            <w:pPr>
              <w:pStyle w:val="TableText"/>
              <w:rPr>
                <w:lang w:val="en-US"/>
              </w:rPr>
            </w:pPr>
            <w:r>
              <w:rPr>
                <w:lang w:val="en-US"/>
              </w:rPr>
              <w:t>n-Octanol: 17.4 g/L</w:t>
            </w:r>
          </w:p>
          <w:p w14:paraId="1515B76B" w14:textId="77777777" w:rsidR="00884D58" w:rsidRDefault="00884D58" w:rsidP="00DB4169">
            <w:pPr>
              <w:pStyle w:val="TableText"/>
              <w:rPr>
                <w:lang w:val="en-US"/>
              </w:rPr>
            </w:pPr>
            <w:r>
              <w:rPr>
                <w:lang w:val="en-US"/>
              </w:rPr>
              <w:t>Toluene: 31.3 g/L</w:t>
            </w:r>
          </w:p>
          <w:p w14:paraId="7D2A5337" w14:textId="77777777" w:rsidR="00884D58" w:rsidRDefault="00884D58" w:rsidP="00DB4169">
            <w:pPr>
              <w:pStyle w:val="TableText"/>
              <w:rPr>
                <w:lang w:val="en-US"/>
              </w:rPr>
            </w:pPr>
            <w:r>
              <w:rPr>
                <w:lang w:val="en-US"/>
              </w:rPr>
              <w:t>Ethyl acetate: 59.8 g/L</w:t>
            </w:r>
          </w:p>
          <w:p w14:paraId="5BC772E5" w14:textId="77777777" w:rsidR="00884D58" w:rsidRDefault="00884D58" w:rsidP="00DB4169">
            <w:pPr>
              <w:pStyle w:val="TableText"/>
              <w:rPr>
                <w:lang w:val="en-US"/>
              </w:rPr>
            </w:pPr>
            <w:r>
              <w:rPr>
                <w:lang w:val="en-US"/>
              </w:rPr>
              <w:t>Dichloromethane: 146 g/L</w:t>
            </w:r>
          </w:p>
          <w:p w14:paraId="0D8F963C" w14:textId="77777777" w:rsidR="00884D58" w:rsidRDefault="00884D58" w:rsidP="00DB4169">
            <w:pPr>
              <w:pStyle w:val="TableText"/>
              <w:rPr>
                <w:lang w:val="en-US"/>
              </w:rPr>
            </w:pPr>
            <w:r>
              <w:rPr>
                <w:lang w:val="en-US"/>
              </w:rPr>
              <w:t>Acetone: 350 g/L</w:t>
            </w:r>
          </w:p>
          <w:p w14:paraId="58832382" w14:textId="77777777" w:rsidR="00884D58" w:rsidRPr="002D1539" w:rsidRDefault="00884D58" w:rsidP="00DB4169">
            <w:pPr>
              <w:pStyle w:val="TableText"/>
              <w:rPr>
                <w:lang w:val="en-US"/>
              </w:rPr>
            </w:pPr>
            <w:r>
              <w:rPr>
                <w:lang w:val="en-US"/>
              </w:rPr>
              <w:t>(all at 20 °C)</w:t>
            </w:r>
          </w:p>
        </w:tc>
        <w:tc>
          <w:tcPr>
            <w:tcW w:w="1647" w:type="pct"/>
          </w:tcPr>
          <w:p w14:paraId="39F61668" w14:textId="77777777" w:rsidR="00884D58" w:rsidRPr="004D255C" w:rsidRDefault="00884D58" w:rsidP="00DB4169">
            <w:pPr>
              <w:pStyle w:val="TableText"/>
            </w:pPr>
            <w:r w:rsidRPr="004D255C">
              <w:t>BCPC, 2016</w:t>
            </w:r>
          </w:p>
        </w:tc>
      </w:tr>
      <w:tr w:rsidR="00884D58" w:rsidRPr="002A150C" w14:paraId="42AFADD5" w14:textId="77777777" w:rsidTr="00DB4169">
        <w:tc>
          <w:tcPr>
            <w:tcW w:w="1705" w:type="pct"/>
            <w:shd w:val="clear" w:color="auto" w:fill="F0F4F5"/>
          </w:tcPr>
          <w:p w14:paraId="4690A822" w14:textId="77777777" w:rsidR="00884D58" w:rsidRDefault="00884D58" w:rsidP="00DB4169">
            <w:pPr>
              <w:pStyle w:val="TableText"/>
              <w:rPr>
                <w:lang w:val="en-US"/>
              </w:rPr>
            </w:pPr>
            <w:r>
              <w:rPr>
                <w:lang w:val="en-US"/>
              </w:rPr>
              <w:t>Hydrolysis</w:t>
            </w:r>
          </w:p>
        </w:tc>
        <w:tc>
          <w:tcPr>
            <w:tcW w:w="1648" w:type="pct"/>
          </w:tcPr>
          <w:p w14:paraId="368EFBEA" w14:textId="77777777" w:rsidR="00884D58" w:rsidRDefault="00884D58" w:rsidP="00DB4169">
            <w:pPr>
              <w:pStyle w:val="TableText"/>
              <w:rPr>
                <w:lang w:val="en-US"/>
              </w:rPr>
            </w:pPr>
            <w:r>
              <w:rPr>
                <w:lang w:val="en-US"/>
              </w:rPr>
              <w:t>Hydrolytically stable for at least 5 days at 50 °C in pH 4, 7 and 9 buffer</w:t>
            </w:r>
          </w:p>
        </w:tc>
        <w:tc>
          <w:tcPr>
            <w:tcW w:w="1647" w:type="pct"/>
          </w:tcPr>
          <w:p w14:paraId="26631880" w14:textId="77777777" w:rsidR="00884D58" w:rsidRPr="004D255C" w:rsidRDefault="00884D58" w:rsidP="00DB4169">
            <w:pPr>
              <w:pStyle w:val="TableText"/>
            </w:pPr>
            <w:r w:rsidRPr="004D255C">
              <w:t>Singh M. and Trollinger J., 2003</w:t>
            </w:r>
          </w:p>
        </w:tc>
      </w:tr>
      <w:tr w:rsidR="00884D58" w:rsidRPr="002A150C" w14:paraId="22C85BA9" w14:textId="77777777" w:rsidTr="00DB4169">
        <w:tc>
          <w:tcPr>
            <w:tcW w:w="1705" w:type="pct"/>
            <w:shd w:val="clear" w:color="auto" w:fill="F0F4F5"/>
          </w:tcPr>
          <w:p w14:paraId="68AC9B38" w14:textId="77777777" w:rsidR="00884D58" w:rsidRDefault="00884D58" w:rsidP="00DB4169">
            <w:pPr>
              <w:pStyle w:val="TableText"/>
              <w:rPr>
                <w:lang w:val="en-US"/>
              </w:rPr>
            </w:pPr>
            <w:r>
              <w:rPr>
                <w:lang w:val="en-US"/>
              </w:rPr>
              <w:t>Atmospheric fate</w:t>
            </w:r>
          </w:p>
        </w:tc>
        <w:tc>
          <w:tcPr>
            <w:tcW w:w="1648" w:type="pct"/>
          </w:tcPr>
          <w:p w14:paraId="40CBA130" w14:textId="77777777" w:rsidR="00884D58" w:rsidRDefault="00884D58" w:rsidP="00DB4169">
            <w:pPr>
              <w:pStyle w:val="TableText"/>
              <w:rPr>
                <w:lang w:val="en-US"/>
              </w:rPr>
            </w:pPr>
            <w:r>
              <w:rPr>
                <w:lang w:val="en-US"/>
              </w:rPr>
              <w:t>Half-life for reaction with OH radicals, 1.479 hours, based on a 12 hour day (calculated)</w:t>
            </w:r>
          </w:p>
          <w:p w14:paraId="5EF39337" w14:textId="77777777" w:rsidR="00884D58" w:rsidRDefault="00884D58" w:rsidP="00DB4169">
            <w:pPr>
              <w:pStyle w:val="TableText"/>
              <w:rPr>
                <w:lang w:val="en-US"/>
              </w:rPr>
            </w:pPr>
            <w:r>
              <w:rPr>
                <w:lang w:val="en-US"/>
              </w:rPr>
              <w:t>Half life for reaction with ozone, 2.015 hours, based on a 24 hour day (calculated)</w:t>
            </w:r>
          </w:p>
        </w:tc>
        <w:tc>
          <w:tcPr>
            <w:tcW w:w="1647" w:type="pct"/>
          </w:tcPr>
          <w:p w14:paraId="41638A95" w14:textId="77777777" w:rsidR="00884D58" w:rsidRPr="004D255C" w:rsidRDefault="00884D58" w:rsidP="00DB4169">
            <w:pPr>
              <w:pStyle w:val="TableText"/>
            </w:pPr>
            <w:r w:rsidRPr="004D255C">
              <w:t>Martin C.A., 2002</w:t>
            </w:r>
          </w:p>
        </w:tc>
      </w:tr>
    </w:tbl>
    <w:p w14:paraId="76C1DA19" w14:textId="5C408043" w:rsidR="00D14493" w:rsidRDefault="00884D58" w:rsidP="00884D58">
      <w:pPr>
        <w:pStyle w:val="NormalText"/>
      </w:pPr>
      <w:r>
        <w:t>Flocoumafen is generally supplied in the market to end use product manufacturers as the technical active constituent (TC) with a minimum purity of 95%.</w:t>
      </w:r>
    </w:p>
    <w:p w14:paraId="7B711A96" w14:textId="7CFD006A" w:rsidR="00884D58" w:rsidRDefault="00D14493" w:rsidP="00884D58">
      <w:pPr>
        <w:pStyle w:val="NormalText"/>
      </w:pPr>
      <w:r>
        <w:t xml:space="preserve">The APVMA Record lists three sources of flocoumafen active constituent. A summary of the current flocoumafen active constituent approvals and recommendations, based on review of the information entered in the APVMA’s Record of active constituent approvals, is provided in </w:t>
      </w:r>
      <w:r>
        <w:fldChar w:fldCharType="begin"/>
      </w:r>
      <w:r>
        <w:instrText xml:space="preserve"> REF _Ref214966079 \h </w:instrText>
      </w:r>
      <w:r>
        <w:fldChar w:fldCharType="separate"/>
      </w:r>
      <w:r w:rsidR="003861AC">
        <w:t xml:space="preserve">Table </w:t>
      </w:r>
      <w:r w:rsidR="003861AC">
        <w:rPr>
          <w:noProof/>
        </w:rPr>
        <w:t>31</w:t>
      </w:r>
      <w:r>
        <w:fldChar w:fldCharType="end"/>
      </w:r>
      <w:r>
        <w:t>.</w:t>
      </w:r>
    </w:p>
    <w:p w14:paraId="3D15F589" w14:textId="50F2B63F" w:rsidR="00884D58" w:rsidRDefault="00884D58" w:rsidP="00884D58">
      <w:pPr>
        <w:pStyle w:val="Caption"/>
      </w:pPr>
      <w:bookmarkStart w:id="138" w:name="_Ref214966079"/>
      <w:bookmarkStart w:id="139" w:name="_Toc213946007"/>
      <w:bookmarkStart w:id="140" w:name="_Toc216695693"/>
      <w:r>
        <w:t xml:space="preserve">Table </w:t>
      </w:r>
      <w:r>
        <w:fldChar w:fldCharType="begin"/>
      </w:r>
      <w:r>
        <w:instrText xml:space="preserve"> SEQ Table \* ARABIC </w:instrText>
      </w:r>
      <w:r>
        <w:fldChar w:fldCharType="separate"/>
      </w:r>
      <w:r w:rsidR="003861AC">
        <w:rPr>
          <w:noProof/>
        </w:rPr>
        <w:t>31</w:t>
      </w:r>
      <w:r>
        <w:rPr>
          <w:noProof/>
        </w:rPr>
        <w:fldChar w:fldCharType="end"/>
      </w:r>
      <w:bookmarkEnd w:id="138"/>
      <w:r>
        <w:rPr>
          <w:noProof/>
        </w:rPr>
        <w:t>:</w:t>
      </w:r>
      <w:r>
        <w:t xml:space="preserve"> Current active constituent approvals for flocoumafen</w:t>
      </w:r>
      <w:bookmarkEnd w:id="139"/>
      <w:bookmarkEnd w:id="140"/>
    </w:p>
    <w:tbl>
      <w:tblPr>
        <w:tblStyle w:val="TableGrid"/>
        <w:tblW w:w="5000" w:type="pct"/>
        <w:tblLook w:val="04A0" w:firstRow="1" w:lastRow="0" w:firstColumn="1" w:lastColumn="0" w:noHBand="0" w:noVBand="1"/>
      </w:tblPr>
      <w:tblGrid>
        <w:gridCol w:w="2517"/>
        <w:gridCol w:w="2162"/>
        <w:gridCol w:w="2721"/>
        <w:gridCol w:w="2228"/>
      </w:tblGrid>
      <w:tr w:rsidR="00884D58" w14:paraId="7D3A7C1F" w14:textId="77777777" w:rsidTr="00533B55">
        <w:tc>
          <w:tcPr>
            <w:tcW w:w="1307" w:type="pct"/>
            <w:shd w:val="clear" w:color="auto" w:fill="53284F"/>
          </w:tcPr>
          <w:p w14:paraId="0E796B27" w14:textId="77777777" w:rsidR="00884D58" w:rsidRDefault="00884D58" w:rsidP="00BA7F4F">
            <w:pPr>
              <w:pStyle w:val="TableHead"/>
            </w:pPr>
            <w:r>
              <w:t>Approval number</w:t>
            </w:r>
          </w:p>
        </w:tc>
        <w:tc>
          <w:tcPr>
            <w:tcW w:w="1123" w:type="pct"/>
            <w:shd w:val="clear" w:color="auto" w:fill="53284F"/>
          </w:tcPr>
          <w:p w14:paraId="63107D99" w14:textId="77777777" w:rsidR="00884D58" w:rsidRDefault="00884D58" w:rsidP="00BA7F4F">
            <w:pPr>
              <w:pStyle w:val="TableHead"/>
            </w:pPr>
            <w:r>
              <w:t>Active name</w:t>
            </w:r>
          </w:p>
        </w:tc>
        <w:tc>
          <w:tcPr>
            <w:tcW w:w="1413" w:type="pct"/>
            <w:shd w:val="clear" w:color="auto" w:fill="53284F"/>
          </w:tcPr>
          <w:p w14:paraId="0AAF4CE6" w14:textId="77777777" w:rsidR="00884D58" w:rsidRDefault="00884D58" w:rsidP="00BA7F4F">
            <w:pPr>
              <w:pStyle w:val="TableHead"/>
            </w:pPr>
            <w:r>
              <w:t>Approval holder</w:t>
            </w:r>
          </w:p>
        </w:tc>
        <w:tc>
          <w:tcPr>
            <w:tcW w:w="1158" w:type="pct"/>
            <w:shd w:val="clear" w:color="auto" w:fill="53284F"/>
          </w:tcPr>
          <w:p w14:paraId="0225BFC4" w14:textId="77777777" w:rsidR="00884D58" w:rsidRDefault="00884D58" w:rsidP="00BA7F4F">
            <w:pPr>
              <w:pStyle w:val="TableHead"/>
            </w:pPr>
            <w:r>
              <w:t>Recommendation</w:t>
            </w:r>
          </w:p>
        </w:tc>
      </w:tr>
      <w:tr w:rsidR="00884D58" w:rsidRPr="00F81D99" w14:paraId="2F55A77F" w14:textId="77777777" w:rsidTr="00533B55">
        <w:tc>
          <w:tcPr>
            <w:tcW w:w="1307" w:type="pct"/>
          </w:tcPr>
          <w:p w14:paraId="47B89AC3" w14:textId="77777777" w:rsidR="00884D58" w:rsidRPr="004D255C" w:rsidRDefault="00884D58" w:rsidP="00BA7F4F">
            <w:pPr>
              <w:pStyle w:val="TableText"/>
            </w:pPr>
            <w:r w:rsidRPr="004D255C">
              <w:t>44267</w:t>
            </w:r>
          </w:p>
        </w:tc>
        <w:tc>
          <w:tcPr>
            <w:tcW w:w="1123" w:type="pct"/>
          </w:tcPr>
          <w:p w14:paraId="1016122B" w14:textId="77777777" w:rsidR="00884D58" w:rsidRPr="004D255C" w:rsidRDefault="00884D58" w:rsidP="00BA7F4F">
            <w:pPr>
              <w:pStyle w:val="TableText"/>
            </w:pPr>
            <w:r w:rsidRPr="004D255C">
              <w:t>Flocoumafen</w:t>
            </w:r>
          </w:p>
        </w:tc>
        <w:tc>
          <w:tcPr>
            <w:tcW w:w="1413" w:type="pct"/>
          </w:tcPr>
          <w:p w14:paraId="39C3C19B" w14:textId="77777777" w:rsidR="00884D58" w:rsidRPr="004D255C" w:rsidRDefault="00884D58" w:rsidP="00BA7F4F">
            <w:pPr>
              <w:pStyle w:val="TableText"/>
            </w:pPr>
            <w:r w:rsidRPr="004D255C">
              <w:t>BASF Australia Ltd</w:t>
            </w:r>
          </w:p>
        </w:tc>
        <w:tc>
          <w:tcPr>
            <w:tcW w:w="1158" w:type="pct"/>
          </w:tcPr>
          <w:p w14:paraId="25E723D0" w14:textId="77777777" w:rsidR="00884D58" w:rsidRPr="004D255C" w:rsidRDefault="00884D58" w:rsidP="00BA7F4F">
            <w:pPr>
              <w:pStyle w:val="TableText"/>
            </w:pPr>
            <w:r w:rsidRPr="004D255C">
              <w:t>Affirm approval</w:t>
            </w:r>
          </w:p>
        </w:tc>
      </w:tr>
      <w:tr w:rsidR="00884D58" w14:paraId="73A61976" w14:textId="77777777" w:rsidTr="00533B55">
        <w:tc>
          <w:tcPr>
            <w:tcW w:w="1307" w:type="pct"/>
          </w:tcPr>
          <w:p w14:paraId="0407912D" w14:textId="77777777" w:rsidR="00884D58" w:rsidRPr="004D255C" w:rsidRDefault="00884D58" w:rsidP="00BA7F4F">
            <w:pPr>
              <w:pStyle w:val="TableText"/>
            </w:pPr>
            <w:r w:rsidRPr="004D255C">
              <w:t>49436</w:t>
            </w:r>
          </w:p>
        </w:tc>
        <w:tc>
          <w:tcPr>
            <w:tcW w:w="1123" w:type="pct"/>
          </w:tcPr>
          <w:p w14:paraId="31591D40" w14:textId="77777777" w:rsidR="00884D58" w:rsidRPr="004D255C" w:rsidRDefault="00884D58" w:rsidP="00BA7F4F">
            <w:pPr>
              <w:pStyle w:val="TableText"/>
            </w:pPr>
            <w:r w:rsidRPr="00EE77EF">
              <w:t>Flocoumafen</w:t>
            </w:r>
          </w:p>
        </w:tc>
        <w:tc>
          <w:tcPr>
            <w:tcW w:w="1413" w:type="pct"/>
          </w:tcPr>
          <w:p w14:paraId="42C3F90A" w14:textId="77777777" w:rsidR="00884D58" w:rsidRPr="004D255C" w:rsidRDefault="00884D58" w:rsidP="00BA7F4F">
            <w:pPr>
              <w:pStyle w:val="TableText"/>
            </w:pPr>
            <w:r w:rsidRPr="004D255C">
              <w:t>BASF Australia Ltd</w:t>
            </w:r>
          </w:p>
        </w:tc>
        <w:tc>
          <w:tcPr>
            <w:tcW w:w="1158" w:type="pct"/>
          </w:tcPr>
          <w:p w14:paraId="7335D7D6" w14:textId="77777777" w:rsidR="00884D58" w:rsidRPr="004D255C" w:rsidRDefault="00884D58" w:rsidP="00BA7F4F">
            <w:pPr>
              <w:pStyle w:val="TableText"/>
            </w:pPr>
            <w:r w:rsidRPr="004D255C">
              <w:t>Affirm approval</w:t>
            </w:r>
          </w:p>
        </w:tc>
      </w:tr>
      <w:tr w:rsidR="00884D58" w14:paraId="77C27CF0" w14:textId="77777777" w:rsidTr="00533B55">
        <w:tc>
          <w:tcPr>
            <w:tcW w:w="1307" w:type="pct"/>
          </w:tcPr>
          <w:p w14:paraId="462BB349" w14:textId="77777777" w:rsidR="00884D58" w:rsidRPr="004D255C" w:rsidRDefault="00884D58" w:rsidP="00BA7F4F">
            <w:pPr>
              <w:pStyle w:val="TableText"/>
            </w:pPr>
            <w:r w:rsidRPr="004D255C">
              <w:t>65328</w:t>
            </w:r>
          </w:p>
        </w:tc>
        <w:tc>
          <w:tcPr>
            <w:tcW w:w="1123" w:type="pct"/>
          </w:tcPr>
          <w:p w14:paraId="1589D542" w14:textId="77777777" w:rsidR="00884D58" w:rsidRPr="004D255C" w:rsidRDefault="00884D58" w:rsidP="00BA7F4F">
            <w:pPr>
              <w:pStyle w:val="TableText"/>
            </w:pPr>
            <w:r w:rsidRPr="00EE77EF">
              <w:t>Flocoumafen</w:t>
            </w:r>
          </w:p>
        </w:tc>
        <w:tc>
          <w:tcPr>
            <w:tcW w:w="1413" w:type="pct"/>
          </w:tcPr>
          <w:p w14:paraId="63C7015E" w14:textId="77777777" w:rsidR="00884D58" w:rsidRPr="004D255C" w:rsidRDefault="00884D58" w:rsidP="00BA7F4F">
            <w:pPr>
              <w:pStyle w:val="TableText"/>
            </w:pPr>
            <w:r w:rsidRPr="004D255C">
              <w:t>BASF Australia Ltd</w:t>
            </w:r>
          </w:p>
        </w:tc>
        <w:tc>
          <w:tcPr>
            <w:tcW w:w="1158" w:type="pct"/>
          </w:tcPr>
          <w:p w14:paraId="648C5C6C" w14:textId="77777777" w:rsidR="00884D58" w:rsidRPr="004D255C" w:rsidRDefault="00884D58" w:rsidP="00BA7F4F">
            <w:pPr>
              <w:pStyle w:val="TableText"/>
            </w:pPr>
            <w:r w:rsidRPr="004D255C">
              <w:t>Affirm approval</w:t>
            </w:r>
          </w:p>
        </w:tc>
      </w:tr>
    </w:tbl>
    <w:p w14:paraId="2739C1CA" w14:textId="53966CEA" w:rsidR="00D14493" w:rsidRDefault="00884D58" w:rsidP="00D14493">
      <w:pPr>
        <w:pStyle w:val="NormalText"/>
      </w:pPr>
      <w:r>
        <w:lastRenderedPageBreak/>
        <w:t xml:space="preserve">The </w:t>
      </w:r>
      <w:r w:rsidR="00D14493" w:rsidRPr="00377F3A">
        <w:rPr>
          <w:rStyle w:val="NormalTextChar"/>
        </w:rPr>
        <w:t>Active Constituent Standards</w:t>
      </w:r>
      <w:r w:rsidR="00D14493">
        <w:t xml:space="preserve"> specifications</w:t>
      </w:r>
      <w:r w:rsidR="00721D60">
        <w:t xml:space="preserve"> for </w:t>
      </w:r>
      <w:r>
        <w:t>the standard for flocoumafen active constituent</w:t>
      </w:r>
      <w:r w:rsidR="00721D60">
        <w:t xml:space="preserve"> is provided in </w:t>
      </w:r>
      <w:r w:rsidR="00D14493">
        <w:fldChar w:fldCharType="begin"/>
      </w:r>
      <w:r w:rsidR="00D14493">
        <w:instrText xml:space="preserve"> REF _Ref214966136 \h </w:instrText>
      </w:r>
      <w:r w:rsidR="00D14493">
        <w:fldChar w:fldCharType="separate"/>
      </w:r>
      <w:r w:rsidR="003861AC">
        <w:t xml:space="preserve">Table </w:t>
      </w:r>
      <w:r w:rsidR="003861AC">
        <w:rPr>
          <w:noProof/>
        </w:rPr>
        <w:t>32</w:t>
      </w:r>
      <w:r w:rsidR="00D14493">
        <w:fldChar w:fldCharType="end"/>
      </w:r>
      <w:r w:rsidR="00D14493">
        <w:t xml:space="preserve"> below</w:t>
      </w:r>
      <w:r>
        <w:t xml:space="preserve">. </w:t>
      </w:r>
      <w:r w:rsidR="00721D60">
        <w:t>No changes are proposed to this standard.</w:t>
      </w:r>
      <w:r w:rsidR="00D14493" w:rsidRPr="00D14493">
        <w:t xml:space="preserve"> </w:t>
      </w:r>
      <w:r w:rsidR="00D14493">
        <w:t>There is no FAO specification for flocoumafen.</w:t>
      </w:r>
    </w:p>
    <w:p w14:paraId="60FFEE62" w14:textId="313EFD55" w:rsidR="00884D58" w:rsidRDefault="00884D58" w:rsidP="00884D58">
      <w:pPr>
        <w:pStyle w:val="Caption"/>
      </w:pPr>
      <w:bookmarkStart w:id="141" w:name="_Ref214966136"/>
      <w:bookmarkStart w:id="142" w:name="_Toc213946008"/>
      <w:bookmarkStart w:id="143" w:name="_Toc216695694"/>
      <w:r>
        <w:t xml:space="preserve">Table </w:t>
      </w:r>
      <w:r>
        <w:fldChar w:fldCharType="begin"/>
      </w:r>
      <w:r>
        <w:instrText xml:space="preserve"> SEQ Table \* ARABIC </w:instrText>
      </w:r>
      <w:r>
        <w:fldChar w:fldCharType="separate"/>
      </w:r>
      <w:r w:rsidR="003861AC">
        <w:rPr>
          <w:noProof/>
        </w:rPr>
        <w:t>32</w:t>
      </w:r>
      <w:r>
        <w:fldChar w:fldCharType="end"/>
      </w:r>
      <w:bookmarkEnd w:id="141"/>
      <w:r>
        <w:t>: The Active Constituent Standards specification for flocoumafen</w:t>
      </w:r>
      <w:bookmarkEnd w:id="142"/>
      <w:bookmarkEnd w:id="143"/>
    </w:p>
    <w:tbl>
      <w:tblPr>
        <w:tblStyle w:val="TableGrid"/>
        <w:tblW w:w="5000" w:type="pct"/>
        <w:tblLook w:val="04A0" w:firstRow="1" w:lastRow="0" w:firstColumn="1" w:lastColumn="0" w:noHBand="0" w:noVBand="1"/>
      </w:tblPr>
      <w:tblGrid>
        <w:gridCol w:w="4814"/>
        <w:gridCol w:w="4814"/>
      </w:tblGrid>
      <w:tr w:rsidR="00884D58" w14:paraId="13CA76DE" w14:textId="77777777" w:rsidTr="00533B55">
        <w:tc>
          <w:tcPr>
            <w:tcW w:w="2500" w:type="pct"/>
            <w:shd w:val="clear" w:color="auto" w:fill="53284F"/>
          </w:tcPr>
          <w:p w14:paraId="55692235" w14:textId="77777777" w:rsidR="00884D58" w:rsidRDefault="00884D58" w:rsidP="00BA7F4F">
            <w:pPr>
              <w:pStyle w:val="TableHead"/>
            </w:pPr>
            <w:r>
              <w:t>Active constituent</w:t>
            </w:r>
          </w:p>
        </w:tc>
        <w:tc>
          <w:tcPr>
            <w:tcW w:w="2500" w:type="pct"/>
            <w:shd w:val="clear" w:color="auto" w:fill="53284F"/>
          </w:tcPr>
          <w:p w14:paraId="3D5227B7" w14:textId="77777777" w:rsidR="00884D58" w:rsidRDefault="00884D58" w:rsidP="00BA7F4F">
            <w:pPr>
              <w:pStyle w:val="TableHead"/>
            </w:pPr>
            <w:r>
              <w:t>Minimum purity</w:t>
            </w:r>
          </w:p>
        </w:tc>
      </w:tr>
      <w:tr w:rsidR="00884D58" w14:paraId="144EB136" w14:textId="77777777" w:rsidTr="00533B55">
        <w:tc>
          <w:tcPr>
            <w:tcW w:w="2500" w:type="pct"/>
          </w:tcPr>
          <w:p w14:paraId="593EDEE4" w14:textId="77777777" w:rsidR="00884D58" w:rsidRDefault="00884D58" w:rsidP="00BA7F4F">
            <w:pPr>
              <w:pStyle w:val="TableText"/>
            </w:pPr>
            <w:r>
              <w:t>Flocoumafen</w:t>
            </w:r>
          </w:p>
        </w:tc>
        <w:tc>
          <w:tcPr>
            <w:tcW w:w="2500" w:type="pct"/>
          </w:tcPr>
          <w:p w14:paraId="5BF9AC2A" w14:textId="77777777" w:rsidR="00884D58" w:rsidRDefault="00884D58" w:rsidP="00BA7F4F">
            <w:pPr>
              <w:pStyle w:val="TableText"/>
            </w:pPr>
            <w:r>
              <w:t>950 g/kg</w:t>
            </w:r>
          </w:p>
        </w:tc>
      </w:tr>
    </w:tbl>
    <w:p w14:paraId="204A6CFF" w14:textId="7363452A" w:rsidR="00884D58" w:rsidRDefault="00D14493" w:rsidP="00884D58">
      <w:pPr>
        <w:pStyle w:val="NormalText"/>
      </w:pPr>
      <w:r w:rsidRPr="00D14493">
        <w:t xml:space="preserve">The continued approval of the current </w:t>
      </w:r>
      <w:r>
        <w:t xml:space="preserve">flocoumafen </w:t>
      </w:r>
      <w:r w:rsidRPr="00D14493">
        <w:t xml:space="preserve">active constituent listed in </w:t>
      </w:r>
      <w:r>
        <w:fldChar w:fldCharType="begin"/>
      </w:r>
      <w:r>
        <w:instrText xml:space="preserve"> REF _Ref214966079 \h </w:instrText>
      </w:r>
      <w:r>
        <w:fldChar w:fldCharType="separate"/>
      </w:r>
      <w:r w:rsidR="003861AC">
        <w:t xml:space="preserve">Table </w:t>
      </w:r>
      <w:r w:rsidR="003861AC">
        <w:rPr>
          <w:noProof/>
        </w:rPr>
        <w:t>31</w:t>
      </w:r>
      <w:r>
        <w:fldChar w:fldCharType="end"/>
      </w:r>
      <w:r w:rsidRPr="00D14493">
        <w:t xml:space="preserve"> is supported in this chemistry and manufacture risk assessment</w:t>
      </w:r>
      <w:r w:rsidR="00884D58">
        <w:t>.</w:t>
      </w:r>
    </w:p>
    <w:p w14:paraId="26684006" w14:textId="77777777" w:rsidR="00884D58" w:rsidRDefault="00884D58" w:rsidP="00377F3A">
      <w:pPr>
        <w:pStyle w:val="Heading3"/>
      </w:pPr>
      <w:bookmarkStart w:id="144" w:name="_Toc214025467"/>
      <w:bookmarkStart w:id="145" w:name="_Toc216695551"/>
      <w:r>
        <w:t>Active constituent - Warfarin</w:t>
      </w:r>
      <w:bookmarkEnd w:id="144"/>
      <w:bookmarkEnd w:id="145"/>
    </w:p>
    <w:p w14:paraId="086CFD53" w14:textId="6701D7A1" w:rsidR="00884D58" w:rsidRDefault="00884D58" w:rsidP="00884D58">
      <w:pPr>
        <w:pStyle w:val="NormalText"/>
      </w:pPr>
      <w:r>
        <w:t>Warfarin is a hydroxycoumarin first generation anticoagulant rodenticide, which acts through inhibition of the formation of prothrombin</w:t>
      </w:r>
      <w:r>
        <w:rPr>
          <w:rStyle w:val="FootnoteReference"/>
        </w:rPr>
        <w:t xml:space="preserve"> </w:t>
      </w:r>
      <w:r>
        <w:t>(</w:t>
      </w:r>
      <w:r w:rsidR="00721D60">
        <w:t xml:space="preserve">reviewed in </w:t>
      </w:r>
      <w:r>
        <w:t>BCPC, 2016). Repeated ingestion is needed to give toxic effects. It was first reported in 1944.</w:t>
      </w:r>
    </w:p>
    <w:p w14:paraId="583F1625" w14:textId="2BEAF183" w:rsidR="00884D58" w:rsidRPr="00533B55" w:rsidRDefault="00884D58" w:rsidP="00533B55">
      <w:pPr>
        <w:pStyle w:val="Caption"/>
      </w:pPr>
      <w:bookmarkStart w:id="146" w:name="_Toc213946009"/>
      <w:bookmarkStart w:id="147" w:name="_Toc216695695"/>
      <w:r w:rsidRPr="00533B55">
        <w:t xml:space="preserve">Table </w:t>
      </w:r>
      <w:r w:rsidRPr="00533B55">
        <w:fldChar w:fldCharType="begin"/>
      </w:r>
      <w:r w:rsidRPr="00533B55">
        <w:instrText xml:space="preserve"> SEQ Table \* ARABIC </w:instrText>
      </w:r>
      <w:r w:rsidRPr="00533B55">
        <w:fldChar w:fldCharType="separate"/>
      </w:r>
      <w:r w:rsidR="003861AC">
        <w:rPr>
          <w:noProof/>
        </w:rPr>
        <w:t>33</w:t>
      </w:r>
      <w:r w:rsidRPr="00533B55">
        <w:fldChar w:fldCharType="end"/>
      </w:r>
      <w:r w:rsidRPr="00533B55">
        <w:t>: Nomenclature and structural formula of the active constituent warfarin</w:t>
      </w:r>
      <w:bookmarkEnd w:id="146"/>
      <w:bookmarkEnd w:id="147"/>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119"/>
      </w:tblGrid>
      <w:tr w:rsidR="00884D58" w:rsidRPr="002D1539" w14:paraId="68D50C7E" w14:textId="77777777" w:rsidTr="00533B55">
        <w:tc>
          <w:tcPr>
            <w:tcW w:w="1303" w:type="pct"/>
            <w:shd w:val="clear" w:color="auto" w:fill="53284F"/>
          </w:tcPr>
          <w:p w14:paraId="07415DBD" w14:textId="77777777" w:rsidR="00884D58" w:rsidRPr="00244B68" w:rsidRDefault="00884D58" w:rsidP="00BA7F4F">
            <w:pPr>
              <w:pStyle w:val="TableHead"/>
            </w:pPr>
            <w:r w:rsidRPr="00244B68">
              <w:rPr>
                <w:lang w:val="en-US"/>
              </w:rPr>
              <w:t>Common Name</w:t>
            </w:r>
          </w:p>
        </w:tc>
        <w:tc>
          <w:tcPr>
            <w:tcW w:w="3697" w:type="pct"/>
          </w:tcPr>
          <w:p w14:paraId="71B5DC65" w14:textId="77777777" w:rsidR="00884D58" w:rsidRPr="002D1539" w:rsidRDefault="00884D58" w:rsidP="00BA7F4F">
            <w:pPr>
              <w:pStyle w:val="TableText"/>
              <w:rPr>
                <w:lang w:val="en-US"/>
              </w:rPr>
            </w:pPr>
            <w:r>
              <w:rPr>
                <w:lang w:val="en-US"/>
              </w:rPr>
              <w:t>Warfarin (ISO 1750)</w:t>
            </w:r>
          </w:p>
        </w:tc>
      </w:tr>
      <w:tr w:rsidR="00884D58" w:rsidRPr="002D1539" w14:paraId="5D74D179" w14:textId="77777777" w:rsidTr="00533B55">
        <w:tc>
          <w:tcPr>
            <w:tcW w:w="1303" w:type="pct"/>
            <w:shd w:val="clear" w:color="auto" w:fill="53284F"/>
          </w:tcPr>
          <w:p w14:paraId="504D3D13" w14:textId="77777777" w:rsidR="00884D58" w:rsidRPr="00244B68" w:rsidRDefault="00884D58" w:rsidP="00BA7F4F">
            <w:pPr>
              <w:pStyle w:val="TableHead"/>
              <w:rPr>
                <w:lang w:val="en-US"/>
              </w:rPr>
            </w:pPr>
            <w:r w:rsidRPr="00244B68">
              <w:rPr>
                <w:lang w:val="en-US"/>
              </w:rPr>
              <w:t>IUPAC Name</w:t>
            </w:r>
          </w:p>
        </w:tc>
        <w:tc>
          <w:tcPr>
            <w:tcW w:w="3697" w:type="pct"/>
          </w:tcPr>
          <w:p w14:paraId="3E2CF30B" w14:textId="77777777" w:rsidR="00884D58" w:rsidRPr="002D1539" w:rsidRDefault="00884D58" w:rsidP="00BA7F4F">
            <w:pPr>
              <w:pStyle w:val="TableText"/>
              <w:rPr>
                <w:lang w:val="en-US"/>
              </w:rPr>
            </w:pPr>
            <w:r w:rsidRPr="00665786">
              <w:t>4-hydroxy-3-[(1</w:t>
            </w:r>
            <w:r w:rsidRPr="00665786">
              <w:rPr>
                <w:i/>
                <w:iCs/>
              </w:rPr>
              <w:t>RS</w:t>
            </w:r>
            <w:r w:rsidRPr="00665786">
              <w:t>)-3-oxo-1-phenylbutyl]-2</w:t>
            </w:r>
            <w:r w:rsidRPr="00665786">
              <w:rPr>
                <w:i/>
                <w:iCs/>
              </w:rPr>
              <w:t>H</w:t>
            </w:r>
            <w:r w:rsidRPr="00665786">
              <w:t>-chromen-2-one</w:t>
            </w:r>
          </w:p>
        </w:tc>
      </w:tr>
      <w:tr w:rsidR="00884D58" w:rsidRPr="002D1539" w14:paraId="2382CA93" w14:textId="77777777" w:rsidTr="00533B55">
        <w:tc>
          <w:tcPr>
            <w:tcW w:w="1303" w:type="pct"/>
            <w:shd w:val="clear" w:color="auto" w:fill="53284F"/>
          </w:tcPr>
          <w:p w14:paraId="6594FF0C" w14:textId="77777777" w:rsidR="00884D58" w:rsidRPr="00244B68" w:rsidRDefault="00884D58" w:rsidP="00BA7F4F">
            <w:pPr>
              <w:pStyle w:val="TableHead"/>
              <w:rPr>
                <w:lang w:val="en-US"/>
              </w:rPr>
            </w:pPr>
            <w:r w:rsidRPr="00244B68">
              <w:rPr>
                <w:lang w:val="en-US"/>
              </w:rPr>
              <w:t>CAS Name</w:t>
            </w:r>
          </w:p>
        </w:tc>
        <w:tc>
          <w:tcPr>
            <w:tcW w:w="3697" w:type="pct"/>
          </w:tcPr>
          <w:p w14:paraId="20096560" w14:textId="77777777" w:rsidR="00884D58" w:rsidRPr="002D1539" w:rsidRDefault="00884D58" w:rsidP="00BA7F4F">
            <w:pPr>
              <w:pStyle w:val="TableText"/>
              <w:rPr>
                <w:lang w:val="en-US"/>
              </w:rPr>
            </w:pPr>
            <w:r w:rsidRPr="00665786">
              <w:t>4-hydroxy-3-(3-oxo-1-phenylbutyl)-2</w:t>
            </w:r>
            <w:r w:rsidRPr="00665786">
              <w:rPr>
                <w:i/>
                <w:iCs/>
              </w:rPr>
              <w:t>H</w:t>
            </w:r>
            <w:r w:rsidRPr="00665786">
              <w:t>-1-benzopyran-2-one</w:t>
            </w:r>
          </w:p>
        </w:tc>
      </w:tr>
      <w:tr w:rsidR="00884D58" w:rsidRPr="002D1539" w14:paraId="4878E914" w14:textId="77777777" w:rsidTr="00533B55">
        <w:tc>
          <w:tcPr>
            <w:tcW w:w="1303" w:type="pct"/>
            <w:shd w:val="clear" w:color="auto" w:fill="53284F"/>
          </w:tcPr>
          <w:p w14:paraId="6BA233CE" w14:textId="77777777" w:rsidR="00884D58" w:rsidRPr="00244B68" w:rsidRDefault="00884D58" w:rsidP="00BA7F4F">
            <w:pPr>
              <w:pStyle w:val="TableHead"/>
              <w:rPr>
                <w:lang w:val="en-US"/>
              </w:rPr>
            </w:pPr>
            <w:r w:rsidRPr="00244B68">
              <w:rPr>
                <w:lang w:val="en-US"/>
              </w:rPr>
              <w:t>CAS Registry Number</w:t>
            </w:r>
          </w:p>
        </w:tc>
        <w:tc>
          <w:tcPr>
            <w:tcW w:w="3697" w:type="pct"/>
          </w:tcPr>
          <w:p w14:paraId="48AA4DD6" w14:textId="77777777" w:rsidR="00884D58" w:rsidRPr="002D1539" w:rsidRDefault="00884D58" w:rsidP="00BA7F4F">
            <w:pPr>
              <w:pStyle w:val="TableText"/>
              <w:rPr>
                <w:lang w:val="en-US"/>
              </w:rPr>
            </w:pPr>
            <w:r>
              <w:rPr>
                <w:lang w:val="en-US"/>
              </w:rPr>
              <w:t>81-81-2</w:t>
            </w:r>
          </w:p>
        </w:tc>
      </w:tr>
      <w:tr w:rsidR="00884D58" w:rsidRPr="002D1539" w14:paraId="5BCFE6AD" w14:textId="77777777" w:rsidTr="00533B55">
        <w:tc>
          <w:tcPr>
            <w:tcW w:w="1303" w:type="pct"/>
            <w:shd w:val="clear" w:color="auto" w:fill="53284F"/>
          </w:tcPr>
          <w:p w14:paraId="6192720A" w14:textId="77777777" w:rsidR="00884D58" w:rsidRPr="00244B68" w:rsidRDefault="00884D58" w:rsidP="00BA7F4F">
            <w:pPr>
              <w:pStyle w:val="TableHead"/>
              <w:rPr>
                <w:lang w:val="en-US"/>
              </w:rPr>
            </w:pPr>
            <w:r w:rsidRPr="00244B68">
              <w:rPr>
                <w:lang w:val="en-US"/>
              </w:rPr>
              <w:t>EC Number</w:t>
            </w:r>
          </w:p>
        </w:tc>
        <w:tc>
          <w:tcPr>
            <w:tcW w:w="3697" w:type="pct"/>
          </w:tcPr>
          <w:p w14:paraId="4A2DD84D" w14:textId="77777777" w:rsidR="00884D58" w:rsidRPr="002D1539" w:rsidRDefault="00884D58" w:rsidP="00BA7F4F">
            <w:pPr>
              <w:pStyle w:val="TableText"/>
              <w:rPr>
                <w:lang w:val="en-US"/>
              </w:rPr>
            </w:pPr>
            <w:r>
              <w:rPr>
                <w:lang w:val="en-US"/>
              </w:rPr>
              <w:t>201-377-6</w:t>
            </w:r>
          </w:p>
        </w:tc>
      </w:tr>
      <w:tr w:rsidR="00884D58" w:rsidRPr="002D1539" w14:paraId="4FA07410" w14:textId="77777777" w:rsidTr="00533B55">
        <w:tc>
          <w:tcPr>
            <w:tcW w:w="1303" w:type="pct"/>
            <w:shd w:val="clear" w:color="auto" w:fill="53284F"/>
          </w:tcPr>
          <w:p w14:paraId="51D1597B" w14:textId="77777777" w:rsidR="00884D58" w:rsidRPr="00244B68" w:rsidRDefault="00884D58" w:rsidP="00BA7F4F">
            <w:pPr>
              <w:pStyle w:val="TableHead"/>
              <w:rPr>
                <w:lang w:val="en-US"/>
              </w:rPr>
            </w:pPr>
            <w:r w:rsidRPr="00244B68">
              <w:rPr>
                <w:lang w:val="en-US"/>
              </w:rPr>
              <w:t>Molecular Formula</w:t>
            </w:r>
          </w:p>
        </w:tc>
        <w:tc>
          <w:tcPr>
            <w:tcW w:w="3697" w:type="pct"/>
          </w:tcPr>
          <w:p w14:paraId="6762AD55" w14:textId="77777777" w:rsidR="00884D58" w:rsidRPr="002D1539" w:rsidRDefault="00884D58" w:rsidP="00BA7F4F">
            <w:pPr>
              <w:pStyle w:val="TableText"/>
              <w:rPr>
                <w:lang w:val="en-US"/>
              </w:rPr>
            </w:pPr>
            <w:r>
              <w:rPr>
                <w:lang w:val="en-US"/>
              </w:rPr>
              <w:t>C</w:t>
            </w:r>
            <w:r>
              <w:rPr>
                <w:vertAlign w:val="subscript"/>
                <w:lang w:val="en-US"/>
              </w:rPr>
              <w:t>19</w:t>
            </w:r>
            <w:r>
              <w:rPr>
                <w:lang w:val="en-US"/>
              </w:rPr>
              <w:t>H</w:t>
            </w:r>
            <w:r>
              <w:rPr>
                <w:vertAlign w:val="subscript"/>
                <w:lang w:val="en-US"/>
              </w:rPr>
              <w:t>16</w:t>
            </w:r>
            <w:r>
              <w:rPr>
                <w:lang w:val="en-US"/>
              </w:rPr>
              <w:t>O</w:t>
            </w:r>
            <w:r>
              <w:rPr>
                <w:vertAlign w:val="subscript"/>
                <w:lang w:val="en-US"/>
              </w:rPr>
              <w:t>4</w:t>
            </w:r>
          </w:p>
        </w:tc>
      </w:tr>
      <w:tr w:rsidR="00884D58" w:rsidRPr="002D1539" w14:paraId="2F8955F5" w14:textId="77777777" w:rsidTr="00533B55">
        <w:tc>
          <w:tcPr>
            <w:tcW w:w="1303" w:type="pct"/>
            <w:shd w:val="clear" w:color="auto" w:fill="53284F"/>
          </w:tcPr>
          <w:p w14:paraId="59917003" w14:textId="77777777" w:rsidR="00884D58" w:rsidRPr="00244B68" w:rsidRDefault="00884D58" w:rsidP="00BA7F4F">
            <w:pPr>
              <w:pStyle w:val="TableHead"/>
              <w:rPr>
                <w:lang w:val="en-US"/>
              </w:rPr>
            </w:pPr>
            <w:r w:rsidRPr="00244B68">
              <w:rPr>
                <w:lang w:val="en-US"/>
              </w:rPr>
              <w:t>Molecular Weight</w:t>
            </w:r>
          </w:p>
        </w:tc>
        <w:tc>
          <w:tcPr>
            <w:tcW w:w="3697" w:type="pct"/>
          </w:tcPr>
          <w:p w14:paraId="3B831A00" w14:textId="77777777" w:rsidR="00884D58" w:rsidRPr="002D1539" w:rsidRDefault="00884D58" w:rsidP="00BA7F4F">
            <w:pPr>
              <w:pStyle w:val="TableText"/>
              <w:rPr>
                <w:lang w:val="en-US"/>
              </w:rPr>
            </w:pPr>
            <w:r>
              <w:rPr>
                <w:lang w:val="en-US"/>
              </w:rPr>
              <w:t>308.3 gmol</w:t>
            </w:r>
            <w:r w:rsidRPr="00AA5403">
              <w:rPr>
                <w:vertAlign w:val="superscript"/>
                <w:lang w:val="en-US"/>
              </w:rPr>
              <w:t>-1</w:t>
            </w:r>
          </w:p>
        </w:tc>
      </w:tr>
      <w:tr w:rsidR="00DB4169" w:rsidRPr="002D1539" w14:paraId="4072D896" w14:textId="77777777" w:rsidTr="00533B55">
        <w:tc>
          <w:tcPr>
            <w:tcW w:w="1303" w:type="pct"/>
            <w:shd w:val="clear" w:color="auto" w:fill="53284F"/>
          </w:tcPr>
          <w:p w14:paraId="34C3EE22" w14:textId="696EC008" w:rsidR="00DB4169" w:rsidRPr="00244B68" w:rsidRDefault="00DB4169" w:rsidP="00BA7F4F">
            <w:pPr>
              <w:pStyle w:val="TableHead"/>
              <w:rPr>
                <w:lang w:val="en-US"/>
              </w:rPr>
            </w:pPr>
            <w:r w:rsidRPr="00244B68">
              <w:rPr>
                <w:lang w:val="en-US"/>
              </w:rPr>
              <w:t>Structure</w:t>
            </w:r>
          </w:p>
        </w:tc>
        <w:tc>
          <w:tcPr>
            <w:tcW w:w="3697" w:type="pct"/>
          </w:tcPr>
          <w:p w14:paraId="5B936411" w14:textId="234000E3" w:rsidR="00DB4169" w:rsidRDefault="00DB4169" w:rsidP="00BA7F4F">
            <w:pPr>
              <w:pStyle w:val="TableText"/>
              <w:rPr>
                <w:lang w:val="en-US"/>
              </w:rPr>
            </w:pPr>
            <w:r w:rsidRPr="00BA2546">
              <w:rPr>
                <w:noProof/>
              </w:rPr>
              <w:drawing>
                <wp:anchor distT="0" distB="0" distL="114300" distR="114300" simplePos="0" relativeHeight="251680768" behindDoc="0" locked="0" layoutInCell="1" allowOverlap="1" wp14:anchorId="6BA0B954" wp14:editId="4E103306">
                  <wp:simplePos x="0" y="0"/>
                  <wp:positionH relativeFrom="column">
                    <wp:posOffset>118110</wp:posOffset>
                  </wp:positionH>
                  <wp:positionV relativeFrom="paragraph">
                    <wp:posOffset>0</wp:posOffset>
                  </wp:positionV>
                  <wp:extent cx="2430000" cy="1771200"/>
                  <wp:effectExtent l="0" t="0" r="8890" b="635"/>
                  <wp:wrapSquare wrapText="bothSides"/>
                  <wp:docPr id="1471376292"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47606" name="Picture 1" descr="A structure of a chemical formula&#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2430000" cy="1771200"/>
                          </a:xfrm>
                          <a:prstGeom prst="rect">
                            <a:avLst/>
                          </a:prstGeom>
                        </pic:spPr>
                      </pic:pic>
                    </a:graphicData>
                  </a:graphic>
                  <wp14:sizeRelH relativeFrom="margin">
                    <wp14:pctWidth>0</wp14:pctWidth>
                  </wp14:sizeRelH>
                  <wp14:sizeRelV relativeFrom="margin">
                    <wp14:pctHeight>0</wp14:pctHeight>
                  </wp14:sizeRelV>
                </wp:anchor>
              </w:drawing>
            </w:r>
            <w:r w:rsidRPr="00244B68">
              <w:rPr>
                <w:lang w:val="en-US"/>
              </w:rPr>
              <w:t xml:space="preserve"> </w:t>
            </w:r>
          </w:p>
        </w:tc>
      </w:tr>
      <w:tr w:rsidR="00DB4169" w:rsidRPr="002A150C" w14:paraId="3A204D1D" w14:textId="77777777" w:rsidTr="00533B55">
        <w:trPr>
          <w:trHeight w:val="388"/>
        </w:trPr>
        <w:tc>
          <w:tcPr>
            <w:tcW w:w="1303" w:type="pct"/>
            <w:tcBorders>
              <w:bottom w:val="single" w:sz="4" w:space="0" w:color="000000"/>
            </w:tcBorders>
            <w:shd w:val="clear" w:color="auto" w:fill="53284F"/>
          </w:tcPr>
          <w:p w14:paraId="42B35752" w14:textId="6F60388B" w:rsidR="00DB4169" w:rsidRPr="00244B68" w:rsidRDefault="00DB4169" w:rsidP="00DB4169">
            <w:pPr>
              <w:pStyle w:val="TableHead"/>
              <w:rPr>
                <w:lang w:val="en-US"/>
              </w:rPr>
            </w:pPr>
            <w:r w:rsidRPr="00244B68">
              <w:rPr>
                <w:lang w:val="en-US"/>
              </w:rPr>
              <w:t>Chemical Family</w:t>
            </w:r>
          </w:p>
        </w:tc>
        <w:tc>
          <w:tcPr>
            <w:tcW w:w="3697" w:type="pct"/>
          </w:tcPr>
          <w:p w14:paraId="5A8EFA2C" w14:textId="5966202F" w:rsidR="00DB4169" w:rsidRPr="002A150C" w:rsidRDefault="00DB4169" w:rsidP="00DB4169">
            <w:pPr>
              <w:pStyle w:val="TableText"/>
            </w:pPr>
            <w:r w:rsidRPr="00DB4169">
              <w:t>hydroxycoumarin</w:t>
            </w:r>
          </w:p>
        </w:tc>
      </w:tr>
    </w:tbl>
    <w:p w14:paraId="71BDE4B6" w14:textId="3C5D482F" w:rsidR="00884D58" w:rsidRPr="00533B55" w:rsidRDefault="00884D58" w:rsidP="00533B55">
      <w:pPr>
        <w:pStyle w:val="Caption"/>
      </w:pPr>
      <w:bookmarkStart w:id="148" w:name="_Toc213946010"/>
      <w:bookmarkStart w:id="149" w:name="_Toc216695696"/>
      <w:r w:rsidRPr="00533B55">
        <w:lastRenderedPageBreak/>
        <w:t xml:space="preserve">Table </w:t>
      </w:r>
      <w:r w:rsidRPr="00533B55">
        <w:fldChar w:fldCharType="begin"/>
      </w:r>
      <w:r w:rsidRPr="00533B55">
        <w:instrText xml:space="preserve"> SEQ Table \* ARABIC </w:instrText>
      </w:r>
      <w:r w:rsidRPr="00533B55">
        <w:fldChar w:fldCharType="separate"/>
      </w:r>
      <w:r w:rsidR="003861AC">
        <w:rPr>
          <w:noProof/>
        </w:rPr>
        <w:t>34</w:t>
      </w:r>
      <w:r w:rsidRPr="00533B55">
        <w:fldChar w:fldCharType="end"/>
      </w:r>
      <w:r w:rsidRPr="00533B55">
        <w:t>: Key physicochemical properties of the active constituent warfarin</w:t>
      </w:r>
      <w:bookmarkEnd w:id="148"/>
      <w:bookmarkEnd w:id="149"/>
    </w:p>
    <w:tbl>
      <w:tblPr>
        <w:tblpPr w:leftFromText="180" w:rightFromText="180" w:vertAnchor="text" w:horzAnchor="margin" w:tblpY="2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173"/>
        <w:gridCol w:w="3171"/>
      </w:tblGrid>
      <w:tr w:rsidR="00884D58" w:rsidRPr="002A150C" w14:paraId="007696D7" w14:textId="77777777" w:rsidTr="00533B55">
        <w:tc>
          <w:tcPr>
            <w:tcW w:w="1705" w:type="pct"/>
            <w:shd w:val="clear" w:color="auto" w:fill="53284F"/>
          </w:tcPr>
          <w:p w14:paraId="1CFC1BBF" w14:textId="77777777" w:rsidR="00884D58" w:rsidRPr="002D1539" w:rsidRDefault="00884D58" w:rsidP="00BA7F4F">
            <w:pPr>
              <w:pStyle w:val="TableHead"/>
              <w:rPr>
                <w:lang w:val="en-US"/>
              </w:rPr>
            </w:pPr>
            <w:r w:rsidRPr="002D1539">
              <w:rPr>
                <w:lang w:val="en-US"/>
              </w:rPr>
              <w:t>Parameters</w:t>
            </w:r>
          </w:p>
        </w:tc>
        <w:tc>
          <w:tcPr>
            <w:tcW w:w="1648" w:type="pct"/>
            <w:shd w:val="clear" w:color="auto" w:fill="53284F"/>
          </w:tcPr>
          <w:p w14:paraId="0EC12B28" w14:textId="77777777" w:rsidR="00884D58" w:rsidRPr="002D1539" w:rsidRDefault="00884D58" w:rsidP="00BA7F4F">
            <w:pPr>
              <w:pStyle w:val="TableHead"/>
              <w:rPr>
                <w:lang w:val="en-US"/>
              </w:rPr>
            </w:pPr>
            <w:r w:rsidRPr="002D1539">
              <w:rPr>
                <w:lang w:val="en-US"/>
              </w:rPr>
              <w:t>Properties</w:t>
            </w:r>
          </w:p>
        </w:tc>
        <w:tc>
          <w:tcPr>
            <w:tcW w:w="1647" w:type="pct"/>
            <w:shd w:val="clear" w:color="auto" w:fill="53284F"/>
          </w:tcPr>
          <w:p w14:paraId="23A15CEC" w14:textId="77777777" w:rsidR="00884D58" w:rsidRPr="002D1539" w:rsidRDefault="00884D58" w:rsidP="00BA7F4F">
            <w:pPr>
              <w:pStyle w:val="TableHead"/>
              <w:rPr>
                <w:lang w:val="en-US"/>
              </w:rPr>
            </w:pPr>
            <w:r>
              <w:rPr>
                <w:lang w:val="en-US"/>
              </w:rPr>
              <w:t>Information source</w:t>
            </w:r>
          </w:p>
        </w:tc>
      </w:tr>
      <w:tr w:rsidR="00884D58" w:rsidRPr="002A150C" w14:paraId="5BC8C644" w14:textId="77777777" w:rsidTr="00533B55">
        <w:tc>
          <w:tcPr>
            <w:tcW w:w="1705" w:type="pct"/>
            <w:vMerge w:val="restart"/>
            <w:shd w:val="clear" w:color="auto" w:fill="F0F4F5"/>
          </w:tcPr>
          <w:p w14:paraId="6085660F" w14:textId="77777777" w:rsidR="00884D58" w:rsidRPr="00244B68" w:rsidRDefault="00884D58" w:rsidP="00BA7F4F">
            <w:pPr>
              <w:pStyle w:val="TableText"/>
              <w:rPr>
                <w:lang w:val="en-US"/>
              </w:rPr>
            </w:pPr>
            <w:r>
              <w:rPr>
                <w:lang w:val="en-US"/>
              </w:rPr>
              <w:t>Appearance</w:t>
            </w:r>
          </w:p>
        </w:tc>
        <w:tc>
          <w:tcPr>
            <w:tcW w:w="1648" w:type="pct"/>
          </w:tcPr>
          <w:p w14:paraId="78A930E1" w14:textId="77777777" w:rsidR="00884D58" w:rsidRPr="002D1539" w:rsidRDefault="00884D58" w:rsidP="00BA7F4F">
            <w:pPr>
              <w:pStyle w:val="TableText"/>
              <w:rPr>
                <w:lang w:val="en-US"/>
              </w:rPr>
            </w:pPr>
            <w:r>
              <w:rPr>
                <w:lang w:val="en-US"/>
              </w:rPr>
              <w:t>White or light tan crystalline powder, free from lumps</w:t>
            </w:r>
          </w:p>
        </w:tc>
        <w:tc>
          <w:tcPr>
            <w:tcW w:w="1647" w:type="pct"/>
          </w:tcPr>
          <w:p w14:paraId="0DC50E78" w14:textId="77777777" w:rsidR="00884D58" w:rsidRDefault="00884D58" w:rsidP="00BA7F4F">
            <w:pPr>
              <w:pStyle w:val="TableText"/>
              <w:rPr>
                <w:lang w:val="en-US"/>
              </w:rPr>
            </w:pPr>
            <w:r>
              <w:rPr>
                <w:lang w:val="en-US"/>
              </w:rPr>
              <w:t>Technical active ingredient (98-102%), information supplied by Ruth Consolidated Industries</w:t>
            </w:r>
          </w:p>
        </w:tc>
      </w:tr>
      <w:tr w:rsidR="00884D58" w:rsidRPr="002A150C" w14:paraId="1BD4E64D" w14:textId="77777777" w:rsidTr="00533B55">
        <w:tc>
          <w:tcPr>
            <w:tcW w:w="1705" w:type="pct"/>
            <w:vMerge/>
            <w:shd w:val="clear" w:color="auto" w:fill="F0F4F5"/>
          </w:tcPr>
          <w:p w14:paraId="406B1324" w14:textId="77777777" w:rsidR="00884D58" w:rsidRDefault="00884D58" w:rsidP="00BA7F4F">
            <w:pPr>
              <w:pStyle w:val="TableText"/>
              <w:rPr>
                <w:lang w:val="en-US"/>
              </w:rPr>
            </w:pPr>
          </w:p>
        </w:tc>
        <w:tc>
          <w:tcPr>
            <w:tcW w:w="1648" w:type="pct"/>
          </w:tcPr>
          <w:p w14:paraId="66CA3041" w14:textId="77777777" w:rsidR="00884D58" w:rsidRDefault="00884D58" w:rsidP="00BA7F4F">
            <w:pPr>
              <w:pStyle w:val="TableText"/>
              <w:rPr>
                <w:lang w:val="en-US"/>
              </w:rPr>
            </w:pPr>
            <w:r>
              <w:rPr>
                <w:lang w:val="en-US"/>
              </w:rPr>
              <w:t>Colourless crystals</w:t>
            </w:r>
          </w:p>
        </w:tc>
        <w:tc>
          <w:tcPr>
            <w:tcW w:w="1647" w:type="pct"/>
          </w:tcPr>
          <w:p w14:paraId="75AA2831" w14:textId="77777777" w:rsidR="00884D58" w:rsidRDefault="00884D58" w:rsidP="00BA7F4F">
            <w:pPr>
              <w:pStyle w:val="TableText"/>
              <w:rPr>
                <w:lang w:val="en-US"/>
              </w:rPr>
            </w:pPr>
            <w:r>
              <w:rPr>
                <w:lang w:val="en-US"/>
              </w:rPr>
              <w:t>Pure active ingredient, BCPC, 2016</w:t>
            </w:r>
          </w:p>
        </w:tc>
      </w:tr>
      <w:tr w:rsidR="00884D58" w:rsidRPr="002A150C" w14:paraId="47F291B6" w14:textId="77777777" w:rsidTr="00533B55">
        <w:tc>
          <w:tcPr>
            <w:tcW w:w="1705" w:type="pct"/>
            <w:vMerge w:val="restart"/>
            <w:shd w:val="clear" w:color="auto" w:fill="F0F4F5"/>
          </w:tcPr>
          <w:p w14:paraId="5193CD3F" w14:textId="77777777" w:rsidR="00884D58" w:rsidRPr="00244B68" w:rsidRDefault="00884D58" w:rsidP="00BA7F4F">
            <w:pPr>
              <w:pStyle w:val="TableText"/>
              <w:rPr>
                <w:lang w:val="en-US"/>
              </w:rPr>
            </w:pPr>
            <w:r w:rsidRPr="00244B68">
              <w:rPr>
                <w:lang w:val="en-US"/>
              </w:rPr>
              <w:t>Melting point</w:t>
            </w:r>
          </w:p>
        </w:tc>
        <w:tc>
          <w:tcPr>
            <w:tcW w:w="1648" w:type="pct"/>
          </w:tcPr>
          <w:p w14:paraId="2E35C959" w14:textId="77777777" w:rsidR="00884D58" w:rsidRPr="002D1539" w:rsidRDefault="00884D58" w:rsidP="00BA7F4F">
            <w:pPr>
              <w:pStyle w:val="TableText"/>
              <w:rPr>
                <w:lang w:val="en-US"/>
              </w:rPr>
            </w:pPr>
            <w:r>
              <w:rPr>
                <w:lang w:val="en-US"/>
              </w:rPr>
              <w:t>159-164 °C</w:t>
            </w:r>
          </w:p>
        </w:tc>
        <w:tc>
          <w:tcPr>
            <w:tcW w:w="1647" w:type="pct"/>
          </w:tcPr>
          <w:p w14:paraId="607A1E8B" w14:textId="77777777" w:rsidR="00884D58" w:rsidRDefault="00884D58" w:rsidP="00BA7F4F">
            <w:pPr>
              <w:pStyle w:val="TableText"/>
              <w:rPr>
                <w:lang w:val="en-US"/>
              </w:rPr>
            </w:pPr>
            <w:r>
              <w:rPr>
                <w:lang w:val="en-US"/>
              </w:rPr>
              <w:t>Technical active ingredient (98-102%), information supplied by Ruth Consolidated Industries</w:t>
            </w:r>
          </w:p>
        </w:tc>
      </w:tr>
      <w:tr w:rsidR="00884D58" w:rsidRPr="002A150C" w14:paraId="54D090FE" w14:textId="77777777" w:rsidTr="00533B55">
        <w:tc>
          <w:tcPr>
            <w:tcW w:w="1705" w:type="pct"/>
            <w:vMerge/>
            <w:shd w:val="clear" w:color="auto" w:fill="F0F4F5"/>
          </w:tcPr>
          <w:p w14:paraId="3FCCDD71" w14:textId="77777777" w:rsidR="00884D58" w:rsidRPr="00244B68" w:rsidRDefault="00884D58" w:rsidP="00BA7F4F">
            <w:pPr>
              <w:pStyle w:val="TableText"/>
              <w:rPr>
                <w:lang w:val="en-US"/>
              </w:rPr>
            </w:pPr>
          </w:p>
        </w:tc>
        <w:tc>
          <w:tcPr>
            <w:tcW w:w="1648" w:type="pct"/>
          </w:tcPr>
          <w:p w14:paraId="3158083A" w14:textId="77777777" w:rsidR="00884D58" w:rsidRDefault="00884D58" w:rsidP="00BA7F4F">
            <w:pPr>
              <w:pStyle w:val="TableText"/>
              <w:rPr>
                <w:lang w:val="en-US"/>
              </w:rPr>
            </w:pPr>
            <w:r>
              <w:rPr>
                <w:lang w:val="en-US"/>
              </w:rPr>
              <w:t>161-162 °C</w:t>
            </w:r>
          </w:p>
        </w:tc>
        <w:tc>
          <w:tcPr>
            <w:tcW w:w="1647" w:type="pct"/>
          </w:tcPr>
          <w:p w14:paraId="19405A30" w14:textId="77777777" w:rsidR="00884D58" w:rsidRDefault="00884D58" w:rsidP="00BA7F4F">
            <w:pPr>
              <w:pStyle w:val="TableText"/>
              <w:rPr>
                <w:lang w:val="en-US"/>
              </w:rPr>
            </w:pPr>
            <w:r>
              <w:rPr>
                <w:lang w:val="en-US"/>
              </w:rPr>
              <w:t>Pure active ingredient, BCPC, 2016</w:t>
            </w:r>
          </w:p>
        </w:tc>
      </w:tr>
      <w:tr w:rsidR="00884D58" w:rsidRPr="002A150C" w14:paraId="01F53397" w14:textId="77777777" w:rsidTr="00533B55">
        <w:tc>
          <w:tcPr>
            <w:tcW w:w="1705" w:type="pct"/>
            <w:shd w:val="clear" w:color="auto" w:fill="F0F4F5"/>
          </w:tcPr>
          <w:p w14:paraId="60574AE5" w14:textId="77777777" w:rsidR="00884D58" w:rsidRPr="00244B68" w:rsidRDefault="00884D58" w:rsidP="00BA7F4F">
            <w:pPr>
              <w:pStyle w:val="TableText"/>
              <w:rPr>
                <w:lang w:val="en-US"/>
              </w:rPr>
            </w:pPr>
            <w:r w:rsidRPr="00244B68">
              <w:rPr>
                <w:lang w:val="en-US"/>
              </w:rPr>
              <w:t>Vapour pressure</w:t>
            </w:r>
          </w:p>
        </w:tc>
        <w:tc>
          <w:tcPr>
            <w:tcW w:w="1648" w:type="pct"/>
          </w:tcPr>
          <w:p w14:paraId="0FE11F3E" w14:textId="77777777" w:rsidR="00884D58" w:rsidRPr="002D1539" w:rsidRDefault="00884D58" w:rsidP="00BA7F4F">
            <w:pPr>
              <w:pStyle w:val="TableText"/>
              <w:rPr>
                <w:lang w:val="en-US"/>
              </w:rPr>
            </w:pPr>
            <w:r>
              <w:rPr>
                <w:lang w:val="en-US"/>
              </w:rPr>
              <w:t>1.5 × 10</w:t>
            </w:r>
            <w:r w:rsidRPr="00047E38">
              <w:rPr>
                <w:vertAlign w:val="superscript"/>
                <w:lang w:val="en-US"/>
              </w:rPr>
              <w:t>-3</w:t>
            </w:r>
            <w:r>
              <w:rPr>
                <w:lang w:val="en-US"/>
              </w:rPr>
              <w:t xml:space="preserve"> mPa (unspecified temperature)</w:t>
            </w:r>
          </w:p>
        </w:tc>
        <w:tc>
          <w:tcPr>
            <w:tcW w:w="1647" w:type="pct"/>
          </w:tcPr>
          <w:p w14:paraId="4A783E27" w14:textId="77777777" w:rsidR="00884D58" w:rsidRDefault="00884D58" w:rsidP="00BA7F4F">
            <w:pPr>
              <w:pStyle w:val="TableText"/>
              <w:rPr>
                <w:lang w:val="en-US"/>
              </w:rPr>
            </w:pPr>
            <w:r w:rsidRPr="00190165">
              <w:rPr>
                <w:lang w:val="en-US"/>
              </w:rPr>
              <w:t>BCPC, 2016</w:t>
            </w:r>
          </w:p>
        </w:tc>
      </w:tr>
      <w:tr w:rsidR="00884D58" w:rsidRPr="002A150C" w14:paraId="10B0ABDC" w14:textId="77777777" w:rsidTr="00533B55">
        <w:tc>
          <w:tcPr>
            <w:tcW w:w="1705" w:type="pct"/>
            <w:shd w:val="clear" w:color="auto" w:fill="F0F4F5"/>
          </w:tcPr>
          <w:p w14:paraId="36C8DE08" w14:textId="77777777" w:rsidR="00884D58" w:rsidRPr="00244B68" w:rsidRDefault="00884D58" w:rsidP="00BA7F4F">
            <w:pPr>
              <w:pStyle w:val="TableText"/>
              <w:rPr>
                <w:lang w:val="en-US"/>
              </w:rPr>
            </w:pPr>
            <w:r>
              <w:rPr>
                <w:lang w:val="en-US"/>
              </w:rPr>
              <w:t>Water s</w:t>
            </w:r>
            <w:r w:rsidRPr="00244B68">
              <w:rPr>
                <w:lang w:val="en-US"/>
              </w:rPr>
              <w:t>olubility</w:t>
            </w:r>
          </w:p>
        </w:tc>
        <w:tc>
          <w:tcPr>
            <w:tcW w:w="1648" w:type="pct"/>
          </w:tcPr>
          <w:p w14:paraId="52FA98E6" w14:textId="77777777" w:rsidR="00884D58" w:rsidRPr="002D1539" w:rsidRDefault="00884D58" w:rsidP="00BA7F4F">
            <w:pPr>
              <w:pStyle w:val="TableText"/>
              <w:rPr>
                <w:lang w:val="en-US"/>
              </w:rPr>
            </w:pPr>
            <w:r>
              <w:rPr>
                <w:lang w:val="en-US"/>
              </w:rPr>
              <w:t>17 mg/L (20 °C)</w:t>
            </w:r>
          </w:p>
        </w:tc>
        <w:tc>
          <w:tcPr>
            <w:tcW w:w="1647" w:type="pct"/>
          </w:tcPr>
          <w:p w14:paraId="72C87EAD" w14:textId="77777777" w:rsidR="00884D58" w:rsidRDefault="00884D58" w:rsidP="00BA7F4F">
            <w:pPr>
              <w:pStyle w:val="TableText"/>
              <w:rPr>
                <w:lang w:val="en-US"/>
              </w:rPr>
            </w:pPr>
            <w:r w:rsidRPr="00190165">
              <w:rPr>
                <w:lang w:val="en-US"/>
              </w:rPr>
              <w:t>BCPC, 2016</w:t>
            </w:r>
          </w:p>
        </w:tc>
      </w:tr>
      <w:tr w:rsidR="00884D58" w:rsidRPr="002A150C" w14:paraId="6D4621B1" w14:textId="77777777" w:rsidTr="00533B55">
        <w:tc>
          <w:tcPr>
            <w:tcW w:w="1705" w:type="pct"/>
            <w:shd w:val="clear" w:color="auto" w:fill="F0F4F5"/>
          </w:tcPr>
          <w:p w14:paraId="64BDD7E2" w14:textId="77777777" w:rsidR="00884D58" w:rsidRDefault="00884D58" w:rsidP="00BA7F4F">
            <w:pPr>
              <w:pStyle w:val="TableText"/>
              <w:rPr>
                <w:lang w:val="en-US"/>
              </w:rPr>
            </w:pPr>
            <w:r>
              <w:rPr>
                <w:lang w:val="en-US"/>
              </w:rPr>
              <w:t>Organic solvent solubility (purified active ingredient)</w:t>
            </w:r>
          </w:p>
        </w:tc>
        <w:tc>
          <w:tcPr>
            <w:tcW w:w="1648" w:type="pct"/>
          </w:tcPr>
          <w:p w14:paraId="620FE572" w14:textId="021EB259" w:rsidR="00884D58" w:rsidRDefault="00884D58" w:rsidP="00BA7F4F">
            <w:pPr>
              <w:pStyle w:val="TableText"/>
              <w:rPr>
                <w:lang w:val="en-US"/>
              </w:rPr>
            </w:pPr>
            <w:r>
              <w:rPr>
                <w:lang w:val="en-US"/>
              </w:rPr>
              <w:t>Very slightly soluble in benzene, diethyl ether and cyclohexane.</w:t>
            </w:r>
          </w:p>
          <w:p w14:paraId="16E23948" w14:textId="4E53DBA9" w:rsidR="00884D58" w:rsidRDefault="00884D58" w:rsidP="00BA7F4F">
            <w:pPr>
              <w:pStyle w:val="TableText"/>
              <w:rPr>
                <w:lang w:val="en-US"/>
              </w:rPr>
            </w:pPr>
            <w:r>
              <w:rPr>
                <w:lang w:val="en-US"/>
              </w:rPr>
              <w:t>Moderately soluble in methanol, ethanol and isopropanol.</w:t>
            </w:r>
          </w:p>
          <w:p w14:paraId="7FBC4416" w14:textId="77777777" w:rsidR="00884D58" w:rsidRPr="0039473D" w:rsidRDefault="00884D58" w:rsidP="00BA7F4F">
            <w:pPr>
              <w:pStyle w:val="TableText"/>
              <w:rPr>
                <w:lang w:val="de-CH"/>
              </w:rPr>
            </w:pPr>
            <w:r w:rsidRPr="0039473D">
              <w:rPr>
                <w:lang w:val="de-CH"/>
              </w:rPr>
              <w:t>Acetone: 65 g/L (20 °C)</w:t>
            </w:r>
          </w:p>
          <w:p w14:paraId="748D0463" w14:textId="77777777" w:rsidR="00884D58" w:rsidRPr="0039473D" w:rsidRDefault="00884D58" w:rsidP="00BA7F4F">
            <w:pPr>
              <w:pStyle w:val="TableText"/>
              <w:rPr>
                <w:lang w:val="de-CH"/>
              </w:rPr>
            </w:pPr>
            <w:r w:rsidRPr="0039473D">
              <w:rPr>
                <w:lang w:val="de-CH"/>
              </w:rPr>
              <w:t>Chloroform: 56 g/L (20 °C)</w:t>
            </w:r>
          </w:p>
          <w:p w14:paraId="60EE48AB" w14:textId="77777777" w:rsidR="00884D58" w:rsidRPr="001549D4" w:rsidRDefault="00884D58" w:rsidP="00BA7F4F">
            <w:pPr>
              <w:pStyle w:val="TableText"/>
              <w:rPr>
                <w:lang w:val="de-CH"/>
              </w:rPr>
            </w:pPr>
            <w:r w:rsidRPr="0039473D">
              <w:rPr>
                <w:lang w:val="de-CH"/>
              </w:rPr>
              <w:t>Dioxane: 100 g/L (20 °C)</w:t>
            </w:r>
          </w:p>
        </w:tc>
        <w:tc>
          <w:tcPr>
            <w:tcW w:w="1647" w:type="pct"/>
          </w:tcPr>
          <w:p w14:paraId="3066A7F5" w14:textId="77777777" w:rsidR="00884D58" w:rsidRDefault="00884D58" w:rsidP="00BA7F4F">
            <w:pPr>
              <w:pStyle w:val="TableText"/>
              <w:rPr>
                <w:lang w:val="en-US"/>
              </w:rPr>
            </w:pPr>
            <w:r w:rsidRPr="00190165">
              <w:rPr>
                <w:lang w:val="en-US"/>
              </w:rPr>
              <w:t>BCPC, 2016</w:t>
            </w:r>
          </w:p>
        </w:tc>
      </w:tr>
      <w:tr w:rsidR="00884D58" w:rsidRPr="002A150C" w14:paraId="24BFE028" w14:textId="77777777" w:rsidTr="00533B55">
        <w:tc>
          <w:tcPr>
            <w:tcW w:w="1705" w:type="pct"/>
            <w:shd w:val="clear" w:color="auto" w:fill="F0F4F5"/>
          </w:tcPr>
          <w:p w14:paraId="36876C47" w14:textId="77777777" w:rsidR="00884D58" w:rsidRDefault="00884D58" w:rsidP="00BA7F4F">
            <w:pPr>
              <w:pStyle w:val="TableText"/>
              <w:rPr>
                <w:lang w:val="en-US"/>
              </w:rPr>
            </w:pPr>
            <w:r>
              <w:rPr>
                <w:lang w:val="en-US"/>
              </w:rPr>
              <w:t>Hydrolysis</w:t>
            </w:r>
          </w:p>
        </w:tc>
        <w:tc>
          <w:tcPr>
            <w:tcW w:w="1648" w:type="pct"/>
          </w:tcPr>
          <w:p w14:paraId="0451A5B4" w14:textId="77777777" w:rsidR="00884D58" w:rsidRDefault="00884D58" w:rsidP="00BA7F4F">
            <w:pPr>
              <w:pStyle w:val="TableText"/>
              <w:rPr>
                <w:lang w:val="en-US"/>
              </w:rPr>
            </w:pPr>
            <w:r>
              <w:rPr>
                <w:lang w:val="en-US"/>
              </w:rPr>
              <w:t>Stable to hydrolysis, even under strong acidic conditions</w:t>
            </w:r>
          </w:p>
        </w:tc>
        <w:tc>
          <w:tcPr>
            <w:tcW w:w="1647" w:type="pct"/>
          </w:tcPr>
          <w:p w14:paraId="4B4EAFEC" w14:textId="77777777" w:rsidR="00884D58" w:rsidRDefault="00884D58" w:rsidP="00BA7F4F">
            <w:pPr>
              <w:pStyle w:val="TableText"/>
              <w:rPr>
                <w:lang w:val="en-US"/>
              </w:rPr>
            </w:pPr>
            <w:r w:rsidRPr="00190165">
              <w:rPr>
                <w:lang w:val="en-US"/>
              </w:rPr>
              <w:t>BCPC, 2016</w:t>
            </w:r>
          </w:p>
        </w:tc>
      </w:tr>
    </w:tbl>
    <w:p w14:paraId="61C310DC" w14:textId="6EACAC8A" w:rsidR="00D14493" w:rsidRDefault="00884D58" w:rsidP="00D14493">
      <w:pPr>
        <w:pStyle w:val="NormalText"/>
      </w:pPr>
      <w:r w:rsidRPr="00D14493">
        <w:t>Warfarin is generally supplied in the market to end use product manufacturers as the technical active constituent (TC) with a minimum purity of 99%.</w:t>
      </w:r>
    </w:p>
    <w:p w14:paraId="700715D3" w14:textId="0C4AD033" w:rsidR="00884D58" w:rsidRPr="00D14493" w:rsidRDefault="00D14493" w:rsidP="00284BE8">
      <w:pPr>
        <w:pStyle w:val="NormalText"/>
      </w:pPr>
      <w:r w:rsidRPr="00D14493">
        <w:t xml:space="preserve">The APVMA Record lists one source of </w:t>
      </w:r>
      <w:r>
        <w:t>warfarin</w:t>
      </w:r>
      <w:r w:rsidRPr="00D14493">
        <w:t xml:space="preserve"> active constituent. A summary of the active constituent approval and recommendations based on review of the information entered in the APVMA’s Record of active constituent approvals is provided in </w:t>
      </w:r>
      <w:r>
        <w:fldChar w:fldCharType="begin"/>
      </w:r>
      <w:r>
        <w:instrText xml:space="preserve"> REF _Ref214966457 \h </w:instrText>
      </w:r>
      <w:r>
        <w:fldChar w:fldCharType="separate"/>
      </w:r>
      <w:r w:rsidR="003861AC">
        <w:t xml:space="preserve">Table </w:t>
      </w:r>
      <w:r w:rsidR="003861AC">
        <w:rPr>
          <w:noProof/>
        </w:rPr>
        <w:t>35</w:t>
      </w:r>
      <w:r>
        <w:fldChar w:fldCharType="end"/>
      </w:r>
      <w:r w:rsidRPr="00D14493">
        <w:t>.</w:t>
      </w:r>
    </w:p>
    <w:p w14:paraId="5ADD41CD" w14:textId="772795E2" w:rsidR="00884D58" w:rsidRDefault="00884D58" w:rsidP="00884D58">
      <w:pPr>
        <w:pStyle w:val="Caption"/>
      </w:pPr>
      <w:bookmarkStart w:id="150" w:name="_Ref214966457"/>
      <w:bookmarkStart w:id="151" w:name="_Toc213946011"/>
      <w:bookmarkStart w:id="152" w:name="_Toc216695697"/>
      <w:r>
        <w:t xml:space="preserve">Table </w:t>
      </w:r>
      <w:r>
        <w:fldChar w:fldCharType="begin"/>
      </w:r>
      <w:r>
        <w:instrText xml:space="preserve"> SEQ Table \* ARABIC </w:instrText>
      </w:r>
      <w:r>
        <w:fldChar w:fldCharType="separate"/>
      </w:r>
      <w:r w:rsidR="003861AC">
        <w:rPr>
          <w:noProof/>
        </w:rPr>
        <w:t>35</w:t>
      </w:r>
      <w:r>
        <w:rPr>
          <w:noProof/>
        </w:rPr>
        <w:fldChar w:fldCharType="end"/>
      </w:r>
      <w:bookmarkEnd w:id="150"/>
      <w:r>
        <w:rPr>
          <w:noProof/>
        </w:rPr>
        <w:t>:</w:t>
      </w:r>
      <w:r>
        <w:t xml:space="preserve"> Current active constituent active constituent approval for warfarin</w:t>
      </w:r>
      <w:bookmarkEnd w:id="151"/>
      <w:bookmarkEnd w:id="152"/>
    </w:p>
    <w:tbl>
      <w:tblPr>
        <w:tblStyle w:val="TableGrid"/>
        <w:tblW w:w="5000" w:type="pct"/>
        <w:tblLook w:val="04A0" w:firstRow="1" w:lastRow="0" w:firstColumn="1" w:lastColumn="0" w:noHBand="0" w:noVBand="1"/>
      </w:tblPr>
      <w:tblGrid>
        <w:gridCol w:w="2407"/>
        <w:gridCol w:w="2551"/>
        <w:gridCol w:w="2122"/>
        <w:gridCol w:w="2548"/>
      </w:tblGrid>
      <w:tr w:rsidR="00884D58" w14:paraId="59F289B0" w14:textId="77777777" w:rsidTr="00286653">
        <w:tc>
          <w:tcPr>
            <w:tcW w:w="1250" w:type="pct"/>
            <w:shd w:val="clear" w:color="auto" w:fill="53284F"/>
          </w:tcPr>
          <w:p w14:paraId="753242F1" w14:textId="77777777" w:rsidR="00884D58" w:rsidRDefault="00884D58" w:rsidP="00BA7F4F">
            <w:pPr>
              <w:pStyle w:val="TableHead"/>
            </w:pPr>
            <w:r>
              <w:t>Approval number</w:t>
            </w:r>
          </w:p>
        </w:tc>
        <w:tc>
          <w:tcPr>
            <w:tcW w:w="1325" w:type="pct"/>
            <w:shd w:val="clear" w:color="auto" w:fill="53284F"/>
          </w:tcPr>
          <w:p w14:paraId="243EFFDA" w14:textId="77777777" w:rsidR="00884D58" w:rsidRDefault="00884D58" w:rsidP="00BA7F4F">
            <w:pPr>
              <w:pStyle w:val="TableHead"/>
            </w:pPr>
            <w:r>
              <w:t>Active name</w:t>
            </w:r>
          </w:p>
        </w:tc>
        <w:tc>
          <w:tcPr>
            <w:tcW w:w="1102" w:type="pct"/>
            <w:shd w:val="clear" w:color="auto" w:fill="53284F"/>
          </w:tcPr>
          <w:p w14:paraId="1FEA220B" w14:textId="77777777" w:rsidR="00884D58" w:rsidRDefault="00884D58" w:rsidP="00BA7F4F">
            <w:pPr>
              <w:pStyle w:val="TableHead"/>
            </w:pPr>
            <w:r>
              <w:t>Approval holder</w:t>
            </w:r>
          </w:p>
        </w:tc>
        <w:tc>
          <w:tcPr>
            <w:tcW w:w="1323" w:type="pct"/>
            <w:shd w:val="clear" w:color="auto" w:fill="53284F"/>
          </w:tcPr>
          <w:p w14:paraId="7428BD49" w14:textId="55A28F52" w:rsidR="00884D58" w:rsidRDefault="00D14493" w:rsidP="00BA7F4F">
            <w:pPr>
              <w:pStyle w:val="TableHead"/>
            </w:pPr>
            <w:r>
              <w:t>Recommendation</w:t>
            </w:r>
          </w:p>
        </w:tc>
      </w:tr>
      <w:tr w:rsidR="00884D58" w14:paraId="41BB0AAA" w14:textId="77777777" w:rsidTr="00286653">
        <w:tc>
          <w:tcPr>
            <w:tcW w:w="1250" w:type="pct"/>
          </w:tcPr>
          <w:p w14:paraId="4898FBA1" w14:textId="77777777" w:rsidR="00884D58" w:rsidRPr="00A57686" w:rsidRDefault="00884D58" w:rsidP="00BA7F4F">
            <w:pPr>
              <w:pStyle w:val="TableText"/>
            </w:pPr>
            <w:r w:rsidRPr="005812D2">
              <w:t>46121</w:t>
            </w:r>
          </w:p>
        </w:tc>
        <w:tc>
          <w:tcPr>
            <w:tcW w:w="1325" w:type="pct"/>
          </w:tcPr>
          <w:p w14:paraId="2FFA2F66" w14:textId="77777777" w:rsidR="00884D58" w:rsidRPr="00A57686" w:rsidRDefault="00884D58" w:rsidP="00BA7F4F">
            <w:pPr>
              <w:pStyle w:val="TableText"/>
            </w:pPr>
            <w:r w:rsidRPr="005812D2">
              <w:t>Warfarin</w:t>
            </w:r>
          </w:p>
        </w:tc>
        <w:tc>
          <w:tcPr>
            <w:tcW w:w="1102" w:type="pct"/>
          </w:tcPr>
          <w:p w14:paraId="2BF922B7" w14:textId="77777777" w:rsidR="00884D58" w:rsidRPr="005812D2" w:rsidRDefault="00884D58" w:rsidP="00BA7F4F">
            <w:pPr>
              <w:pStyle w:val="TableText"/>
            </w:pPr>
            <w:r w:rsidRPr="005812D2">
              <w:t>Ruth Consolidated Industries Pty Ltd</w:t>
            </w:r>
          </w:p>
        </w:tc>
        <w:tc>
          <w:tcPr>
            <w:tcW w:w="1323" w:type="pct"/>
          </w:tcPr>
          <w:p w14:paraId="0FB584F9" w14:textId="4A701FA4" w:rsidR="00884D58" w:rsidRPr="005812D2" w:rsidRDefault="00D14493" w:rsidP="00BA7F4F">
            <w:pPr>
              <w:pStyle w:val="TableText"/>
            </w:pPr>
            <w:r>
              <w:t>Affirm approval</w:t>
            </w:r>
          </w:p>
        </w:tc>
      </w:tr>
    </w:tbl>
    <w:p w14:paraId="780B1CEF" w14:textId="19DECB8F" w:rsidR="00D14493" w:rsidRDefault="00884D58" w:rsidP="00D14493">
      <w:pPr>
        <w:pStyle w:val="NormalText"/>
      </w:pPr>
      <w:r>
        <w:t xml:space="preserve">The </w:t>
      </w:r>
      <w:r w:rsidR="00D14493" w:rsidRPr="00D14493">
        <w:t>Active Constituent Standards</w:t>
      </w:r>
      <w:r w:rsidR="00D14493" w:rsidRPr="00D14493" w:rsidDel="00D14493">
        <w:t xml:space="preserve"> </w:t>
      </w:r>
      <w:r>
        <w:t>specif</w:t>
      </w:r>
      <w:r w:rsidR="0090137C">
        <w:t>ication for</w:t>
      </w:r>
      <w:r>
        <w:t xml:space="preserve"> the standard for warfarin active constituent</w:t>
      </w:r>
      <w:r w:rsidR="0090137C">
        <w:t xml:space="preserve"> is provided in </w:t>
      </w:r>
      <w:r w:rsidR="00D14493">
        <w:fldChar w:fldCharType="begin"/>
      </w:r>
      <w:r w:rsidR="00D14493">
        <w:instrText xml:space="preserve"> REF _Ref214966501 \h </w:instrText>
      </w:r>
      <w:r w:rsidR="00D14493">
        <w:fldChar w:fldCharType="separate"/>
      </w:r>
      <w:r w:rsidR="003861AC">
        <w:t xml:space="preserve">Table </w:t>
      </w:r>
      <w:r w:rsidR="003861AC">
        <w:rPr>
          <w:noProof/>
        </w:rPr>
        <w:t>36</w:t>
      </w:r>
      <w:r w:rsidR="00D14493">
        <w:fldChar w:fldCharType="end"/>
      </w:r>
      <w:r w:rsidR="00D14493">
        <w:t xml:space="preserve"> below. </w:t>
      </w:r>
      <w:r w:rsidR="0090137C">
        <w:t>No changes are proposed to this standard.</w:t>
      </w:r>
      <w:r w:rsidR="00D14493" w:rsidRPr="00D14493">
        <w:t xml:space="preserve"> </w:t>
      </w:r>
      <w:r w:rsidR="00D14493">
        <w:t>There is no FAO specification for warfarin.</w:t>
      </w:r>
    </w:p>
    <w:p w14:paraId="51C11331" w14:textId="71460AD3" w:rsidR="00884D58" w:rsidRDefault="00884D58" w:rsidP="00884D58">
      <w:pPr>
        <w:pStyle w:val="Caption"/>
      </w:pPr>
      <w:bookmarkStart w:id="153" w:name="_Ref214966501"/>
      <w:bookmarkStart w:id="154" w:name="_Toc213946012"/>
      <w:bookmarkStart w:id="155" w:name="_Toc216695698"/>
      <w:r>
        <w:lastRenderedPageBreak/>
        <w:t xml:space="preserve">Table </w:t>
      </w:r>
      <w:r>
        <w:fldChar w:fldCharType="begin"/>
      </w:r>
      <w:r>
        <w:instrText xml:space="preserve"> SEQ Table \* ARABIC </w:instrText>
      </w:r>
      <w:r>
        <w:fldChar w:fldCharType="separate"/>
      </w:r>
      <w:r w:rsidR="003861AC">
        <w:rPr>
          <w:noProof/>
        </w:rPr>
        <w:t>36</w:t>
      </w:r>
      <w:r>
        <w:fldChar w:fldCharType="end"/>
      </w:r>
      <w:bookmarkEnd w:id="153"/>
      <w:r>
        <w:t>: The Active Constituent Standards specification for warfarin active constituent</w:t>
      </w:r>
      <w:bookmarkEnd w:id="154"/>
      <w:bookmarkEnd w:id="155"/>
    </w:p>
    <w:tbl>
      <w:tblPr>
        <w:tblStyle w:val="TableGrid"/>
        <w:tblW w:w="5000" w:type="pct"/>
        <w:tblLook w:val="04A0" w:firstRow="1" w:lastRow="0" w:firstColumn="1" w:lastColumn="0" w:noHBand="0" w:noVBand="1"/>
      </w:tblPr>
      <w:tblGrid>
        <w:gridCol w:w="4814"/>
        <w:gridCol w:w="4814"/>
      </w:tblGrid>
      <w:tr w:rsidR="00884D58" w14:paraId="6CD657F3" w14:textId="77777777" w:rsidTr="00286653">
        <w:tc>
          <w:tcPr>
            <w:tcW w:w="2500" w:type="pct"/>
            <w:shd w:val="clear" w:color="auto" w:fill="53284F"/>
          </w:tcPr>
          <w:p w14:paraId="770A1DF5" w14:textId="77777777" w:rsidR="00884D58" w:rsidRDefault="00884D58" w:rsidP="00BA7F4F">
            <w:pPr>
              <w:pStyle w:val="TableHead"/>
            </w:pPr>
            <w:r>
              <w:t>Active constituent</w:t>
            </w:r>
          </w:p>
        </w:tc>
        <w:tc>
          <w:tcPr>
            <w:tcW w:w="2500" w:type="pct"/>
            <w:shd w:val="clear" w:color="auto" w:fill="53284F"/>
          </w:tcPr>
          <w:p w14:paraId="5A2C3411" w14:textId="77777777" w:rsidR="00884D58" w:rsidRDefault="00884D58" w:rsidP="00BA7F4F">
            <w:pPr>
              <w:pStyle w:val="TableHead"/>
            </w:pPr>
            <w:r>
              <w:t>Minimum purity</w:t>
            </w:r>
          </w:p>
        </w:tc>
      </w:tr>
      <w:tr w:rsidR="00884D58" w14:paraId="76EE1377" w14:textId="77777777" w:rsidTr="00286653">
        <w:tc>
          <w:tcPr>
            <w:tcW w:w="2500" w:type="pct"/>
          </w:tcPr>
          <w:p w14:paraId="75F8F511" w14:textId="77777777" w:rsidR="00884D58" w:rsidRDefault="00884D58" w:rsidP="00BA7F4F">
            <w:pPr>
              <w:pStyle w:val="TableText"/>
            </w:pPr>
            <w:r>
              <w:t>Warfarin</w:t>
            </w:r>
          </w:p>
        </w:tc>
        <w:tc>
          <w:tcPr>
            <w:tcW w:w="2500" w:type="pct"/>
          </w:tcPr>
          <w:p w14:paraId="6ADE8DAD" w14:textId="77777777" w:rsidR="00884D58" w:rsidRDefault="00884D58" w:rsidP="00BA7F4F">
            <w:pPr>
              <w:pStyle w:val="TableText"/>
            </w:pPr>
            <w:r>
              <w:t>990 g/kg</w:t>
            </w:r>
          </w:p>
        </w:tc>
      </w:tr>
    </w:tbl>
    <w:p w14:paraId="59675124" w14:textId="520F3C16" w:rsidR="00884D58" w:rsidRDefault="00D14493" w:rsidP="00884D58">
      <w:pPr>
        <w:pStyle w:val="NormalText"/>
      </w:pPr>
      <w:r w:rsidRPr="00D14493">
        <w:t xml:space="preserve">The continued approval of the current </w:t>
      </w:r>
      <w:r>
        <w:t xml:space="preserve">warfarin </w:t>
      </w:r>
      <w:r w:rsidRPr="00D14493">
        <w:t xml:space="preserve">active constituent listed in </w:t>
      </w:r>
      <w:r>
        <w:fldChar w:fldCharType="begin"/>
      </w:r>
      <w:r>
        <w:instrText xml:space="preserve"> REF _Ref214966457 \h </w:instrText>
      </w:r>
      <w:r>
        <w:fldChar w:fldCharType="separate"/>
      </w:r>
      <w:r w:rsidR="003861AC">
        <w:t xml:space="preserve">Table </w:t>
      </w:r>
      <w:r w:rsidR="003861AC">
        <w:rPr>
          <w:noProof/>
        </w:rPr>
        <w:t>35</w:t>
      </w:r>
      <w:r>
        <w:fldChar w:fldCharType="end"/>
      </w:r>
      <w:r w:rsidRPr="00D14493">
        <w:t xml:space="preserve"> is supported in this chemistry and manufacture risk assessment</w:t>
      </w:r>
      <w:r w:rsidR="00884D58">
        <w:t>.</w:t>
      </w:r>
    </w:p>
    <w:p w14:paraId="215D8CBA" w14:textId="692379EB" w:rsidR="002D6F23" w:rsidRDefault="002D6F23" w:rsidP="00377F3A">
      <w:pPr>
        <w:pStyle w:val="Heading2"/>
      </w:pPr>
      <w:bookmarkStart w:id="156" w:name="_Toc214025468"/>
      <w:bookmarkStart w:id="157" w:name="_Toc216695552"/>
      <w:r>
        <w:t xml:space="preserve">Chemistry and Manufacture – </w:t>
      </w:r>
      <w:r w:rsidR="00DD60EB">
        <w:t>C</w:t>
      </w:r>
      <w:r>
        <w:t xml:space="preserve">hemical </w:t>
      </w:r>
      <w:r w:rsidR="00DD60EB">
        <w:t>P</w:t>
      </w:r>
      <w:r>
        <w:t>roducts</w:t>
      </w:r>
      <w:bookmarkEnd w:id="156"/>
      <w:bookmarkEnd w:id="157"/>
    </w:p>
    <w:p w14:paraId="3E2845A1" w14:textId="6107ADDB" w:rsidR="002D6F23" w:rsidRDefault="002D6F23" w:rsidP="002D6F23">
      <w:pPr>
        <w:pStyle w:val="NormalText"/>
        <w:rPr>
          <w:szCs w:val="19"/>
        </w:rPr>
      </w:pPr>
      <w:r>
        <w:rPr>
          <w:szCs w:val="19"/>
        </w:rPr>
        <w:t xml:space="preserve">The Chemistry and </w:t>
      </w:r>
      <w:r w:rsidR="00787251">
        <w:rPr>
          <w:szCs w:val="19"/>
        </w:rPr>
        <w:t>M</w:t>
      </w:r>
      <w:r>
        <w:rPr>
          <w:szCs w:val="19"/>
        </w:rPr>
        <w:t>anufacture assessment for reconsideration of registration of chemical products involves review of the information submitted in support of the registration of each product, and other information submitted during the reconsideration or sourced by the APVMA, against the relevant matters the APVMA must or may consider when determining if a chemical product meets the safety criteria, including:</w:t>
      </w:r>
    </w:p>
    <w:p w14:paraId="17A5A594" w14:textId="31C0EDD3" w:rsidR="002D6F23" w:rsidRPr="002D6F23" w:rsidRDefault="002D6F23" w:rsidP="002D6F23">
      <w:pPr>
        <w:pStyle w:val="NormalText"/>
        <w:rPr>
          <w:i/>
          <w:iCs/>
          <w:szCs w:val="19"/>
        </w:rPr>
      </w:pPr>
      <w:r>
        <w:rPr>
          <w:szCs w:val="19"/>
        </w:rPr>
        <w:tab/>
      </w:r>
      <w:r w:rsidRPr="00E078CC">
        <w:rPr>
          <w:i/>
          <w:iCs/>
          <w:szCs w:val="19"/>
        </w:rPr>
        <w:t>(</w:t>
      </w:r>
      <w:r>
        <w:rPr>
          <w:i/>
          <w:iCs/>
          <w:szCs w:val="19"/>
        </w:rPr>
        <w:t xml:space="preserve">iii) </w:t>
      </w:r>
      <w:r w:rsidRPr="002D6F23">
        <w:rPr>
          <w:i/>
          <w:iCs/>
          <w:szCs w:val="19"/>
        </w:rPr>
        <w:t>how the product is formulated;</w:t>
      </w:r>
    </w:p>
    <w:p w14:paraId="48CDE7BF" w14:textId="7716FAC7" w:rsidR="002D6F23" w:rsidRPr="002D6F23" w:rsidRDefault="002D6F23" w:rsidP="00377F3A">
      <w:pPr>
        <w:pStyle w:val="NormalText"/>
        <w:ind w:firstLine="567"/>
        <w:rPr>
          <w:i/>
          <w:iCs/>
          <w:szCs w:val="19"/>
        </w:rPr>
      </w:pPr>
      <w:r w:rsidRPr="002D6F23">
        <w:rPr>
          <w:i/>
          <w:iCs/>
          <w:szCs w:val="19"/>
        </w:rPr>
        <w:t>(iv) the composition and form of the constituents of the product;</w:t>
      </w:r>
    </w:p>
    <w:p w14:paraId="1E406115" w14:textId="5DC72D77" w:rsidR="002D6F23" w:rsidRPr="002D6F23" w:rsidRDefault="002D6F23" w:rsidP="00377F3A">
      <w:pPr>
        <w:pStyle w:val="NormalText"/>
        <w:ind w:firstLine="567"/>
        <w:rPr>
          <w:i/>
          <w:iCs/>
          <w:szCs w:val="19"/>
        </w:rPr>
      </w:pPr>
      <w:r w:rsidRPr="002D6F23">
        <w:rPr>
          <w:i/>
          <w:iCs/>
          <w:szCs w:val="19"/>
        </w:rPr>
        <w:t>(v) any conditions to which its registration is, or would be, subject;</w:t>
      </w:r>
    </w:p>
    <w:p w14:paraId="721AB101" w14:textId="08AE2E5E" w:rsidR="002D6F23" w:rsidRPr="002D6F23" w:rsidRDefault="002D6F23" w:rsidP="00377F3A">
      <w:pPr>
        <w:pStyle w:val="NormalText"/>
        <w:ind w:left="567"/>
        <w:rPr>
          <w:i/>
          <w:iCs/>
          <w:szCs w:val="19"/>
        </w:rPr>
      </w:pPr>
      <w:r w:rsidRPr="002D6F23">
        <w:rPr>
          <w:i/>
          <w:iCs/>
          <w:szCs w:val="19"/>
        </w:rPr>
        <w:t>(via) whether the product conforms, or would conform, to any standard made for the product under section 6E to the extent that the standard relates to matters covered by subsection (1);</w:t>
      </w:r>
    </w:p>
    <w:p w14:paraId="3548B822" w14:textId="2D32F5FB" w:rsidR="002D6F23" w:rsidRPr="002D6F23" w:rsidRDefault="002D6F23" w:rsidP="002D6F23">
      <w:pPr>
        <w:pStyle w:val="NormalText"/>
        <w:rPr>
          <w:i/>
          <w:iCs/>
          <w:szCs w:val="19"/>
        </w:rPr>
      </w:pPr>
      <w:r w:rsidRPr="002D6F23">
        <w:rPr>
          <w:i/>
          <w:iCs/>
          <w:szCs w:val="19"/>
        </w:rPr>
        <w:t> </w:t>
      </w:r>
      <w:r>
        <w:rPr>
          <w:i/>
          <w:iCs/>
          <w:szCs w:val="19"/>
        </w:rPr>
        <w:tab/>
      </w:r>
      <w:r w:rsidRPr="002D6F23">
        <w:rPr>
          <w:i/>
          <w:iCs/>
          <w:szCs w:val="19"/>
        </w:rPr>
        <w:t>(iv) the stability of the product;</w:t>
      </w:r>
    </w:p>
    <w:p w14:paraId="41CCAED8" w14:textId="55541815" w:rsidR="002D6F23" w:rsidRPr="002D6F23" w:rsidRDefault="002D6F23" w:rsidP="00377F3A">
      <w:pPr>
        <w:pStyle w:val="NormalText"/>
        <w:ind w:firstLine="567"/>
        <w:rPr>
          <w:i/>
          <w:iCs/>
          <w:szCs w:val="19"/>
        </w:rPr>
      </w:pPr>
      <w:r w:rsidRPr="002D6F23">
        <w:rPr>
          <w:i/>
          <w:iCs/>
          <w:szCs w:val="19"/>
        </w:rPr>
        <w:t>(v) the specifications for containers for the product;</w:t>
      </w:r>
    </w:p>
    <w:p w14:paraId="7AE3F597" w14:textId="0F9D7103" w:rsidR="002D6F23" w:rsidRPr="00E078CC" w:rsidRDefault="002D6F23" w:rsidP="002D6F23">
      <w:pPr>
        <w:pStyle w:val="NormalText"/>
        <w:rPr>
          <w:szCs w:val="19"/>
        </w:rPr>
      </w:pPr>
      <w:r>
        <w:rPr>
          <w:szCs w:val="19"/>
        </w:rPr>
        <w:t>Chemical product</w:t>
      </w:r>
      <w:r w:rsidR="00787251">
        <w:rPr>
          <w:szCs w:val="19"/>
        </w:rPr>
        <w:t>-</w:t>
      </w:r>
      <w:r>
        <w:rPr>
          <w:szCs w:val="19"/>
        </w:rPr>
        <w:t>specific confidential commercial information is not included in this report</w:t>
      </w:r>
      <w:r w:rsidR="000A5D62">
        <w:rPr>
          <w:szCs w:val="19"/>
        </w:rPr>
        <w:t>, unless material to the proposed decision,</w:t>
      </w:r>
      <w:r>
        <w:rPr>
          <w:szCs w:val="19"/>
        </w:rPr>
        <w:t xml:space="preserve"> but relevant recommendations arising from the risk assessments are provided in the following sections.</w:t>
      </w:r>
    </w:p>
    <w:p w14:paraId="127211E2" w14:textId="77777777" w:rsidR="00B124E3" w:rsidRPr="00CB5BDE" w:rsidRDefault="00B124E3" w:rsidP="00377F3A">
      <w:pPr>
        <w:pStyle w:val="Heading3"/>
      </w:pPr>
      <w:bookmarkStart w:id="158" w:name="_Toc214025469"/>
      <w:bookmarkStart w:id="159" w:name="_Toc216695553"/>
      <w:r>
        <w:t>Formulated products</w:t>
      </w:r>
      <w:r w:rsidRPr="00CB5BDE">
        <w:t xml:space="preserve"> - Brodifacoum</w:t>
      </w:r>
      <w:bookmarkEnd w:id="158"/>
      <w:bookmarkEnd w:id="159"/>
    </w:p>
    <w:p w14:paraId="546EFE39" w14:textId="02960D76" w:rsidR="0093501E" w:rsidRDefault="005F4C05" w:rsidP="00436CFF">
      <w:pPr>
        <w:pStyle w:val="NormalText"/>
      </w:pPr>
      <w:r w:rsidRPr="00BD2F8D">
        <w:t xml:space="preserve">A summary of the current </w:t>
      </w:r>
      <w:r>
        <w:t>registered chemical products</w:t>
      </w:r>
      <w:r w:rsidRPr="00BD2F8D">
        <w:t xml:space="preserve"> </w:t>
      </w:r>
      <w:r>
        <w:t xml:space="preserve">containing </w:t>
      </w:r>
      <w:r w:rsidRPr="009A1704">
        <w:t xml:space="preserve">brodifacoum </w:t>
      </w:r>
      <w:r w:rsidRPr="00BD2F8D">
        <w:t xml:space="preserve">and recommendations based on review of the information entered in the APVMA’s </w:t>
      </w:r>
      <w:r>
        <w:t xml:space="preserve">Register </w:t>
      </w:r>
      <w:r w:rsidRPr="00BD2F8D">
        <w:t xml:space="preserve">is provided </w:t>
      </w:r>
      <w:r>
        <w:t xml:space="preserve">in </w:t>
      </w:r>
      <w:r>
        <w:fldChar w:fldCharType="begin"/>
      </w:r>
      <w:r>
        <w:instrText xml:space="preserve"> REF _Ref212836671 \h  \* MERGEFORMAT </w:instrText>
      </w:r>
      <w:r>
        <w:fldChar w:fldCharType="separate"/>
      </w:r>
      <w:r w:rsidR="003861AC">
        <w:t>Table 37</w:t>
      </w:r>
      <w:r>
        <w:fldChar w:fldCharType="end"/>
      </w:r>
      <w:r>
        <w:t>.</w:t>
      </w:r>
      <w:r w:rsidR="00B124E3" w:rsidRPr="00BD2F8D">
        <w:t>The registered products are ready</w:t>
      </w:r>
      <w:r>
        <w:t>-</w:t>
      </w:r>
      <w:r w:rsidR="00B124E3" w:rsidRPr="00BD2F8D">
        <w:t>to</w:t>
      </w:r>
      <w:r>
        <w:t>-</w:t>
      </w:r>
      <w:r w:rsidR="00B124E3" w:rsidRPr="00BD2F8D">
        <w:t>use bait formulations containing either 0.025 or 0.05 g/kg of brodifacoum.</w:t>
      </w:r>
    </w:p>
    <w:p w14:paraId="3D24C865" w14:textId="36624A55" w:rsidR="00B124E3" w:rsidRPr="00BD2F8D" w:rsidRDefault="0098709F" w:rsidP="00436CFF">
      <w:pPr>
        <w:pStyle w:val="NormalText"/>
      </w:pPr>
      <w:r>
        <w:t>It is noted that the human health and environment risk assessments recommend that inclusion of a distinctive dye and bittering agent in the formulated bait is necessary to mitigate risks to people and non-target animals</w:t>
      </w:r>
      <w:r w:rsidR="00FB0FEB">
        <w:t xml:space="preserve"> </w:t>
      </w:r>
      <w:r w:rsidR="005F54FE">
        <w:t xml:space="preserve">(see sections </w:t>
      </w:r>
      <w:r w:rsidR="00B85512" w:rsidRPr="0039473D">
        <w:rPr>
          <w:b/>
          <w:bCs/>
        </w:rPr>
        <w:fldChar w:fldCharType="begin"/>
      </w:r>
      <w:r w:rsidR="00B85512" w:rsidRPr="0039473D">
        <w:rPr>
          <w:b/>
          <w:bCs/>
        </w:rPr>
        <w:instrText xml:space="preserve"> REF _Ref213159569 \w \h </w:instrText>
      </w:r>
      <w:r w:rsidR="00FB0FEB">
        <w:rPr>
          <w:b/>
          <w:bCs/>
        </w:rPr>
        <w:instrText xml:space="preserve"> \* MERGEFORMAT </w:instrText>
      </w:r>
      <w:r w:rsidR="00B85512" w:rsidRPr="0039473D">
        <w:rPr>
          <w:b/>
          <w:bCs/>
        </w:rPr>
      </w:r>
      <w:r w:rsidR="00B85512" w:rsidRPr="0039473D">
        <w:rPr>
          <w:b/>
          <w:bCs/>
        </w:rPr>
        <w:fldChar w:fldCharType="separate"/>
      </w:r>
      <w:r w:rsidR="003861AC">
        <w:rPr>
          <w:b/>
          <w:bCs/>
        </w:rPr>
        <w:t>3.4.1</w:t>
      </w:r>
      <w:r w:rsidR="00B85512" w:rsidRPr="0039473D">
        <w:rPr>
          <w:b/>
          <w:bCs/>
        </w:rPr>
        <w:fldChar w:fldCharType="end"/>
      </w:r>
      <w:r w:rsidR="00FB0FEB" w:rsidRPr="0039473D">
        <w:rPr>
          <w:b/>
          <w:bCs/>
        </w:rPr>
        <w:t xml:space="preserve"> Products and uses not supported</w:t>
      </w:r>
      <w:r w:rsidR="00B85512">
        <w:t xml:space="preserve"> and </w:t>
      </w:r>
      <w:r w:rsidR="00B85512" w:rsidRPr="0039473D">
        <w:rPr>
          <w:b/>
          <w:bCs/>
        </w:rPr>
        <w:fldChar w:fldCharType="begin"/>
      </w:r>
      <w:r w:rsidR="00B85512" w:rsidRPr="0039473D">
        <w:rPr>
          <w:b/>
          <w:bCs/>
        </w:rPr>
        <w:instrText xml:space="preserve"> REF _Ref214837015 \w \h </w:instrText>
      </w:r>
      <w:r w:rsidR="00FB0FEB">
        <w:rPr>
          <w:b/>
          <w:bCs/>
        </w:rPr>
        <w:instrText xml:space="preserve"> \* MERGEFORMAT </w:instrText>
      </w:r>
      <w:r w:rsidR="00B85512" w:rsidRPr="0039473D">
        <w:rPr>
          <w:b/>
          <w:bCs/>
        </w:rPr>
      </w:r>
      <w:r w:rsidR="00B85512" w:rsidRPr="0039473D">
        <w:rPr>
          <w:b/>
          <w:bCs/>
        </w:rPr>
        <w:fldChar w:fldCharType="separate"/>
      </w:r>
      <w:r w:rsidR="003861AC">
        <w:rPr>
          <w:b/>
          <w:bCs/>
        </w:rPr>
        <w:t>4.9.4</w:t>
      </w:r>
      <w:r w:rsidR="00B85512" w:rsidRPr="0039473D">
        <w:rPr>
          <w:b/>
          <w:bCs/>
        </w:rPr>
        <w:fldChar w:fldCharType="end"/>
      </w:r>
      <w:r w:rsidR="00B85512" w:rsidRPr="0039473D">
        <w:rPr>
          <w:b/>
          <w:bCs/>
        </w:rPr>
        <w:t xml:space="preserve"> </w:t>
      </w:r>
      <w:r w:rsidR="00FB0FEB" w:rsidRPr="0039473D">
        <w:rPr>
          <w:b/>
          <w:bCs/>
        </w:rPr>
        <w:t>Formulation recommendations</w:t>
      </w:r>
      <w:r w:rsidR="00FB0FEB">
        <w:t xml:space="preserve"> </w:t>
      </w:r>
      <w:r w:rsidR="00B85512">
        <w:t>below)</w:t>
      </w:r>
      <w:r>
        <w:t xml:space="preserve">. </w:t>
      </w:r>
      <w:r w:rsidR="00436CFF">
        <w:t xml:space="preserve">Conditional registration is recommended if minor potential inconsistencies have been identified in the APVMA Register with respect to the concentration and/or purity of the active constituent used in a chemical product formulation, requiring confirmation of the manufacturing source(s) of active constituent used and </w:t>
      </w:r>
      <w:r w:rsidR="000266AA">
        <w:t xml:space="preserve">the </w:t>
      </w:r>
      <w:r w:rsidR="00436CFF">
        <w:t>formulation details</w:t>
      </w:r>
      <w:r w:rsidR="000266AA">
        <w:t xml:space="preserve"> of the chemical product, </w:t>
      </w:r>
      <w:r w:rsidR="00436CFF">
        <w:t>in addition to the provision of adequate supporting information.</w:t>
      </w:r>
    </w:p>
    <w:p w14:paraId="70D19F0D" w14:textId="38731B32" w:rsidR="00B124E3" w:rsidRDefault="00B124E3" w:rsidP="00BD2F8D">
      <w:pPr>
        <w:pStyle w:val="Caption"/>
      </w:pPr>
      <w:bookmarkStart w:id="160" w:name="_Ref212836671"/>
      <w:bookmarkStart w:id="161" w:name="_Toc213946013"/>
      <w:bookmarkStart w:id="162" w:name="_Ref214973020"/>
      <w:bookmarkStart w:id="163" w:name="_Toc216695699"/>
      <w:r>
        <w:lastRenderedPageBreak/>
        <w:t xml:space="preserve">Table </w:t>
      </w:r>
      <w:r>
        <w:fldChar w:fldCharType="begin"/>
      </w:r>
      <w:r>
        <w:instrText xml:space="preserve"> SEQ Table \* ARABIC </w:instrText>
      </w:r>
      <w:r>
        <w:fldChar w:fldCharType="separate"/>
      </w:r>
      <w:r w:rsidR="003861AC">
        <w:rPr>
          <w:noProof/>
        </w:rPr>
        <w:t>37</w:t>
      </w:r>
      <w:r>
        <w:rPr>
          <w:noProof/>
        </w:rPr>
        <w:fldChar w:fldCharType="end"/>
      </w:r>
      <w:bookmarkEnd w:id="160"/>
      <w:r w:rsidR="00FE7A25">
        <w:rPr>
          <w:noProof/>
        </w:rPr>
        <w:t>:</w:t>
      </w:r>
      <w:r>
        <w:t xml:space="preserve"> Current registered products containing brodifacoum</w:t>
      </w:r>
      <w:bookmarkEnd w:id="161"/>
      <w:bookmarkEnd w:id="162"/>
      <w:bookmarkEnd w:id="163"/>
    </w:p>
    <w:tbl>
      <w:tblPr>
        <w:tblStyle w:val="TableGrid"/>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8"/>
        <w:gridCol w:w="2273"/>
        <w:gridCol w:w="1275"/>
        <w:gridCol w:w="1980"/>
        <w:gridCol w:w="3118"/>
      </w:tblGrid>
      <w:tr w:rsidR="008A6565" w:rsidRPr="00703922" w14:paraId="183D8068" w14:textId="77777777" w:rsidTr="0017134F">
        <w:trPr>
          <w:trHeight w:val="288"/>
          <w:tblHeader/>
        </w:trPr>
        <w:tc>
          <w:tcPr>
            <w:tcW w:w="988" w:type="dxa"/>
            <w:shd w:val="clear" w:color="auto" w:fill="53284F"/>
            <w:noWrap/>
            <w:hideMark/>
          </w:tcPr>
          <w:p w14:paraId="34CFA6F1" w14:textId="77777777" w:rsidR="008A6565" w:rsidRPr="00703922" w:rsidRDefault="008A6565" w:rsidP="00BA7F4F">
            <w:pPr>
              <w:pStyle w:val="TableHead"/>
            </w:pPr>
            <w:r w:rsidRPr="00703922">
              <w:t>Product number</w:t>
            </w:r>
          </w:p>
        </w:tc>
        <w:tc>
          <w:tcPr>
            <w:tcW w:w="2273" w:type="dxa"/>
            <w:shd w:val="clear" w:color="auto" w:fill="53284F"/>
            <w:noWrap/>
            <w:hideMark/>
          </w:tcPr>
          <w:p w14:paraId="1D4430B6" w14:textId="77777777" w:rsidR="008A6565" w:rsidRPr="00703922" w:rsidRDefault="008A6565" w:rsidP="00BA7F4F">
            <w:pPr>
              <w:pStyle w:val="TableHead"/>
            </w:pPr>
            <w:r w:rsidRPr="00703922">
              <w:t>Product name</w:t>
            </w:r>
          </w:p>
        </w:tc>
        <w:tc>
          <w:tcPr>
            <w:tcW w:w="1275" w:type="dxa"/>
            <w:shd w:val="clear" w:color="auto" w:fill="53284F"/>
          </w:tcPr>
          <w:p w14:paraId="5C0D82B1" w14:textId="77777777" w:rsidR="008A6565" w:rsidRPr="00703922" w:rsidRDefault="008A6565" w:rsidP="00BA7F4F">
            <w:pPr>
              <w:pStyle w:val="TableHead"/>
            </w:pPr>
            <w:r w:rsidRPr="00703922">
              <w:t>Active content</w:t>
            </w:r>
          </w:p>
        </w:tc>
        <w:tc>
          <w:tcPr>
            <w:tcW w:w="1980" w:type="dxa"/>
            <w:shd w:val="clear" w:color="auto" w:fill="53284F"/>
          </w:tcPr>
          <w:p w14:paraId="62DE0B80" w14:textId="3827ED0B" w:rsidR="008A6565" w:rsidRPr="00703922" w:rsidRDefault="00EA7802" w:rsidP="00BA7F4F">
            <w:pPr>
              <w:pStyle w:val="TableHead"/>
            </w:pPr>
            <w:r>
              <w:t>Registrant</w:t>
            </w:r>
          </w:p>
        </w:tc>
        <w:tc>
          <w:tcPr>
            <w:tcW w:w="3118" w:type="dxa"/>
            <w:shd w:val="clear" w:color="auto" w:fill="53284F"/>
          </w:tcPr>
          <w:p w14:paraId="1EF46587" w14:textId="474FFE5D" w:rsidR="008A6565" w:rsidRPr="00703922" w:rsidRDefault="008A6565" w:rsidP="00BA7F4F">
            <w:pPr>
              <w:pStyle w:val="TableHead"/>
            </w:pPr>
            <w:r w:rsidRPr="00703922">
              <w:t>Recommendation</w:t>
            </w:r>
          </w:p>
        </w:tc>
      </w:tr>
      <w:tr w:rsidR="00D56BAE" w:rsidRPr="00703922" w14:paraId="47B5940F" w14:textId="77777777" w:rsidTr="00FF7579">
        <w:trPr>
          <w:trHeight w:val="288"/>
        </w:trPr>
        <w:tc>
          <w:tcPr>
            <w:tcW w:w="988" w:type="dxa"/>
            <w:noWrap/>
            <w:hideMark/>
          </w:tcPr>
          <w:p w14:paraId="0A73E462" w14:textId="77777777" w:rsidR="00D56BAE" w:rsidRPr="00D56BAE" w:rsidRDefault="00D56BAE" w:rsidP="00BA7F4F">
            <w:pPr>
              <w:pStyle w:val="TableText"/>
            </w:pPr>
            <w:r w:rsidRPr="00D56BAE">
              <w:t>33896</w:t>
            </w:r>
          </w:p>
        </w:tc>
        <w:tc>
          <w:tcPr>
            <w:tcW w:w="2273" w:type="dxa"/>
            <w:noWrap/>
            <w:hideMark/>
          </w:tcPr>
          <w:p w14:paraId="1B0D4BD6" w14:textId="06397199" w:rsidR="00D56BAE" w:rsidRPr="00D56BAE" w:rsidRDefault="00FA5C20" w:rsidP="00BA7F4F">
            <w:pPr>
              <w:pStyle w:val="TableText"/>
            </w:pPr>
            <w:r w:rsidRPr="00D56BAE">
              <w:t>Talon Rat &amp; Mouse Killer Pellets</w:t>
            </w:r>
          </w:p>
        </w:tc>
        <w:tc>
          <w:tcPr>
            <w:tcW w:w="1275" w:type="dxa"/>
          </w:tcPr>
          <w:p w14:paraId="22FB234B" w14:textId="34FE7D83" w:rsidR="00D56BAE" w:rsidRPr="00D56BAE" w:rsidRDefault="00D56BAE" w:rsidP="00BA7F4F">
            <w:pPr>
              <w:pStyle w:val="TableText"/>
            </w:pPr>
            <w:r w:rsidRPr="00D56BAE">
              <w:t>0.05 g/kg</w:t>
            </w:r>
          </w:p>
        </w:tc>
        <w:tc>
          <w:tcPr>
            <w:tcW w:w="1980" w:type="dxa"/>
          </w:tcPr>
          <w:p w14:paraId="7EF73182" w14:textId="27EC3693" w:rsidR="00D56BAE" w:rsidRPr="00D56BAE" w:rsidRDefault="00FA5C20" w:rsidP="00BA7F4F">
            <w:pPr>
              <w:pStyle w:val="TableText"/>
            </w:pPr>
            <w:r w:rsidRPr="00D56BAE">
              <w:t>Syngenta Australia Pty Ltd</w:t>
            </w:r>
          </w:p>
        </w:tc>
        <w:tc>
          <w:tcPr>
            <w:tcW w:w="3118" w:type="dxa"/>
          </w:tcPr>
          <w:p w14:paraId="75C1EABB" w14:textId="2C409438" w:rsidR="00D56BAE" w:rsidRPr="00D56BAE" w:rsidRDefault="00D56BAE" w:rsidP="00BA7F4F">
            <w:pPr>
              <w:pStyle w:val="TableText"/>
            </w:pPr>
            <w:r w:rsidRPr="00D56BAE">
              <w:t xml:space="preserve">Vary formulation type to RB – </w:t>
            </w:r>
            <w:r w:rsidR="005F4C05">
              <w:t>ready-to-use bait</w:t>
            </w:r>
          </w:p>
        </w:tc>
      </w:tr>
      <w:tr w:rsidR="00D56BAE" w:rsidRPr="00703922" w14:paraId="0A440D44" w14:textId="77777777" w:rsidTr="00FF7579">
        <w:trPr>
          <w:trHeight w:val="288"/>
        </w:trPr>
        <w:tc>
          <w:tcPr>
            <w:tcW w:w="988" w:type="dxa"/>
            <w:noWrap/>
            <w:hideMark/>
          </w:tcPr>
          <w:p w14:paraId="1BFDD9B2" w14:textId="77777777" w:rsidR="00D56BAE" w:rsidRPr="002A294A" w:rsidRDefault="00D56BAE" w:rsidP="00BA7F4F">
            <w:pPr>
              <w:pStyle w:val="TableText"/>
            </w:pPr>
            <w:r w:rsidRPr="002A294A">
              <w:t>48332</w:t>
            </w:r>
          </w:p>
        </w:tc>
        <w:tc>
          <w:tcPr>
            <w:tcW w:w="2273" w:type="dxa"/>
            <w:noWrap/>
            <w:hideMark/>
          </w:tcPr>
          <w:p w14:paraId="749537C2" w14:textId="5A6A92C2" w:rsidR="00D56BAE" w:rsidRPr="002A294A" w:rsidRDefault="00FA5C20" w:rsidP="00BA7F4F">
            <w:pPr>
              <w:pStyle w:val="TableText"/>
            </w:pPr>
            <w:r w:rsidRPr="002A294A">
              <w:t>Oztec Ratal Rodenticide Pellets</w:t>
            </w:r>
          </w:p>
        </w:tc>
        <w:tc>
          <w:tcPr>
            <w:tcW w:w="1275" w:type="dxa"/>
          </w:tcPr>
          <w:p w14:paraId="1B89133A" w14:textId="77777777" w:rsidR="00D56BAE" w:rsidRPr="002A294A" w:rsidRDefault="00D56BAE" w:rsidP="00BA7F4F">
            <w:pPr>
              <w:pStyle w:val="TableText"/>
            </w:pPr>
            <w:r w:rsidRPr="002A294A">
              <w:t>0.05 g/kg</w:t>
            </w:r>
          </w:p>
        </w:tc>
        <w:tc>
          <w:tcPr>
            <w:tcW w:w="1980" w:type="dxa"/>
          </w:tcPr>
          <w:p w14:paraId="075FEAD9" w14:textId="29570C63" w:rsidR="00D56BAE" w:rsidRPr="002A294A" w:rsidRDefault="00FA5C20" w:rsidP="00BA7F4F">
            <w:pPr>
              <w:pStyle w:val="TableText"/>
            </w:pPr>
            <w:r w:rsidRPr="002A294A">
              <w:t>Oztec Rural Pty Limited</w:t>
            </w:r>
          </w:p>
        </w:tc>
        <w:tc>
          <w:tcPr>
            <w:tcW w:w="3118" w:type="dxa"/>
          </w:tcPr>
          <w:p w14:paraId="409E8967" w14:textId="114BABEE" w:rsidR="00D56BAE" w:rsidRPr="00377F3A" w:rsidRDefault="002A294A" w:rsidP="00BA7F4F">
            <w:pPr>
              <w:pStyle w:val="TableText"/>
              <w:rPr>
                <w:rFonts w:asciiTheme="minorHAnsi" w:hAnsiTheme="minorHAnsi"/>
                <w:highlight w:val="yellow"/>
              </w:rPr>
            </w:pPr>
            <w:r w:rsidRPr="00D56BAE">
              <w:t>Cancel – does not contain bittering agent</w:t>
            </w:r>
          </w:p>
        </w:tc>
      </w:tr>
      <w:tr w:rsidR="00D56BAE" w:rsidRPr="00703922" w14:paraId="5D2FF222" w14:textId="77777777" w:rsidTr="00FF7579">
        <w:trPr>
          <w:trHeight w:val="288"/>
        </w:trPr>
        <w:tc>
          <w:tcPr>
            <w:tcW w:w="988" w:type="dxa"/>
            <w:noWrap/>
            <w:hideMark/>
          </w:tcPr>
          <w:p w14:paraId="14C05E07" w14:textId="77777777" w:rsidR="00D56BAE" w:rsidRPr="00D56BAE" w:rsidRDefault="00D56BAE" w:rsidP="00BA7F4F">
            <w:pPr>
              <w:pStyle w:val="TableText"/>
            </w:pPr>
            <w:r w:rsidRPr="00D56BAE">
              <w:t>49867</w:t>
            </w:r>
          </w:p>
        </w:tc>
        <w:tc>
          <w:tcPr>
            <w:tcW w:w="2273" w:type="dxa"/>
            <w:noWrap/>
            <w:hideMark/>
          </w:tcPr>
          <w:p w14:paraId="32E3DF20" w14:textId="7749974F" w:rsidR="00D56BAE" w:rsidRPr="00D56BAE" w:rsidRDefault="00FA5C20" w:rsidP="00BA7F4F">
            <w:pPr>
              <w:pStyle w:val="TableText"/>
            </w:pPr>
            <w:r w:rsidRPr="00D56BAE">
              <w:t>Ditrac All Weather Blox Rodenticide</w:t>
            </w:r>
          </w:p>
        </w:tc>
        <w:tc>
          <w:tcPr>
            <w:tcW w:w="1275" w:type="dxa"/>
          </w:tcPr>
          <w:p w14:paraId="6AF3AB62" w14:textId="77777777" w:rsidR="00D56BAE" w:rsidRPr="00D56BAE" w:rsidRDefault="00D56BAE" w:rsidP="00BA7F4F">
            <w:pPr>
              <w:pStyle w:val="TableText"/>
            </w:pPr>
            <w:r w:rsidRPr="00D56BAE">
              <w:t>0.05 g/kg</w:t>
            </w:r>
          </w:p>
        </w:tc>
        <w:tc>
          <w:tcPr>
            <w:tcW w:w="1980" w:type="dxa"/>
          </w:tcPr>
          <w:p w14:paraId="2645E68E" w14:textId="7766A0F1" w:rsidR="00D56BAE" w:rsidRPr="00D56BAE" w:rsidRDefault="00FA5C20" w:rsidP="00BA7F4F">
            <w:pPr>
              <w:pStyle w:val="TableText"/>
            </w:pPr>
            <w:r w:rsidRPr="00D56BAE">
              <w:t>Bell Laboratories, Inc.</w:t>
            </w:r>
          </w:p>
        </w:tc>
        <w:tc>
          <w:tcPr>
            <w:tcW w:w="3118" w:type="dxa"/>
          </w:tcPr>
          <w:p w14:paraId="224D23DE" w14:textId="0E3F73DD" w:rsidR="00D56BAE" w:rsidRPr="00D56BAE" w:rsidRDefault="00D56BAE" w:rsidP="00286653">
            <w:pPr>
              <w:pStyle w:val="TableText"/>
            </w:pPr>
            <w:r w:rsidRPr="00D56BAE">
              <w:t xml:space="preserve">Vary formulation type to RB – </w:t>
            </w:r>
            <w:r w:rsidR="005F4C05">
              <w:t>ready-to-use bait</w:t>
            </w:r>
          </w:p>
        </w:tc>
      </w:tr>
      <w:tr w:rsidR="00D56BAE" w:rsidRPr="00703922" w14:paraId="666B62A8" w14:textId="77777777" w:rsidTr="00FF7579">
        <w:trPr>
          <w:trHeight w:val="288"/>
        </w:trPr>
        <w:tc>
          <w:tcPr>
            <w:tcW w:w="988" w:type="dxa"/>
            <w:noWrap/>
            <w:hideMark/>
          </w:tcPr>
          <w:p w14:paraId="1368E7BC" w14:textId="77777777" w:rsidR="00D56BAE" w:rsidRPr="00D56BAE" w:rsidRDefault="00D56BAE" w:rsidP="00BA7F4F">
            <w:pPr>
              <w:pStyle w:val="TableText"/>
            </w:pPr>
            <w:r w:rsidRPr="00D56BAE">
              <w:t>49868</w:t>
            </w:r>
          </w:p>
        </w:tc>
        <w:tc>
          <w:tcPr>
            <w:tcW w:w="2273" w:type="dxa"/>
            <w:noWrap/>
            <w:hideMark/>
          </w:tcPr>
          <w:p w14:paraId="3A8EC18F" w14:textId="48054AA2" w:rsidR="00D56BAE" w:rsidRPr="00D56BAE" w:rsidRDefault="00FA5C20" w:rsidP="00BA7F4F">
            <w:pPr>
              <w:pStyle w:val="TableText"/>
            </w:pPr>
            <w:r w:rsidRPr="00D56BAE">
              <w:t>Ditrac Rodenticide</w:t>
            </w:r>
          </w:p>
        </w:tc>
        <w:tc>
          <w:tcPr>
            <w:tcW w:w="1275" w:type="dxa"/>
          </w:tcPr>
          <w:p w14:paraId="11A44F83" w14:textId="77777777" w:rsidR="00D56BAE" w:rsidRPr="00D56BAE" w:rsidRDefault="00D56BAE" w:rsidP="00BA7F4F">
            <w:pPr>
              <w:pStyle w:val="TableText"/>
            </w:pPr>
            <w:r w:rsidRPr="00D56BAE">
              <w:t>0.05 g/kg</w:t>
            </w:r>
          </w:p>
        </w:tc>
        <w:tc>
          <w:tcPr>
            <w:tcW w:w="1980" w:type="dxa"/>
          </w:tcPr>
          <w:p w14:paraId="471ED108" w14:textId="2B2DD969" w:rsidR="00D56BAE" w:rsidRPr="00D56BAE" w:rsidRDefault="00FA5C20" w:rsidP="00BA7F4F">
            <w:pPr>
              <w:pStyle w:val="TableText"/>
            </w:pPr>
            <w:r w:rsidRPr="00D56BAE">
              <w:t>Bell Laboratories, Inc.</w:t>
            </w:r>
          </w:p>
        </w:tc>
        <w:tc>
          <w:tcPr>
            <w:tcW w:w="3118" w:type="dxa"/>
          </w:tcPr>
          <w:p w14:paraId="4FE1A36C" w14:textId="334C8AD3" w:rsidR="00D56BAE" w:rsidRPr="00D56BAE" w:rsidRDefault="00D56BAE" w:rsidP="00286653">
            <w:pPr>
              <w:pStyle w:val="TableText"/>
            </w:pPr>
            <w:r w:rsidRPr="00D56BAE">
              <w:t xml:space="preserve">Vary formulation type to RB – </w:t>
            </w:r>
            <w:r w:rsidR="005F4C05">
              <w:t>ready-to-use bait</w:t>
            </w:r>
          </w:p>
        </w:tc>
      </w:tr>
      <w:tr w:rsidR="00D56BAE" w:rsidRPr="00703922" w14:paraId="3A6FFF1E" w14:textId="77777777" w:rsidTr="00FF7579">
        <w:trPr>
          <w:trHeight w:val="288"/>
        </w:trPr>
        <w:tc>
          <w:tcPr>
            <w:tcW w:w="988" w:type="dxa"/>
            <w:noWrap/>
            <w:hideMark/>
          </w:tcPr>
          <w:p w14:paraId="40B4B3FA" w14:textId="77777777" w:rsidR="00D56BAE" w:rsidRPr="00D56BAE" w:rsidRDefault="00D56BAE" w:rsidP="00BA7F4F">
            <w:pPr>
              <w:pStyle w:val="TableText"/>
            </w:pPr>
            <w:r w:rsidRPr="00D56BAE">
              <w:t>50697</w:t>
            </w:r>
          </w:p>
        </w:tc>
        <w:tc>
          <w:tcPr>
            <w:tcW w:w="2273" w:type="dxa"/>
            <w:noWrap/>
            <w:hideMark/>
          </w:tcPr>
          <w:p w14:paraId="6F695BB4" w14:textId="4BBFFD15" w:rsidR="00D56BAE" w:rsidRPr="00D56BAE" w:rsidRDefault="00FA5C20" w:rsidP="00BA7F4F">
            <w:pPr>
              <w:pStyle w:val="TableText"/>
            </w:pPr>
            <w:r w:rsidRPr="00D56BAE">
              <w:t>Tomcat I</w:t>
            </w:r>
            <w:r>
              <w:t>I</w:t>
            </w:r>
            <w:r w:rsidRPr="00D56BAE">
              <w:t xml:space="preserve"> All Weather Blox Rodenticide</w:t>
            </w:r>
          </w:p>
        </w:tc>
        <w:tc>
          <w:tcPr>
            <w:tcW w:w="1275" w:type="dxa"/>
          </w:tcPr>
          <w:p w14:paraId="37EFF915" w14:textId="77777777" w:rsidR="00D56BAE" w:rsidRPr="00D56BAE" w:rsidRDefault="00D56BAE" w:rsidP="00BA7F4F">
            <w:pPr>
              <w:pStyle w:val="TableText"/>
            </w:pPr>
            <w:r w:rsidRPr="00D56BAE">
              <w:t>0.05 g/kg</w:t>
            </w:r>
          </w:p>
        </w:tc>
        <w:tc>
          <w:tcPr>
            <w:tcW w:w="1980" w:type="dxa"/>
          </w:tcPr>
          <w:p w14:paraId="0AEFAD0C" w14:textId="59E43759" w:rsidR="00D56BAE" w:rsidRPr="00D56BAE" w:rsidRDefault="00FA5C20" w:rsidP="00BA7F4F">
            <w:pPr>
              <w:pStyle w:val="TableText"/>
            </w:pPr>
            <w:r w:rsidRPr="00D56BAE">
              <w:t>Bell Laboratories, Inc.</w:t>
            </w:r>
          </w:p>
        </w:tc>
        <w:tc>
          <w:tcPr>
            <w:tcW w:w="3118" w:type="dxa"/>
          </w:tcPr>
          <w:p w14:paraId="2CCB5D96" w14:textId="1A769A92" w:rsidR="00D56BAE" w:rsidRPr="00D56BAE" w:rsidRDefault="00D56BAE" w:rsidP="00286653">
            <w:pPr>
              <w:pStyle w:val="TableText"/>
            </w:pPr>
            <w:r w:rsidRPr="00D56BAE">
              <w:t xml:space="preserve">Vary formulation type to RB – </w:t>
            </w:r>
            <w:r w:rsidR="005F4C05">
              <w:t>ready-to-use bait</w:t>
            </w:r>
          </w:p>
        </w:tc>
      </w:tr>
      <w:tr w:rsidR="00D56BAE" w:rsidRPr="00703922" w14:paraId="1CCB9210" w14:textId="77777777" w:rsidTr="00FF7579">
        <w:trPr>
          <w:trHeight w:val="288"/>
        </w:trPr>
        <w:tc>
          <w:tcPr>
            <w:tcW w:w="988" w:type="dxa"/>
            <w:noWrap/>
            <w:hideMark/>
          </w:tcPr>
          <w:p w14:paraId="759AF6CA" w14:textId="77777777" w:rsidR="00D56BAE" w:rsidRPr="00D56BAE" w:rsidRDefault="00D56BAE" w:rsidP="00BA7F4F">
            <w:pPr>
              <w:pStyle w:val="TableText"/>
            </w:pPr>
            <w:r w:rsidRPr="00D56BAE">
              <w:t>51181</w:t>
            </w:r>
          </w:p>
        </w:tc>
        <w:tc>
          <w:tcPr>
            <w:tcW w:w="2273" w:type="dxa"/>
            <w:noWrap/>
            <w:hideMark/>
          </w:tcPr>
          <w:p w14:paraId="54FA9BDE" w14:textId="488AE955" w:rsidR="00D56BAE" w:rsidRPr="00D56BAE" w:rsidRDefault="00FA5C20" w:rsidP="00BA7F4F">
            <w:pPr>
              <w:pStyle w:val="TableText"/>
            </w:pPr>
            <w:r w:rsidRPr="00D56BAE">
              <w:t>Pestmaster Mouse &amp; Rat Bait</w:t>
            </w:r>
          </w:p>
        </w:tc>
        <w:tc>
          <w:tcPr>
            <w:tcW w:w="1275" w:type="dxa"/>
          </w:tcPr>
          <w:p w14:paraId="2D3A707C" w14:textId="77777777" w:rsidR="00D56BAE" w:rsidRPr="00D56BAE" w:rsidRDefault="00D56BAE" w:rsidP="00BA7F4F">
            <w:pPr>
              <w:pStyle w:val="TableText"/>
            </w:pPr>
            <w:r w:rsidRPr="00D56BAE">
              <w:t>0.05 g/kg</w:t>
            </w:r>
          </w:p>
        </w:tc>
        <w:tc>
          <w:tcPr>
            <w:tcW w:w="1980" w:type="dxa"/>
          </w:tcPr>
          <w:p w14:paraId="30FC6962" w14:textId="710DE251" w:rsidR="00D56BAE" w:rsidRPr="00D56BAE" w:rsidRDefault="00FA5C20" w:rsidP="00BA7F4F">
            <w:pPr>
              <w:pStyle w:val="TableText"/>
            </w:pPr>
            <w:r w:rsidRPr="00D56BAE">
              <w:t>Triox Pty. Ltd.</w:t>
            </w:r>
          </w:p>
        </w:tc>
        <w:tc>
          <w:tcPr>
            <w:tcW w:w="3118" w:type="dxa"/>
          </w:tcPr>
          <w:p w14:paraId="5A64355A" w14:textId="5ED64154" w:rsidR="00D56BAE" w:rsidRPr="00D56BAE" w:rsidRDefault="00D56BAE" w:rsidP="00BA7F4F">
            <w:pPr>
              <w:pStyle w:val="TableText"/>
            </w:pPr>
            <w:r w:rsidRPr="00D56BAE">
              <w:t xml:space="preserve">Vary formulation type to RB – </w:t>
            </w:r>
            <w:r w:rsidR="005F4C05">
              <w:t>ready-to-use bait</w:t>
            </w:r>
          </w:p>
          <w:p w14:paraId="6677462A" w14:textId="606A7D4F" w:rsidR="00D56BAE" w:rsidRPr="00D56BAE" w:rsidRDefault="00D56BAE" w:rsidP="00BA7F4F">
            <w:pPr>
              <w:pStyle w:val="TableText"/>
            </w:pPr>
            <w:r w:rsidRPr="00D56BAE">
              <w:t>Conditional registration: confirm source of active and formulation details of product</w:t>
            </w:r>
          </w:p>
        </w:tc>
      </w:tr>
      <w:tr w:rsidR="00D56BAE" w:rsidRPr="00703922" w14:paraId="27D6B703" w14:textId="77777777" w:rsidTr="00FF7579">
        <w:trPr>
          <w:trHeight w:val="288"/>
        </w:trPr>
        <w:tc>
          <w:tcPr>
            <w:tcW w:w="988" w:type="dxa"/>
            <w:noWrap/>
            <w:hideMark/>
          </w:tcPr>
          <w:p w14:paraId="48AF2F80" w14:textId="77777777" w:rsidR="00D56BAE" w:rsidRPr="00D56BAE" w:rsidRDefault="00D56BAE" w:rsidP="00BA7F4F">
            <w:pPr>
              <w:pStyle w:val="TableText"/>
            </w:pPr>
            <w:r w:rsidRPr="00D56BAE">
              <w:t>51280</w:t>
            </w:r>
          </w:p>
        </w:tc>
        <w:tc>
          <w:tcPr>
            <w:tcW w:w="2273" w:type="dxa"/>
            <w:noWrap/>
            <w:hideMark/>
          </w:tcPr>
          <w:p w14:paraId="03BE2A7B" w14:textId="7CB63D57" w:rsidR="00D56BAE" w:rsidRPr="00D56BAE" w:rsidRDefault="00FA5C20" w:rsidP="00BA7F4F">
            <w:pPr>
              <w:pStyle w:val="TableText"/>
            </w:pPr>
            <w:r w:rsidRPr="00D56BAE">
              <w:t>Tomcat I</w:t>
            </w:r>
            <w:r>
              <w:t>I</w:t>
            </w:r>
            <w:r w:rsidRPr="00D56BAE">
              <w:t xml:space="preserve"> Rodenticide</w:t>
            </w:r>
          </w:p>
        </w:tc>
        <w:tc>
          <w:tcPr>
            <w:tcW w:w="1275" w:type="dxa"/>
          </w:tcPr>
          <w:p w14:paraId="31705028" w14:textId="77777777" w:rsidR="00D56BAE" w:rsidRPr="00D56BAE" w:rsidRDefault="00D56BAE" w:rsidP="00BA7F4F">
            <w:pPr>
              <w:pStyle w:val="TableText"/>
            </w:pPr>
            <w:r w:rsidRPr="00D56BAE">
              <w:t>0.05 g/kg</w:t>
            </w:r>
          </w:p>
        </w:tc>
        <w:tc>
          <w:tcPr>
            <w:tcW w:w="1980" w:type="dxa"/>
          </w:tcPr>
          <w:p w14:paraId="2ECC51E2" w14:textId="4EA3CD8B" w:rsidR="00D56BAE" w:rsidRPr="00D56BAE" w:rsidRDefault="00FA5C20" w:rsidP="00BA7F4F">
            <w:pPr>
              <w:pStyle w:val="TableText"/>
            </w:pPr>
            <w:r w:rsidRPr="00D56BAE">
              <w:t>Bell Laboratories, Inc.</w:t>
            </w:r>
          </w:p>
        </w:tc>
        <w:tc>
          <w:tcPr>
            <w:tcW w:w="3118" w:type="dxa"/>
          </w:tcPr>
          <w:p w14:paraId="0591CF5A" w14:textId="53148551" w:rsidR="00D56BAE" w:rsidRPr="00D56BAE" w:rsidRDefault="00D56BAE" w:rsidP="00286653">
            <w:pPr>
              <w:pStyle w:val="TableText"/>
            </w:pPr>
            <w:r w:rsidRPr="00D56BAE">
              <w:t xml:space="preserve">Vary formulation type to RB – </w:t>
            </w:r>
            <w:r w:rsidR="005F4C05">
              <w:t>ready-to-use bait</w:t>
            </w:r>
          </w:p>
        </w:tc>
      </w:tr>
      <w:tr w:rsidR="00D56BAE" w:rsidRPr="00703922" w14:paraId="497F0C50" w14:textId="77777777" w:rsidTr="00FF7579">
        <w:trPr>
          <w:trHeight w:val="288"/>
        </w:trPr>
        <w:tc>
          <w:tcPr>
            <w:tcW w:w="988" w:type="dxa"/>
            <w:noWrap/>
            <w:hideMark/>
          </w:tcPr>
          <w:p w14:paraId="7337B14C" w14:textId="77777777" w:rsidR="00D56BAE" w:rsidRPr="00D56BAE" w:rsidRDefault="00D56BAE" w:rsidP="00BA7F4F">
            <w:pPr>
              <w:pStyle w:val="TableText"/>
            </w:pPr>
            <w:r w:rsidRPr="00D56BAE">
              <w:t>52675</w:t>
            </w:r>
          </w:p>
        </w:tc>
        <w:tc>
          <w:tcPr>
            <w:tcW w:w="2273" w:type="dxa"/>
            <w:noWrap/>
            <w:hideMark/>
          </w:tcPr>
          <w:p w14:paraId="3A99AE31" w14:textId="2FFD4186" w:rsidR="00D56BAE" w:rsidRPr="00D56BAE" w:rsidRDefault="00FA5C20" w:rsidP="00BA7F4F">
            <w:pPr>
              <w:pStyle w:val="TableText"/>
            </w:pPr>
            <w:r w:rsidRPr="00D56BAE">
              <w:t>Talon Rat &amp; Mouse</w:t>
            </w:r>
            <w:r>
              <w:t xml:space="preserve"> </w:t>
            </w:r>
            <w:r w:rsidRPr="00D56BAE">
              <w:t>Killer All Weather Wax Blocks</w:t>
            </w:r>
          </w:p>
        </w:tc>
        <w:tc>
          <w:tcPr>
            <w:tcW w:w="1275" w:type="dxa"/>
          </w:tcPr>
          <w:p w14:paraId="34BC51C3" w14:textId="77777777" w:rsidR="00D56BAE" w:rsidRPr="00D56BAE" w:rsidRDefault="00D56BAE" w:rsidP="00BA7F4F">
            <w:pPr>
              <w:pStyle w:val="TableText"/>
            </w:pPr>
            <w:r w:rsidRPr="00D56BAE">
              <w:t>0.05 g/kg</w:t>
            </w:r>
          </w:p>
        </w:tc>
        <w:tc>
          <w:tcPr>
            <w:tcW w:w="1980" w:type="dxa"/>
          </w:tcPr>
          <w:p w14:paraId="6CF12139" w14:textId="18FBDEF0" w:rsidR="00D56BAE" w:rsidRPr="00D56BAE" w:rsidRDefault="00FA5C20" w:rsidP="00BA7F4F">
            <w:pPr>
              <w:pStyle w:val="TableText"/>
            </w:pPr>
            <w:r w:rsidRPr="00D56BAE">
              <w:t>Syngenta Australia Pty Ltd</w:t>
            </w:r>
          </w:p>
        </w:tc>
        <w:tc>
          <w:tcPr>
            <w:tcW w:w="3118" w:type="dxa"/>
          </w:tcPr>
          <w:p w14:paraId="4216DD95" w14:textId="53114DC9" w:rsidR="00D56BAE" w:rsidRPr="00D56BAE" w:rsidRDefault="00D56BAE" w:rsidP="00BA7F4F">
            <w:pPr>
              <w:pStyle w:val="TableText"/>
            </w:pPr>
            <w:r w:rsidRPr="00D56BAE">
              <w:t xml:space="preserve">Vary formulation type to RB – </w:t>
            </w:r>
            <w:r w:rsidR="005F4C05">
              <w:t>ready-to-use bait</w:t>
            </w:r>
          </w:p>
          <w:p w14:paraId="4D0E0045" w14:textId="7BD8DC45" w:rsidR="00D56BAE" w:rsidRPr="00D56BAE" w:rsidRDefault="00D56BAE" w:rsidP="00BA7F4F">
            <w:pPr>
              <w:pStyle w:val="TableText"/>
            </w:pPr>
            <w:r w:rsidRPr="00D56BAE">
              <w:t>Conditional registration: confirm source of active and formulation details of product</w:t>
            </w:r>
          </w:p>
        </w:tc>
      </w:tr>
      <w:tr w:rsidR="00D56BAE" w:rsidRPr="00703922" w14:paraId="3F97BB13" w14:textId="77777777" w:rsidTr="00FF7579">
        <w:trPr>
          <w:trHeight w:val="288"/>
        </w:trPr>
        <w:tc>
          <w:tcPr>
            <w:tcW w:w="988" w:type="dxa"/>
            <w:noWrap/>
            <w:hideMark/>
          </w:tcPr>
          <w:p w14:paraId="6085006C" w14:textId="77777777" w:rsidR="00D56BAE" w:rsidRPr="00D56BAE" w:rsidRDefault="00D56BAE" w:rsidP="00BA7F4F">
            <w:pPr>
              <w:pStyle w:val="TableText"/>
            </w:pPr>
            <w:r w:rsidRPr="00D56BAE">
              <w:t>54836</w:t>
            </w:r>
          </w:p>
        </w:tc>
        <w:tc>
          <w:tcPr>
            <w:tcW w:w="2273" w:type="dxa"/>
            <w:noWrap/>
            <w:hideMark/>
          </w:tcPr>
          <w:p w14:paraId="696E1895" w14:textId="005EEC85" w:rsidR="00D56BAE" w:rsidRPr="00D56BAE" w:rsidRDefault="00FA5C20" w:rsidP="00BA7F4F">
            <w:pPr>
              <w:pStyle w:val="TableText"/>
            </w:pPr>
            <w:r w:rsidRPr="00D56BAE">
              <w:t>Fast Action Ratsak Bait Station Kills Rats and Mice</w:t>
            </w:r>
          </w:p>
        </w:tc>
        <w:tc>
          <w:tcPr>
            <w:tcW w:w="1275" w:type="dxa"/>
          </w:tcPr>
          <w:p w14:paraId="3FB1F4CE" w14:textId="77777777" w:rsidR="00D56BAE" w:rsidRPr="00D56BAE" w:rsidRDefault="00D56BAE" w:rsidP="00BA7F4F">
            <w:pPr>
              <w:pStyle w:val="TableText"/>
            </w:pPr>
            <w:r w:rsidRPr="00D56BAE">
              <w:t>0.05 g/kg</w:t>
            </w:r>
          </w:p>
        </w:tc>
        <w:tc>
          <w:tcPr>
            <w:tcW w:w="1980" w:type="dxa"/>
          </w:tcPr>
          <w:p w14:paraId="0E786BFE" w14:textId="72BD7D0A" w:rsidR="00D56BAE" w:rsidRPr="00D56BAE" w:rsidRDefault="00FA5C20" w:rsidP="00BA7F4F">
            <w:pPr>
              <w:pStyle w:val="TableText"/>
            </w:pPr>
            <w:r w:rsidRPr="00D56BAE">
              <w:t>Duluxgroup (Australia) Pty Ltd</w:t>
            </w:r>
          </w:p>
        </w:tc>
        <w:tc>
          <w:tcPr>
            <w:tcW w:w="3118" w:type="dxa"/>
          </w:tcPr>
          <w:p w14:paraId="5F2C4D7E" w14:textId="59E1F71A" w:rsidR="00D56BAE" w:rsidRPr="00D56BAE" w:rsidRDefault="00D56BAE" w:rsidP="00BA7F4F">
            <w:pPr>
              <w:pStyle w:val="TableText"/>
            </w:pPr>
            <w:r w:rsidRPr="00D56BAE">
              <w:t xml:space="preserve">Vary formulation type to RB – </w:t>
            </w:r>
            <w:r w:rsidR="005F4C05">
              <w:t>ready-to-use bait</w:t>
            </w:r>
          </w:p>
          <w:p w14:paraId="0182DD76" w14:textId="21DBE80E" w:rsidR="00D56BAE" w:rsidRPr="00D56BAE" w:rsidRDefault="00D56BAE" w:rsidP="00BA7F4F">
            <w:pPr>
              <w:pStyle w:val="TableText"/>
            </w:pPr>
            <w:r w:rsidRPr="00D56BAE">
              <w:t>Conditional registration: confirm source of active and formulation details of product</w:t>
            </w:r>
          </w:p>
        </w:tc>
      </w:tr>
      <w:tr w:rsidR="00D56BAE" w:rsidRPr="00703922" w14:paraId="75F57D93" w14:textId="77777777" w:rsidTr="00FF7579">
        <w:trPr>
          <w:trHeight w:val="288"/>
        </w:trPr>
        <w:tc>
          <w:tcPr>
            <w:tcW w:w="988" w:type="dxa"/>
            <w:noWrap/>
            <w:hideMark/>
          </w:tcPr>
          <w:p w14:paraId="3AF09C0C" w14:textId="77777777" w:rsidR="00D56BAE" w:rsidRPr="00D56BAE" w:rsidRDefault="00D56BAE" w:rsidP="00BA7F4F">
            <w:pPr>
              <w:pStyle w:val="TableText"/>
            </w:pPr>
            <w:r w:rsidRPr="00D56BAE">
              <w:t>54839</w:t>
            </w:r>
          </w:p>
        </w:tc>
        <w:tc>
          <w:tcPr>
            <w:tcW w:w="2273" w:type="dxa"/>
            <w:noWrap/>
            <w:hideMark/>
          </w:tcPr>
          <w:p w14:paraId="3B9F5186" w14:textId="3DB7066B" w:rsidR="00D56BAE" w:rsidRPr="00D56BAE" w:rsidRDefault="00FA5C20" w:rsidP="00BA7F4F">
            <w:pPr>
              <w:pStyle w:val="TableText"/>
            </w:pPr>
            <w:r w:rsidRPr="00D56BAE">
              <w:t>Rentokil Brodifacoum Paste</w:t>
            </w:r>
          </w:p>
        </w:tc>
        <w:tc>
          <w:tcPr>
            <w:tcW w:w="1275" w:type="dxa"/>
          </w:tcPr>
          <w:p w14:paraId="6A07615C" w14:textId="77777777" w:rsidR="00D56BAE" w:rsidRPr="00D56BAE" w:rsidRDefault="00D56BAE" w:rsidP="00BA7F4F">
            <w:pPr>
              <w:pStyle w:val="TableText"/>
            </w:pPr>
            <w:r w:rsidRPr="00D56BAE">
              <w:t>0.05 g/kg</w:t>
            </w:r>
          </w:p>
        </w:tc>
        <w:tc>
          <w:tcPr>
            <w:tcW w:w="1980" w:type="dxa"/>
          </w:tcPr>
          <w:p w14:paraId="216A4B25" w14:textId="53C5DDCC" w:rsidR="00D56BAE" w:rsidRPr="00D56BAE" w:rsidRDefault="00FA5C20" w:rsidP="00BA7F4F">
            <w:pPr>
              <w:pStyle w:val="TableText"/>
            </w:pPr>
            <w:r w:rsidRPr="00D56BAE">
              <w:t>Rentokil Initial Pty Ltd</w:t>
            </w:r>
          </w:p>
        </w:tc>
        <w:tc>
          <w:tcPr>
            <w:tcW w:w="3118" w:type="dxa"/>
          </w:tcPr>
          <w:p w14:paraId="297DEACA" w14:textId="554B49B1" w:rsidR="00D56BAE" w:rsidRPr="00D56BAE" w:rsidRDefault="00D56BAE" w:rsidP="00286653">
            <w:pPr>
              <w:pStyle w:val="TableText"/>
            </w:pPr>
            <w:r w:rsidRPr="00D56BAE">
              <w:t xml:space="preserve">Vary formulation type to RB – </w:t>
            </w:r>
            <w:r w:rsidR="005F4C05">
              <w:t>ready-to-use bait</w:t>
            </w:r>
          </w:p>
        </w:tc>
      </w:tr>
      <w:tr w:rsidR="00D56BAE" w:rsidRPr="00703922" w14:paraId="27D8686C" w14:textId="77777777" w:rsidTr="00FF7579">
        <w:trPr>
          <w:trHeight w:val="288"/>
        </w:trPr>
        <w:tc>
          <w:tcPr>
            <w:tcW w:w="988" w:type="dxa"/>
            <w:noWrap/>
            <w:hideMark/>
          </w:tcPr>
          <w:p w14:paraId="65DF6810" w14:textId="77777777" w:rsidR="00D56BAE" w:rsidRPr="00D56BAE" w:rsidRDefault="00D56BAE" w:rsidP="00BA7F4F">
            <w:pPr>
              <w:pStyle w:val="TableText"/>
            </w:pPr>
            <w:r w:rsidRPr="00D56BAE">
              <w:t>56632</w:t>
            </w:r>
          </w:p>
        </w:tc>
        <w:tc>
          <w:tcPr>
            <w:tcW w:w="2273" w:type="dxa"/>
            <w:noWrap/>
            <w:hideMark/>
          </w:tcPr>
          <w:p w14:paraId="46A80ACC" w14:textId="49FB39D2" w:rsidR="00D56BAE" w:rsidRPr="00D56BAE" w:rsidRDefault="00FA5C20" w:rsidP="00BA7F4F">
            <w:pPr>
              <w:pStyle w:val="TableText"/>
            </w:pPr>
            <w:r w:rsidRPr="00D56BAE">
              <w:t>Fast Action Ratsak Throwpacks Kills Rats &amp; Mice</w:t>
            </w:r>
          </w:p>
        </w:tc>
        <w:tc>
          <w:tcPr>
            <w:tcW w:w="1275" w:type="dxa"/>
          </w:tcPr>
          <w:p w14:paraId="37B31DE9" w14:textId="77777777" w:rsidR="00D56BAE" w:rsidRPr="00D56BAE" w:rsidRDefault="00D56BAE" w:rsidP="00BA7F4F">
            <w:pPr>
              <w:pStyle w:val="TableText"/>
            </w:pPr>
            <w:r w:rsidRPr="00D56BAE">
              <w:t>0.05 g/kg</w:t>
            </w:r>
          </w:p>
        </w:tc>
        <w:tc>
          <w:tcPr>
            <w:tcW w:w="1980" w:type="dxa"/>
          </w:tcPr>
          <w:p w14:paraId="51F2255E" w14:textId="2C399EF9" w:rsidR="00D56BAE" w:rsidRPr="00D56BAE" w:rsidRDefault="00FA5C20" w:rsidP="00BA7F4F">
            <w:pPr>
              <w:pStyle w:val="TableText"/>
            </w:pPr>
            <w:r w:rsidRPr="00D56BAE">
              <w:t>Duluxgroup (Australia) Pty Ltd</w:t>
            </w:r>
          </w:p>
        </w:tc>
        <w:tc>
          <w:tcPr>
            <w:tcW w:w="3118" w:type="dxa"/>
          </w:tcPr>
          <w:p w14:paraId="0F9F0D66" w14:textId="08C9064D" w:rsidR="00D56BAE" w:rsidRPr="00D56BAE" w:rsidRDefault="00D56BAE" w:rsidP="00BA7F4F">
            <w:pPr>
              <w:pStyle w:val="TableText"/>
            </w:pPr>
            <w:r w:rsidRPr="00D56BAE">
              <w:t xml:space="preserve">Vary formulation type to RB – </w:t>
            </w:r>
            <w:r w:rsidR="005F4C05">
              <w:t>ready-to-use bait</w:t>
            </w:r>
          </w:p>
          <w:p w14:paraId="7AFD82BB" w14:textId="28E4AB43" w:rsidR="00D56BAE" w:rsidRPr="00D56BAE" w:rsidRDefault="00D56BAE" w:rsidP="00BA7F4F">
            <w:pPr>
              <w:pStyle w:val="TableText"/>
            </w:pPr>
            <w:r w:rsidRPr="00D56BAE">
              <w:t>Conditional registration: confirm source of active and formulation details of product</w:t>
            </w:r>
          </w:p>
        </w:tc>
      </w:tr>
      <w:tr w:rsidR="00D56BAE" w:rsidRPr="00703922" w14:paraId="71344C1D" w14:textId="77777777" w:rsidTr="00FF7579">
        <w:trPr>
          <w:trHeight w:val="288"/>
        </w:trPr>
        <w:tc>
          <w:tcPr>
            <w:tcW w:w="988" w:type="dxa"/>
            <w:noWrap/>
            <w:hideMark/>
          </w:tcPr>
          <w:p w14:paraId="342AD1F9" w14:textId="77777777" w:rsidR="00D56BAE" w:rsidRPr="00D56BAE" w:rsidRDefault="00D56BAE" w:rsidP="00BA7F4F">
            <w:pPr>
              <w:pStyle w:val="TableText"/>
            </w:pPr>
            <w:r w:rsidRPr="00D56BAE">
              <w:t>57805</w:t>
            </w:r>
          </w:p>
        </w:tc>
        <w:tc>
          <w:tcPr>
            <w:tcW w:w="2273" w:type="dxa"/>
            <w:noWrap/>
            <w:hideMark/>
          </w:tcPr>
          <w:p w14:paraId="69C61605" w14:textId="25D74136" w:rsidR="00D56BAE" w:rsidRPr="00D56BAE" w:rsidRDefault="00FA5C20" w:rsidP="00BA7F4F">
            <w:pPr>
              <w:pStyle w:val="TableText"/>
            </w:pPr>
            <w:r w:rsidRPr="00D56BAE">
              <w:t>Raticide Mouse And Rat Bait</w:t>
            </w:r>
          </w:p>
        </w:tc>
        <w:tc>
          <w:tcPr>
            <w:tcW w:w="1275" w:type="dxa"/>
          </w:tcPr>
          <w:p w14:paraId="6F47B27A" w14:textId="77777777" w:rsidR="00D56BAE" w:rsidRPr="00D56BAE" w:rsidRDefault="00D56BAE" w:rsidP="00BA7F4F">
            <w:pPr>
              <w:pStyle w:val="TableText"/>
            </w:pPr>
            <w:r w:rsidRPr="00D56BAE">
              <w:t>0.05 g/kg</w:t>
            </w:r>
          </w:p>
        </w:tc>
        <w:tc>
          <w:tcPr>
            <w:tcW w:w="1980" w:type="dxa"/>
          </w:tcPr>
          <w:p w14:paraId="2D8BFD10" w14:textId="111D800E" w:rsidR="00D56BAE" w:rsidRPr="00D56BAE" w:rsidRDefault="00FA5C20" w:rsidP="00BA7F4F">
            <w:pPr>
              <w:pStyle w:val="TableText"/>
            </w:pPr>
            <w:r w:rsidRPr="00D56BAE">
              <w:t>Parafarm Pty Ltd</w:t>
            </w:r>
          </w:p>
        </w:tc>
        <w:tc>
          <w:tcPr>
            <w:tcW w:w="3118" w:type="dxa"/>
          </w:tcPr>
          <w:p w14:paraId="48A2E7DF" w14:textId="519072AB" w:rsidR="00D56BAE" w:rsidRPr="00D56BAE" w:rsidRDefault="00D56BAE" w:rsidP="00BA7F4F">
            <w:pPr>
              <w:pStyle w:val="TableText"/>
            </w:pPr>
            <w:r w:rsidRPr="00D56BAE">
              <w:t>Cancel – does not contain dye or bittering agent</w:t>
            </w:r>
          </w:p>
        </w:tc>
      </w:tr>
      <w:tr w:rsidR="00D56BAE" w:rsidRPr="00703922" w14:paraId="7353DDA6" w14:textId="77777777" w:rsidTr="00FF7579">
        <w:trPr>
          <w:trHeight w:val="288"/>
        </w:trPr>
        <w:tc>
          <w:tcPr>
            <w:tcW w:w="988" w:type="dxa"/>
            <w:noWrap/>
            <w:hideMark/>
          </w:tcPr>
          <w:p w14:paraId="7E58EED1" w14:textId="77777777" w:rsidR="00D56BAE" w:rsidRPr="00D56BAE" w:rsidRDefault="00D56BAE" w:rsidP="00BA7F4F">
            <w:pPr>
              <w:pStyle w:val="TableText"/>
            </w:pPr>
            <w:r w:rsidRPr="00D56BAE">
              <w:t>58301</w:t>
            </w:r>
          </w:p>
        </w:tc>
        <w:tc>
          <w:tcPr>
            <w:tcW w:w="2273" w:type="dxa"/>
            <w:noWrap/>
            <w:hideMark/>
          </w:tcPr>
          <w:p w14:paraId="34CEB28D" w14:textId="2C70BC55" w:rsidR="00D56BAE" w:rsidRPr="00D56BAE" w:rsidRDefault="00FA5C20" w:rsidP="00BA7F4F">
            <w:pPr>
              <w:pStyle w:val="TableText"/>
            </w:pPr>
            <w:r w:rsidRPr="00D56BAE">
              <w:t>Talon Rat &amp; Mouse Killer Ezy Throw Pellets</w:t>
            </w:r>
          </w:p>
        </w:tc>
        <w:tc>
          <w:tcPr>
            <w:tcW w:w="1275" w:type="dxa"/>
          </w:tcPr>
          <w:p w14:paraId="78A490FA" w14:textId="77777777" w:rsidR="00D56BAE" w:rsidRPr="00D56BAE" w:rsidRDefault="00D56BAE" w:rsidP="00BA7F4F">
            <w:pPr>
              <w:pStyle w:val="TableText"/>
            </w:pPr>
            <w:r w:rsidRPr="00D56BAE">
              <w:t>0.05 g/kg</w:t>
            </w:r>
          </w:p>
        </w:tc>
        <w:tc>
          <w:tcPr>
            <w:tcW w:w="1980" w:type="dxa"/>
          </w:tcPr>
          <w:p w14:paraId="10A5B866" w14:textId="5ABE931C" w:rsidR="00D56BAE" w:rsidRPr="00D56BAE" w:rsidRDefault="00FA5C20" w:rsidP="00BA7F4F">
            <w:pPr>
              <w:pStyle w:val="TableText"/>
            </w:pPr>
            <w:r w:rsidRPr="00D56BAE">
              <w:t>Syngenta Australia Pty Ltd</w:t>
            </w:r>
          </w:p>
        </w:tc>
        <w:tc>
          <w:tcPr>
            <w:tcW w:w="3118" w:type="dxa"/>
          </w:tcPr>
          <w:p w14:paraId="7F69A5A6" w14:textId="1E3D1820" w:rsidR="00D56BAE" w:rsidRPr="00D56BAE" w:rsidRDefault="00D56BAE" w:rsidP="00BA7F4F">
            <w:pPr>
              <w:pStyle w:val="TableText"/>
            </w:pPr>
            <w:r w:rsidRPr="00D56BAE">
              <w:t xml:space="preserve">Vary formulation type to RB – </w:t>
            </w:r>
            <w:r w:rsidR="005F4C05">
              <w:t>ready-to-use bait</w:t>
            </w:r>
          </w:p>
        </w:tc>
      </w:tr>
      <w:tr w:rsidR="00D56BAE" w:rsidRPr="00703922" w14:paraId="1C068C8C" w14:textId="77777777" w:rsidTr="00FF7579">
        <w:trPr>
          <w:trHeight w:val="288"/>
        </w:trPr>
        <w:tc>
          <w:tcPr>
            <w:tcW w:w="988" w:type="dxa"/>
            <w:noWrap/>
            <w:hideMark/>
          </w:tcPr>
          <w:p w14:paraId="736B1A4B" w14:textId="77777777" w:rsidR="00D56BAE" w:rsidRPr="00D56BAE" w:rsidRDefault="00D56BAE" w:rsidP="00BA7F4F">
            <w:pPr>
              <w:pStyle w:val="TableText"/>
            </w:pPr>
            <w:r w:rsidRPr="00D56BAE">
              <w:lastRenderedPageBreak/>
              <w:t>58338</w:t>
            </w:r>
          </w:p>
        </w:tc>
        <w:tc>
          <w:tcPr>
            <w:tcW w:w="2273" w:type="dxa"/>
            <w:noWrap/>
            <w:hideMark/>
          </w:tcPr>
          <w:p w14:paraId="6EDCAC26" w14:textId="2385F8D4" w:rsidR="00D56BAE" w:rsidRPr="00D56BAE" w:rsidRDefault="00FA5C20" w:rsidP="00BA7F4F">
            <w:pPr>
              <w:pStyle w:val="TableText"/>
            </w:pPr>
            <w:r w:rsidRPr="00D56BAE">
              <w:t>Talon Rat &amp; Mouse Killer Pellet Trays</w:t>
            </w:r>
          </w:p>
        </w:tc>
        <w:tc>
          <w:tcPr>
            <w:tcW w:w="1275" w:type="dxa"/>
          </w:tcPr>
          <w:p w14:paraId="22C52637" w14:textId="77777777" w:rsidR="00D56BAE" w:rsidRPr="00D56BAE" w:rsidRDefault="00D56BAE" w:rsidP="00BA7F4F">
            <w:pPr>
              <w:pStyle w:val="TableText"/>
            </w:pPr>
            <w:r w:rsidRPr="00D56BAE">
              <w:t>0.05 g/kg</w:t>
            </w:r>
          </w:p>
        </w:tc>
        <w:tc>
          <w:tcPr>
            <w:tcW w:w="1980" w:type="dxa"/>
          </w:tcPr>
          <w:p w14:paraId="4E7B3926" w14:textId="1AD541BC" w:rsidR="00D56BAE" w:rsidRPr="00D56BAE" w:rsidRDefault="00FA5C20" w:rsidP="00BA7F4F">
            <w:pPr>
              <w:pStyle w:val="TableText"/>
            </w:pPr>
            <w:r w:rsidRPr="00D56BAE">
              <w:t>Syngenta Australia Pty Ltd</w:t>
            </w:r>
          </w:p>
        </w:tc>
        <w:tc>
          <w:tcPr>
            <w:tcW w:w="3118" w:type="dxa"/>
          </w:tcPr>
          <w:p w14:paraId="38093AE1" w14:textId="44570044" w:rsidR="00D56BAE" w:rsidRPr="00D56BAE" w:rsidRDefault="00D56BAE" w:rsidP="00286653">
            <w:pPr>
              <w:pStyle w:val="TableText"/>
            </w:pPr>
            <w:r w:rsidRPr="00D56BAE">
              <w:t xml:space="preserve">Vary formulation type to RB – </w:t>
            </w:r>
            <w:r w:rsidR="005F4C05">
              <w:t>ready-to-use bait</w:t>
            </w:r>
          </w:p>
        </w:tc>
      </w:tr>
      <w:tr w:rsidR="00D56BAE" w:rsidRPr="00703922" w14:paraId="16586B2F" w14:textId="77777777" w:rsidTr="00FF7579">
        <w:trPr>
          <w:trHeight w:val="288"/>
        </w:trPr>
        <w:tc>
          <w:tcPr>
            <w:tcW w:w="988" w:type="dxa"/>
            <w:noWrap/>
            <w:hideMark/>
          </w:tcPr>
          <w:p w14:paraId="424A9520" w14:textId="77777777" w:rsidR="00D56BAE" w:rsidRPr="00D56BAE" w:rsidRDefault="00D56BAE" w:rsidP="00BA7F4F">
            <w:pPr>
              <w:pStyle w:val="TableText"/>
            </w:pPr>
            <w:r w:rsidRPr="00D56BAE">
              <w:t>58339</w:t>
            </w:r>
          </w:p>
        </w:tc>
        <w:tc>
          <w:tcPr>
            <w:tcW w:w="2273" w:type="dxa"/>
            <w:noWrap/>
            <w:hideMark/>
          </w:tcPr>
          <w:p w14:paraId="4247C44B" w14:textId="69E5F1DB" w:rsidR="00D56BAE" w:rsidRPr="00D56BAE" w:rsidRDefault="00FA5C20" w:rsidP="00BA7F4F">
            <w:pPr>
              <w:pStyle w:val="TableText"/>
            </w:pPr>
            <w:r w:rsidRPr="00D56BAE">
              <w:t>Talon Rat &amp; Mouse Killer Wax Blocks</w:t>
            </w:r>
          </w:p>
        </w:tc>
        <w:tc>
          <w:tcPr>
            <w:tcW w:w="1275" w:type="dxa"/>
          </w:tcPr>
          <w:p w14:paraId="564238A7" w14:textId="77777777" w:rsidR="00D56BAE" w:rsidRPr="00D56BAE" w:rsidRDefault="00D56BAE" w:rsidP="00BA7F4F">
            <w:pPr>
              <w:pStyle w:val="TableText"/>
            </w:pPr>
            <w:r w:rsidRPr="00D56BAE">
              <w:t>0.05 g/kg</w:t>
            </w:r>
          </w:p>
        </w:tc>
        <w:tc>
          <w:tcPr>
            <w:tcW w:w="1980" w:type="dxa"/>
          </w:tcPr>
          <w:p w14:paraId="4EA99F03" w14:textId="0BFAA490" w:rsidR="00D56BAE" w:rsidRPr="00D56BAE" w:rsidRDefault="00FA5C20" w:rsidP="00BA7F4F">
            <w:pPr>
              <w:pStyle w:val="TableText"/>
            </w:pPr>
            <w:r w:rsidRPr="00D56BAE">
              <w:t>Syngenta Australia Pty Ltd</w:t>
            </w:r>
          </w:p>
        </w:tc>
        <w:tc>
          <w:tcPr>
            <w:tcW w:w="3118" w:type="dxa"/>
          </w:tcPr>
          <w:p w14:paraId="7614FF6E" w14:textId="126D94DD" w:rsidR="00D56BAE" w:rsidRPr="00D56BAE" w:rsidRDefault="00D56BAE" w:rsidP="00BA7F4F">
            <w:pPr>
              <w:pStyle w:val="TableText"/>
            </w:pPr>
            <w:r w:rsidRPr="00D56BAE">
              <w:t xml:space="preserve">Vary formulation type to RB – </w:t>
            </w:r>
            <w:r w:rsidR="005F4C05">
              <w:t>ready-to-use bait</w:t>
            </w:r>
          </w:p>
        </w:tc>
      </w:tr>
      <w:tr w:rsidR="00D56BAE" w:rsidRPr="00703922" w14:paraId="5E826AA4" w14:textId="77777777" w:rsidTr="00FF7579">
        <w:trPr>
          <w:trHeight w:val="288"/>
        </w:trPr>
        <w:tc>
          <w:tcPr>
            <w:tcW w:w="988" w:type="dxa"/>
            <w:noWrap/>
            <w:hideMark/>
          </w:tcPr>
          <w:p w14:paraId="5914959B" w14:textId="77777777" w:rsidR="00D56BAE" w:rsidRPr="00D56BAE" w:rsidRDefault="00D56BAE" w:rsidP="00BA7F4F">
            <w:pPr>
              <w:pStyle w:val="TableText"/>
            </w:pPr>
            <w:r w:rsidRPr="00D56BAE">
              <w:t>58661</w:t>
            </w:r>
          </w:p>
        </w:tc>
        <w:tc>
          <w:tcPr>
            <w:tcW w:w="2273" w:type="dxa"/>
            <w:noWrap/>
            <w:hideMark/>
          </w:tcPr>
          <w:p w14:paraId="05BC499B" w14:textId="7A918C36" w:rsidR="00D56BAE" w:rsidRPr="00D56BAE" w:rsidRDefault="00FA5C20" w:rsidP="00BA7F4F">
            <w:pPr>
              <w:pStyle w:val="TableText"/>
            </w:pPr>
            <w:r w:rsidRPr="00D56BAE">
              <w:t>Mortein Kills Rats &amp; Mice and the Fleas They Carry Dual Action Bait</w:t>
            </w:r>
          </w:p>
        </w:tc>
        <w:tc>
          <w:tcPr>
            <w:tcW w:w="1275" w:type="dxa"/>
          </w:tcPr>
          <w:p w14:paraId="2360812C" w14:textId="012B49B0" w:rsidR="00D56BAE" w:rsidRPr="00D56BAE" w:rsidRDefault="00D56BAE" w:rsidP="00BA7F4F">
            <w:pPr>
              <w:pStyle w:val="TableText"/>
            </w:pPr>
            <w:r w:rsidRPr="00D56BAE">
              <w:t>0.05 g/kg brodifacoum plus 0.04 g/kg fipronil to control fleas carried by rats</w:t>
            </w:r>
          </w:p>
        </w:tc>
        <w:tc>
          <w:tcPr>
            <w:tcW w:w="1980" w:type="dxa"/>
          </w:tcPr>
          <w:p w14:paraId="07736869" w14:textId="5ADFAA5E" w:rsidR="00D56BAE" w:rsidRPr="00D56BAE" w:rsidRDefault="00FA5C20" w:rsidP="00BA7F4F">
            <w:pPr>
              <w:pStyle w:val="TableText"/>
            </w:pPr>
            <w:r w:rsidRPr="00D56BAE">
              <w:t>Rb (Hygiene Home) Australia Pty Ltd</w:t>
            </w:r>
          </w:p>
        </w:tc>
        <w:tc>
          <w:tcPr>
            <w:tcW w:w="3118" w:type="dxa"/>
          </w:tcPr>
          <w:p w14:paraId="4D2CBD37" w14:textId="10F49311" w:rsidR="00D56BAE" w:rsidRPr="00D56BAE" w:rsidRDefault="00D56BAE" w:rsidP="00BA7F4F">
            <w:pPr>
              <w:pStyle w:val="TableText"/>
            </w:pPr>
            <w:r w:rsidRPr="00D56BAE">
              <w:t xml:space="preserve">Vary formulation type to RB – </w:t>
            </w:r>
            <w:r w:rsidR="005F4C05">
              <w:t>ready-to-use bait</w:t>
            </w:r>
          </w:p>
        </w:tc>
      </w:tr>
      <w:tr w:rsidR="00D56BAE" w:rsidRPr="00703922" w14:paraId="69D57CF5" w14:textId="77777777" w:rsidTr="00FF7579">
        <w:trPr>
          <w:trHeight w:val="288"/>
        </w:trPr>
        <w:tc>
          <w:tcPr>
            <w:tcW w:w="988" w:type="dxa"/>
            <w:noWrap/>
            <w:hideMark/>
          </w:tcPr>
          <w:p w14:paraId="4C42031F" w14:textId="77777777" w:rsidR="00D56BAE" w:rsidRPr="00D56BAE" w:rsidRDefault="00D56BAE" w:rsidP="00BA7F4F">
            <w:pPr>
              <w:pStyle w:val="TableText"/>
            </w:pPr>
            <w:r w:rsidRPr="00D56BAE">
              <w:t>59323</w:t>
            </w:r>
          </w:p>
        </w:tc>
        <w:tc>
          <w:tcPr>
            <w:tcW w:w="2273" w:type="dxa"/>
            <w:noWrap/>
            <w:hideMark/>
          </w:tcPr>
          <w:p w14:paraId="1B7EAB88" w14:textId="5263659F" w:rsidR="00D56BAE" w:rsidRPr="00D56BAE" w:rsidRDefault="00FA5C20" w:rsidP="00BA7F4F">
            <w:pPr>
              <w:pStyle w:val="TableText"/>
            </w:pPr>
            <w:r w:rsidRPr="00D56BAE">
              <w:t>Talon X</w:t>
            </w:r>
            <w:r w:rsidR="003A238E">
              <w:t>T</w:t>
            </w:r>
            <w:r w:rsidRPr="00D56BAE">
              <w:t xml:space="preserve"> Pro Rodenticide Wax Blocks</w:t>
            </w:r>
          </w:p>
        </w:tc>
        <w:tc>
          <w:tcPr>
            <w:tcW w:w="1275" w:type="dxa"/>
          </w:tcPr>
          <w:p w14:paraId="65875021" w14:textId="77777777" w:rsidR="00D56BAE" w:rsidRPr="00D56BAE" w:rsidRDefault="00D56BAE" w:rsidP="00BA7F4F">
            <w:pPr>
              <w:pStyle w:val="TableText"/>
            </w:pPr>
            <w:r w:rsidRPr="00D56BAE">
              <w:t>0.05 g/kg</w:t>
            </w:r>
          </w:p>
        </w:tc>
        <w:tc>
          <w:tcPr>
            <w:tcW w:w="1980" w:type="dxa"/>
          </w:tcPr>
          <w:p w14:paraId="54A7C5CB" w14:textId="45FC9CCE" w:rsidR="00D56BAE" w:rsidRPr="00D56BAE" w:rsidRDefault="00FA5C20" w:rsidP="00BA7F4F">
            <w:pPr>
              <w:pStyle w:val="TableText"/>
            </w:pPr>
            <w:r w:rsidRPr="00D56BAE">
              <w:t>Syngenta Australia Pty Ltd</w:t>
            </w:r>
          </w:p>
        </w:tc>
        <w:tc>
          <w:tcPr>
            <w:tcW w:w="3118" w:type="dxa"/>
          </w:tcPr>
          <w:p w14:paraId="345F3BAE" w14:textId="2E6B7312" w:rsidR="00D56BAE" w:rsidRPr="00D56BAE" w:rsidRDefault="00D56BAE" w:rsidP="00BA7F4F">
            <w:pPr>
              <w:pStyle w:val="TableText"/>
            </w:pPr>
            <w:r w:rsidRPr="00D56BAE">
              <w:t xml:space="preserve">Vary formulation type to RB – </w:t>
            </w:r>
            <w:r w:rsidR="005F4C05">
              <w:t>ready-to-use bait</w:t>
            </w:r>
          </w:p>
        </w:tc>
      </w:tr>
      <w:tr w:rsidR="00D56BAE" w:rsidRPr="00703922" w14:paraId="36E84837" w14:textId="77777777" w:rsidTr="00FF7579">
        <w:trPr>
          <w:trHeight w:val="288"/>
        </w:trPr>
        <w:tc>
          <w:tcPr>
            <w:tcW w:w="988" w:type="dxa"/>
            <w:noWrap/>
            <w:hideMark/>
          </w:tcPr>
          <w:p w14:paraId="3E27B38C" w14:textId="77777777" w:rsidR="00D56BAE" w:rsidRPr="00D56BAE" w:rsidRDefault="00D56BAE" w:rsidP="00BA7F4F">
            <w:pPr>
              <w:pStyle w:val="TableText"/>
            </w:pPr>
            <w:r w:rsidRPr="00D56BAE">
              <w:t>59875</w:t>
            </w:r>
          </w:p>
        </w:tc>
        <w:tc>
          <w:tcPr>
            <w:tcW w:w="2273" w:type="dxa"/>
            <w:noWrap/>
            <w:hideMark/>
          </w:tcPr>
          <w:p w14:paraId="141FD4F5" w14:textId="21E0312D" w:rsidR="00D56BAE" w:rsidRPr="00D56BAE" w:rsidRDefault="00FA5C20" w:rsidP="00BA7F4F">
            <w:pPr>
              <w:pStyle w:val="TableText"/>
            </w:pPr>
            <w:r w:rsidRPr="00D56BAE">
              <w:t>All Weather Pct First Formula Blocks Rodenticide</w:t>
            </w:r>
          </w:p>
        </w:tc>
        <w:tc>
          <w:tcPr>
            <w:tcW w:w="1275" w:type="dxa"/>
          </w:tcPr>
          <w:p w14:paraId="24397F57" w14:textId="77777777" w:rsidR="00D56BAE" w:rsidRPr="00D56BAE" w:rsidRDefault="00D56BAE" w:rsidP="00BA7F4F">
            <w:pPr>
              <w:pStyle w:val="TableText"/>
            </w:pPr>
            <w:r w:rsidRPr="00D56BAE">
              <w:t>0.05 g/kg</w:t>
            </w:r>
          </w:p>
        </w:tc>
        <w:tc>
          <w:tcPr>
            <w:tcW w:w="1980" w:type="dxa"/>
          </w:tcPr>
          <w:p w14:paraId="3475137A" w14:textId="4F74F572" w:rsidR="00D56BAE" w:rsidRPr="00D56BAE" w:rsidRDefault="00FA5C20" w:rsidP="00BA7F4F">
            <w:pPr>
              <w:pStyle w:val="TableText"/>
            </w:pPr>
            <w:r w:rsidRPr="00D56BAE">
              <w:t>P</w:t>
            </w:r>
            <w:r>
              <w:t>CT</w:t>
            </w:r>
            <w:r w:rsidRPr="00D56BAE">
              <w:t xml:space="preserve"> Holdings Pty Ltd</w:t>
            </w:r>
          </w:p>
        </w:tc>
        <w:tc>
          <w:tcPr>
            <w:tcW w:w="3118" w:type="dxa"/>
          </w:tcPr>
          <w:p w14:paraId="498A6672" w14:textId="54C6D9C8" w:rsidR="00D56BAE" w:rsidRPr="00D56BAE" w:rsidRDefault="00D56BAE" w:rsidP="00BA7F4F">
            <w:pPr>
              <w:pStyle w:val="TableText"/>
            </w:pPr>
            <w:r w:rsidRPr="00D56BAE">
              <w:t xml:space="preserve">Vary formulation type to RB – </w:t>
            </w:r>
            <w:r w:rsidR="005F4C05">
              <w:t>ready-to-use bait</w:t>
            </w:r>
          </w:p>
          <w:p w14:paraId="300323ED" w14:textId="0A8D3E12" w:rsidR="00D56BAE" w:rsidRPr="00D56BAE" w:rsidRDefault="00D56BAE" w:rsidP="00BA7F4F">
            <w:pPr>
              <w:pStyle w:val="TableText"/>
            </w:pPr>
            <w:r w:rsidRPr="00D56BAE">
              <w:t>Conditional registration: confirm source of active and formulation details of product</w:t>
            </w:r>
          </w:p>
        </w:tc>
      </w:tr>
      <w:tr w:rsidR="00D56BAE" w:rsidRPr="00703922" w14:paraId="13AC0B55" w14:textId="77777777" w:rsidTr="00FF7579">
        <w:trPr>
          <w:trHeight w:val="288"/>
        </w:trPr>
        <w:tc>
          <w:tcPr>
            <w:tcW w:w="988" w:type="dxa"/>
            <w:noWrap/>
            <w:hideMark/>
          </w:tcPr>
          <w:p w14:paraId="08273EB3" w14:textId="77777777" w:rsidR="00D56BAE" w:rsidRPr="00D56BAE" w:rsidRDefault="00D56BAE" w:rsidP="00BA7F4F">
            <w:pPr>
              <w:pStyle w:val="TableText"/>
            </w:pPr>
            <w:r w:rsidRPr="00D56BAE">
              <w:t>59876</w:t>
            </w:r>
          </w:p>
        </w:tc>
        <w:tc>
          <w:tcPr>
            <w:tcW w:w="2273" w:type="dxa"/>
            <w:noWrap/>
            <w:hideMark/>
          </w:tcPr>
          <w:p w14:paraId="649D0EE6" w14:textId="040A2A3A" w:rsidR="00D56BAE" w:rsidRPr="00D56BAE" w:rsidRDefault="00FA5C20" w:rsidP="00BA7F4F">
            <w:pPr>
              <w:pStyle w:val="TableText"/>
            </w:pPr>
            <w:r w:rsidRPr="00D56BAE">
              <w:t>Surefire All Weather Blocks Rodenticide</w:t>
            </w:r>
          </w:p>
        </w:tc>
        <w:tc>
          <w:tcPr>
            <w:tcW w:w="1275" w:type="dxa"/>
          </w:tcPr>
          <w:p w14:paraId="78517E65" w14:textId="77777777" w:rsidR="00D56BAE" w:rsidRPr="00D56BAE" w:rsidRDefault="00D56BAE" w:rsidP="00BA7F4F">
            <w:pPr>
              <w:pStyle w:val="TableText"/>
            </w:pPr>
            <w:r w:rsidRPr="00D56BAE">
              <w:t>0.05 g/kg</w:t>
            </w:r>
          </w:p>
        </w:tc>
        <w:tc>
          <w:tcPr>
            <w:tcW w:w="1980" w:type="dxa"/>
          </w:tcPr>
          <w:p w14:paraId="5EC90DEE" w14:textId="0A9DB6DB" w:rsidR="00D56BAE" w:rsidRPr="00D56BAE" w:rsidRDefault="00FA5C20" w:rsidP="00BA7F4F">
            <w:pPr>
              <w:pStyle w:val="TableText"/>
            </w:pPr>
            <w:r w:rsidRPr="00D56BAE">
              <w:t>P</w:t>
            </w:r>
            <w:r>
              <w:t>CT</w:t>
            </w:r>
            <w:r w:rsidRPr="00D56BAE">
              <w:t xml:space="preserve"> Holdings Pty Ltd</w:t>
            </w:r>
          </w:p>
        </w:tc>
        <w:tc>
          <w:tcPr>
            <w:tcW w:w="3118" w:type="dxa"/>
          </w:tcPr>
          <w:p w14:paraId="4B609DE6" w14:textId="66EF5535" w:rsidR="00D56BAE" w:rsidRPr="00D56BAE" w:rsidRDefault="00D56BAE" w:rsidP="00BA7F4F">
            <w:pPr>
              <w:pStyle w:val="TableText"/>
            </w:pPr>
            <w:r w:rsidRPr="00D56BAE">
              <w:t xml:space="preserve">Vary formulation type to RB – </w:t>
            </w:r>
            <w:r w:rsidR="005F4C05">
              <w:t>ready-to-use bait</w:t>
            </w:r>
          </w:p>
          <w:p w14:paraId="4551E13C" w14:textId="6D2CFA3C" w:rsidR="00D56BAE" w:rsidRPr="00D56BAE" w:rsidRDefault="00D56BAE" w:rsidP="00BA7F4F">
            <w:pPr>
              <w:pStyle w:val="TableText"/>
            </w:pPr>
            <w:r w:rsidRPr="00D56BAE">
              <w:t>Conditional registration: confirm source of active and formulation details of product</w:t>
            </w:r>
          </w:p>
        </w:tc>
      </w:tr>
      <w:tr w:rsidR="00D56BAE" w:rsidRPr="00703922" w14:paraId="7EB27D1E" w14:textId="77777777" w:rsidTr="00FF7579">
        <w:trPr>
          <w:trHeight w:val="288"/>
        </w:trPr>
        <w:tc>
          <w:tcPr>
            <w:tcW w:w="988" w:type="dxa"/>
            <w:noWrap/>
            <w:hideMark/>
          </w:tcPr>
          <w:p w14:paraId="4A3B65FD" w14:textId="77777777" w:rsidR="00D56BAE" w:rsidRPr="00D56BAE" w:rsidRDefault="00D56BAE" w:rsidP="00BA7F4F">
            <w:pPr>
              <w:pStyle w:val="TableText"/>
            </w:pPr>
            <w:r w:rsidRPr="00D56BAE">
              <w:t>62635</w:t>
            </w:r>
          </w:p>
        </w:tc>
        <w:tc>
          <w:tcPr>
            <w:tcW w:w="2273" w:type="dxa"/>
            <w:noWrap/>
            <w:hideMark/>
          </w:tcPr>
          <w:p w14:paraId="63C477E5" w14:textId="23CA22DE" w:rsidR="00D56BAE" w:rsidRPr="00D56BAE" w:rsidRDefault="00FA5C20" w:rsidP="00BA7F4F">
            <w:pPr>
              <w:pStyle w:val="TableText"/>
            </w:pPr>
            <w:r w:rsidRPr="00D56BAE">
              <w:t>Talon Mouse Bait Station</w:t>
            </w:r>
          </w:p>
        </w:tc>
        <w:tc>
          <w:tcPr>
            <w:tcW w:w="1275" w:type="dxa"/>
          </w:tcPr>
          <w:p w14:paraId="033875FF" w14:textId="77777777" w:rsidR="00D56BAE" w:rsidRPr="00D56BAE" w:rsidRDefault="00D56BAE" w:rsidP="00BA7F4F">
            <w:pPr>
              <w:pStyle w:val="TableText"/>
            </w:pPr>
            <w:r w:rsidRPr="00D56BAE">
              <w:t>0.05 g/kg</w:t>
            </w:r>
          </w:p>
        </w:tc>
        <w:tc>
          <w:tcPr>
            <w:tcW w:w="1980" w:type="dxa"/>
          </w:tcPr>
          <w:p w14:paraId="3E28F49C" w14:textId="45E6DE17" w:rsidR="00D56BAE" w:rsidRPr="00D56BAE" w:rsidRDefault="00FA5C20" w:rsidP="00BA7F4F">
            <w:pPr>
              <w:pStyle w:val="TableText"/>
            </w:pPr>
            <w:r w:rsidRPr="00D56BAE">
              <w:t>Syngenta Australia Pty Ltd</w:t>
            </w:r>
          </w:p>
        </w:tc>
        <w:tc>
          <w:tcPr>
            <w:tcW w:w="3118" w:type="dxa"/>
          </w:tcPr>
          <w:p w14:paraId="723C422A" w14:textId="58B1F8EF" w:rsidR="00D56BAE" w:rsidRPr="00D56BAE" w:rsidRDefault="00D56BAE" w:rsidP="00286653">
            <w:pPr>
              <w:pStyle w:val="TableText"/>
            </w:pPr>
            <w:r w:rsidRPr="00D56BAE">
              <w:t xml:space="preserve">Vary formulation type to RB – </w:t>
            </w:r>
            <w:r w:rsidR="005F4C05">
              <w:t>ready-to-use bait</w:t>
            </w:r>
          </w:p>
        </w:tc>
      </w:tr>
      <w:tr w:rsidR="00D56BAE" w:rsidRPr="00703922" w14:paraId="4B803AC6" w14:textId="77777777" w:rsidTr="00FF7579">
        <w:trPr>
          <w:trHeight w:val="288"/>
        </w:trPr>
        <w:tc>
          <w:tcPr>
            <w:tcW w:w="988" w:type="dxa"/>
            <w:noWrap/>
            <w:hideMark/>
          </w:tcPr>
          <w:p w14:paraId="2076F1EB" w14:textId="77777777" w:rsidR="00D56BAE" w:rsidRPr="00D56BAE" w:rsidRDefault="00D56BAE" w:rsidP="00BA7F4F">
            <w:pPr>
              <w:pStyle w:val="TableText"/>
            </w:pPr>
            <w:r w:rsidRPr="00D56BAE">
              <w:t>63624</w:t>
            </w:r>
          </w:p>
        </w:tc>
        <w:tc>
          <w:tcPr>
            <w:tcW w:w="2273" w:type="dxa"/>
            <w:noWrap/>
            <w:hideMark/>
          </w:tcPr>
          <w:p w14:paraId="0E2B8E54" w14:textId="02493172" w:rsidR="00D56BAE" w:rsidRPr="00D56BAE" w:rsidRDefault="00FA5C20" w:rsidP="00BA7F4F">
            <w:pPr>
              <w:pStyle w:val="TableText"/>
            </w:pPr>
            <w:r w:rsidRPr="00D56BAE">
              <w:t>X-Verminator Single Feed Lethal Dose Rodent Blocks</w:t>
            </w:r>
          </w:p>
        </w:tc>
        <w:tc>
          <w:tcPr>
            <w:tcW w:w="1275" w:type="dxa"/>
          </w:tcPr>
          <w:p w14:paraId="37FFEAB5" w14:textId="77777777" w:rsidR="00D56BAE" w:rsidRPr="00D56BAE" w:rsidRDefault="00D56BAE" w:rsidP="00BA7F4F">
            <w:pPr>
              <w:pStyle w:val="TableText"/>
            </w:pPr>
            <w:r w:rsidRPr="00D56BAE">
              <w:t>0.05 g/kg</w:t>
            </w:r>
          </w:p>
        </w:tc>
        <w:tc>
          <w:tcPr>
            <w:tcW w:w="1980" w:type="dxa"/>
          </w:tcPr>
          <w:p w14:paraId="6C486F3F" w14:textId="4EF9D649" w:rsidR="00D56BAE" w:rsidRPr="00D56BAE" w:rsidRDefault="00FA5C20" w:rsidP="00BA7F4F">
            <w:pPr>
              <w:pStyle w:val="TableText"/>
            </w:pPr>
            <w:r w:rsidRPr="00D56BAE">
              <w:t>Animal Control Products Ltd</w:t>
            </w:r>
          </w:p>
        </w:tc>
        <w:tc>
          <w:tcPr>
            <w:tcW w:w="3118" w:type="dxa"/>
          </w:tcPr>
          <w:p w14:paraId="7BC80048" w14:textId="484AEBA0" w:rsidR="00D56BAE" w:rsidRPr="00D56BAE" w:rsidRDefault="00D56BAE" w:rsidP="00BA7F4F">
            <w:pPr>
              <w:pStyle w:val="TableText"/>
            </w:pPr>
            <w:r w:rsidRPr="00D56BAE">
              <w:t xml:space="preserve">Vary formulation type to RB – </w:t>
            </w:r>
            <w:r w:rsidR="005F4C05">
              <w:t>ready-to-use bait</w:t>
            </w:r>
          </w:p>
          <w:p w14:paraId="1204B96B" w14:textId="5B37024D" w:rsidR="00D56BAE" w:rsidRPr="00D56BAE" w:rsidRDefault="00D56BAE" w:rsidP="00BA7F4F">
            <w:pPr>
              <w:pStyle w:val="TableText"/>
            </w:pPr>
            <w:r w:rsidRPr="00D56BAE">
              <w:t xml:space="preserve">Vary formulation: remove formulation that does not contain </w:t>
            </w:r>
            <w:r w:rsidR="0098768A">
              <w:t xml:space="preserve">a </w:t>
            </w:r>
            <w:r w:rsidRPr="00D56BAE">
              <w:t>bittering agent</w:t>
            </w:r>
          </w:p>
          <w:p w14:paraId="39389E08" w14:textId="650C37AD" w:rsidR="00D56BAE" w:rsidRPr="00D56BAE" w:rsidRDefault="00D56BAE" w:rsidP="00BA7F4F">
            <w:pPr>
              <w:pStyle w:val="TableText"/>
            </w:pPr>
            <w:r w:rsidRPr="00D56BAE">
              <w:t>Conditional registration: confirm source of active and formulation details of product</w:t>
            </w:r>
          </w:p>
        </w:tc>
      </w:tr>
      <w:tr w:rsidR="00D56BAE" w:rsidRPr="00703922" w14:paraId="5A82045A" w14:textId="77777777" w:rsidTr="00FF7579">
        <w:trPr>
          <w:trHeight w:val="288"/>
        </w:trPr>
        <w:tc>
          <w:tcPr>
            <w:tcW w:w="988" w:type="dxa"/>
            <w:noWrap/>
            <w:hideMark/>
          </w:tcPr>
          <w:p w14:paraId="115B9E24" w14:textId="77777777" w:rsidR="00D56BAE" w:rsidRPr="00D56BAE" w:rsidRDefault="00D56BAE" w:rsidP="00BA7F4F">
            <w:pPr>
              <w:pStyle w:val="TableText"/>
            </w:pPr>
            <w:r w:rsidRPr="00D56BAE">
              <w:t>63625</w:t>
            </w:r>
          </w:p>
        </w:tc>
        <w:tc>
          <w:tcPr>
            <w:tcW w:w="2273" w:type="dxa"/>
            <w:noWrap/>
            <w:hideMark/>
          </w:tcPr>
          <w:p w14:paraId="02CE8740" w14:textId="4360C87F" w:rsidR="00D56BAE" w:rsidRPr="00D56BAE" w:rsidRDefault="00FA5C20" w:rsidP="00BA7F4F">
            <w:pPr>
              <w:pStyle w:val="TableText"/>
            </w:pPr>
            <w:r w:rsidRPr="00D56BAE">
              <w:t>X-Verminator Single Feed, Lethal Dose Rodent Pellets</w:t>
            </w:r>
          </w:p>
        </w:tc>
        <w:tc>
          <w:tcPr>
            <w:tcW w:w="1275" w:type="dxa"/>
          </w:tcPr>
          <w:p w14:paraId="48275041" w14:textId="77777777" w:rsidR="00D56BAE" w:rsidRPr="00D56BAE" w:rsidRDefault="00D56BAE" w:rsidP="00BA7F4F">
            <w:pPr>
              <w:pStyle w:val="TableText"/>
            </w:pPr>
            <w:r w:rsidRPr="00D56BAE">
              <w:t>0.05 g/kg</w:t>
            </w:r>
          </w:p>
        </w:tc>
        <w:tc>
          <w:tcPr>
            <w:tcW w:w="1980" w:type="dxa"/>
          </w:tcPr>
          <w:p w14:paraId="127FA9C4" w14:textId="1D7419F8" w:rsidR="00D56BAE" w:rsidRPr="00D56BAE" w:rsidRDefault="00FA5C20" w:rsidP="00BA7F4F">
            <w:pPr>
              <w:pStyle w:val="TableText"/>
            </w:pPr>
            <w:r w:rsidRPr="00D56BAE">
              <w:t>Animal Control Products Ltd</w:t>
            </w:r>
          </w:p>
        </w:tc>
        <w:tc>
          <w:tcPr>
            <w:tcW w:w="3118" w:type="dxa"/>
          </w:tcPr>
          <w:p w14:paraId="1E2C1D55" w14:textId="31E0A751" w:rsidR="00D56BAE" w:rsidRPr="00D56BAE" w:rsidRDefault="00D56BAE" w:rsidP="00BA7F4F">
            <w:pPr>
              <w:pStyle w:val="TableText"/>
            </w:pPr>
            <w:r w:rsidRPr="00D56BAE">
              <w:t>Cancel – does not contain bittering agent</w:t>
            </w:r>
          </w:p>
        </w:tc>
      </w:tr>
      <w:tr w:rsidR="00D56BAE" w:rsidRPr="00703922" w14:paraId="5070CC3B" w14:textId="77777777" w:rsidTr="00FF7579">
        <w:trPr>
          <w:trHeight w:val="288"/>
        </w:trPr>
        <w:tc>
          <w:tcPr>
            <w:tcW w:w="988" w:type="dxa"/>
            <w:noWrap/>
            <w:hideMark/>
          </w:tcPr>
          <w:p w14:paraId="48EDE249" w14:textId="77777777" w:rsidR="00D56BAE" w:rsidRPr="00D56BAE" w:rsidRDefault="00D56BAE" w:rsidP="00BA7F4F">
            <w:pPr>
              <w:pStyle w:val="TableText"/>
            </w:pPr>
            <w:r w:rsidRPr="00D56BAE">
              <w:t>63867</w:t>
            </w:r>
          </w:p>
        </w:tc>
        <w:tc>
          <w:tcPr>
            <w:tcW w:w="2273" w:type="dxa"/>
            <w:noWrap/>
            <w:hideMark/>
          </w:tcPr>
          <w:p w14:paraId="690EF271" w14:textId="4234201E" w:rsidR="00D56BAE" w:rsidRPr="00D56BAE" w:rsidRDefault="00FA5C20" w:rsidP="00BA7F4F">
            <w:pPr>
              <w:pStyle w:val="TableText"/>
            </w:pPr>
            <w:r w:rsidRPr="00D56BAE">
              <w:t>Surefire Pellets Rodenticide</w:t>
            </w:r>
          </w:p>
        </w:tc>
        <w:tc>
          <w:tcPr>
            <w:tcW w:w="1275" w:type="dxa"/>
          </w:tcPr>
          <w:p w14:paraId="7D77D6C7" w14:textId="77777777" w:rsidR="00D56BAE" w:rsidRPr="00D56BAE" w:rsidRDefault="00D56BAE" w:rsidP="00BA7F4F">
            <w:pPr>
              <w:pStyle w:val="TableText"/>
            </w:pPr>
            <w:r w:rsidRPr="00D56BAE">
              <w:t>0.05 g/kg</w:t>
            </w:r>
          </w:p>
        </w:tc>
        <w:tc>
          <w:tcPr>
            <w:tcW w:w="1980" w:type="dxa"/>
          </w:tcPr>
          <w:p w14:paraId="17862415" w14:textId="2F8C39B2" w:rsidR="00D56BAE" w:rsidRPr="00D56BAE" w:rsidRDefault="00FA5C20" w:rsidP="00BA7F4F">
            <w:pPr>
              <w:pStyle w:val="TableText"/>
            </w:pPr>
            <w:r w:rsidRPr="00D56BAE">
              <w:t>P</w:t>
            </w:r>
            <w:r>
              <w:t>CT</w:t>
            </w:r>
            <w:r w:rsidRPr="00D56BAE">
              <w:t xml:space="preserve"> Holdings Pty Ltd</w:t>
            </w:r>
          </w:p>
        </w:tc>
        <w:tc>
          <w:tcPr>
            <w:tcW w:w="3118" w:type="dxa"/>
          </w:tcPr>
          <w:p w14:paraId="43BAB7C4" w14:textId="431D7E48" w:rsidR="00D56BAE" w:rsidRPr="00D56BAE" w:rsidRDefault="00D56BAE" w:rsidP="00BA7F4F">
            <w:pPr>
              <w:pStyle w:val="TableText"/>
            </w:pPr>
            <w:r w:rsidRPr="00D56BAE">
              <w:t xml:space="preserve">Vary formulation type to RB – </w:t>
            </w:r>
            <w:r w:rsidR="005F4C05">
              <w:t>ready-to-use bait</w:t>
            </w:r>
          </w:p>
          <w:p w14:paraId="21A1AB9A" w14:textId="5E340BC1" w:rsidR="00D56BAE" w:rsidRPr="00D56BAE" w:rsidRDefault="00D56BAE" w:rsidP="00BA7F4F">
            <w:pPr>
              <w:pStyle w:val="TableText"/>
            </w:pPr>
            <w:r w:rsidRPr="00D56BAE">
              <w:t>Conditional registration: confirm source of active and formulation details of product</w:t>
            </w:r>
          </w:p>
        </w:tc>
      </w:tr>
      <w:tr w:rsidR="00D56BAE" w:rsidRPr="00703922" w14:paraId="79E28AA6" w14:textId="77777777" w:rsidTr="00FF7579">
        <w:trPr>
          <w:trHeight w:val="288"/>
        </w:trPr>
        <w:tc>
          <w:tcPr>
            <w:tcW w:w="988" w:type="dxa"/>
            <w:noWrap/>
            <w:hideMark/>
          </w:tcPr>
          <w:p w14:paraId="1257DBF6" w14:textId="77777777" w:rsidR="00D56BAE" w:rsidRPr="00D56BAE" w:rsidRDefault="00D56BAE" w:rsidP="00BA7F4F">
            <w:pPr>
              <w:pStyle w:val="TableText"/>
            </w:pPr>
            <w:r w:rsidRPr="00D56BAE">
              <w:lastRenderedPageBreak/>
              <w:t>63885</w:t>
            </w:r>
          </w:p>
        </w:tc>
        <w:tc>
          <w:tcPr>
            <w:tcW w:w="2273" w:type="dxa"/>
            <w:noWrap/>
            <w:hideMark/>
          </w:tcPr>
          <w:p w14:paraId="4F9E2EC1" w14:textId="5BCCF2DC" w:rsidR="00D56BAE" w:rsidRPr="00D56BAE" w:rsidRDefault="00FA5C20" w:rsidP="00BA7F4F">
            <w:pPr>
              <w:pStyle w:val="TableText"/>
            </w:pPr>
            <w:r w:rsidRPr="00D56BAE">
              <w:t>Mortein Kills Rats &amp; Mice and the Fleas They Carry Dual Action Throwpack</w:t>
            </w:r>
          </w:p>
        </w:tc>
        <w:tc>
          <w:tcPr>
            <w:tcW w:w="1275" w:type="dxa"/>
          </w:tcPr>
          <w:p w14:paraId="02747969" w14:textId="77777777" w:rsidR="00D56BAE" w:rsidRPr="00D56BAE" w:rsidRDefault="00D56BAE" w:rsidP="00BA7F4F">
            <w:pPr>
              <w:pStyle w:val="TableText"/>
            </w:pPr>
            <w:r w:rsidRPr="00D56BAE">
              <w:t>0.05 g/kg brodifacoum plus 0.04 g/kg fipronil for control of fleas carried by rats</w:t>
            </w:r>
          </w:p>
        </w:tc>
        <w:tc>
          <w:tcPr>
            <w:tcW w:w="1980" w:type="dxa"/>
          </w:tcPr>
          <w:p w14:paraId="2650DD98" w14:textId="08B62670" w:rsidR="00D56BAE" w:rsidRPr="00D56BAE" w:rsidRDefault="00FA5C20" w:rsidP="00BA7F4F">
            <w:pPr>
              <w:pStyle w:val="TableText"/>
            </w:pPr>
            <w:r w:rsidRPr="00D56BAE">
              <w:t>R</w:t>
            </w:r>
            <w:r>
              <w:t>B</w:t>
            </w:r>
            <w:r w:rsidRPr="00D56BAE">
              <w:t xml:space="preserve"> (Hygiene Home) Australia Pty Ltd</w:t>
            </w:r>
          </w:p>
        </w:tc>
        <w:tc>
          <w:tcPr>
            <w:tcW w:w="3118" w:type="dxa"/>
          </w:tcPr>
          <w:p w14:paraId="1E9831A0" w14:textId="3EA7C68F" w:rsidR="00D56BAE" w:rsidRPr="00D56BAE" w:rsidRDefault="00D56BAE" w:rsidP="00286653">
            <w:pPr>
              <w:pStyle w:val="TableText"/>
            </w:pPr>
            <w:r w:rsidRPr="00D56BAE">
              <w:t xml:space="preserve">Vary formulation type to RB – </w:t>
            </w:r>
            <w:r w:rsidR="005F4C05">
              <w:t>ready-to-use bait</w:t>
            </w:r>
          </w:p>
        </w:tc>
      </w:tr>
      <w:tr w:rsidR="00D56BAE" w:rsidRPr="00703922" w14:paraId="419DA21F" w14:textId="77777777" w:rsidTr="00FF7579">
        <w:trPr>
          <w:trHeight w:val="288"/>
        </w:trPr>
        <w:tc>
          <w:tcPr>
            <w:tcW w:w="988" w:type="dxa"/>
            <w:noWrap/>
            <w:hideMark/>
          </w:tcPr>
          <w:p w14:paraId="02EDFF84" w14:textId="77777777" w:rsidR="00D56BAE" w:rsidRPr="00D56BAE" w:rsidRDefault="00D56BAE" w:rsidP="00BA7F4F">
            <w:pPr>
              <w:pStyle w:val="TableText"/>
            </w:pPr>
            <w:r w:rsidRPr="00D56BAE">
              <w:t>65423</w:t>
            </w:r>
          </w:p>
        </w:tc>
        <w:tc>
          <w:tcPr>
            <w:tcW w:w="2273" w:type="dxa"/>
            <w:noWrap/>
            <w:hideMark/>
          </w:tcPr>
          <w:p w14:paraId="7F700C25" w14:textId="37E1EFDD" w:rsidR="00D56BAE" w:rsidRPr="00D56BAE" w:rsidRDefault="00FA5C20" w:rsidP="00BA7F4F">
            <w:pPr>
              <w:pStyle w:val="TableText"/>
            </w:pPr>
            <w:r w:rsidRPr="00D56BAE">
              <w:t>4</w:t>
            </w:r>
            <w:r>
              <w:t>F</w:t>
            </w:r>
            <w:r w:rsidRPr="00D56BAE">
              <w:t>armers Rat and Mouse Bait Pellets</w:t>
            </w:r>
          </w:p>
        </w:tc>
        <w:tc>
          <w:tcPr>
            <w:tcW w:w="1275" w:type="dxa"/>
          </w:tcPr>
          <w:p w14:paraId="088ED332" w14:textId="77777777" w:rsidR="00D56BAE" w:rsidRPr="00D56BAE" w:rsidRDefault="00D56BAE" w:rsidP="00BA7F4F">
            <w:pPr>
              <w:pStyle w:val="TableText"/>
            </w:pPr>
            <w:r w:rsidRPr="00D56BAE">
              <w:t>0.05 g/kg</w:t>
            </w:r>
          </w:p>
        </w:tc>
        <w:tc>
          <w:tcPr>
            <w:tcW w:w="1980" w:type="dxa"/>
          </w:tcPr>
          <w:p w14:paraId="6BF4B9F9" w14:textId="6F7E8E7F" w:rsidR="00D56BAE" w:rsidRPr="00D56BAE" w:rsidRDefault="00FA5C20" w:rsidP="00BA7F4F">
            <w:pPr>
              <w:pStyle w:val="TableText"/>
            </w:pPr>
            <w:r w:rsidRPr="00D56BAE">
              <w:t>4 Farmers Australia Pty Ltd</w:t>
            </w:r>
          </w:p>
        </w:tc>
        <w:tc>
          <w:tcPr>
            <w:tcW w:w="3118" w:type="dxa"/>
          </w:tcPr>
          <w:p w14:paraId="5B378773" w14:textId="0751E617" w:rsidR="00D56BAE" w:rsidRPr="00D56BAE" w:rsidRDefault="00D56BAE" w:rsidP="00BA7F4F">
            <w:pPr>
              <w:pStyle w:val="TableText"/>
            </w:pPr>
            <w:r w:rsidRPr="00D56BAE">
              <w:t>Cancel – does not contain dye</w:t>
            </w:r>
          </w:p>
        </w:tc>
      </w:tr>
      <w:tr w:rsidR="00D56BAE" w:rsidRPr="00703922" w14:paraId="4F3BDBC9" w14:textId="77777777" w:rsidTr="00FF7579">
        <w:trPr>
          <w:trHeight w:val="288"/>
        </w:trPr>
        <w:tc>
          <w:tcPr>
            <w:tcW w:w="988" w:type="dxa"/>
            <w:noWrap/>
            <w:hideMark/>
          </w:tcPr>
          <w:p w14:paraId="5761591A" w14:textId="77777777" w:rsidR="00D56BAE" w:rsidRPr="00D56BAE" w:rsidRDefault="00D56BAE" w:rsidP="00BA7F4F">
            <w:pPr>
              <w:pStyle w:val="TableText"/>
            </w:pPr>
            <w:r w:rsidRPr="00D56BAE">
              <w:t>65597</w:t>
            </w:r>
          </w:p>
        </w:tc>
        <w:tc>
          <w:tcPr>
            <w:tcW w:w="2273" w:type="dxa"/>
            <w:noWrap/>
            <w:hideMark/>
          </w:tcPr>
          <w:p w14:paraId="4CA40C1E" w14:textId="61207922" w:rsidR="00D56BAE" w:rsidRPr="00D56BAE" w:rsidRDefault="00FA5C20" w:rsidP="00BA7F4F">
            <w:pPr>
              <w:pStyle w:val="TableText"/>
            </w:pPr>
            <w:r w:rsidRPr="00D56BAE">
              <w:t>Imtrade Top Cat Rodenticide Wax Blocks</w:t>
            </w:r>
          </w:p>
        </w:tc>
        <w:tc>
          <w:tcPr>
            <w:tcW w:w="1275" w:type="dxa"/>
          </w:tcPr>
          <w:p w14:paraId="4C71B44A" w14:textId="77777777" w:rsidR="00D56BAE" w:rsidRPr="00D56BAE" w:rsidRDefault="00D56BAE" w:rsidP="00BA7F4F">
            <w:pPr>
              <w:pStyle w:val="TableText"/>
            </w:pPr>
            <w:r w:rsidRPr="00D56BAE">
              <w:t xml:space="preserve">0.05 g/kg </w:t>
            </w:r>
          </w:p>
        </w:tc>
        <w:tc>
          <w:tcPr>
            <w:tcW w:w="1980" w:type="dxa"/>
          </w:tcPr>
          <w:p w14:paraId="6932EB25" w14:textId="217988DB" w:rsidR="00D56BAE" w:rsidRPr="00D56BAE" w:rsidRDefault="00FA5C20" w:rsidP="00BA7F4F">
            <w:pPr>
              <w:pStyle w:val="TableText"/>
            </w:pPr>
            <w:r w:rsidRPr="00D56BAE">
              <w:t>Imtrade Australia Pty Ltd</w:t>
            </w:r>
          </w:p>
        </w:tc>
        <w:tc>
          <w:tcPr>
            <w:tcW w:w="3118" w:type="dxa"/>
          </w:tcPr>
          <w:p w14:paraId="45AD19F4" w14:textId="45793EB4" w:rsidR="00D56BAE" w:rsidRPr="00D56BAE" w:rsidRDefault="00D56BAE" w:rsidP="00286653">
            <w:pPr>
              <w:pStyle w:val="TableText"/>
            </w:pPr>
            <w:r w:rsidRPr="00D56BAE">
              <w:t xml:space="preserve">Vary formulation type to RB – </w:t>
            </w:r>
            <w:r w:rsidR="005F4C05">
              <w:t>ready-to-use bait</w:t>
            </w:r>
          </w:p>
        </w:tc>
      </w:tr>
      <w:tr w:rsidR="00D56BAE" w:rsidRPr="00703922" w14:paraId="285640EA" w14:textId="77777777" w:rsidTr="00FF7579">
        <w:trPr>
          <w:trHeight w:val="288"/>
        </w:trPr>
        <w:tc>
          <w:tcPr>
            <w:tcW w:w="988" w:type="dxa"/>
            <w:noWrap/>
            <w:hideMark/>
          </w:tcPr>
          <w:p w14:paraId="466B828A" w14:textId="77777777" w:rsidR="00D56BAE" w:rsidRPr="00D56BAE" w:rsidRDefault="00D56BAE" w:rsidP="00BA7F4F">
            <w:pPr>
              <w:pStyle w:val="TableText"/>
            </w:pPr>
            <w:r w:rsidRPr="00D56BAE">
              <w:t>66235</w:t>
            </w:r>
          </w:p>
        </w:tc>
        <w:tc>
          <w:tcPr>
            <w:tcW w:w="2273" w:type="dxa"/>
            <w:noWrap/>
            <w:hideMark/>
          </w:tcPr>
          <w:p w14:paraId="257BBDC7" w14:textId="1DEE8DC0" w:rsidR="00D56BAE" w:rsidRPr="00D56BAE" w:rsidRDefault="00FA5C20" w:rsidP="00BA7F4F">
            <w:pPr>
              <w:pStyle w:val="TableText"/>
            </w:pPr>
            <w:r w:rsidRPr="00D56BAE">
              <w:t>Rodenthor Block Rodenticide</w:t>
            </w:r>
          </w:p>
        </w:tc>
        <w:tc>
          <w:tcPr>
            <w:tcW w:w="1275" w:type="dxa"/>
          </w:tcPr>
          <w:p w14:paraId="172C4660" w14:textId="77777777" w:rsidR="00D56BAE" w:rsidRPr="00D56BAE" w:rsidRDefault="00D56BAE" w:rsidP="00BA7F4F">
            <w:pPr>
              <w:pStyle w:val="TableText"/>
            </w:pPr>
            <w:r w:rsidRPr="00D56BAE">
              <w:t xml:space="preserve">0.05 g/kg </w:t>
            </w:r>
          </w:p>
        </w:tc>
        <w:tc>
          <w:tcPr>
            <w:tcW w:w="1980" w:type="dxa"/>
          </w:tcPr>
          <w:p w14:paraId="341ACEDA" w14:textId="3876896E" w:rsidR="00D56BAE" w:rsidRPr="00D56BAE" w:rsidRDefault="00FA5C20" w:rsidP="00BA7F4F">
            <w:pPr>
              <w:pStyle w:val="TableText"/>
            </w:pPr>
            <w:r w:rsidRPr="00D56BAE">
              <w:t>Zapi S.P.A</w:t>
            </w:r>
          </w:p>
        </w:tc>
        <w:tc>
          <w:tcPr>
            <w:tcW w:w="3118" w:type="dxa"/>
          </w:tcPr>
          <w:p w14:paraId="1D6CC39F" w14:textId="0A6E94A7" w:rsidR="00D56BAE" w:rsidRPr="00D56BAE" w:rsidRDefault="00D56BAE" w:rsidP="00BA7F4F">
            <w:pPr>
              <w:pStyle w:val="TableText"/>
            </w:pPr>
            <w:r w:rsidRPr="00D56BAE">
              <w:t xml:space="preserve">Vary formulation type to RB – </w:t>
            </w:r>
            <w:r w:rsidR="005F4C05">
              <w:t>ready-to-use bait</w:t>
            </w:r>
          </w:p>
          <w:p w14:paraId="7A1818BF" w14:textId="062B7486" w:rsidR="00D56BAE" w:rsidRPr="00D56BAE" w:rsidRDefault="00D56BAE" w:rsidP="00BA7F4F">
            <w:pPr>
              <w:pStyle w:val="TableText"/>
            </w:pPr>
            <w:r w:rsidRPr="00D56BAE">
              <w:t>Conditional registration: confirm source of active and formulation details of product</w:t>
            </w:r>
          </w:p>
        </w:tc>
      </w:tr>
      <w:tr w:rsidR="00D56BAE" w:rsidRPr="00703922" w14:paraId="0D6E065C" w14:textId="77777777" w:rsidTr="00FF7579">
        <w:trPr>
          <w:trHeight w:val="288"/>
        </w:trPr>
        <w:tc>
          <w:tcPr>
            <w:tcW w:w="988" w:type="dxa"/>
            <w:noWrap/>
            <w:hideMark/>
          </w:tcPr>
          <w:p w14:paraId="10051A24" w14:textId="77777777" w:rsidR="00D56BAE" w:rsidRPr="00D56BAE" w:rsidRDefault="00D56BAE" w:rsidP="00BA7F4F">
            <w:pPr>
              <w:pStyle w:val="TableText"/>
            </w:pPr>
            <w:r w:rsidRPr="00D56BAE">
              <w:t>66331</w:t>
            </w:r>
          </w:p>
        </w:tc>
        <w:tc>
          <w:tcPr>
            <w:tcW w:w="2273" w:type="dxa"/>
            <w:noWrap/>
            <w:hideMark/>
          </w:tcPr>
          <w:p w14:paraId="2EC89558" w14:textId="74D25219" w:rsidR="00D56BAE" w:rsidRPr="00D56BAE" w:rsidRDefault="00FA5C20" w:rsidP="00BA7F4F">
            <w:pPr>
              <w:pStyle w:val="TableText"/>
            </w:pPr>
            <w:r w:rsidRPr="00D56BAE">
              <w:t>Rodenthor Soft Bait Rodenticide</w:t>
            </w:r>
          </w:p>
        </w:tc>
        <w:tc>
          <w:tcPr>
            <w:tcW w:w="1275" w:type="dxa"/>
          </w:tcPr>
          <w:p w14:paraId="601628A2" w14:textId="77777777" w:rsidR="00D56BAE" w:rsidRPr="00D56BAE" w:rsidRDefault="00D56BAE" w:rsidP="00BA7F4F">
            <w:pPr>
              <w:pStyle w:val="TableText"/>
            </w:pPr>
            <w:r w:rsidRPr="00D56BAE">
              <w:t xml:space="preserve">0.05 g/kg </w:t>
            </w:r>
          </w:p>
        </w:tc>
        <w:tc>
          <w:tcPr>
            <w:tcW w:w="1980" w:type="dxa"/>
          </w:tcPr>
          <w:p w14:paraId="1F2434B7" w14:textId="5E771E57" w:rsidR="00D56BAE" w:rsidRPr="00D56BAE" w:rsidRDefault="00FA5C20" w:rsidP="00BA7F4F">
            <w:pPr>
              <w:pStyle w:val="TableText"/>
            </w:pPr>
            <w:r w:rsidRPr="00D56BAE">
              <w:t>Zapi S.P.A</w:t>
            </w:r>
          </w:p>
        </w:tc>
        <w:tc>
          <w:tcPr>
            <w:tcW w:w="3118" w:type="dxa"/>
          </w:tcPr>
          <w:p w14:paraId="3212CFF3" w14:textId="02977283" w:rsidR="00D56BAE" w:rsidRPr="00D56BAE" w:rsidRDefault="00D56BAE" w:rsidP="00BA7F4F">
            <w:pPr>
              <w:pStyle w:val="TableText"/>
            </w:pPr>
            <w:r w:rsidRPr="00D56BAE">
              <w:t xml:space="preserve">Vary formulation type to RB – </w:t>
            </w:r>
            <w:r w:rsidR="005F4C05">
              <w:t>ready-to-use bait</w:t>
            </w:r>
          </w:p>
          <w:p w14:paraId="368781B5" w14:textId="27EFE65A" w:rsidR="00D56BAE" w:rsidRPr="00D56BAE" w:rsidRDefault="00D56BAE" w:rsidP="00BA7F4F">
            <w:pPr>
              <w:pStyle w:val="TableText"/>
            </w:pPr>
            <w:r w:rsidRPr="00D56BAE">
              <w:t>Conditional registration: confirm source of active and formulation details of product</w:t>
            </w:r>
          </w:p>
        </w:tc>
      </w:tr>
      <w:tr w:rsidR="00D56BAE" w:rsidRPr="00703922" w14:paraId="019FCA6E" w14:textId="77777777" w:rsidTr="00FF7579">
        <w:trPr>
          <w:trHeight w:val="288"/>
        </w:trPr>
        <w:tc>
          <w:tcPr>
            <w:tcW w:w="988" w:type="dxa"/>
            <w:noWrap/>
            <w:hideMark/>
          </w:tcPr>
          <w:p w14:paraId="50F6A1FB" w14:textId="77777777" w:rsidR="00D56BAE" w:rsidRPr="00D56BAE" w:rsidRDefault="00D56BAE" w:rsidP="00BA7F4F">
            <w:pPr>
              <w:pStyle w:val="TableText"/>
            </w:pPr>
            <w:r w:rsidRPr="00D56BAE">
              <w:t>67610</w:t>
            </w:r>
          </w:p>
        </w:tc>
        <w:tc>
          <w:tcPr>
            <w:tcW w:w="2273" w:type="dxa"/>
            <w:noWrap/>
            <w:hideMark/>
          </w:tcPr>
          <w:p w14:paraId="20B0FA9E" w14:textId="19649095" w:rsidR="00D56BAE" w:rsidRPr="00D56BAE" w:rsidRDefault="00FA5C20" w:rsidP="00BA7F4F">
            <w:pPr>
              <w:pStyle w:val="TableText"/>
            </w:pPr>
            <w:r w:rsidRPr="00D56BAE">
              <w:t>Ratsak Professional Pellets</w:t>
            </w:r>
          </w:p>
        </w:tc>
        <w:tc>
          <w:tcPr>
            <w:tcW w:w="1275" w:type="dxa"/>
          </w:tcPr>
          <w:p w14:paraId="408B5079" w14:textId="77777777" w:rsidR="00D56BAE" w:rsidRPr="00D56BAE" w:rsidRDefault="00D56BAE" w:rsidP="00BA7F4F">
            <w:pPr>
              <w:pStyle w:val="TableText"/>
            </w:pPr>
            <w:r w:rsidRPr="00D56BAE">
              <w:t>0.05 g/kg</w:t>
            </w:r>
          </w:p>
        </w:tc>
        <w:tc>
          <w:tcPr>
            <w:tcW w:w="1980" w:type="dxa"/>
          </w:tcPr>
          <w:p w14:paraId="687A30CD" w14:textId="4E929628" w:rsidR="00D56BAE" w:rsidRPr="00D56BAE" w:rsidRDefault="00FA5C20" w:rsidP="00BA7F4F">
            <w:pPr>
              <w:pStyle w:val="TableText"/>
            </w:pPr>
            <w:r w:rsidRPr="00D56BAE">
              <w:t>Duluxgroup (Australia) Pty Ltd</w:t>
            </w:r>
          </w:p>
        </w:tc>
        <w:tc>
          <w:tcPr>
            <w:tcW w:w="3118" w:type="dxa"/>
          </w:tcPr>
          <w:p w14:paraId="7D489F0F" w14:textId="0710B93A" w:rsidR="00D56BAE" w:rsidRPr="00D56BAE" w:rsidRDefault="00D56BAE" w:rsidP="00BA7F4F">
            <w:pPr>
              <w:pStyle w:val="TableText"/>
            </w:pPr>
            <w:r w:rsidRPr="00D56BAE">
              <w:t xml:space="preserve">Vary formulation type to RB – </w:t>
            </w:r>
            <w:r w:rsidR="005F4C05">
              <w:t>ready-to-use bait</w:t>
            </w:r>
          </w:p>
          <w:p w14:paraId="7D272617" w14:textId="2A9EBC0A" w:rsidR="00D56BAE" w:rsidRPr="00D56BAE" w:rsidRDefault="00D56BAE" w:rsidP="00BA7F4F">
            <w:pPr>
              <w:pStyle w:val="TableText"/>
            </w:pPr>
            <w:r w:rsidRPr="00D56BAE">
              <w:t>Conditional registration: confirm source of active and formulation details of product</w:t>
            </w:r>
          </w:p>
        </w:tc>
      </w:tr>
      <w:tr w:rsidR="00D56BAE" w:rsidRPr="00703922" w14:paraId="1E6C9A1F" w14:textId="77777777" w:rsidTr="00FF7579">
        <w:trPr>
          <w:trHeight w:val="288"/>
        </w:trPr>
        <w:tc>
          <w:tcPr>
            <w:tcW w:w="988" w:type="dxa"/>
            <w:noWrap/>
            <w:hideMark/>
          </w:tcPr>
          <w:p w14:paraId="6A257D21" w14:textId="77777777" w:rsidR="00D56BAE" w:rsidRPr="00D56BAE" w:rsidRDefault="00D56BAE" w:rsidP="00BA7F4F">
            <w:pPr>
              <w:pStyle w:val="TableText"/>
            </w:pPr>
            <w:r w:rsidRPr="00D56BAE">
              <w:t>67611</w:t>
            </w:r>
          </w:p>
        </w:tc>
        <w:tc>
          <w:tcPr>
            <w:tcW w:w="2273" w:type="dxa"/>
            <w:noWrap/>
            <w:hideMark/>
          </w:tcPr>
          <w:p w14:paraId="3B3E4A69" w14:textId="479FCD51" w:rsidR="00D56BAE" w:rsidRPr="00D56BAE" w:rsidRDefault="00FA5C20" w:rsidP="00BA7F4F">
            <w:pPr>
              <w:pStyle w:val="TableText"/>
            </w:pPr>
            <w:r w:rsidRPr="00D56BAE">
              <w:t>Ratsak Professional All Weather Wax Blocks</w:t>
            </w:r>
          </w:p>
        </w:tc>
        <w:tc>
          <w:tcPr>
            <w:tcW w:w="1275" w:type="dxa"/>
          </w:tcPr>
          <w:p w14:paraId="5FB960E7" w14:textId="77777777" w:rsidR="00D56BAE" w:rsidRPr="00D56BAE" w:rsidRDefault="00D56BAE" w:rsidP="00BA7F4F">
            <w:pPr>
              <w:pStyle w:val="TableText"/>
            </w:pPr>
            <w:r w:rsidRPr="00D56BAE">
              <w:t>0.05 g/kg</w:t>
            </w:r>
          </w:p>
        </w:tc>
        <w:tc>
          <w:tcPr>
            <w:tcW w:w="1980" w:type="dxa"/>
          </w:tcPr>
          <w:p w14:paraId="029EBEB5" w14:textId="11F5DF62" w:rsidR="00D56BAE" w:rsidRPr="00D56BAE" w:rsidRDefault="00FA5C20" w:rsidP="00BA7F4F">
            <w:pPr>
              <w:pStyle w:val="TableText"/>
            </w:pPr>
            <w:r w:rsidRPr="00D56BAE">
              <w:t>Duluxgroup (Australia) Pty Ltd</w:t>
            </w:r>
          </w:p>
        </w:tc>
        <w:tc>
          <w:tcPr>
            <w:tcW w:w="3118" w:type="dxa"/>
          </w:tcPr>
          <w:p w14:paraId="5DDB5AB6" w14:textId="279E8AF0" w:rsidR="00D56BAE" w:rsidRPr="00D56BAE" w:rsidRDefault="00D56BAE" w:rsidP="00BA7F4F">
            <w:pPr>
              <w:pStyle w:val="TableText"/>
            </w:pPr>
            <w:r w:rsidRPr="00D56BAE">
              <w:t xml:space="preserve">Vary formulation type to RB – </w:t>
            </w:r>
            <w:r w:rsidR="005F4C05">
              <w:t>ready-to-use bait</w:t>
            </w:r>
          </w:p>
          <w:p w14:paraId="66F4D28F" w14:textId="48D191D1" w:rsidR="00D56BAE" w:rsidRPr="00D56BAE" w:rsidRDefault="00D56BAE" w:rsidP="00BA7F4F">
            <w:pPr>
              <w:pStyle w:val="TableText"/>
            </w:pPr>
            <w:r w:rsidRPr="00D56BAE">
              <w:t>Conditional registration: confirm source of active and formulation details of product</w:t>
            </w:r>
          </w:p>
        </w:tc>
      </w:tr>
      <w:tr w:rsidR="00D56BAE" w:rsidRPr="00703922" w14:paraId="17A47597" w14:textId="77777777" w:rsidTr="00FF7579">
        <w:trPr>
          <w:trHeight w:val="288"/>
        </w:trPr>
        <w:tc>
          <w:tcPr>
            <w:tcW w:w="988" w:type="dxa"/>
            <w:noWrap/>
            <w:hideMark/>
          </w:tcPr>
          <w:p w14:paraId="47615048" w14:textId="77777777" w:rsidR="00D56BAE" w:rsidRPr="00D56BAE" w:rsidRDefault="00D56BAE" w:rsidP="00BA7F4F">
            <w:pPr>
              <w:pStyle w:val="TableText"/>
            </w:pPr>
            <w:r w:rsidRPr="00D56BAE">
              <w:t>67652</w:t>
            </w:r>
          </w:p>
        </w:tc>
        <w:tc>
          <w:tcPr>
            <w:tcW w:w="2273" w:type="dxa"/>
            <w:noWrap/>
            <w:hideMark/>
          </w:tcPr>
          <w:p w14:paraId="7B51BCC2" w14:textId="53FCAFB1" w:rsidR="00D56BAE" w:rsidRPr="00D56BAE" w:rsidRDefault="00FA5C20" w:rsidP="00BA7F4F">
            <w:pPr>
              <w:pStyle w:val="TableText"/>
            </w:pPr>
            <w:r w:rsidRPr="00D56BAE">
              <w:t>Fast Action Ratsak Waxblocks</w:t>
            </w:r>
          </w:p>
        </w:tc>
        <w:tc>
          <w:tcPr>
            <w:tcW w:w="1275" w:type="dxa"/>
          </w:tcPr>
          <w:p w14:paraId="09C3602E" w14:textId="77777777" w:rsidR="00D56BAE" w:rsidRPr="00D56BAE" w:rsidRDefault="00D56BAE" w:rsidP="00BA7F4F">
            <w:pPr>
              <w:pStyle w:val="TableText"/>
            </w:pPr>
            <w:r w:rsidRPr="00D56BAE">
              <w:t>0.05 g/kg</w:t>
            </w:r>
          </w:p>
        </w:tc>
        <w:tc>
          <w:tcPr>
            <w:tcW w:w="1980" w:type="dxa"/>
          </w:tcPr>
          <w:p w14:paraId="65389910" w14:textId="076C2789" w:rsidR="00D56BAE" w:rsidRPr="00D56BAE" w:rsidRDefault="00FA5C20" w:rsidP="00BA7F4F">
            <w:pPr>
              <w:pStyle w:val="TableText"/>
            </w:pPr>
            <w:r w:rsidRPr="00D56BAE">
              <w:t>Duluxgroup (Australia) Pty Ltd</w:t>
            </w:r>
          </w:p>
        </w:tc>
        <w:tc>
          <w:tcPr>
            <w:tcW w:w="3118" w:type="dxa"/>
          </w:tcPr>
          <w:p w14:paraId="25311D15" w14:textId="459709C0" w:rsidR="00D56BAE" w:rsidRPr="00D56BAE" w:rsidRDefault="00D56BAE" w:rsidP="00BA7F4F">
            <w:pPr>
              <w:pStyle w:val="TableText"/>
            </w:pPr>
            <w:r w:rsidRPr="00D56BAE">
              <w:t xml:space="preserve">Vary formulation type to RB – </w:t>
            </w:r>
            <w:r w:rsidR="005F4C05">
              <w:t>ready-to-use bait</w:t>
            </w:r>
          </w:p>
          <w:p w14:paraId="5137DADF" w14:textId="41056792" w:rsidR="00D56BAE" w:rsidRPr="00D56BAE" w:rsidRDefault="00D56BAE" w:rsidP="00BA7F4F">
            <w:pPr>
              <w:pStyle w:val="TableText"/>
            </w:pPr>
            <w:r w:rsidRPr="00D56BAE">
              <w:t>Conditional registration: confirm source of active and formulation details of product</w:t>
            </w:r>
          </w:p>
        </w:tc>
      </w:tr>
      <w:tr w:rsidR="00D56BAE" w:rsidRPr="00703922" w14:paraId="22685ED2" w14:textId="77777777" w:rsidTr="00FF7579">
        <w:trPr>
          <w:trHeight w:val="288"/>
        </w:trPr>
        <w:tc>
          <w:tcPr>
            <w:tcW w:w="988" w:type="dxa"/>
            <w:noWrap/>
            <w:hideMark/>
          </w:tcPr>
          <w:p w14:paraId="1B3FED3C" w14:textId="77777777" w:rsidR="00D56BAE" w:rsidRPr="00D56BAE" w:rsidRDefault="00D56BAE" w:rsidP="00BA7F4F">
            <w:pPr>
              <w:pStyle w:val="TableText"/>
            </w:pPr>
            <w:r w:rsidRPr="00D56BAE">
              <w:t>68021</w:t>
            </w:r>
          </w:p>
        </w:tc>
        <w:tc>
          <w:tcPr>
            <w:tcW w:w="2273" w:type="dxa"/>
            <w:noWrap/>
            <w:hideMark/>
          </w:tcPr>
          <w:p w14:paraId="7E7CE64B" w14:textId="60F91515" w:rsidR="00D56BAE" w:rsidRPr="00D56BAE" w:rsidRDefault="00FA5C20" w:rsidP="00BA7F4F">
            <w:pPr>
              <w:pStyle w:val="TableText"/>
            </w:pPr>
            <w:r w:rsidRPr="00D56BAE">
              <w:t>Brigand Rodenticide Paste</w:t>
            </w:r>
          </w:p>
        </w:tc>
        <w:tc>
          <w:tcPr>
            <w:tcW w:w="1275" w:type="dxa"/>
          </w:tcPr>
          <w:p w14:paraId="189BC0BD" w14:textId="77777777" w:rsidR="00D56BAE" w:rsidRPr="00D56BAE" w:rsidRDefault="00D56BAE" w:rsidP="00BA7F4F">
            <w:pPr>
              <w:pStyle w:val="TableText"/>
            </w:pPr>
            <w:r w:rsidRPr="00D56BAE">
              <w:t>0.05 g/kg</w:t>
            </w:r>
          </w:p>
        </w:tc>
        <w:tc>
          <w:tcPr>
            <w:tcW w:w="1980" w:type="dxa"/>
          </w:tcPr>
          <w:p w14:paraId="1EB941F6" w14:textId="28028EB1" w:rsidR="00D56BAE" w:rsidRPr="0039473D" w:rsidRDefault="00FA5C20" w:rsidP="00BA7F4F">
            <w:pPr>
              <w:pStyle w:val="TableText"/>
              <w:rPr>
                <w:lang w:val="de-CH"/>
              </w:rPr>
            </w:pPr>
            <w:r w:rsidRPr="0039473D">
              <w:rPr>
                <w:lang w:val="de-CH"/>
              </w:rPr>
              <w:t>Pelgar International (Aus) Pty Ltd</w:t>
            </w:r>
          </w:p>
        </w:tc>
        <w:tc>
          <w:tcPr>
            <w:tcW w:w="3118" w:type="dxa"/>
          </w:tcPr>
          <w:p w14:paraId="01F422F2" w14:textId="576768AA" w:rsidR="00D56BAE" w:rsidRPr="00D56BAE" w:rsidRDefault="00D56BAE" w:rsidP="00286653">
            <w:pPr>
              <w:pStyle w:val="TableText"/>
            </w:pPr>
            <w:r w:rsidRPr="00D56BAE">
              <w:t xml:space="preserve">Vary formulation type to RB – </w:t>
            </w:r>
            <w:r w:rsidR="005F4C05">
              <w:t>ready-to-use bait</w:t>
            </w:r>
          </w:p>
        </w:tc>
      </w:tr>
      <w:tr w:rsidR="00D56BAE" w:rsidRPr="00703922" w14:paraId="4993679A" w14:textId="77777777" w:rsidTr="00FF7579">
        <w:trPr>
          <w:trHeight w:val="288"/>
        </w:trPr>
        <w:tc>
          <w:tcPr>
            <w:tcW w:w="988" w:type="dxa"/>
            <w:noWrap/>
            <w:hideMark/>
          </w:tcPr>
          <w:p w14:paraId="190A62DA" w14:textId="77777777" w:rsidR="00D56BAE" w:rsidRPr="00D56BAE" w:rsidRDefault="00D56BAE" w:rsidP="00BA7F4F">
            <w:pPr>
              <w:pStyle w:val="TableText"/>
            </w:pPr>
            <w:r w:rsidRPr="00D56BAE">
              <w:t>68025</w:t>
            </w:r>
          </w:p>
        </w:tc>
        <w:tc>
          <w:tcPr>
            <w:tcW w:w="2273" w:type="dxa"/>
            <w:noWrap/>
            <w:hideMark/>
          </w:tcPr>
          <w:p w14:paraId="3E7F0064" w14:textId="076718E4" w:rsidR="00D56BAE" w:rsidRPr="00D56BAE" w:rsidRDefault="00FA5C20" w:rsidP="00BA7F4F">
            <w:pPr>
              <w:pStyle w:val="TableText"/>
            </w:pPr>
            <w:r w:rsidRPr="00D56BAE">
              <w:t>Brigand Rodenticide Blocks</w:t>
            </w:r>
          </w:p>
        </w:tc>
        <w:tc>
          <w:tcPr>
            <w:tcW w:w="1275" w:type="dxa"/>
          </w:tcPr>
          <w:p w14:paraId="293EC2D6" w14:textId="77777777" w:rsidR="00D56BAE" w:rsidRPr="00D56BAE" w:rsidRDefault="00D56BAE" w:rsidP="00BA7F4F">
            <w:pPr>
              <w:pStyle w:val="TableText"/>
            </w:pPr>
            <w:r w:rsidRPr="00D56BAE">
              <w:t>0.05 g/kg</w:t>
            </w:r>
          </w:p>
        </w:tc>
        <w:tc>
          <w:tcPr>
            <w:tcW w:w="1980" w:type="dxa"/>
          </w:tcPr>
          <w:p w14:paraId="3B6CC43A" w14:textId="0F917397" w:rsidR="00D56BAE" w:rsidRPr="0039473D" w:rsidRDefault="00FA5C20" w:rsidP="00BA7F4F">
            <w:pPr>
              <w:pStyle w:val="TableText"/>
              <w:rPr>
                <w:lang w:val="de-CH"/>
              </w:rPr>
            </w:pPr>
            <w:r w:rsidRPr="0039473D">
              <w:rPr>
                <w:lang w:val="de-CH"/>
              </w:rPr>
              <w:t>Pelgar International (Aus) Pty Ltd</w:t>
            </w:r>
          </w:p>
        </w:tc>
        <w:tc>
          <w:tcPr>
            <w:tcW w:w="3118" w:type="dxa"/>
          </w:tcPr>
          <w:p w14:paraId="6501D35F" w14:textId="35272377" w:rsidR="00D56BAE" w:rsidRPr="00D56BAE" w:rsidRDefault="00D56BAE" w:rsidP="00286653">
            <w:pPr>
              <w:pStyle w:val="TableText"/>
            </w:pPr>
            <w:r w:rsidRPr="00D56BAE">
              <w:t xml:space="preserve">Vary formulation type to RB – </w:t>
            </w:r>
            <w:r w:rsidR="005F4C05">
              <w:t>ready-to-use bait</w:t>
            </w:r>
          </w:p>
        </w:tc>
      </w:tr>
      <w:tr w:rsidR="00D56BAE" w:rsidRPr="00703922" w14:paraId="21C0ABF2" w14:textId="77777777" w:rsidTr="00FF7579">
        <w:trPr>
          <w:trHeight w:val="288"/>
        </w:trPr>
        <w:tc>
          <w:tcPr>
            <w:tcW w:w="988" w:type="dxa"/>
            <w:noWrap/>
            <w:hideMark/>
          </w:tcPr>
          <w:p w14:paraId="36FA6107" w14:textId="77777777" w:rsidR="00D56BAE" w:rsidRPr="00D56BAE" w:rsidRDefault="00D56BAE" w:rsidP="00BA7F4F">
            <w:pPr>
              <w:pStyle w:val="TableText"/>
            </w:pPr>
            <w:r w:rsidRPr="00D56BAE">
              <w:t>68028</w:t>
            </w:r>
          </w:p>
        </w:tc>
        <w:tc>
          <w:tcPr>
            <w:tcW w:w="2273" w:type="dxa"/>
            <w:noWrap/>
            <w:hideMark/>
          </w:tcPr>
          <w:p w14:paraId="3E691A77" w14:textId="47830010" w:rsidR="00D56BAE" w:rsidRPr="00D56BAE" w:rsidRDefault="00FA5C20" w:rsidP="00BA7F4F">
            <w:pPr>
              <w:pStyle w:val="TableText"/>
            </w:pPr>
            <w:r w:rsidRPr="00D56BAE">
              <w:t>Brigand Rodenticide Pellets</w:t>
            </w:r>
          </w:p>
        </w:tc>
        <w:tc>
          <w:tcPr>
            <w:tcW w:w="1275" w:type="dxa"/>
          </w:tcPr>
          <w:p w14:paraId="612927A9" w14:textId="77777777" w:rsidR="00D56BAE" w:rsidRPr="00D56BAE" w:rsidRDefault="00D56BAE" w:rsidP="00BA7F4F">
            <w:pPr>
              <w:pStyle w:val="TableText"/>
            </w:pPr>
            <w:r w:rsidRPr="00D56BAE">
              <w:t>0.05 g/kg</w:t>
            </w:r>
          </w:p>
        </w:tc>
        <w:tc>
          <w:tcPr>
            <w:tcW w:w="1980" w:type="dxa"/>
          </w:tcPr>
          <w:p w14:paraId="550EC886" w14:textId="1DA0FC21" w:rsidR="00D56BAE" w:rsidRPr="0039473D" w:rsidRDefault="00FA5C20" w:rsidP="00BA7F4F">
            <w:pPr>
              <w:pStyle w:val="TableText"/>
              <w:rPr>
                <w:lang w:val="de-CH"/>
              </w:rPr>
            </w:pPr>
            <w:r w:rsidRPr="0039473D">
              <w:rPr>
                <w:lang w:val="de-CH"/>
              </w:rPr>
              <w:t>Pelgar International (Aus) Pty Ltd</w:t>
            </w:r>
          </w:p>
        </w:tc>
        <w:tc>
          <w:tcPr>
            <w:tcW w:w="3118" w:type="dxa"/>
          </w:tcPr>
          <w:p w14:paraId="0EDAE6D1" w14:textId="3FF19B86" w:rsidR="00D56BAE" w:rsidRPr="00D56BAE" w:rsidRDefault="00D56BAE" w:rsidP="00286653">
            <w:pPr>
              <w:pStyle w:val="TableText"/>
            </w:pPr>
            <w:r w:rsidRPr="00D56BAE">
              <w:t xml:space="preserve">Vary formulation type to RB – </w:t>
            </w:r>
            <w:r w:rsidR="005F4C05">
              <w:t>ready-to-use bait</w:t>
            </w:r>
          </w:p>
        </w:tc>
      </w:tr>
      <w:tr w:rsidR="00D56BAE" w:rsidRPr="00703922" w14:paraId="71FAA88E" w14:textId="77777777" w:rsidTr="00FF7579">
        <w:trPr>
          <w:trHeight w:val="288"/>
        </w:trPr>
        <w:tc>
          <w:tcPr>
            <w:tcW w:w="988" w:type="dxa"/>
            <w:noWrap/>
            <w:hideMark/>
          </w:tcPr>
          <w:p w14:paraId="7791229A" w14:textId="77777777" w:rsidR="00D56BAE" w:rsidRPr="00D56BAE" w:rsidRDefault="00D56BAE" w:rsidP="00BA7F4F">
            <w:pPr>
              <w:pStyle w:val="TableText"/>
            </w:pPr>
            <w:r w:rsidRPr="00D56BAE">
              <w:lastRenderedPageBreak/>
              <w:t>68122</w:t>
            </w:r>
          </w:p>
        </w:tc>
        <w:tc>
          <w:tcPr>
            <w:tcW w:w="2273" w:type="dxa"/>
            <w:noWrap/>
            <w:hideMark/>
          </w:tcPr>
          <w:p w14:paraId="15E956EC" w14:textId="12827D36" w:rsidR="00D56BAE" w:rsidRPr="00D56BAE" w:rsidRDefault="00FA5C20" w:rsidP="00BA7F4F">
            <w:pPr>
              <w:pStyle w:val="TableText"/>
            </w:pPr>
            <w:r w:rsidRPr="00D56BAE">
              <w:t>Pestmaster Rat &amp; Mouse Killer Wax Blocks</w:t>
            </w:r>
          </w:p>
        </w:tc>
        <w:tc>
          <w:tcPr>
            <w:tcW w:w="1275" w:type="dxa"/>
          </w:tcPr>
          <w:p w14:paraId="33B861A5" w14:textId="77777777" w:rsidR="00D56BAE" w:rsidRPr="00D56BAE" w:rsidRDefault="00D56BAE" w:rsidP="00BA7F4F">
            <w:pPr>
              <w:pStyle w:val="TableText"/>
            </w:pPr>
            <w:r w:rsidRPr="00D56BAE">
              <w:t>0.05 g/kg</w:t>
            </w:r>
          </w:p>
        </w:tc>
        <w:tc>
          <w:tcPr>
            <w:tcW w:w="1980" w:type="dxa"/>
          </w:tcPr>
          <w:p w14:paraId="4482F46B" w14:textId="351A9E7E" w:rsidR="00D56BAE" w:rsidRPr="00D56BAE" w:rsidRDefault="00FA5C20" w:rsidP="00BA7F4F">
            <w:pPr>
              <w:pStyle w:val="TableText"/>
            </w:pPr>
            <w:r w:rsidRPr="00D56BAE">
              <w:t>Triox Pty. Ltd.</w:t>
            </w:r>
          </w:p>
        </w:tc>
        <w:tc>
          <w:tcPr>
            <w:tcW w:w="3118" w:type="dxa"/>
          </w:tcPr>
          <w:p w14:paraId="63E3584F" w14:textId="398860AD" w:rsidR="00D56BAE" w:rsidRPr="00D56BAE" w:rsidRDefault="00D56BAE" w:rsidP="00286653">
            <w:pPr>
              <w:pStyle w:val="TableText"/>
            </w:pPr>
            <w:r w:rsidRPr="00D56BAE">
              <w:t xml:space="preserve">Vary formulation type to RB – </w:t>
            </w:r>
            <w:r w:rsidR="005F4C05">
              <w:t>ready-to-use bait</w:t>
            </w:r>
          </w:p>
        </w:tc>
      </w:tr>
      <w:tr w:rsidR="00D56BAE" w:rsidRPr="00703922" w14:paraId="4CBB05CC" w14:textId="77777777" w:rsidTr="00FF7579">
        <w:trPr>
          <w:trHeight w:val="288"/>
        </w:trPr>
        <w:tc>
          <w:tcPr>
            <w:tcW w:w="988" w:type="dxa"/>
            <w:noWrap/>
            <w:hideMark/>
          </w:tcPr>
          <w:p w14:paraId="38213CFB" w14:textId="77777777" w:rsidR="00D56BAE" w:rsidRPr="00D56BAE" w:rsidRDefault="00D56BAE" w:rsidP="00BA7F4F">
            <w:pPr>
              <w:pStyle w:val="TableText"/>
            </w:pPr>
            <w:r w:rsidRPr="00D56BAE">
              <w:t>69017</w:t>
            </w:r>
          </w:p>
        </w:tc>
        <w:tc>
          <w:tcPr>
            <w:tcW w:w="2273" w:type="dxa"/>
            <w:noWrap/>
            <w:hideMark/>
          </w:tcPr>
          <w:p w14:paraId="6E2D4A83" w14:textId="1EC774B9" w:rsidR="00D56BAE" w:rsidRPr="00D56BAE" w:rsidRDefault="00FA5C20" w:rsidP="00BA7F4F">
            <w:pPr>
              <w:pStyle w:val="TableText"/>
            </w:pPr>
            <w:r w:rsidRPr="00D56BAE">
              <w:t>Fast Action Ratsak Reusable Mouse Bait Station with Wax Blocks</w:t>
            </w:r>
          </w:p>
        </w:tc>
        <w:tc>
          <w:tcPr>
            <w:tcW w:w="1275" w:type="dxa"/>
          </w:tcPr>
          <w:p w14:paraId="5A9081EB" w14:textId="77777777" w:rsidR="00D56BAE" w:rsidRPr="00D56BAE" w:rsidRDefault="00D56BAE" w:rsidP="00BA7F4F">
            <w:pPr>
              <w:pStyle w:val="TableText"/>
            </w:pPr>
            <w:r w:rsidRPr="00D56BAE">
              <w:t>0.05 g/kg</w:t>
            </w:r>
          </w:p>
        </w:tc>
        <w:tc>
          <w:tcPr>
            <w:tcW w:w="1980" w:type="dxa"/>
          </w:tcPr>
          <w:p w14:paraId="43614334" w14:textId="63CE8EAA" w:rsidR="00D56BAE" w:rsidRPr="00D56BAE" w:rsidRDefault="00FA5C20" w:rsidP="00BA7F4F">
            <w:pPr>
              <w:pStyle w:val="TableText"/>
            </w:pPr>
            <w:r w:rsidRPr="00D56BAE">
              <w:t>Duluxgroup (Australia) Pty Ltd</w:t>
            </w:r>
          </w:p>
        </w:tc>
        <w:tc>
          <w:tcPr>
            <w:tcW w:w="3118" w:type="dxa"/>
          </w:tcPr>
          <w:p w14:paraId="4A3B794D" w14:textId="7A76343E" w:rsidR="00D56BAE" w:rsidRPr="00D56BAE" w:rsidRDefault="00D56BAE" w:rsidP="00BA7F4F">
            <w:pPr>
              <w:pStyle w:val="TableText"/>
            </w:pPr>
            <w:r w:rsidRPr="00D56BAE">
              <w:t xml:space="preserve">Vary formulation type to RB – </w:t>
            </w:r>
            <w:r w:rsidR="005F4C05">
              <w:t>ready-to-use bait</w:t>
            </w:r>
          </w:p>
          <w:p w14:paraId="0FC4CD5A" w14:textId="1944074A" w:rsidR="00D56BAE" w:rsidRPr="00D56BAE" w:rsidRDefault="00D56BAE" w:rsidP="00BA7F4F">
            <w:pPr>
              <w:pStyle w:val="TableText"/>
            </w:pPr>
            <w:r w:rsidRPr="00D56BAE">
              <w:t>Conditional registration: confirm source of active and formulation details of product</w:t>
            </w:r>
          </w:p>
        </w:tc>
      </w:tr>
      <w:tr w:rsidR="00D56BAE" w:rsidRPr="00703922" w14:paraId="37423F86" w14:textId="77777777" w:rsidTr="00FF7579">
        <w:trPr>
          <w:trHeight w:val="288"/>
        </w:trPr>
        <w:tc>
          <w:tcPr>
            <w:tcW w:w="988" w:type="dxa"/>
            <w:noWrap/>
            <w:hideMark/>
          </w:tcPr>
          <w:p w14:paraId="3DDA3981" w14:textId="77777777" w:rsidR="00D56BAE" w:rsidRPr="00D56BAE" w:rsidRDefault="00D56BAE" w:rsidP="00BA7F4F">
            <w:pPr>
              <w:pStyle w:val="TableText"/>
            </w:pPr>
            <w:r w:rsidRPr="00D56BAE">
              <w:t>69119</w:t>
            </w:r>
          </w:p>
        </w:tc>
        <w:tc>
          <w:tcPr>
            <w:tcW w:w="2273" w:type="dxa"/>
            <w:noWrap/>
            <w:hideMark/>
          </w:tcPr>
          <w:p w14:paraId="77DCCDE5" w14:textId="1D82BA95" w:rsidR="00D56BAE" w:rsidRPr="00D56BAE" w:rsidRDefault="00FA5C20" w:rsidP="00BA7F4F">
            <w:pPr>
              <w:pStyle w:val="TableText"/>
            </w:pPr>
            <w:r w:rsidRPr="00D56BAE">
              <w:t>Fast Action Ratsak Reusable Rodent Bait Station with Wax Blocks</w:t>
            </w:r>
          </w:p>
        </w:tc>
        <w:tc>
          <w:tcPr>
            <w:tcW w:w="1275" w:type="dxa"/>
          </w:tcPr>
          <w:p w14:paraId="6CD3C7B2" w14:textId="77777777" w:rsidR="00D56BAE" w:rsidRPr="00D56BAE" w:rsidRDefault="00D56BAE" w:rsidP="00BA7F4F">
            <w:pPr>
              <w:pStyle w:val="TableText"/>
            </w:pPr>
            <w:r w:rsidRPr="00D56BAE">
              <w:t>0.05 g/kg</w:t>
            </w:r>
          </w:p>
        </w:tc>
        <w:tc>
          <w:tcPr>
            <w:tcW w:w="1980" w:type="dxa"/>
          </w:tcPr>
          <w:p w14:paraId="33EF10F4" w14:textId="7A8A1488" w:rsidR="00D56BAE" w:rsidRPr="00D56BAE" w:rsidRDefault="00FA5C20" w:rsidP="00BA7F4F">
            <w:pPr>
              <w:pStyle w:val="TableText"/>
            </w:pPr>
            <w:r w:rsidRPr="00D56BAE">
              <w:t>Duluxgroup (Australia) Pty Ltd</w:t>
            </w:r>
          </w:p>
        </w:tc>
        <w:tc>
          <w:tcPr>
            <w:tcW w:w="3118" w:type="dxa"/>
          </w:tcPr>
          <w:p w14:paraId="18AA887B" w14:textId="7C126605" w:rsidR="00D56BAE" w:rsidRPr="00D56BAE" w:rsidRDefault="00D56BAE" w:rsidP="00BA7F4F">
            <w:pPr>
              <w:pStyle w:val="TableText"/>
            </w:pPr>
            <w:r w:rsidRPr="00D56BAE">
              <w:t xml:space="preserve">Vary formulation type to RB – </w:t>
            </w:r>
            <w:r w:rsidR="005F4C05">
              <w:t>ready-to-use bait</w:t>
            </w:r>
          </w:p>
          <w:p w14:paraId="7912F1F1" w14:textId="3EE786E4" w:rsidR="00D56BAE" w:rsidRPr="00D56BAE" w:rsidRDefault="00D56BAE" w:rsidP="00BA7F4F">
            <w:pPr>
              <w:pStyle w:val="TableText"/>
            </w:pPr>
            <w:r w:rsidRPr="00D56BAE">
              <w:t>Conditional registration: confirm source of active and formulation details of product</w:t>
            </w:r>
          </w:p>
        </w:tc>
      </w:tr>
      <w:tr w:rsidR="00D56BAE" w:rsidRPr="00703922" w14:paraId="1FE3FA2A" w14:textId="77777777" w:rsidTr="00FF7579">
        <w:trPr>
          <w:trHeight w:val="288"/>
        </w:trPr>
        <w:tc>
          <w:tcPr>
            <w:tcW w:w="988" w:type="dxa"/>
            <w:noWrap/>
            <w:hideMark/>
          </w:tcPr>
          <w:p w14:paraId="038BD0B3" w14:textId="77777777" w:rsidR="00D56BAE" w:rsidRPr="00D56BAE" w:rsidRDefault="00D56BAE" w:rsidP="00BA7F4F">
            <w:pPr>
              <w:pStyle w:val="TableText"/>
            </w:pPr>
            <w:r w:rsidRPr="00D56BAE">
              <w:t>69158</w:t>
            </w:r>
          </w:p>
        </w:tc>
        <w:tc>
          <w:tcPr>
            <w:tcW w:w="2273" w:type="dxa"/>
            <w:noWrap/>
            <w:hideMark/>
          </w:tcPr>
          <w:p w14:paraId="25D20E6A" w14:textId="16EF0A3C" w:rsidR="00D56BAE" w:rsidRPr="00D56BAE" w:rsidRDefault="00FA5C20" w:rsidP="00BA7F4F">
            <w:pPr>
              <w:pStyle w:val="TableText"/>
            </w:pPr>
            <w:r w:rsidRPr="00D56BAE">
              <w:t>Fast Action Ratsak Disposable Mouse Bait Station with Wax Block</w:t>
            </w:r>
          </w:p>
        </w:tc>
        <w:tc>
          <w:tcPr>
            <w:tcW w:w="1275" w:type="dxa"/>
          </w:tcPr>
          <w:p w14:paraId="067FB282" w14:textId="77777777" w:rsidR="00D56BAE" w:rsidRPr="00D56BAE" w:rsidRDefault="00D56BAE" w:rsidP="00BA7F4F">
            <w:pPr>
              <w:pStyle w:val="TableText"/>
            </w:pPr>
            <w:r w:rsidRPr="00D56BAE">
              <w:t>0.05 g/kg</w:t>
            </w:r>
          </w:p>
        </w:tc>
        <w:tc>
          <w:tcPr>
            <w:tcW w:w="1980" w:type="dxa"/>
          </w:tcPr>
          <w:p w14:paraId="04EB2E09" w14:textId="7A1AEE8E" w:rsidR="00D56BAE" w:rsidRPr="00D56BAE" w:rsidRDefault="00FA5C20" w:rsidP="00BA7F4F">
            <w:pPr>
              <w:pStyle w:val="TableText"/>
            </w:pPr>
            <w:r w:rsidRPr="00D56BAE">
              <w:t>Duluxgroup (Australia) Pty Ltd</w:t>
            </w:r>
          </w:p>
        </w:tc>
        <w:tc>
          <w:tcPr>
            <w:tcW w:w="3118" w:type="dxa"/>
          </w:tcPr>
          <w:p w14:paraId="658A1802" w14:textId="71B2E56E" w:rsidR="00D56BAE" w:rsidRPr="00D56BAE" w:rsidRDefault="00D56BAE" w:rsidP="00BA7F4F">
            <w:pPr>
              <w:pStyle w:val="TableText"/>
            </w:pPr>
            <w:r w:rsidRPr="00D56BAE">
              <w:t xml:space="preserve">Vary formulation type to RB – </w:t>
            </w:r>
            <w:r w:rsidR="005F4C05">
              <w:t>ready-to-use bait</w:t>
            </w:r>
          </w:p>
          <w:p w14:paraId="21EA768D" w14:textId="3B8F7D6C" w:rsidR="00D56BAE" w:rsidRPr="00D56BAE" w:rsidRDefault="00D56BAE" w:rsidP="00BA7F4F">
            <w:pPr>
              <w:pStyle w:val="TableText"/>
            </w:pPr>
            <w:r w:rsidRPr="00D56BAE">
              <w:t>Conditional registration: confirm source of active and formulation details of product</w:t>
            </w:r>
          </w:p>
        </w:tc>
      </w:tr>
      <w:tr w:rsidR="00D56BAE" w:rsidRPr="00703922" w14:paraId="20160CBE" w14:textId="77777777" w:rsidTr="00FF7579">
        <w:trPr>
          <w:trHeight w:val="288"/>
        </w:trPr>
        <w:tc>
          <w:tcPr>
            <w:tcW w:w="988" w:type="dxa"/>
            <w:noWrap/>
            <w:hideMark/>
          </w:tcPr>
          <w:p w14:paraId="0800E14C" w14:textId="77777777" w:rsidR="00D56BAE" w:rsidRPr="00D56BAE" w:rsidRDefault="00D56BAE" w:rsidP="00BA7F4F">
            <w:pPr>
              <w:pStyle w:val="TableText"/>
            </w:pPr>
            <w:r w:rsidRPr="00D56BAE">
              <w:t>69209</w:t>
            </w:r>
          </w:p>
        </w:tc>
        <w:tc>
          <w:tcPr>
            <w:tcW w:w="2273" w:type="dxa"/>
            <w:noWrap/>
            <w:hideMark/>
          </w:tcPr>
          <w:p w14:paraId="24CFD164" w14:textId="6B90ABFD" w:rsidR="00D56BAE" w:rsidRPr="00D56BAE" w:rsidRDefault="00FA5C20" w:rsidP="00BA7F4F">
            <w:pPr>
              <w:pStyle w:val="TableText"/>
            </w:pPr>
            <w:r w:rsidRPr="00D56BAE">
              <w:t>Ratshot Rapidkill Rodenticide Blocks</w:t>
            </w:r>
          </w:p>
        </w:tc>
        <w:tc>
          <w:tcPr>
            <w:tcW w:w="1275" w:type="dxa"/>
          </w:tcPr>
          <w:p w14:paraId="53A0A652" w14:textId="77777777" w:rsidR="00D56BAE" w:rsidRPr="00D56BAE" w:rsidRDefault="00D56BAE" w:rsidP="00BA7F4F">
            <w:pPr>
              <w:pStyle w:val="TableText"/>
            </w:pPr>
            <w:r w:rsidRPr="00D56BAE">
              <w:t>0.05 g/kg</w:t>
            </w:r>
          </w:p>
        </w:tc>
        <w:tc>
          <w:tcPr>
            <w:tcW w:w="1980" w:type="dxa"/>
          </w:tcPr>
          <w:p w14:paraId="54866C9C" w14:textId="60B8D80E" w:rsidR="00D56BAE" w:rsidRPr="00D56BAE" w:rsidRDefault="00FA5C20" w:rsidP="00BA7F4F">
            <w:pPr>
              <w:pStyle w:val="TableText"/>
            </w:pPr>
            <w:r w:rsidRPr="00D56BAE">
              <w:t>Freezone Public Health Pty Ltd</w:t>
            </w:r>
          </w:p>
        </w:tc>
        <w:tc>
          <w:tcPr>
            <w:tcW w:w="3118" w:type="dxa"/>
          </w:tcPr>
          <w:p w14:paraId="429F51DC" w14:textId="32E832E1" w:rsidR="00D56BAE" w:rsidRPr="00D56BAE" w:rsidRDefault="00D56BAE" w:rsidP="00286653">
            <w:pPr>
              <w:pStyle w:val="TableText"/>
            </w:pPr>
            <w:r w:rsidRPr="00D56BAE">
              <w:t xml:space="preserve">Vary formulation type to RB – </w:t>
            </w:r>
            <w:r w:rsidR="005F4C05">
              <w:t>ready-to-use bait</w:t>
            </w:r>
          </w:p>
        </w:tc>
      </w:tr>
      <w:tr w:rsidR="00D56BAE" w:rsidRPr="00703922" w14:paraId="1AD87EE1" w14:textId="77777777" w:rsidTr="00FF7579">
        <w:trPr>
          <w:trHeight w:val="288"/>
        </w:trPr>
        <w:tc>
          <w:tcPr>
            <w:tcW w:w="988" w:type="dxa"/>
            <w:noWrap/>
            <w:hideMark/>
          </w:tcPr>
          <w:p w14:paraId="08F398FD" w14:textId="77777777" w:rsidR="00D56BAE" w:rsidRPr="00D56BAE" w:rsidRDefault="00D56BAE" w:rsidP="00BA7F4F">
            <w:pPr>
              <w:pStyle w:val="TableText"/>
            </w:pPr>
            <w:r w:rsidRPr="00D56BAE">
              <w:t>69210</w:t>
            </w:r>
          </w:p>
        </w:tc>
        <w:tc>
          <w:tcPr>
            <w:tcW w:w="2273" w:type="dxa"/>
            <w:noWrap/>
            <w:hideMark/>
          </w:tcPr>
          <w:p w14:paraId="0440CBB9" w14:textId="5F083E8F" w:rsidR="00D56BAE" w:rsidRPr="00D56BAE" w:rsidRDefault="00FA5C20" w:rsidP="00BA7F4F">
            <w:pPr>
              <w:pStyle w:val="TableText"/>
            </w:pPr>
            <w:r w:rsidRPr="00D56BAE">
              <w:t>Ratshot Final Kill Paste Rodenticide</w:t>
            </w:r>
          </w:p>
        </w:tc>
        <w:tc>
          <w:tcPr>
            <w:tcW w:w="1275" w:type="dxa"/>
          </w:tcPr>
          <w:p w14:paraId="44D43952" w14:textId="77777777" w:rsidR="00D56BAE" w:rsidRPr="00D56BAE" w:rsidRDefault="00D56BAE" w:rsidP="00BA7F4F">
            <w:pPr>
              <w:pStyle w:val="TableText"/>
            </w:pPr>
            <w:r w:rsidRPr="00D56BAE">
              <w:t>0.05 g/kg</w:t>
            </w:r>
          </w:p>
        </w:tc>
        <w:tc>
          <w:tcPr>
            <w:tcW w:w="1980" w:type="dxa"/>
          </w:tcPr>
          <w:p w14:paraId="08C47EE7" w14:textId="3B8230F9" w:rsidR="00D56BAE" w:rsidRPr="00D56BAE" w:rsidRDefault="00FA5C20" w:rsidP="00BA7F4F">
            <w:pPr>
              <w:pStyle w:val="TableText"/>
            </w:pPr>
            <w:r w:rsidRPr="00D56BAE">
              <w:t>Freezone Public Health Pty Ltd</w:t>
            </w:r>
          </w:p>
        </w:tc>
        <w:tc>
          <w:tcPr>
            <w:tcW w:w="3118" w:type="dxa"/>
          </w:tcPr>
          <w:p w14:paraId="24E96E51" w14:textId="17C44ED4" w:rsidR="00D56BAE" w:rsidRPr="00D56BAE" w:rsidRDefault="00D56BAE" w:rsidP="00286653">
            <w:pPr>
              <w:pStyle w:val="TableText"/>
            </w:pPr>
            <w:r w:rsidRPr="00D56BAE">
              <w:t xml:space="preserve">Vary formulation type to RB – </w:t>
            </w:r>
            <w:r w:rsidR="005F4C05">
              <w:t>ready-to-use bait</w:t>
            </w:r>
          </w:p>
        </w:tc>
      </w:tr>
      <w:tr w:rsidR="00D56BAE" w:rsidRPr="00703922" w14:paraId="64E90699" w14:textId="77777777" w:rsidTr="00FF7579">
        <w:trPr>
          <w:trHeight w:val="288"/>
        </w:trPr>
        <w:tc>
          <w:tcPr>
            <w:tcW w:w="988" w:type="dxa"/>
            <w:noWrap/>
            <w:hideMark/>
          </w:tcPr>
          <w:p w14:paraId="33B595C8" w14:textId="77777777" w:rsidR="00D56BAE" w:rsidRPr="00D56BAE" w:rsidRDefault="00D56BAE" w:rsidP="00BA7F4F">
            <w:pPr>
              <w:pStyle w:val="TableText"/>
            </w:pPr>
            <w:r w:rsidRPr="00D56BAE">
              <w:t>69643</w:t>
            </w:r>
          </w:p>
        </w:tc>
        <w:tc>
          <w:tcPr>
            <w:tcW w:w="2273" w:type="dxa"/>
            <w:noWrap/>
            <w:hideMark/>
          </w:tcPr>
          <w:p w14:paraId="583FD6A6" w14:textId="22A6FABE" w:rsidR="00D56BAE" w:rsidRPr="00D56BAE" w:rsidRDefault="00FA5C20" w:rsidP="00BA7F4F">
            <w:pPr>
              <w:pStyle w:val="TableText"/>
            </w:pPr>
            <w:r w:rsidRPr="00D56BAE">
              <w:t>Ratal B Rat Blocks</w:t>
            </w:r>
          </w:p>
        </w:tc>
        <w:tc>
          <w:tcPr>
            <w:tcW w:w="1275" w:type="dxa"/>
          </w:tcPr>
          <w:p w14:paraId="241A729A" w14:textId="77777777" w:rsidR="00D56BAE" w:rsidRPr="00D56BAE" w:rsidRDefault="00D56BAE" w:rsidP="00BA7F4F">
            <w:pPr>
              <w:pStyle w:val="TableText"/>
            </w:pPr>
            <w:r w:rsidRPr="00D56BAE">
              <w:t>0.05 g/kg</w:t>
            </w:r>
          </w:p>
        </w:tc>
        <w:tc>
          <w:tcPr>
            <w:tcW w:w="1980" w:type="dxa"/>
          </w:tcPr>
          <w:p w14:paraId="5E87BCD0" w14:textId="60126658" w:rsidR="00D56BAE" w:rsidRPr="00D56BAE" w:rsidRDefault="00FA5C20" w:rsidP="00BA7F4F">
            <w:pPr>
              <w:pStyle w:val="TableText"/>
            </w:pPr>
            <w:r w:rsidRPr="00D56BAE">
              <w:t>Oztec Rural Pty Limited</w:t>
            </w:r>
          </w:p>
        </w:tc>
        <w:tc>
          <w:tcPr>
            <w:tcW w:w="3118" w:type="dxa"/>
          </w:tcPr>
          <w:p w14:paraId="1CD20526" w14:textId="10F4BB5B" w:rsidR="00D56BAE" w:rsidRPr="00D56BAE" w:rsidRDefault="00D56BAE" w:rsidP="00286653">
            <w:pPr>
              <w:pStyle w:val="TableText"/>
            </w:pPr>
            <w:r w:rsidRPr="00D56BAE">
              <w:t xml:space="preserve">Vary formulation type to RB – </w:t>
            </w:r>
            <w:r w:rsidR="005F4C05">
              <w:t>ready-to-use bait</w:t>
            </w:r>
          </w:p>
        </w:tc>
      </w:tr>
      <w:tr w:rsidR="00D56BAE" w:rsidRPr="00703922" w14:paraId="0D16B51F" w14:textId="77777777" w:rsidTr="00FF7579">
        <w:trPr>
          <w:trHeight w:val="288"/>
        </w:trPr>
        <w:tc>
          <w:tcPr>
            <w:tcW w:w="988" w:type="dxa"/>
            <w:noWrap/>
            <w:hideMark/>
          </w:tcPr>
          <w:p w14:paraId="5AAF042E" w14:textId="77777777" w:rsidR="00D56BAE" w:rsidRPr="00D56BAE" w:rsidRDefault="00D56BAE" w:rsidP="00BA7F4F">
            <w:pPr>
              <w:pStyle w:val="TableText"/>
            </w:pPr>
            <w:r w:rsidRPr="00D56BAE">
              <w:t>69867</w:t>
            </w:r>
          </w:p>
        </w:tc>
        <w:tc>
          <w:tcPr>
            <w:tcW w:w="2273" w:type="dxa"/>
            <w:noWrap/>
            <w:hideMark/>
          </w:tcPr>
          <w:p w14:paraId="0740486F" w14:textId="5886FBCB" w:rsidR="00D56BAE" w:rsidRPr="00D56BAE" w:rsidRDefault="00FA5C20" w:rsidP="00BA7F4F">
            <w:pPr>
              <w:pStyle w:val="TableText"/>
            </w:pPr>
            <w:r w:rsidRPr="00D56BAE">
              <w:t>Klerat X</w:t>
            </w:r>
            <w:r>
              <w:t>T</w:t>
            </w:r>
            <w:r w:rsidRPr="00D56BAE">
              <w:t xml:space="preserve"> Pro Rodenticide Wax Blocks</w:t>
            </w:r>
          </w:p>
        </w:tc>
        <w:tc>
          <w:tcPr>
            <w:tcW w:w="1275" w:type="dxa"/>
          </w:tcPr>
          <w:p w14:paraId="48277722" w14:textId="77777777" w:rsidR="00D56BAE" w:rsidRPr="00D56BAE" w:rsidRDefault="00D56BAE" w:rsidP="00BA7F4F">
            <w:pPr>
              <w:pStyle w:val="TableText"/>
            </w:pPr>
            <w:r w:rsidRPr="00D56BAE">
              <w:t>0.05 g/kg</w:t>
            </w:r>
          </w:p>
        </w:tc>
        <w:tc>
          <w:tcPr>
            <w:tcW w:w="1980" w:type="dxa"/>
          </w:tcPr>
          <w:p w14:paraId="35B24888" w14:textId="737FBAC7" w:rsidR="00D56BAE" w:rsidRPr="00D56BAE" w:rsidRDefault="00FA5C20" w:rsidP="00BA7F4F">
            <w:pPr>
              <w:pStyle w:val="TableText"/>
            </w:pPr>
            <w:r w:rsidRPr="00D56BAE">
              <w:t>Syngenta Australia Pty Ltd</w:t>
            </w:r>
          </w:p>
        </w:tc>
        <w:tc>
          <w:tcPr>
            <w:tcW w:w="3118" w:type="dxa"/>
          </w:tcPr>
          <w:p w14:paraId="14E83F01" w14:textId="6110DA67" w:rsidR="00D56BAE" w:rsidRPr="00D56BAE" w:rsidRDefault="00D56BAE" w:rsidP="00286653">
            <w:pPr>
              <w:pStyle w:val="TableText"/>
            </w:pPr>
            <w:r w:rsidRPr="00D56BAE">
              <w:t xml:space="preserve">Vary formulation type to RB – </w:t>
            </w:r>
            <w:r w:rsidR="005F4C05">
              <w:t>ready-to-use bait</w:t>
            </w:r>
          </w:p>
        </w:tc>
      </w:tr>
      <w:tr w:rsidR="00D56BAE" w:rsidRPr="00703922" w14:paraId="56393937" w14:textId="77777777" w:rsidTr="00FF7579">
        <w:trPr>
          <w:trHeight w:val="288"/>
        </w:trPr>
        <w:tc>
          <w:tcPr>
            <w:tcW w:w="988" w:type="dxa"/>
            <w:noWrap/>
            <w:hideMark/>
          </w:tcPr>
          <w:p w14:paraId="3B2F1398" w14:textId="77777777" w:rsidR="00D56BAE" w:rsidRPr="00D56BAE" w:rsidRDefault="00D56BAE" w:rsidP="00BA7F4F">
            <w:pPr>
              <w:pStyle w:val="TableText"/>
            </w:pPr>
            <w:r w:rsidRPr="00D56BAE">
              <w:t>69942</w:t>
            </w:r>
          </w:p>
        </w:tc>
        <w:tc>
          <w:tcPr>
            <w:tcW w:w="2273" w:type="dxa"/>
            <w:noWrap/>
            <w:hideMark/>
          </w:tcPr>
          <w:p w14:paraId="180F83F1" w14:textId="574B51DA" w:rsidR="00D56BAE" w:rsidRPr="00D56BAE" w:rsidRDefault="00FA5C20" w:rsidP="00BA7F4F">
            <w:pPr>
              <w:pStyle w:val="TableText"/>
            </w:pPr>
            <w:r w:rsidRPr="00D56BAE">
              <w:t>Farmalinx Rodi Wax Blocks</w:t>
            </w:r>
          </w:p>
        </w:tc>
        <w:tc>
          <w:tcPr>
            <w:tcW w:w="1275" w:type="dxa"/>
          </w:tcPr>
          <w:p w14:paraId="2645603C" w14:textId="77777777" w:rsidR="00D56BAE" w:rsidRPr="00D56BAE" w:rsidRDefault="00D56BAE" w:rsidP="00BA7F4F">
            <w:pPr>
              <w:pStyle w:val="TableText"/>
            </w:pPr>
            <w:r w:rsidRPr="00D56BAE">
              <w:t>0.05 g/kg</w:t>
            </w:r>
          </w:p>
        </w:tc>
        <w:tc>
          <w:tcPr>
            <w:tcW w:w="1980" w:type="dxa"/>
          </w:tcPr>
          <w:p w14:paraId="616CC354" w14:textId="1202E11A" w:rsidR="00D56BAE" w:rsidRPr="00D56BAE" w:rsidRDefault="00FA5C20" w:rsidP="00BA7F4F">
            <w:pPr>
              <w:pStyle w:val="TableText"/>
            </w:pPr>
            <w:r w:rsidRPr="00D56BAE">
              <w:t>Farmalinx Pty Ltd</w:t>
            </w:r>
          </w:p>
        </w:tc>
        <w:tc>
          <w:tcPr>
            <w:tcW w:w="3118" w:type="dxa"/>
          </w:tcPr>
          <w:p w14:paraId="3A8E02E5" w14:textId="13954B0C" w:rsidR="00D56BAE" w:rsidRPr="00D56BAE" w:rsidRDefault="00D56BAE" w:rsidP="00BA7F4F">
            <w:pPr>
              <w:pStyle w:val="TableText"/>
            </w:pPr>
            <w:r w:rsidRPr="00D56BAE">
              <w:t>Cancel – does not contain bittering agent</w:t>
            </w:r>
          </w:p>
        </w:tc>
      </w:tr>
      <w:tr w:rsidR="00D56BAE" w:rsidRPr="00703922" w14:paraId="4868427B" w14:textId="77777777" w:rsidTr="00FF7579">
        <w:trPr>
          <w:trHeight w:val="288"/>
        </w:trPr>
        <w:tc>
          <w:tcPr>
            <w:tcW w:w="988" w:type="dxa"/>
            <w:noWrap/>
            <w:hideMark/>
          </w:tcPr>
          <w:p w14:paraId="6C54D0DD" w14:textId="77777777" w:rsidR="00D56BAE" w:rsidRPr="00D56BAE" w:rsidRDefault="00D56BAE" w:rsidP="00BA7F4F">
            <w:pPr>
              <w:pStyle w:val="TableText"/>
            </w:pPr>
            <w:r w:rsidRPr="00D56BAE">
              <w:t>80029</w:t>
            </w:r>
          </w:p>
        </w:tc>
        <w:tc>
          <w:tcPr>
            <w:tcW w:w="2273" w:type="dxa"/>
            <w:noWrap/>
            <w:hideMark/>
          </w:tcPr>
          <w:p w14:paraId="0CDD9EFB" w14:textId="4F4DE010" w:rsidR="00D56BAE" w:rsidRPr="00D56BAE" w:rsidRDefault="00FA5C20" w:rsidP="00BA7F4F">
            <w:pPr>
              <w:pStyle w:val="TableText"/>
            </w:pPr>
            <w:r w:rsidRPr="00D56BAE">
              <w:t>Ratshot One Shot Rodenticide Pellets</w:t>
            </w:r>
          </w:p>
        </w:tc>
        <w:tc>
          <w:tcPr>
            <w:tcW w:w="1275" w:type="dxa"/>
          </w:tcPr>
          <w:p w14:paraId="2D28BDDB" w14:textId="77777777" w:rsidR="00D56BAE" w:rsidRPr="00D56BAE" w:rsidRDefault="00D56BAE" w:rsidP="00BA7F4F">
            <w:pPr>
              <w:pStyle w:val="TableText"/>
            </w:pPr>
            <w:r w:rsidRPr="00D56BAE">
              <w:t>0.05 g/kg</w:t>
            </w:r>
          </w:p>
        </w:tc>
        <w:tc>
          <w:tcPr>
            <w:tcW w:w="1980" w:type="dxa"/>
          </w:tcPr>
          <w:p w14:paraId="05453257" w14:textId="087AC3AE" w:rsidR="00D56BAE" w:rsidRPr="00D56BAE" w:rsidRDefault="00FA5C20" w:rsidP="00BA7F4F">
            <w:pPr>
              <w:pStyle w:val="TableText"/>
            </w:pPr>
            <w:r w:rsidRPr="00D56BAE">
              <w:t>Freezone Public Health Pty Ltd</w:t>
            </w:r>
          </w:p>
        </w:tc>
        <w:tc>
          <w:tcPr>
            <w:tcW w:w="3118" w:type="dxa"/>
          </w:tcPr>
          <w:p w14:paraId="4C4CA167" w14:textId="5E9794E2" w:rsidR="00D56BAE" w:rsidRPr="00D56BAE" w:rsidRDefault="00D56BAE" w:rsidP="00286653">
            <w:pPr>
              <w:pStyle w:val="TableText"/>
            </w:pPr>
            <w:r w:rsidRPr="00D56BAE">
              <w:t xml:space="preserve">Vary formulation type to RB – </w:t>
            </w:r>
            <w:r w:rsidR="005F4C05">
              <w:t>ready-to-use bait</w:t>
            </w:r>
          </w:p>
        </w:tc>
      </w:tr>
      <w:tr w:rsidR="00D56BAE" w:rsidRPr="00703922" w14:paraId="22A36C0B" w14:textId="77777777" w:rsidTr="00FF7579">
        <w:trPr>
          <w:trHeight w:val="288"/>
        </w:trPr>
        <w:tc>
          <w:tcPr>
            <w:tcW w:w="988" w:type="dxa"/>
            <w:noWrap/>
            <w:hideMark/>
          </w:tcPr>
          <w:p w14:paraId="62CB3D93" w14:textId="77777777" w:rsidR="00D56BAE" w:rsidRPr="00D56BAE" w:rsidRDefault="00D56BAE" w:rsidP="00BA7F4F">
            <w:pPr>
              <w:pStyle w:val="TableText"/>
            </w:pPr>
            <w:r w:rsidRPr="00D56BAE">
              <w:t>80059</w:t>
            </w:r>
          </w:p>
        </w:tc>
        <w:tc>
          <w:tcPr>
            <w:tcW w:w="2273" w:type="dxa"/>
            <w:noWrap/>
            <w:hideMark/>
          </w:tcPr>
          <w:p w14:paraId="2A0628E4" w14:textId="77777777" w:rsidR="00D56BAE" w:rsidRPr="00D56BAE" w:rsidRDefault="00D56BAE" w:rsidP="00BA7F4F">
            <w:pPr>
              <w:pStyle w:val="TableText"/>
            </w:pPr>
            <w:r w:rsidRPr="00D56BAE">
              <w:t>Farmalinx RoDi Pellets</w:t>
            </w:r>
          </w:p>
        </w:tc>
        <w:tc>
          <w:tcPr>
            <w:tcW w:w="1275" w:type="dxa"/>
          </w:tcPr>
          <w:p w14:paraId="495B694D" w14:textId="77777777" w:rsidR="00D56BAE" w:rsidRPr="00D56BAE" w:rsidRDefault="00D56BAE" w:rsidP="00BA7F4F">
            <w:pPr>
              <w:pStyle w:val="TableText"/>
            </w:pPr>
            <w:r w:rsidRPr="00D56BAE">
              <w:t>0.05 g/kg</w:t>
            </w:r>
          </w:p>
        </w:tc>
        <w:tc>
          <w:tcPr>
            <w:tcW w:w="1980" w:type="dxa"/>
          </w:tcPr>
          <w:p w14:paraId="4E56AF8C" w14:textId="00F29B00" w:rsidR="00D56BAE" w:rsidRPr="00D56BAE" w:rsidRDefault="00FA5C20" w:rsidP="00BA7F4F">
            <w:pPr>
              <w:pStyle w:val="TableText"/>
            </w:pPr>
            <w:r w:rsidRPr="00D56BAE">
              <w:t>Farmalinx Pty Ltd</w:t>
            </w:r>
          </w:p>
        </w:tc>
        <w:tc>
          <w:tcPr>
            <w:tcW w:w="3118" w:type="dxa"/>
          </w:tcPr>
          <w:p w14:paraId="4FAFA8B9" w14:textId="127CCA4C" w:rsidR="00D56BAE" w:rsidRPr="00D56BAE" w:rsidRDefault="00D56BAE" w:rsidP="00BA7F4F">
            <w:pPr>
              <w:pStyle w:val="TableText"/>
            </w:pPr>
            <w:r w:rsidRPr="00D56BAE">
              <w:t xml:space="preserve">Vary formulation type to RB – </w:t>
            </w:r>
            <w:r w:rsidR="005F4C05">
              <w:t>ready-to-use bait</w:t>
            </w:r>
          </w:p>
          <w:p w14:paraId="42939421" w14:textId="267FF10F" w:rsidR="00D56BAE" w:rsidRPr="00D56BAE" w:rsidRDefault="00D56BAE" w:rsidP="00BA7F4F">
            <w:pPr>
              <w:pStyle w:val="TableText"/>
            </w:pPr>
            <w:r w:rsidRPr="00D56BAE">
              <w:t>Conditional registration: confirm source of active and formulation details of product</w:t>
            </w:r>
          </w:p>
        </w:tc>
      </w:tr>
      <w:tr w:rsidR="00D56BAE" w:rsidRPr="00703922" w14:paraId="70DF927F" w14:textId="77777777" w:rsidTr="00FF7579">
        <w:trPr>
          <w:trHeight w:val="288"/>
        </w:trPr>
        <w:tc>
          <w:tcPr>
            <w:tcW w:w="988" w:type="dxa"/>
            <w:noWrap/>
            <w:hideMark/>
          </w:tcPr>
          <w:p w14:paraId="7274A8BA" w14:textId="77777777" w:rsidR="00D56BAE" w:rsidRPr="00D56BAE" w:rsidRDefault="00D56BAE" w:rsidP="00BA7F4F">
            <w:pPr>
              <w:pStyle w:val="TableText"/>
            </w:pPr>
            <w:r w:rsidRPr="00D56BAE">
              <w:t>81663</w:t>
            </w:r>
          </w:p>
        </w:tc>
        <w:tc>
          <w:tcPr>
            <w:tcW w:w="2273" w:type="dxa"/>
            <w:noWrap/>
            <w:hideMark/>
          </w:tcPr>
          <w:p w14:paraId="0079D365" w14:textId="77777777" w:rsidR="00D56BAE" w:rsidRPr="00D56BAE" w:rsidRDefault="00D56BAE" w:rsidP="00BA7F4F">
            <w:pPr>
              <w:pStyle w:val="TableText"/>
            </w:pPr>
            <w:r w:rsidRPr="00D56BAE">
              <w:t>The Big Cheese Ultra Power Fast Action Bait Blocks</w:t>
            </w:r>
          </w:p>
        </w:tc>
        <w:tc>
          <w:tcPr>
            <w:tcW w:w="1275" w:type="dxa"/>
          </w:tcPr>
          <w:p w14:paraId="5CAF8BDA" w14:textId="77777777" w:rsidR="00D56BAE" w:rsidRPr="00D56BAE" w:rsidRDefault="00D56BAE" w:rsidP="00BA7F4F">
            <w:pPr>
              <w:pStyle w:val="TableText"/>
            </w:pPr>
            <w:r w:rsidRPr="00D56BAE">
              <w:t>0.05 g/kg</w:t>
            </w:r>
          </w:p>
        </w:tc>
        <w:tc>
          <w:tcPr>
            <w:tcW w:w="1980" w:type="dxa"/>
          </w:tcPr>
          <w:p w14:paraId="108A946A" w14:textId="5301DF6E" w:rsidR="00D56BAE" w:rsidRPr="0039473D" w:rsidRDefault="00FA5C20" w:rsidP="00BA7F4F">
            <w:pPr>
              <w:pStyle w:val="TableText"/>
              <w:rPr>
                <w:lang w:val="de-CH"/>
              </w:rPr>
            </w:pPr>
            <w:r w:rsidRPr="0039473D">
              <w:rPr>
                <w:lang w:val="de-CH"/>
              </w:rPr>
              <w:t>Pelgar International (Aus) Pty Ltd</w:t>
            </w:r>
          </w:p>
        </w:tc>
        <w:tc>
          <w:tcPr>
            <w:tcW w:w="3118" w:type="dxa"/>
          </w:tcPr>
          <w:p w14:paraId="3B784339" w14:textId="58698958" w:rsidR="00D56BAE" w:rsidRPr="00D56BAE" w:rsidRDefault="00D56BAE" w:rsidP="00BA7F4F">
            <w:pPr>
              <w:pStyle w:val="TableText"/>
            </w:pPr>
            <w:r w:rsidRPr="00D56BAE">
              <w:t xml:space="preserve">Vary formulation type to RB – </w:t>
            </w:r>
            <w:r w:rsidR="005F4C05">
              <w:t>ready-to-use bait</w:t>
            </w:r>
          </w:p>
        </w:tc>
      </w:tr>
      <w:tr w:rsidR="00D56BAE" w:rsidRPr="00703922" w14:paraId="3878624F" w14:textId="77777777" w:rsidTr="00FF7579">
        <w:trPr>
          <w:trHeight w:val="288"/>
        </w:trPr>
        <w:tc>
          <w:tcPr>
            <w:tcW w:w="988" w:type="dxa"/>
            <w:noWrap/>
            <w:hideMark/>
          </w:tcPr>
          <w:p w14:paraId="4C04072D" w14:textId="77777777" w:rsidR="00D56BAE" w:rsidRPr="00D56BAE" w:rsidRDefault="00D56BAE" w:rsidP="00BA7F4F">
            <w:pPr>
              <w:pStyle w:val="TableText"/>
            </w:pPr>
            <w:r w:rsidRPr="00D56BAE">
              <w:t>81664</w:t>
            </w:r>
          </w:p>
        </w:tc>
        <w:tc>
          <w:tcPr>
            <w:tcW w:w="2273" w:type="dxa"/>
            <w:noWrap/>
            <w:hideMark/>
          </w:tcPr>
          <w:p w14:paraId="519418B2" w14:textId="77777777" w:rsidR="00D56BAE" w:rsidRPr="00D56BAE" w:rsidRDefault="00D56BAE" w:rsidP="00BA7F4F">
            <w:pPr>
              <w:pStyle w:val="TableText"/>
            </w:pPr>
            <w:r w:rsidRPr="00D56BAE">
              <w:t>The Big Cheese Ultra Power Rat Kill Bait Station</w:t>
            </w:r>
          </w:p>
        </w:tc>
        <w:tc>
          <w:tcPr>
            <w:tcW w:w="1275" w:type="dxa"/>
          </w:tcPr>
          <w:p w14:paraId="39844C37" w14:textId="77777777" w:rsidR="00D56BAE" w:rsidRPr="00D56BAE" w:rsidRDefault="00D56BAE" w:rsidP="00BA7F4F">
            <w:pPr>
              <w:pStyle w:val="TableText"/>
            </w:pPr>
            <w:r w:rsidRPr="00D56BAE">
              <w:t>0.05 g/kg</w:t>
            </w:r>
          </w:p>
        </w:tc>
        <w:tc>
          <w:tcPr>
            <w:tcW w:w="1980" w:type="dxa"/>
          </w:tcPr>
          <w:p w14:paraId="6CA214C0" w14:textId="3FC2F42D" w:rsidR="00D56BAE" w:rsidRPr="0039473D" w:rsidRDefault="00FA5C20" w:rsidP="00BA7F4F">
            <w:pPr>
              <w:pStyle w:val="TableText"/>
              <w:rPr>
                <w:lang w:val="de-CH"/>
              </w:rPr>
            </w:pPr>
            <w:r w:rsidRPr="0039473D">
              <w:rPr>
                <w:lang w:val="de-CH"/>
              </w:rPr>
              <w:t>Pelgar International (Aus) Pty Ltd</w:t>
            </w:r>
          </w:p>
        </w:tc>
        <w:tc>
          <w:tcPr>
            <w:tcW w:w="3118" w:type="dxa"/>
          </w:tcPr>
          <w:p w14:paraId="146F54E2" w14:textId="7551A2BA" w:rsidR="00D56BAE" w:rsidRPr="00D56BAE" w:rsidRDefault="00D56BAE" w:rsidP="00BA7F4F">
            <w:pPr>
              <w:pStyle w:val="TableText"/>
            </w:pPr>
            <w:r w:rsidRPr="00D56BAE">
              <w:t xml:space="preserve">Vary formulation type to RB – </w:t>
            </w:r>
            <w:r w:rsidR="005F4C05">
              <w:t>ready-to-use bait</w:t>
            </w:r>
          </w:p>
        </w:tc>
      </w:tr>
      <w:tr w:rsidR="00D56BAE" w:rsidRPr="00703922" w14:paraId="6DE67F83" w14:textId="77777777" w:rsidTr="00FF7579">
        <w:trPr>
          <w:trHeight w:val="288"/>
        </w:trPr>
        <w:tc>
          <w:tcPr>
            <w:tcW w:w="988" w:type="dxa"/>
            <w:noWrap/>
            <w:hideMark/>
          </w:tcPr>
          <w:p w14:paraId="7D604F1B" w14:textId="77777777" w:rsidR="00D56BAE" w:rsidRPr="00D56BAE" w:rsidRDefault="00D56BAE" w:rsidP="00BA7F4F">
            <w:pPr>
              <w:pStyle w:val="TableText"/>
            </w:pPr>
            <w:r w:rsidRPr="00D56BAE">
              <w:lastRenderedPageBreak/>
              <w:t>81665</w:t>
            </w:r>
          </w:p>
        </w:tc>
        <w:tc>
          <w:tcPr>
            <w:tcW w:w="2273" w:type="dxa"/>
            <w:noWrap/>
            <w:hideMark/>
          </w:tcPr>
          <w:p w14:paraId="72C7B9EA" w14:textId="77777777" w:rsidR="00D56BAE" w:rsidRPr="00D56BAE" w:rsidRDefault="00D56BAE" w:rsidP="00BA7F4F">
            <w:pPr>
              <w:pStyle w:val="TableText"/>
            </w:pPr>
            <w:r w:rsidRPr="00D56BAE">
              <w:t>The Big Cheese Ultra Power Mouse Kill Bait Station</w:t>
            </w:r>
          </w:p>
        </w:tc>
        <w:tc>
          <w:tcPr>
            <w:tcW w:w="1275" w:type="dxa"/>
          </w:tcPr>
          <w:p w14:paraId="733430A1" w14:textId="77777777" w:rsidR="00D56BAE" w:rsidRPr="00D56BAE" w:rsidRDefault="00D56BAE" w:rsidP="00BA7F4F">
            <w:pPr>
              <w:pStyle w:val="TableText"/>
            </w:pPr>
            <w:r w:rsidRPr="00D56BAE">
              <w:t>0.05 g/kg</w:t>
            </w:r>
          </w:p>
        </w:tc>
        <w:tc>
          <w:tcPr>
            <w:tcW w:w="1980" w:type="dxa"/>
          </w:tcPr>
          <w:p w14:paraId="07C7DF43" w14:textId="6630F580" w:rsidR="00D56BAE" w:rsidRPr="0039473D" w:rsidRDefault="00FA5C20" w:rsidP="00BA7F4F">
            <w:pPr>
              <w:pStyle w:val="TableText"/>
              <w:rPr>
                <w:lang w:val="de-CH"/>
              </w:rPr>
            </w:pPr>
            <w:r w:rsidRPr="0039473D">
              <w:rPr>
                <w:lang w:val="de-CH"/>
              </w:rPr>
              <w:t>Pelgar International (Aus) Pty Ltd</w:t>
            </w:r>
          </w:p>
        </w:tc>
        <w:tc>
          <w:tcPr>
            <w:tcW w:w="3118" w:type="dxa"/>
          </w:tcPr>
          <w:p w14:paraId="4D3FDD98" w14:textId="60383602" w:rsidR="00D56BAE" w:rsidRPr="00D56BAE" w:rsidRDefault="00D56BAE" w:rsidP="00BA7F4F">
            <w:pPr>
              <w:pStyle w:val="TableText"/>
            </w:pPr>
            <w:r w:rsidRPr="00D56BAE">
              <w:t xml:space="preserve">Vary formulation type to RB – </w:t>
            </w:r>
            <w:r w:rsidR="005F4C05">
              <w:t>ready-to-use bait</w:t>
            </w:r>
          </w:p>
        </w:tc>
      </w:tr>
      <w:tr w:rsidR="00D56BAE" w:rsidRPr="00703922" w14:paraId="01D64589" w14:textId="77777777" w:rsidTr="00FF7579">
        <w:trPr>
          <w:trHeight w:val="288"/>
        </w:trPr>
        <w:tc>
          <w:tcPr>
            <w:tcW w:w="988" w:type="dxa"/>
            <w:noWrap/>
            <w:hideMark/>
          </w:tcPr>
          <w:p w14:paraId="3EB6B150" w14:textId="77777777" w:rsidR="00D56BAE" w:rsidRPr="00D56BAE" w:rsidRDefault="00D56BAE" w:rsidP="00BA7F4F">
            <w:pPr>
              <w:pStyle w:val="TableText"/>
            </w:pPr>
            <w:r w:rsidRPr="00D56BAE">
              <w:t>81666</w:t>
            </w:r>
          </w:p>
        </w:tc>
        <w:tc>
          <w:tcPr>
            <w:tcW w:w="2273" w:type="dxa"/>
            <w:noWrap/>
            <w:hideMark/>
          </w:tcPr>
          <w:p w14:paraId="01BD131F" w14:textId="77777777" w:rsidR="00D56BAE" w:rsidRPr="00D56BAE" w:rsidRDefault="00D56BAE" w:rsidP="00BA7F4F">
            <w:pPr>
              <w:pStyle w:val="TableText"/>
            </w:pPr>
            <w:r w:rsidRPr="00D56BAE">
              <w:t>The Big Cheese Ultra Power Fast Action Bait Packs</w:t>
            </w:r>
          </w:p>
        </w:tc>
        <w:tc>
          <w:tcPr>
            <w:tcW w:w="1275" w:type="dxa"/>
          </w:tcPr>
          <w:p w14:paraId="4D93438F" w14:textId="77777777" w:rsidR="00D56BAE" w:rsidRPr="00D56BAE" w:rsidRDefault="00D56BAE" w:rsidP="00BA7F4F">
            <w:pPr>
              <w:pStyle w:val="TableText"/>
            </w:pPr>
            <w:r w:rsidRPr="00D56BAE">
              <w:t>0.05 g/kg</w:t>
            </w:r>
          </w:p>
        </w:tc>
        <w:tc>
          <w:tcPr>
            <w:tcW w:w="1980" w:type="dxa"/>
          </w:tcPr>
          <w:p w14:paraId="5C9E1FA9" w14:textId="675FF0AF" w:rsidR="00D56BAE" w:rsidRPr="0039473D" w:rsidRDefault="00FA5C20" w:rsidP="00BA7F4F">
            <w:pPr>
              <w:pStyle w:val="TableText"/>
              <w:rPr>
                <w:lang w:val="de-CH"/>
              </w:rPr>
            </w:pPr>
            <w:r w:rsidRPr="0039473D">
              <w:rPr>
                <w:lang w:val="de-CH"/>
              </w:rPr>
              <w:t>Pelgar International (Aus) Pty Ltd</w:t>
            </w:r>
          </w:p>
        </w:tc>
        <w:tc>
          <w:tcPr>
            <w:tcW w:w="3118" w:type="dxa"/>
          </w:tcPr>
          <w:p w14:paraId="6F0C2BF3" w14:textId="677CCE28" w:rsidR="00D56BAE" w:rsidRPr="00D56BAE" w:rsidRDefault="00D56BAE" w:rsidP="00BA7F4F">
            <w:pPr>
              <w:pStyle w:val="TableText"/>
            </w:pPr>
            <w:r w:rsidRPr="00D56BAE">
              <w:t xml:space="preserve">Vary formulation type to RB – </w:t>
            </w:r>
            <w:r w:rsidR="005F4C05">
              <w:t>ready-to-use bait</w:t>
            </w:r>
          </w:p>
        </w:tc>
      </w:tr>
      <w:tr w:rsidR="00D56BAE" w:rsidRPr="00703922" w14:paraId="4F16345E" w14:textId="77777777" w:rsidTr="00FF7579">
        <w:trPr>
          <w:trHeight w:val="288"/>
        </w:trPr>
        <w:tc>
          <w:tcPr>
            <w:tcW w:w="988" w:type="dxa"/>
            <w:noWrap/>
            <w:hideMark/>
          </w:tcPr>
          <w:p w14:paraId="14363FBC" w14:textId="77777777" w:rsidR="00D56BAE" w:rsidRPr="00D56BAE" w:rsidRDefault="00D56BAE" w:rsidP="00BA7F4F">
            <w:pPr>
              <w:pStyle w:val="TableText"/>
            </w:pPr>
            <w:r w:rsidRPr="00D56BAE">
              <w:t>82233</w:t>
            </w:r>
          </w:p>
        </w:tc>
        <w:tc>
          <w:tcPr>
            <w:tcW w:w="2273" w:type="dxa"/>
            <w:noWrap/>
            <w:hideMark/>
          </w:tcPr>
          <w:p w14:paraId="0037D42A" w14:textId="77777777" w:rsidR="00D56BAE" w:rsidRPr="00D56BAE" w:rsidRDefault="00D56BAE" w:rsidP="00BA7F4F">
            <w:pPr>
              <w:pStyle w:val="TableText"/>
            </w:pPr>
            <w:r w:rsidRPr="00D56BAE">
              <w:t>Time's Up Fast Action Baited Mouse Station</w:t>
            </w:r>
          </w:p>
        </w:tc>
        <w:tc>
          <w:tcPr>
            <w:tcW w:w="1275" w:type="dxa"/>
          </w:tcPr>
          <w:p w14:paraId="78D2F099" w14:textId="77777777" w:rsidR="00D56BAE" w:rsidRPr="00D56BAE" w:rsidRDefault="00D56BAE" w:rsidP="00BA7F4F">
            <w:pPr>
              <w:pStyle w:val="TableText"/>
            </w:pPr>
            <w:r w:rsidRPr="00D56BAE">
              <w:t>0.05 g/kg</w:t>
            </w:r>
          </w:p>
        </w:tc>
        <w:tc>
          <w:tcPr>
            <w:tcW w:w="1980" w:type="dxa"/>
          </w:tcPr>
          <w:p w14:paraId="3A634BAF" w14:textId="564A6CA8" w:rsidR="00D56BAE" w:rsidRPr="0039473D" w:rsidRDefault="00FA5C20" w:rsidP="00BA7F4F">
            <w:pPr>
              <w:pStyle w:val="TableText"/>
              <w:rPr>
                <w:lang w:val="de-CH"/>
              </w:rPr>
            </w:pPr>
            <w:r w:rsidRPr="0039473D">
              <w:rPr>
                <w:lang w:val="de-CH"/>
              </w:rPr>
              <w:t>Pelgar International (Aus) Pty Ltd</w:t>
            </w:r>
          </w:p>
        </w:tc>
        <w:tc>
          <w:tcPr>
            <w:tcW w:w="3118" w:type="dxa"/>
          </w:tcPr>
          <w:p w14:paraId="10E25F0A" w14:textId="39FDAFCB" w:rsidR="00D56BAE" w:rsidRPr="00D56BAE" w:rsidRDefault="00D56BAE" w:rsidP="00BA7F4F">
            <w:pPr>
              <w:pStyle w:val="TableText"/>
            </w:pPr>
            <w:r w:rsidRPr="00D56BAE">
              <w:t xml:space="preserve">Vary formulation type to RB – </w:t>
            </w:r>
            <w:r w:rsidR="005F4C05">
              <w:t>ready-to-use bait</w:t>
            </w:r>
          </w:p>
        </w:tc>
      </w:tr>
      <w:tr w:rsidR="00D56BAE" w:rsidRPr="00703922" w14:paraId="146E9CF8" w14:textId="77777777" w:rsidTr="00FF7579">
        <w:trPr>
          <w:trHeight w:val="288"/>
        </w:trPr>
        <w:tc>
          <w:tcPr>
            <w:tcW w:w="988" w:type="dxa"/>
            <w:noWrap/>
            <w:hideMark/>
          </w:tcPr>
          <w:p w14:paraId="21E3CD65" w14:textId="77777777" w:rsidR="00D56BAE" w:rsidRPr="00D56BAE" w:rsidRDefault="00D56BAE" w:rsidP="00BA7F4F">
            <w:pPr>
              <w:pStyle w:val="TableText"/>
            </w:pPr>
            <w:r w:rsidRPr="00D56BAE">
              <w:t>82234</w:t>
            </w:r>
          </w:p>
        </w:tc>
        <w:tc>
          <w:tcPr>
            <w:tcW w:w="2273" w:type="dxa"/>
            <w:noWrap/>
            <w:hideMark/>
          </w:tcPr>
          <w:p w14:paraId="3B4B6DF7" w14:textId="0588B853" w:rsidR="00D56BAE" w:rsidRPr="00D56BAE" w:rsidRDefault="00FA5C20" w:rsidP="00BA7F4F">
            <w:pPr>
              <w:pStyle w:val="TableText"/>
            </w:pPr>
            <w:r w:rsidRPr="00D56BAE">
              <w:t>The Big Cheese Ultra Power Fast Action Disposable Mouse Kill Bait Station</w:t>
            </w:r>
          </w:p>
        </w:tc>
        <w:tc>
          <w:tcPr>
            <w:tcW w:w="1275" w:type="dxa"/>
          </w:tcPr>
          <w:p w14:paraId="57C66124" w14:textId="77777777" w:rsidR="00D56BAE" w:rsidRPr="00D56BAE" w:rsidRDefault="00D56BAE" w:rsidP="00BA7F4F">
            <w:pPr>
              <w:pStyle w:val="TableText"/>
            </w:pPr>
            <w:r w:rsidRPr="00D56BAE">
              <w:t>0.05 g/kg</w:t>
            </w:r>
          </w:p>
        </w:tc>
        <w:tc>
          <w:tcPr>
            <w:tcW w:w="1980" w:type="dxa"/>
          </w:tcPr>
          <w:p w14:paraId="5DE33BCB" w14:textId="66B64C85" w:rsidR="00D56BAE" w:rsidRPr="0039473D" w:rsidRDefault="00FA5C20" w:rsidP="00BA7F4F">
            <w:pPr>
              <w:pStyle w:val="TableText"/>
              <w:rPr>
                <w:lang w:val="de-CH"/>
              </w:rPr>
            </w:pPr>
            <w:r w:rsidRPr="0039473D">
              <w:rPr>
                <w:lang w:val="de-CH"/>
              </w:rPr>
              <w:t>Pelgar International (Aus) Pty Ltd</w:t>
            </w:r>
          </w:p>
        </w:tc>
        <w:tc>
          <w:tcPr>
            <w:tcW w:w="3118" w:type="dxa"/>
          </w:tcPr>
          <w:p w14:paraId="5031E4BF" w14:textId="7837786A" w:rsidR="00D56BAE" w:rsidRPr="00D56BAE" w:rsidRDefault="00D56BAE" w:rsidP="00286653">
            <w:pPr>
              <w:pStyle w:val="TableText"/>
            </w:pPr>
            <w:r w:rsidRPr="00D56BAE">
              <w:t xml:space="preserve">Vary formulation type to RB – </w:t>
            </w:r>
            <w:r w:rsidR="005F4C05">
              <w:t>ready-to-use bait</w:t>
            </w:r>
          </w:p>
        </w:tc>
      </w:tr>
      <w:tr w:rsidR="00D56BAE" w:rsidRPr="00703922" w14:paraId="489FF158" w14:textId="77777777" w:rsidTr="00FF7579">
        <w:trPr>
          <w:trHeight w:val="288"/>
        </w:trPr>
        <w:tc>
          <w:tcPr>
            <w:tcW w:w="988" w:type="dxa"/>
            <w:noWrap/>
            <w:hideMark/>
          </w:tcPr>
          <w:p w14:paraId="7288A045" w14:textId="77777777" w:rsidR="00D56BAE" w:rsidRPr="00D56BAE" w:rsidRDefault="00D56BAE" w:rsidP="00BA7F4F">
            <w:pPr>
              <w:pStyle w:val="TableText"/>
            </w:pPr>
            <w:r w:rsidRPr="00D56BAE">
              <w:t>83673</w:t>
            </w:r>
          </w:p>
        </w:tc>
        <w:tc>
          <w:tcPr>
            <w:tcW w:w="2273" w:type="dxa"/>
            <w:noWrap/>
            <w:hideMark/>
          </w:tcPr>
          <w:p w14:paraId="7E797086" w14:textId="3E47658F" w:rsidR="00D56BAE" w:rsidRPr="00D56BAE" w:rsidRDefault="00FA5C20" w:rsidP="00BA7F4F">
            <w:pPr>
              <w:pStyle w:val="TableText"/>
            </w:pPr>
            <w:r w:rsidRPr="00D56BAE">
              <w:t>Fast Action Ratsak Multi Pack</w:t>
            </w:r>
          </w:p>
        </w:tc>
        <w:tc>
          <w:tcPr>
            <w:tcW w:w="1275" w:type="dxa"/>
          </w:tcPr>
          <w:p w14:paraId="13DEAF75" w14:textId="77777777" w:rsidR="00D56BAE" w:rsidRPr="00D56BAE" w:rsidRDefault="00D56BAE" w:rsidP="00BA7F4F">
            <w:pPr>
              <w:pStyle w:val="TableText"/>
            </w:pPr>
            <w:r w:rsidRPr="00D56BAE">
              <w:t>0.05 g/kg</w:t>
            </w:r>
          </w:p>
        </w:tc>
        <w:tc>
          <w:tcPr>
            <w:tcW w:w="1980" w:type="dxa"/>
          </w:tcPr>
          <w:p w14:paraId="6872E93C" w14:textId="487AF272" w:rsidR="00D56BAE" w:rsidRPr="00D56BAE" w:rsidRDefault="00FA5C20" w:rsidP="00BA7F4F">
            <w:pPr>
              <w:pStyle w:val="TableText"/>
            </w:pPr>
            <w:r w:rsidRPr="00D56BAE">
              <w:t>Duluxgroup (Australia) Pty Ltd</w:t>
            </w:r>
          </w:p>
        </w:tc>
        <w:tc>
          <w:tcPr>
            <w:tcW w:w="3118" w:type="dxa"/>
          </w:tcPr>
          <w:p w14:paraId="396B63C2" w14:textId="4B1950FE" w:rsidR="00D56BAE" w:rsidRPr="00D56BAE" w:rsidRDefault="00D56BAE" w:rsidP="00BA7F4F">
            <w:pPr>
              <w:pStyle w:val="TableText"/>
            </w:pPr>
            <w:r w:rsidRPr="00D56BAE">
              <w:t xml:space="preserve">Vary formulation type to RB – </w:t>
            </w:r>
            <w:r w:rsidR="005F4C05">
              <w:t>ready-to-use bait</w:t>
            </w:r>
          </w:p>
          <w:p w14:paraId="089127C6" w14:textId="7A95F538" w:rsidR="00D56BAE" w:rsidRPr="00D56BAE" w:rsidRDefault="00D56BAE" w:rsidP="00BA7F4F">
            <w:pPr>
              <w:pStyle w:val="TableText"/>
            </w:pPr>
            <w:r w:rsidRPr="00D56BAE">
              <w:t>Conditional registration: confirm source of active and formulation details of product</w:t>
            </w:r>
          </w:p>
        </w:tc>
      </w:tr>
      <w:tr w:rsidR="00D56BAE" w:rsidRPr="00703922" w14:paraId="5BB84271" w14:textId="77777777" w:rsidTr="00FF7579">
        <w:trPr>
          <w:trHeight w:val="288"/>
        </w:trPr>
        <w:tc>
          <w:tcPr>
            <w:tcW w:w="988" w:type="dxa"/>
            <w:noWrap/>
            <w:hideMark/>
          </w:tcPr>
          <w:p w14:paraId="3AFA9E87" w14:textId="77777777" w:rsidR="00D56BAE" w:rsidRPr="00D56BAE" w:rsidRDefault="00D56BAE" w:rsidP="00BA7F4F">
            <w:pPr>
              <w:pStyle w:val="TableText"/>
            </w:pPr>
            <w:r w:rsidRPr="00D56BAE">
              <w:t>84215</w:t>
            </w:r>
          </w:p>
        </w:tc>
        <w:tc>
          <w:tcPr>
            <w:tcW w:w="2273" w:type="dxa"/>
            <w:noWrap/>
            <w:hideMark/>
          </w:tcPr>
          <w:p w14:paraId="3BA0678D" w14:textId="77777777" w:rsidR="00D56BAE" w:rsidRPr="00D56BAE" w:rsidRDefault="00D56BAE" w:rsidP="00BA7F4F">
            <w:pPr>
              <w:pStyle w:val="TableText"/>
            </w:pPr>
            <w:r w:rsidRPr="00D56BAE">
              <w:t>Freezone Ratshot G QuickShot Rodenticide</w:t>
            </w:r>
          </w:p>
        </w:tc>
        <w:tc>
          <w:tcPr>
            <w:tcW w:w="1275" w:type="dxa"/>
          </w:tcPr>
          <w:p w14:paraId="13B16324" w14:textId="77777777" w:rsidR="00D56BAE" w:rsidRPr="00D56BAE" w:rsidRDefault="00D56BAE" w:rsidP="00BA7F4F">
            <w:pPr>
              <w:pStyle w:val="TableText"/>
            </w:pPr>
            <w:r w:rsidRPr="00D56BAE">
              <w:t>0.05 g/kg</w:t>
            </w:r>
          </w:p>
        </w:tc>
        <w:tc>
          <w:tcPr>
            <w:tcW w:w="1980" w:type="dxa"/>
          </w:tcPr>
          <w:p w14:paraId="63021F6E" w14:textId="1F40FFB4" w:rsidR="00D56BAE" w:rsidRPr="00D56BAE" w:rsidRDefault="00FA5C20" w:rsidP="00BA7F4F">
            <w:pPr>
              <w:pStyle w:val="TableText"/>
            </w:pPr>
            <w:r w:rsidRPr="00D56BAE">
              <w:t>Freezone Public Health Pty Ltd</w:t>
            </w:r>
          </w:p>
        </w:tc>
        <w:tc>
          <w:tcPr>
            <w:tcW w:w="3118" w:type="dxa"/>
          </w:tcPr>
          <w:p w14:paraId="403DEAE0" w14:textId="254507C0" w:rsidR="00D56BAE" w:rsidRPr="00D56BAE" w:rsidRDefault="00D56BAE" w:rsidP="00BA7F4F">
            <w:pPr>
              <w:pStyle w:val="TableText"/>
            </w:pPr>
            <w:r w:rsidRPr="00D56BAE">
              <w:t xml:space="preserve">Vary formulation type to RB – </w:t>
            </w:r>
            <w:r w:rsidR="005F4C05">
              <w:t>ready-to-use bait</w:t>
            </w:r>
          </w:p>
        </w:tc>
      </w:tr>
      <w:tr w:rsidR="00D56BAE" w:rsidRPr="00703922" w14:paraId="0E04DCC3" w14:textId="77777777" w:rsidTr="00FF7579">
        <w:trPr>
          <w:trHeight w:val="288"/>
        </w:trPr>
        <w:tc>
          <w:tcPr>
            <w:tcW w:w="988" w:type="dxa"/>
            <w:noWrap/>
            <w:hideMark/>
          </w:tcPr>
          <w:p w14:paraId="46D9E056" w14:textId="77777777" w:rsidR="00D56BAE" w:rsidRPr="00D56BAE" w:rsidRDefault="00D56BAE" w:rsidP="00BA7F4F">
            <w:pPr>
              <w:pStyle w:val="TableText"/>
            </w:pPr>
            <w:r w:rsidRPr="00D56BAE">
              <w:t>85522</w:t>
            </w:r>
          </w:p>
        </w:tc>
        <w:tc>
          <w:tcPr>
            <w:tcW w:w="2273" w:type="dxa"/>
            <w:noWrap/>
            <w:hideMark/>
          </w:tcPr>
          <w:p w14:paraId="2F8023AD" w14:textId="77777777" w:rsidR="00D56BAE" w:rsidRPr="00D56BAE" w:rsidRDefault="00D56BAE" w:rsidP="00BA7F4F">
            <w:pPr>
              <w:pStyle w:val="TableText"/>
            </w:pPr>
            <w:r w:rsidRPr="00D56BAE">
              <w:t>Time's Up Fast Action Throw Pack</w:t>
            </w:r>
          </w:p>
        </w:tc>
        <w:tc>
          <w:tcPr>
            <w:tcW w:w="1275" w:type="dxa"/>
          </w:tcPr>
          <w:p w14:paraId="61E574EB" w14:textId="77777777" w:rsidR="00D56BAE" w:rsidRPr="00D56BAE" w:rsidRDefault="00D56BAE" w:rsidP="00BA7F4F">
            <w:pPr>
              <w:pStyle w:val="TableText"/>
            </w:pPr>
            <w:r w:rsidRPr="00D56BAE">
              <w:t>0.05 g/kg</w:t>
            </w:r>
          </w:p>
        </w:tc>
        <w:tc>
          <w:tcPr>
            <w:tcW w:w="1980" w:type="dxa"/>
          </w:tcPr>
          <w:p w14:paraId="432346EA" w14:textId="27CBD6E3" w:rsidR="00D56BAE" w:rsidRPr="0039473D" w:rsidRDefault="00FA5C20" w:rsidP="00BA7F4F">
            <w:pPr>
              <w:pStyle w:val="TableText"/>
              <w:rPr>
                <w:lang w:val="de-CH"/>
              </w:rPr>
            </w:pPr>
            <w:r w:rsidRPr="0039473D">
              <w:rPr>
                <w:lang w:val="de-CH"/>
              </w:rPr>
              <w:t>Pelgar International (Aus) Pty Ltd</w:t>
            </w:r>
          </w:p>
        </w:tc>
        <w:tc>
          <w:tcPr>
            <w:tcW w:w="3118" w:type="dxa"/>
          </w:tcPr>
          <w:p w14:paraId="1C2CBD67" w14:textId="644724AB" w:rsidR="00D56BAE" w:rsidRPr="00D56BAE" w:rsidRDefault="00D56BAE" w:rsidP="00BA7F4F">
            <w:pPr>
              <w:pStyle w:val="TableText"/>
            </w:pPr>
            <w:r w:rsidRPr="00D56BAE">
              <w:t xml:space="preserve">Vary formulation type to RB – </w:t>
            </w:r>
            <w:r w:rsidR="005F4C05">
              <w:t>ready-to-use bait</w:t>
            </w:r>
          </w:p>
        </w:tc>
      </w:tr>
      <w:tr w:rsidR="00D56BAE" w:rsidRPr="00703922" w14:paraId="790D39E5" w14:textId="77777777" w:rsidTr="00FF7579">
        <w:trPr>
          <w:trHeight w:val="288"/>
        </w:trPr>
        <w:tc>
          <w:tcPr>
            <w:tcW w:w="988" w:type="dxa"/>
            <w:noWrap/>
            <w:hideMark/>
          </w:tcPr>
          <w:p w14:paraId="6B95E640" w14:textId="77777777" w:rsidR="00D56BAE" w:rsidRPr="00D56BAE" w:rsidRDefault="00D56BAE" w:rsidP="00BA7F4F">
            <w:pPr>
              <w:pStyle w:val="TableText"/>
            </w:pPr>
            <w:r w:rsidRPr="00D56BAE">
              <w:t>85523</w:t>
            </w:r>
          </w:p>
        </w:tc>
        <w:tc>
          <w:tcPr>
            <w:tcW w:w="2273" w:type="dxa"/>
            <w:noWrap/>
            <w:hideMark/>
          </w:tcPr>
          <w:p w14:paraId="70AF150A" w14:textId="77777777" w:rsidR="00D56BAE" w:rsidRPr="00D56BAE" w:rsidRDefault="00D56BAE" w:rsidP="00BA7F4F">
            <w:pPr>
              <w:pStyle w:val="TableText"/>
            </w:pPr>
            <w:r w:rsidRPr="00D56BAE">
              <w:t>Time's Up Fast Action Block Bait</w:t>
            </w:r>
          </w:p>
        </w:tc>
        <w:tc>
          <w:tcPr>
            <w:tcW w:w="1275" w:type="dxa"/>
          </w:tcPr>
          <w:p w14:paraId="07C72123" w14:textId="77777777" w:rsidR="00D56BAE" w:rsidRPr="00D56BAE" w:rsidRDefault="00D56BAE" w:rsidP="00BA7F4F">
            <w:pPr>
              <w:pStyle w:val="TableText"/>
            </w:pPr>
            <w:r w:rsidRPr="00D56BAE">
              <w:t>0.05 g/kg</w:t>
            </w:r>
          </w:p>
        </w:tc>
        <w:tc>
          <w:tcPr>
            <w:tcW w:w="1980" w:type="dxa"/>
          </w:tcPr>
          <w:p w14:paraId="127ADC79" w14:textId="50E66A04" w:rsidR="00D56BAE" w:rsidRPr="0039473D" w:rsidRDefault="00FA5C20" w:rsidP="00BA7F4F">
            <w:pPr>
              <w:pStyle w:val="TableText"/>
              <w:rPr>
                <w:lang w:val="de-CH"/>
              </w:rPr>
            </w:pPr>
            <w:r w:rsidRPr="0039473D">
              <w:rPr>
                <w:lang w:val="de-CH"/>
              </w:rPr>
              <w:t>Pelgar International (Aus) Pty Ltd</w:t>
            </w:r>
          </w:p>
        </w:tc>
        <w:tc>
          <w:tcPr>
            <w:tcW w:w="3118" w:type="dxa"/>
          </w:tcPr>
          <w:p w14:paraId="4ECE9751" w14:textId="5A94E7DE" w:rsidR="00D56BAE" w:rsidRPr="00D56BAE" w:rsidRDefault="00D56BAE" w:rsidP="00BA7F4F">
            <w:pPr>
              <w:pStyle w:val="TableText"/>
            </w:pPr>
            <w:r w:rsidRPr="00D56BAE">
              <w:t xml:space="preserve">Vary formulation type to RB – </w:t>
            </w:r>
            <w:r w:rsidR="005F4C05">
              <w:t>ready-to-use bait</w:t>
            </w:r>
          </w:p>
        </w:tc>
      </w:tr>
      <w:tr w:rsidR="00D56BAE" w:rsidRPr="00703922" w14:paraId="577FE926" w14:textId="77777777" w:rsidTr="00FF7579">
        <w:trPr>
          <w:trHeight w:val="288"/>
        </w:trPr>
        <w:tc>
          <w:tcPr>
            <w:tcW w:w="988" w:type="dxa"/>
            <w:noWrap/>
            <w:hideMark/>
          </w:tcPr>
          <w:p w14:paraId="0B730114" w14:textId="77777777" w:rsidR="00D56BAE" w:rsidRPr="00D56BAE" w:rsidRDefault="00D56BAE" w:rsidP="00BA7F4F">
            <w:pPr>
              <w:pStyle w:val="TableText"/>
            </w:pPr>
            <w:r w:rsidRPr="00D56BAE">
              <w:t>86214</w:t>
            </w:r>
          </w:p>
        </w:tc>
        <w:tc>
          <w:tcPr>
            <w:tcW w:w="2273" w:type="dxa"/>
            <w:noWrap/>
            <w:hideMark/>
          </w:tcPr>
          <w:p w14:paraId="55FD0B8B" w14:textId="77777777" w:rsidR="00D56BAE" w:rsidRPr="00D56BAE" w:rsidRDefault="00D56BAE" w:rsidP="00BA7F4F">
            <w:pPr>
              <w:pStyle w:val="TableText"/>
            </w:pPr>
            <w:r w:rsidRPr="00D56BAE">
              <w:t>The Big Cheese Ultra Power Fast Action Block Bait Rodenticide</w:t>
            </w:r>
          </w:p>
        </w:tc>
        <w:tc>
          <w:tcPr>
            <w:tcW w:w="1275" w:type="dxa"/>
          </w:tcPr>
          <w:p w14:paraId="67B0C4EF" w14:textId="77777777" w:rsidR="00D56BAE" w:rsidRPr="00D56BAE" w:rsidRDefault="00D56BAE" w:rsidP="00BA7F4F">
            <w:pPr>
              <w:pStyle w:val="TableText"/>
            </w:pPr>
            <w:r w:rsidRPr="00D56BAE">
              <w:t>0.05 g/kg</w:t>
            </w:r>
          </w:p>
        </w:tc>
        <w:tc>
          <w:tcPr>
            <w:tcW w:w="1980" w:type="dxa"/>
          </w:tcPr>
          <w:p w14:paraId="6735A9F0" w14:textId="2440DB0B" w:rsidR="00D56BAE" w:rsidRPr="0039473D" w:rsidRDefault="00FA5C20" w:rsidP="00BA7F4F">
            <w:pPr>
              <w:pStyle w:val="TableText"/>
              <w:rPr>
                <w:lang w:val="de-CH"/>
              </w:rPr>
            </w:pPr>
            <w:r w:rsidRPr="0039473D">
              <w:rPr>
                <w:lang w:val="de-CH"/>
              </w:rPr>
              <w:t>Pelgar International (Aus) Pty Ltd</w:t>
            </w:r>
          </w:p>
        </w:tc>
        <w:tc>
          <w:tcPr>
            <w:tcW w:w="3118" w:type="dxa"/>
          </w:tcPr>
          <w:p w14:paraId="356311A8" w14:textId="5A881127" w:rsidR="00D56BAE" w:rsidRPr="00D56BAE" w:rsidRDefault="00D56BAE" w:rsidP="00BA7F4F">
            <w:pPr>
              <w:pStyle w:val="TableText"/>
            </w:pPr>
            <w:r w:rsidRPr="00D56BAE">
              <w:t xml:space="preserve">Vary formulation type to RB – </w:t>
            </w:r>
            <w:r w:rsidR="005F4C05">
              <w:t>ready-to-use bait</w:t>
            </w:r>
          </w:p>
        </w:tc>
      </w:tr>
      <w:tr w:rsidR="00014D18" w:rsidRPr="00703922" w14:paraId="7EBB6505" w14:textId="77777777" w:rsidTr="00FF7579">
        <w:trPr>
          <w:trHeight w:val="288"/>
        </w:trPr>
        <w:tc>
          <w:tcPr>
            <w:tcW w:w="988" w:type="dxa"/>
            <w:noWrap/>
            <w:hideMark/>
          </w:tcPr>
          <w:p w14:paraId="6120465F" w14:textId="77777777" w:rsidR="00014D18" w:rsidRPr="00D56BAE" w:rsidRDefault="00014D18" w:rsidP="00BA7F4F">
            <w:pPr>
              <w:pStyle w:val="TableText"/>
            </w:pPr>
            <w:r w:rsidRPr="00D56BAE">
              <w:t>87657</w:t>
            </w:r>
          </w:p>
        </w:tc>
        <w:tc>
          <w:tcPr>
            <w:tcW w:w="2273" w:type="dxa"/>
            <w:noWrap/>
            <w:hideMark/>
          </w:tcPr>
          <w:p w14:paraId="2E38961C" w14:textId="77777777" w:rsidR="00014D18" w:rsidRPr="00D56BAE" w:rsidRDefault="00014D18" w:rsidP="00BA7F4F">
            <w:pPr>
              <w:pStyle w:val="TableText"/>
            </w:pPr>
            <w:r w:rsidRPr="00D56BAE">
              <w:t>Bainbridge Bait Blocks Rodenticide</w:t>
            </w:r>
          </w:p>
        </w:tc>
        <w:tc>
          <w:tcPr>
            <w:tcW w:w="1275" w:type="dxa"/>
          </w:tcPr>
          <w:p w14:paraId="4BE383B7" w14:textId="77777777" w:rsidR="00014D18" w:rsidRPr="00D56BAE" w:rsidRDefault="00014D18" w:rsidP="00BA7F4F">
            <w:pPr>
              <w:pStyle w:val="TableText"/>
            </w:pPr>
            <w:r w:rsidRPr="00D56BAE">
              <w:t>0.05 g/kg</w:t>
            </w:r>
          </w:p>
        </w:tc>
        <w:tc>
          <w:tcPr>
            <w:tcW w:w="1980" w:type="dxa"/>
          </w:tcPr>
          <w:p w14:paraId="7BDB5800" w14:textId="4F73ACA0" w:rsidR="00014D18" w:rsidRPr="00D56BAE" w:rsidRDefault="00014D18" w:rsidP="00BA7F4F">
            <w:pPr>
              <w:pStyle w:val="TableText"/>
            </w:pPr>
            <w:r w:rsidRPr="00D56BAE">
              <w:t>Bainbridge Pty Ltd</w:t>
            </w:r>
          </w:p>
        </w:tc>
        <w:tc>
          <w:tcPr>
            <w:tcW w:w="3118" w:type="dxa"/>
          </w:tcPr>
          <w:p w14:paraId="5655306E" w14:textId="4C0E9EBA" w:rsidR="00014D18" w:rsidRPr="00D56BAE" w:rsidRDefault="00014D18" w:rsidP="00BA7F4F">
            <w:pPr>
              <w:pStyle w:val="TableText"/>
            </w:pPr>
            <w:r w:rsidRPr="00793FC4">
              <w:t>Cancel – does not contain bittering agent</w:t>
            </w:r>
          </w:p>
        </w:tc>
      </w:tr>
      <w:tr w:rsidR="00014D18" w:rsidRPr="00703922" w14:paraId="38C22035" w14:textId="77777777" w:rsidTr="00FF7579">
        <w:trPr>
          <w:trHeight w:val="288"/>
        </w:trPr>
        <w:tc>
          <w:tcPr>
            <w:tcW w:w="988" w:type="dxa"/>
            <w:noWrap/>
            <w:hideMark/>
          </w:tcPr>
          <w:p w14:paraId="761F6387" w14:textId="77777777" w:rsidR="00014D18" w:rsidRPr="00D56BAE" w:rsidRDefault="00014D18" w:rsidP="00BA7F4F">
            <w:pPr>
              <w:pStyle w:val="TableText"/>
            </w:pPr>
            <w:r w:rsidRPr="00D56BAE">
              <w:t>87659</w:t>
            </w:r>
          </w:p>
        </w:tc>
        <w:tc>
          <w:tcPr>
            <w:tcW w:w="2273" w:type="dxa"/>
            <w:noWrap/>
            <w:hideMark/>
          </w:tcPr>
          <w:p w14:paraId="2D3A35D8" w14:textId="77777777" w:rsidR="00014D18" w:rsidRPr="00D56BAE" w:rsidRDefault="00014D18" w:rsidP="00BA7F4F">
            <w:pPr>
              <w:pStyle w:val="TableText"/>
            </w:pPr>
            <w:r w:rsidRPr="00D56BAE">
              <w:t>Bainbridge Bait Pellets Rodenticide</w:t>
            </w:r>
          </w:p>
        </w:tc>
        <w:tc>
          <w:tcPr>
            <w:tcW w:w="1275" w:type="dxa"/>
          </w:tcPr>
          <w:p w14:paraId="2D30666D" w14:textId="77777777" w:rsidR="00014D18" w:rsidRPr="00D56BAE" w:rsidRDefault="00014D18" w:rsidP="00BA7F4F">
            <w:pPr>
              <w:pStyle w:val="TableText"/>
            </w:pPr>
            <w:r w:rsidRPr="00D56BAE">
              <w:t>0.05 g/kg</w:t>
            </w:r>
          </w:p>
        </w:tc>
        <w:tc>
          <w:tcPr>
            <w:tcW w:w="1980" w:type="dxa"/>
          </w:tcPr>
          <w:p w14:paraId="33797A96" w14:textId="0DBAA57D" w:rsidR="00014D18" w:rsidRPr="00D56BAE" w:rsidRDefault="00014D18" w:rsidP="00BA7F4F">
            <w:pPr>
              <w:pStyle w:val="TableText"/>
            </w:pPr>
            <w:r w:rsidRPr="00D56BAE">
              <w:t>Bainbridge Pty Ltd</w:t>
            </w:r>
          </w:p>
        </w:tc>
        <w:tc>
          <w:tcPr>
            <w:tcW w:w="3118" w:type="dxa"/>
          </w:tcPr>
          <w:p w14:paraId="4DAA10CC" w14:textId="18478DEE" w:rsidR="00014D18" w:rsidRPr="00D56BAE" w:rsidRDefault="00014D18" w:rsidP="00BA7F4F">
            <w:pPr>
              <w:pStyle w:val="TableText"/>
            </w:pPr>
            <w:r w:rsidRPr="00793FC4">
              <w:t>Cancel – does not contain bittering agent</w:t>
            </w:r>
          </w:p>
        </w:tc>
      </w:tr>
      <w:tr w:rsidR="00D56BAE" w:rsidRPr="00703922" w14:paraId="0DD79842" w14:textId="77777777" w:rsidTr="00FF7579">
        <w:trPr>
          <w:trHeight w:val="288"/>
        </w:trPr>
        <w:tc>
          <w:tcPr>
            <w:tcW w:w="988" w:type="dxa"/>
            <w:noWrap/>
            <w:hideMark/>
          </w:tcPr>
          <w:p w14:paraId="0A5A6AB9" w14:textId="77777777" w:rsidR="00D56BAE" w:rsidRPr="00D56BAE" w:rsidRDefault="00D56BAE" w:rsidP="00BA7F4F">
            <w:pPr>
              <w:pStyle w:val="TableText"/>
            </w:pPr>
            <w:r w:rsidRPr="00D56BAE">
              <w:t>87706</w:t>
            </w:r>
          </w:p>
        </w:tc>
        <w:tc>
          <w:tcPr>
            <w:tcW w:w="2273" w:type="dxa"/>
            <w:noWrap/>
            <w:hideMark/>
          </w:tcPr>
          <w:p w14:paraId="49BCEA09" w14:textId="77777777" w:rsidR="00D56BAE" w:rsidRPr="00D56BAE" w:rsidRDefault="00D56BAE" w:rsidP="00BA7F4F">
            <w:pPr>
              <w:pStyle w:val="TableText"/>
            </w:pPr>
            <w:r w:rsidRPr="00D56BAE">
              <w:t>Rodenthor Gel Rodenticide</w:t>
            </w:r>
          </w:p>
        </w:tc>
        <w:tc>
          <w:tcPr>
            <w:tcW w:w="1275" w:type="dxa"/>
          </w:tcPr>
          <w:p w14:paraId="6F6B4943" w14:textId="77777777" w:rsidR="00D56BAE" w:rsidRPr="00D56BAE" w:rsidRDefault="00D56BAE" w:rsidP="00BA7F4F">
            <w:pPr>
              <w:pStyle w:val="TableText"/>
            </w:pPr>
            <w:r w:rsidRPr="00D56BAE">
              <w:t>0.05 g/kg</w:t>
            </w:r>
          </w:p>
        </w:tc>
        <w:tc>
          <w:tcPr>
            <w:tcW w:w="1980" w:type="dxa"/>
          </w:tcPr>
          <w:p w14:paraId="557DB52E" w14:textId="4E335A2C" w:rsidR="00D56BAE" w:rsidRPr="00D56BAE" w:rsidRDefault="00FA5C20" w:rsidP="00BA7F4F">
            <w:pPr>
              <w:pStyle w:val="TableText"/>
            </w:pPr>
            <w:r w:rsidRPr="00D56BAE">
              <w:t>Zapi S.P.A</w:t>
            </w:r>
          </w:p>
        </w:tc>
        <w:tc>
          <w:tcPr>
            <w:tcW w:w="3118" w:type="dxa"/>
          </w:tcPr>
          <w:p w14:paraId="75FF946D" w14:textId="3106F629" w:rsidR="00D56BAE" w:rsidRPr="00D56BAE" w:rsidRDefault="00D56BAE" w:rsidP="00BA7F4F">
            <w:pPr>
              <w:pStyle w:val="TableText"/>
            </w:pPr>
            <w:r w:rsidRPr="00D56BAE">
              <w:t xml:space="preserve">Vary formulation type to RB – </w:t>
            </w:r>
            <w:r w:rsidR="005F4C05">
              <w:t>ready-to-use bait</w:t>
            </w:r>
          </w:p>
          <w:p w14:paraId="667450D3" w14:textId="1F2D288E" w:rsidR="00D56BAE" w:rsidRPr="00D56BAE" w:rsidRDefault="00D56BAE" w:rsidP="00BA7F4F">
            <w:pPr>
              <w:pStyle w:val="TableText"/>
            </w:pPr>
            <w:r w:rsidRPr="00D56BAE">
              <w:t>Conditional registration: confirm source of active and formulation details of product</w:t>
            </w:r>
          </w:p>
        </w:tc>
      </w:tr>
      <w:tr w:rsidR="00D56BAE" w:rsidRPr="00703922" w14:paraId="3071D483" w14:textId="77777777" w:rsidTr="00FF7579">
        <w:trPr>
          <w:trHeight w:val="288"/>
        </w:trPr>
        <w:tc>
          <w:tcPr>
            <w:tcW w:w="988" w:type="dxa"/>
            <w:noWrap/>
            <w:hideMark/>
          </w:tcPr>
          <w:p w14:paraId="22F8C4D1" w14:textId="77777777" w:rsidR="00D56BAE" w:rsidRPr="00D56BAE" w:rsidRDefault="00D56BAE" w:rsidP="00BA7F4F">
            <w:pPr>
              <w:pStyle w:val="TableText"/>
            </w:pPr>
            <w:r w:rsidRPr="00D56BAE">
              <w:t>88845</w:t>
            </w:r>
          </w:p>
        </w:tc>
        <w:tc>
          <w:tcPr>
            <w:tcW w:w="2273" w:type="dxa"/>
            <w:noWrap/>
            <w:hideMark/>
          </w:tcPr>
          <w:p w14:paraId="3CA3392D" w14:textId="77777777" w:rsidR="00D56BAE" w:rsidRPr="00D56BAE" w:rsidRDefault="00D56BAE" w:rsidP="00BA7F4F">
            <w:pPr>
              <w:pStyle w:val="TableText"/>
            </w:pPr>
            <w:r w:rsidRPr="00D56BAE">
              <w:t>The Big Cheese Ultra Power Block Bait Rodenticide</w:t>
            </w:r>
          </w:p>
        </w:tc>
        <w:tc>
          <w:tcPr>
            <w:tcW w:w="1275" w:type="dxa"/>
          </w:tcPr>
          <w:p w14:paraId="5CD5567A" w14:textId="77777777" w:rsidR="00D56BAE" w:rsidRPr="00D56BAE" w:rsidRDefault="00D56BAE" w:rsidP="00BA7F4F">
            <w:pPr>
              <w:pStyle w:val="TableText"/>
            </w:pPr>
            <w:r w:rsidRPr="00D56BAE">
              <w:t>0.025 g/kg</w:t>
            </w:r>
          </w:p>
        </w:tc>
        <w:tc>
          <w:tcPr>
            <w:tcW w:w="1980" w:type="dxa"/>
          </w:tcPr>
          <w:p w14:paraId="580FBED1" w14:textId="48E5F169" w:rsidR="00D56BAE" w:rsidRPr="0039473D" w:rsidRDefault="00FA5C20" w:rsidP="00BA7F4F">
            <w:pPr>
              <w:pStyle w:val="TableText"/>
              <w:rPr>
                <w:lang w:val="de-CH"/>
              </w:rPr>
            </w:pPr>
            <w:r w:rsidRPr="0039473D">
              <w:rPr>
                <w:lang w:val="de-CH"/>
              </w:rPr>
              <w:t>Pelgar International (Aus) Pty Ltd</w:t>
            </w:r>
          </w:p>
        </w:tc>
        <w:tc>
          <w:tcPr>
            <w:tcW w:w="3118" w:type="dxa"/>
          </w:tcPr>
          <w:p w14:paraId="1623884F" w14:textId="731E596F" w:rsidR="00D56BAE" w:rsidRPr="00D56BAE" w:rsidRDefault="00D56BAE" w:rsidP="00BA7F4F">
            <w:pPr>
              <w:pStyle w:val="TableText"/>
            </w:pPr>
            <w:r w:rsidRPr="00D56BAE">
              <w:t xml:space="preserve">Vary formulation type to RB – </w:t>
            </w:r>
            <w:r w:rsidR="005F4C05">
              <w:t>ready-to-use bait</w:t>
            </w:r>
          </w:p>
        </w:tc>
      </w:tr>
      <w:tr w:rsidR="00D56BAE" w:rsidRPr="00703922" w14:paraId="4945D46D" w14:textId="77777777" w:rsidTr="00FF7579">
        <w:trPr>
          <w:trHeight w:val="288"/>
        </w:trPr>
        <w:tc>
          <w:tcPr>
            <w:tcW w:w="988" w:type="dxa"/>
            <w:noWrap/>
            <w:hideMark/>
          </w:tcPr>
          <w:p w14:paraId="19F27CBC" w14:textId="77777777" w:rsidR="00D56BAE" w:rsidRPr="00D56BAE" w:rsidRDefault="00D56BAE" w:rsidP="00BA7F4F">
            <w:pPr>
              <w:pStyle w:val="TableText"/>
            </w:pPr>
            <w:r w:rsidRPr="00D56BAE">
              <w:lastRenderedPageBreak/>
              <w:t>88846</w:t>
            </w:r>
          </w:p>
        </w:tc>
        <w:tc>
          <w:tcPr>
            <w:tcW w:w="2273" w:type="dxa"/>
            <w:noWrap/>
            <w:hideMark/>
          </w:tcPr>
          <w:p w14:paraId="06A7F54B" w14:textId="77777777" w:rsidR="00D56BAE" w:rsidRPr="00D56BAE" w:rsidRDefault="00D56BAE" w:rsidP="00BA7F4F">
            <w:pPr>
              <w:pStyle w:val="TableText"/>
            </w:pPr>
            <w:r w:rsidRPr="00D56BAE">
              <w:t>The Big Cheese Ultra Power All Weather Block Bait</w:t>
            </w:r>
          </w:p>
        </w:tc>
        <w:tc>
          <w:tcPr>
            <w:tcW w:w="1275" w:type="dxa"/>
          </w:tcPr>
          <w:p w14:paraId="7479EC2D" w14:textId="77777777" w:rsidR="00D56BAE" w:rsidRPr="00D56BAE" w:rsidRDefault="00D56BAE" w:rsidP="00BA7F4F">
            <w:pPr>
              <w:pStyle w:val="TableText"/>
            </w:pPr>
            <w:r w:rsidRPr="00D56BAE">
              <w:t>0.025 g/kg</w:t>
            </w:r>
          </w:p>
        </w:tc>
        <w:tc>
          <w:tcPr>
            <w:tcW w:w="1980" w:type="dxa"/>
          </w:tcPr>
          <w:p w14:paraId="1087435E" w14:textId="034656E9" w:rsidR="00D56BAE" w:rsidRPr="0039473D" w:rsidRDefault="00FA5C20" w:rsidP="00BA7F4F">
            <w:pPr>
              <w:pStyle w:val="TableText"/>
              <w:rPr>
                <w:lang w:val="de-CH"/>
              </w:rPr>
            </w:pPr>
            <w:r w:rsidRPr="0039473D">
              <w:rPr>
                <w:lang w:val="de-CH"/>
              </w:rPr>
              <w:t>Pelgar International (Aus) Pty Ltd</w:t>
            </w:r>
          </w:p>
        </w:tc>
        <w:tc>
          <w:tcPr>
            <w:tcW w:w="3118" w:type="dxa"/>
          </w:tcPr>
          <w:p w14:paraId="2D4BB412" w14:textId="25EEE724" w:rsidR="00D56BAE" w:rsidRPr="00D56BAE" w:rsidRDefault="00D56BAE" w:rsidP="00BA7F4F">
            <w:pPr>
              <w:pStyle w:val="TableText"/>
            </w:pPr>
            <w:r w:rsidRPr="00D56BAE">
              <w:t xml:space="preserve">Vary formulation type to RB – </w:t>
            </w:r>
            <w:r w:rsidR="005F4C05">
              <w:t>ready-to-use bait</w:t>
            </w:r>
          </w:p>
        </w:tc>
      </w:tr>
      <w:tr w:rsidR="00D56BAE" w:rsidRPr="00703922" w14:paraId="3385ECB0" w14:textId="77777777" w:rsidTr="00FF7579">
        <w:trPr>
          <w:trHeight w:val="288"/>
        </w:trPr>
        <w:tc>
          <w:tcPr>
            <w:tcW w:w="988" w:type="dxa"/>
            <w:noWrap/>
            <w:hideMark/>
          </w:tcPr>
          <w:p w14:paraId="16F34233" w14:textId="77777777" w:rsidR="00D56BAE" w:rsidRPr="00D56BAE" w:rsidRDefault="00D56BAE" w:rsidP="00BA7F4F">
            <w:pPr>
              <w:pStyle w:val="TableText"/>
            </w:pPr>
            <w:r w:rsidRPr="00D56BAE">
              <w:t>88847</w:t>
            </w:r>
          </w:p>
        </w:tc>
        <w:tc>
          <w:tcPr>
            <w:tcW w:w="2273" w:type="dxa"/>
            <w:noWrap/>
            <w:hideMark/>
          </w:tcPr>
          <w:p w14:paraId="0D3F67E3" w14:textId="77777777" w:rsidR="00D56BAE" w:rsidRPr="00D56BAE" w:rsidRDefault="00D56BAE" w:rsidP="00BA7F4F">
            <w:pPr>
              <w:pStyle w:val="TableText"/>
            </w:pPr>
            <w:r w:rsidRPr="00D56BAE">
              <w:t>The Big Cheese Ultra Power Rat and Mouse Kill Throw Packs</w:t>
            </w:r>
          </w:p>
        </w:tc>
        <w:tc>
          <w:tcPr>
            <w:tcW w:w="1275" w:type="dxa"/>
          </w:tcPr>
          <w:p w14:paraId="54811C45" w14:textId="77777777" w:rsidR="00D56BAE" w:rsidRPr="00D56BAE" w:rsidRDefault="00D56BAE" w:rsidP="00BA7F4F">
            <w:pPr>
              <w:pStyle w:val="TableText"/>
            </w:pPr>
            <w:r w:rsidRPr="00D56BAE">
              <w:t>0.025 g/kg</w:t>
            </w:r>
          </w:p>
        </w:tc>
        <w:tc>
          <w:tcPr>
            <w:tcW w:w="1980" w:type="dxa"/>
          </w:tcPr>
          <w:p w14:paraId="41326DDE" w14:textId="3558B0A5" w:rsidR="00D56BAE" w:rsidRPr="0039473D" w:rsidRDefault="00FA5C20" w:rsidP="00BA7F4F">
            <w:pPr>
              <w:pStyle w:val="TableText"/>
              <w:rPr>
                <w:lang w:val="de-CH"/>
              </w:rPr>
            </w:pPr>
            <w:r w:rsidRPr="0039473D">
              <w:rPr>
                <w:lang w:val="de-CH"/>
              </w:rPr>
              <w:t>Pelgar International (Aus) Pty Ltd</w:t>
            </w:r>
          </w:p>
        </w:tc>
        <w:tc>
          <w:tcPr>
            <w:tcW w:w="3118" w:type="dxa"/>
          </w:tcPr>
          <w:p w14:paraId="7F2287CE" w14:textId="59260AAC" w:rsidR="00D56BAE" w:rsidRPr="00D56BAE" w:rsidRDefault="00D56BAE" w:rsidP="00BA7F4F">
            <w:pPr>
              <w:pStyle w:val="TableText"/>
            </w:pPr>
            <w:r w:rsidRPr="00D56BAE">
              <w:t xml:space="preserve">Vary formulation type to RB – </w:t>
            </w:r>
            <w:r w:rsidR="005F4C05">
              <w:t>ready-to-use bait</w:t>
            </w:r>
          </w:p>
        </w:tc>
      </w:tr>
      <w:tr w:rsidR="00D56BAE" w:rsidRPr="00703922" w14:paraId="29913581" w14:textId="77777777" w:rsidTr="00FF7579">
        <w:trPr>
          <w:trHeight w:val="288"/>
        </w:trPr>
        <w:tc>
          <w:tcPr>
            <w:tcW w:w="988" w:type="dxa"/>
            <w:noWrap/>
            <w:hideMark/>
          </w:tcPr>
          <w:p w14:paraId="33D5E751" w14:textId="77777777" w:rsidR="00D56BAE" w:rsidRPr="00D56BAE" w:rsidRDefault="00D56BAE" w:rsidP="00BA7F4F">
            <w:pPr>
              <w:pStyle w:val="TableText"/>
            </w:pPr>
            <w:r w:rsidRPr="00D56BAE">
              <w:t>89039</w:t>
            </w:r>
          </w:p>
        </w:tc>
        <w:tc>
          <w:tcPr>
            <w:tcW w:w="2273" w:type="dxa"/>
            <w:noWrap/>
            <w:hideMark/>
          </w:tcPr>
          <w:p w14:paraId="3017DDED" w14:textId="77777777" w:rsidR="00D56BAE" w:rsidRPr="00D56BAE" w:rsidRDefault="00D56BAE" w:rsidP="00BA7F4F">
            <w:pPr>
              <w:pStyle w:val="TableText"/>
            </w:pPr>
            <w:r w:rsidRPr="00D56BAE">
              <w:t>Solo 25 Blox Rodenticide</w:t>
            </w:r>
          </w:p>
        </w:tc>
        <w:tc>
          <w:tcPr>
            <w:tcW w:w="1275" w:type="dxa"/>
          </w:tcPr>
          <w:p w14:paraId="1EA99C39" w14:textId="77777777" w:rsidR="00D56BAE" w:rsidRPr="00D56BAE" w:rsidRDefault="00D56BAE" w:rsidP="00BA7F4F">
            <w:pPr>
              <w:pStyle w:val="TableText"/>
            </w:pPr>
            <w:r w:rsidRPr="00D56BAE">
              <w:t>0.025 g/kg</w:t>
            </w:r>
          </w:p>
        </w:tc>
        <w:tc>
          <w:tcPr>
            <w:tcW w:w="1980" w:type="dxa"/>
          </w:tcPr>
          <w:p w14:paraId="0FB5DB7C" w14:textId="38100303" w:rsidR="00D56BAE" w:rsidRPr="00D56BAE" w:rsidRDefault="00FA5C20" w:rsidP="00BA7F4F">
            <w:pPr>
              <w:pStyle w:val="TableText"/>
            </w:pPr>
            <w:r w:rsidRPr="00D56BAE">
              <w:t>Bell Laboratories, Inc.</w:t>
            </w:r>
          </w:p>
        </w:tc>
        <w:tc>
          <w:tcPr>
            <w:tcW w:w="3118" w:type="dxa"/>
          </w:tcPr>
          <w:p w14:paraId="027B3A71" w14:textId="324C0BA6" w:rsidR="00D56BAE" w:rsidRPr="00D56BAE" w:rsidRDefault="00D56BAE" w:rsidP="00BA7F4F">
            <w:pPr>
              <w:pStyle w:val="TableText"/>
            </w:pPr>
            <w:r w:rsidRPr="00D56BAE">
              <w:t>Conditional registration: confirm source of active and formulation details of product</w:t>
            </w:r>
          </w:p>
        </w:tc>
      </w:tr>
      <w:tr w:rsidR="00D56BAE" w:rsidRPr="00703922" w14:paraId="69B4B9D0" w14:textId="77777777" w:rsidTr="00FF7579">
        <w:trPr>
          <w:trHeight w:val="288"/>
        </w:trPr>
        <w:tc>
          <w:tcPr>
            <w:tcW w:w="988" w:type="dxa"/>
            <w:noWrap/>
            <w:hideMark/>
          </w:tcPr>
          <w:p w14:paraId="42BE5FBE" w14:textId="77777777" w:rsidR="00D56BAE" w:rsidRPr="00D56BAE" w:rsidRDefault="00D56BAE" w:rsidP="00BA7F4F">
            <w:pPr>
              <w:pStyle w:val="TableText"/>
            </w:pPr>
            <w:r w:rsidRPr="00D56BAE">
              <w:t>89557</w:t>
            </w:r>
          </w:p>
        </w:tc>
        <w:tc>
          <w:tcPr>
            <w:tcW w:w="2273" w:type="dxa"/>
            <w:noWrap/>
            <w:hideMark/>
          </w:tcPr>
          <w:p w14:paraId="1C6BD99D" w14:textId="77777777" w:rsidR="00D56BAE" w:rsidRPr="00D56BAE" w:rsidRDefault="00D56BAE" w:rsidP="00BA7F4F">
            <w:pPr>
              <w:pStyle w:val="TableText"/>
            </w:pPr>
            <w:r w:rsidRPr="00D56BAE">
              <w:t xml:space="preserve">Raticate all-weather block - Brodifacoum </w:t>
            </w:r>
          </w:p>
        </w:tc>
        <w:tc>
          <w:tcPr>
            <w:tcW w:w="1275" w:type="dxa"/>
          </w:tcPr>
          <w:p w14:paraId="70880A7D" w14:textId="77777777" w:rsidR="00D56BAE" w:rsidRPr="00D56BAE" w:rsidRDefault="00D56BAE" w:rsidP="00BA7F4F">
            <w:pPr>
              <w:pStyle w:val="TableText"/>
            </w:pPr>
            <w:r w:rsidRPr="00D56BAE">
              <w:t>0.05 g/kg</w:t>
            </w:r>
          </w:p>
        </w:tc>
        <w:tc>
          <w:tcPr>
            <w:tcW w:w="1980" w:type="dxa"/>
          </w:tcPr>
          <w:p w14:paraId="183B7AA1" w14:textId="788CFBDE" w:rsidR="00D56BAE" w:rsidRPr="00D56BAE" w:rsidRDefault="00FA5C20" w:rsidP="00BA7F4F">
            <w:pPr>
              <w:pStyle w:val="TableText"/>
            </w:pPr>
            <w:r w:rsidRPr="00D56BAE">
              <w:t>Freezone Public Health Pty Ltd</w:t>
            </w:r>
          </w:p>
        </w:tc>
        <w:tc>
          <w:tcPr>
            <w:tcW w:w="3118" w:type="dxa"/>
          </w:tcPr>
          <w:p w14:paraId="0B476A75" w14:textId="237443F9" w:rsidR="00D56BAE" w:rsidRPr="00D56BAE" w:rsidRDefault="00D56BAE" w:rsidP="00BA7F4F">
            <w:pPr>
              <w:pStyle w:val="TableText"/>
            </w:pPr>
            <w:r w:rsidRPr="00D56BAE">
              <w:t xml:space="preserve">Vary formulation type to RB – </w:t>
            </w:r>
            <w:r w:rsidR="005F4C05">
              <w:t>ready-to-use bait</w:t>
            </w:r>
          </w:p>
        </w:tc>
      </w:tr>
      <w:tr w:rsidR="00D56BAE" w:rsidRPr="00703922" w14:paraId="7FEC47CD" w14:textId="77777777" w:rsidTr="00FF7579">
        <w:trPr>
          <w:trHeight w:val="288"/>
        </w:trPr>
        <w:tc>
          <w:tcPr>
            <w:tcW w:w="988" w:type="dxa"/>
            <w:noWrap/>
            <w:hideMark/>
          </w:tcPr>
          <w:p w14:paraId="554952C1" w14:textId="77777777" w:rsidR="00D56BAE" w:rsidRPr="00D56BAE" w:rsidRDefault="00D56BAE" w:rsidP="00BA7F4F">
            <w:pPr>
              <w:pStyle w:val="TableText"/>
            </w:pPr>
            <w:r w:rsidRPr="00D56BAE">
              <w:t>90982</w:t>
            </w:r>
          </w:p>
        </w:tc>
        <w:tc>
          <w:tcPr>
            <w:tcW w:w="2273" w:type="dxa"/>
            <w:noWrap/>
            <w:hideMark/>
          </w:tcPr>
          <w:p w14:paraId="78F8890E" w14:textId="77777777" w:rsidR="00D56BAE" w:rsidRPr="00D56BAE" w:rsidRDefault="00D56BAE" w:rsidP="00BA7F4F">
            <w:pPr>
              <w:pStyle w:val="TableText"/>
            </w:pPr>
            <w:r w:rsidRPr="00D56BAE">
              <w:t>ADAMA Brodifacoum Soft Bait</w:t>
            </w:r>
          </w:p>
        </w:tc>
        <w:tc>
          <w:tcPr>
            <w:tcW w:w="1275" w:type="dxa"/>
          </w:tcPr>
          <w:p w14:paraId="71AEE135" w14:textId="77777777" w:rsidR="00D56BAE" w:rsidRPr="00D56BAE" w:rsidRDefault="00D56BAE" w:rsidP="00BA7F4F">
            <w:pPr>
              <w:pStyle w:val="TableText"/>
            </w:pPr>
            <w:r w:rsidRPr="00D56BAE">
              <w:t>0.05 g/kg</w:t>
            </w:r>
          </w:p>
        </w:tc>
        <w:tc>
          <w:tcPr>
            <w:tcW w:w="1980" w:type="dxa"/>
          </w:tcPr>
          <w:p w14:paraId="66F96BC2" w14:textId="59146F87" w:rsidR="00D56BAE" w:rsidRPr="00D56BAE" w:rsidRDefault="00FA5C20" w:rsidP="00BA7F4F">
            <w:pPr>
              <w:pStyle w:val="TableText"/>
            </w:pPr>
            <w:r w:rsidRPr="00D56BAE">
              <w:t>Adama Australia Pty Limited</w:t>
            </w:r>
          </w:p>
        </w:tc>
        <w:tc>
          <w:tcPr>
            <w:tcW w:w="3118" w:type="dxa"/>
          </w:tcPr>
          <w:p w14:paraId="1C105A30" w14:textId="6EB33D46" w:rsidR="00D56BAE" w:rsidRPr="00D56BAE" w:rsidRDefault="00D56BAE" w:rsidP="00BA7F4F">
            <w:pPr>
              <w:pStyle w:val="TableText"/>
            </w:pPr>
            <w:r w:rsidRPr="00D56BAE">
              <w:t>Conditional registration: confirm source of active and formulation details of product</w:t>
            </w:r>
          </w:p>
        </w:tc>
      </w:tr>
      <w:tr w:rsidR="00D56BAE" w:rsidRPr="00703922" w14:paraId="60726907" w14:textId="77777777" w:rsidTr="00FF7579">
        <w:trPr>
          <w:trHeight w:val="288"/>
        </w:trPr>
        <w:tc>
          <w:tcPr>
            <w:tcW w:w="988" w:type="dxa"/>
            <w:noWrap/>
            <w:hideMark/>
          </w:tcPr>
          <w:p w14:paraId="268B80AE" w14:textId="77777777" w:rsidR="00D56BAE" w:rsidRPr="00D56BAE" w:rsidRDefault="00D56BAE" w:rsidP="00BA7F4F">
            <w:pPr>
              <w:pStyle w:val="TableText"/>
            </w:pPr>
            <w:r w:rsidRPr="00D56BAE">
              <w:t>91393</w:t>
            </w:r>
          </w:p>
        </w:tc>
        <w:tc>
          <w:tcPr>
            <w:tcW w:w="2273" w:type="dxa"/>
            <w:noWrap/>
            <w:hideMark/>
          </w:tcPr>
          <w:p w14:paraId="50D45AC4" w14:textId="77777777" w:rsidR="00D56BAE" w:rsidRPr="00D56BAE" w:rsidRDefault="00D56BAE" w:rsidP="00BA7F4F">
            <w:pPr>
              <w:pStyle w:val="TableText"/>
            </w:pPr>
            <w:r w:rsidRPr="00D56BAE">
              <w:t>The Big Cheese Ultra Power Disposable Mouse Kill Bait Station</w:t>
            </w:r>
          </w:p>
        </w:tc>
        <w:tc>
          <w:tcPr>
            <w:tcW w:w="1275" w:type="dxa"/>
          </w:tcPr>
          <w:p w14:paraId="7DAAFCF2" w14:textId="77777777" w:rsidR="00D56BAE" w:rsidRPr="00D56BAE" w:rsidRDefault="00D56BAE" w:rsidP="00BA7F4F">
            <w:pPr>
              <w:pStyle w:val="TableText"/>
            </w:pPr>
            <w:r w:rsidRPr="00D56BAE">
              <w:t>0.025 g/kg</w:t>
            </w:r>
          </w:p>
        </w:tc>
        <w:tc>
          <w:tcPr>
            <w:tcW w:w="1980" w:type="dxa"/>
          </w:tcPr>
          <w:p w14:paraId="0A207B33" w14:textId="36A7C098" w:rsidR="00D56BAE" w:rsidRPr="0039473D" w:rsidRDefault="00FA5C20" w:rsidP="00BA7F4F">
            <w:pPr>
              <w:pStyle w:val="TableText"/>
              <w:rPr>
                <w:lang w:val="de-CH"/>
              </w:rPr>
            </w:pPr>
            <w:r w:rsidRPr="0039473D">
              <w:rPr>
                <w:lang w:val="de-CH"/>
              </w:rPr>
              <w:t>Pelgar International (Aus) Pty Ltd</w:t>
            </w:r>
          </w:p>
        </w:tc>
        <w:tc>
          <w:tcPr>
            <w:tcW w:w="3118" w:type="dxa"/>
          </w:tcPr>
          <w:p w14:paraId="261765DB" w14:textId="3E6078FB" w:rsidR="00D56BAE" w:rsidRPr="00D56BAE" w:rsidRDefault="00D56BAE" w:rsidP="00BA7F4F">
            <w:pPr>
              <w:pStyle w:val="TableText"/>
            </w:pPr>
            <w:r w:rsidRPr="00D56BAE">
              <w:t xml:space="preserve">Vary formulation type to RB – </w:t>
            </w:r>
            <w:r w:rsidR="005F4C05">
              <w:t>ready-to-use bait</w:t>
            </w:r>
          </w:p>
        </w:tc>
      </w:tr>
      <w:tr w:rsidR="00D56BAE" w:rsidRPr="00703922" w14:paraId="51326ADC" w14:textId="77777777" w:rsidTr="00FF7579">
        <w:trPr>
          <w:trHeight w:val="288"/>
        </w:trPr>
        <w:tc>
          <w:tcPr>
            <w:tcW w:w="988" w:type="dxa"/>
            <w:noWrap/>
            <w:hideMark/>
          </w:tcPr>
          <w:p w14:paraId="2034289B" w14:textId="77777777" w:rsidR="00D56BAE" w:rsidRPr="00D56BAE" w:rsidRDefault="00D56BAE" w:rsidP="00BA7F4F">
            <w:pPr>
              <w:pStyle w:val="TableText"/>
            </w:pPr>
            <w:r w:rsidRPr="00D56BAE">
              <w:t>91394</w:t>
            </w:r>
          </w:p>
        </w:tc>
        <w:tc>
          <w:tcPr>
            <w:tcW w:w="2273" w:type="dxa"/>
            <w:noWrap/>
            <w:hideMark/>
          </w:tcPr>
          <w:p w14:paraId="0C068DD7" w14:textId="77777777" w:rsidR="00D56BAE" w:rsidRPr="00D56BAE" w:rsidRDefault="00D56BAE" w:rsidP="00BA7F4F">
            <w:pPr>
              <w:pStyle w:val="TableText"/>
            </w:pPr>
            <w:r w:rsidRPr="00D56BAE">
              <w:t>The Big Cheese Ultra Power Mouse Kill Bait Station Kit</w:t>
            </w:r>
          </w:p>
        </w:tc>
        <w:tc>
          <w:tcPr>
            <w:tcW w:w="1275" w:type="dxa"/>
          </w:tcPr>
          <w:p w14:paraId="727C282D" w14:textId="77777777" w:rsidR="00D56BAE" w:rsidRPr="00D56BAE" w:rsidRDefault="00D56BAE" w:rsidP="00BA7F4F">
            <w:pPr>
              <w:pStyle w:val="TableText"/>
            </w:pPr>
            <w:r w:rsidRPr="00D56BAE">
              <w:t>0.025 g/kg</w:t>
            </w:r>
          </w:p>
        </w:tc>
        <w:tc>
          <w:tcPr>
            <w:tcW w:w="1980" w:type="dxa"/>
          </w:tcPr>
          <w:p w14:paraId="28385567" w14:textId="4256C787" w:rsidR="00D56BAE" w:rsidRPr="0039473D" w:rsidRDefault="00FA5C20" w:rsidP="00BA7F4F">
            <w:pPr>
              <w:pStyle w:val="TableText"/>
              <w:rPr>
                <w:lang w:val="de-CH"/>
              </w:rPr>
            </w:pPr>
            <w:r w:rsidRPr="0039473D">
              <w:rPr>
                <w:lang w:val="de-CH"/>
              </w:rPr>
              <w:t>Pelgar International (Aus) Pty Ltd</w:t>
            </w:r>
          </w:p>
        </w:tc>
        <w:tc>
          <w:tcPr>
            <w:tcW w:w="3118" w:type="dxa"/>
          </w:tcPr>
          <w:p w14:paraId="46E8760F" w14:textId="160E00A4" w:rsidR="00D56BAE" w:rsidRPr="00D56BAE" w:rsidRDefault="00D56BAE" w:rsidP="00BA7F4F">
            <w:pPr>
              <w:pStyle w:val="TableText"/>
            </w:pPr>
            <w:r w:rsidRPr="00D56BAE">
              <w:t xml:space="preserve">Vary formulation type to RB – </w:t>
            </w:r>
            <w:r w:rsidR="005F4C05">
              <w:t>ready-to-use bait</w:t>
            </w:r>
          </w:p>
        </w:tc>
      </w:tr>
      <w:tr w:rsidR="00D56BAE" w:rsidRPr="00703922" w14:paraId="63DEDBAF" w14:textId="77777777" w:rsidTr="00FF7579">
        <w:trPr>
          <w:trHeight w:val="288"/>
        </w:trPr>
        <w:tc>
          <w:tcPr>
            <w:tcW w:w="988" w:type="dxa"/>
            <w:noWrap/>
            <w:hideMark/>
          </w:tcPr>
          <w:p w14:paraId="163A60F3" w14:textId="77777777" w:rsidR="00D56BAE" w:rsidRPr="00D56BAE" w:rsidRDefault="00D56BAE" w:rsidP="00BA7F4F">
            <w:pPr>
              <w:pStyle w:val="TableText"/>
            </w:pPr>
            <w:r w:rsidRPr="00D56BAE">
              <w:t>91401</w:t>
            </w:r>
          </w:p>
        </w:tc>
        <w:tc>
          <w:tcPr>
            <w:tcW w:w="2273" w:type="dxa"/>
            <w:noWrap/>
            <w:hideMark/>
          </w:tcPr>
          <w:p w14:paraId="58A61AC0" w14:textId="77777777" w:rsidR="00D56BAE" w:rsidRPr="00D56BAE" w:rsidRDefault="00D56BAE" w:rsidP="00BA7F4F">
            <w:pPr>
              <w:pStyle w:val="TableText"/>
            </w:pPr>
            <w:r w:rsidRPr="00D56BAE">
              <w:t>The Big Cheese Ultra Power Rat Kill Bait Station Kit</w:t>
            </w:r>
          </w:p>
        </w:tc>
        <w:tc>
          <w:tcPr>
            <w:tcW w:w="1275" w:type="dxa"/>
          </w:tcPr>
          <w:p w14:paraId="775D14BC" w14:textId="77777777" w:rsidR="00D56BAE" w:rsidRPr="00D56BAE" w:rsidRDefault="00D56BAE" w:rsidP="00BA7F4F">
            <w:pPr>
              <w:pStyle w:val="TableText"/>
            </w:pPr>
            <w:r w:rsidRPr="00D56BAE">
              <w:t>0.025 g/klg</w:t>
            </w:r>
          </w:p>
        </w:tc>
        <w:tc>
          <w:tcPr>
            <w:tcW w:w="1980" w:type="dxa"/>
          </w:tcPr>
          <w:p w14:paraId="38D3A9D4" w14:textId="7E329E8A" w:rsidR="00D56BAE" w:rsidRPr="0039473D" w:rsidRDefault="00FA5C20" w:rsidP="00BA7F4F">
            <w:pPr>
              <w:pStyle w:val="TableText"/>
              <w:rPr>
                <w:lang w:val="de-CH"/>
              </w:rPr>
            </w:pPr>
            <w:r w:rsidRPr="0039473D">
              <w:rPr>
                <w:lang w:val="de-CH"/>
              </w:rPr>
              <w:t>Pelgar International (Aus) Pty Ltd</w:t>
            </w:r>
          </w:p>
        </w:tc>
        <w:tc>
          <w:tcPr>
            <w:tcW w:w="3118" w:type="dxa"/>
          </w:tcPr>
          <w:p w14:paraId="04AD0F62" w14:textId="0313844E" w:rsidR="00D56BAE" w:rsidRPr="00D56BAE" w:rsidRDefault="00FE7A25" w:rsidP="00286653">
            <w:pPr>
              <w:pStyle w:val="TableText"/>
            </w:pPr>
            <w:r>
              <w:t>N/A</w:t>
            </w:r>
          </w:p>
        </w:tc>
      </w:tr>
      <w:tr w:rsidR="00D56BAE" w:rsidRPr="00703922" w14:paraId="27297B7B" w14:textId="77777777" w:rsidTr="00FF7579">
        <w:trPr>
          <w:trHeight w:val="288"/>
        </w:trPr>
        <w:tc>
          <w:tcPr>
            <w:tcW w:w="988" w:type="dxa"/>
            <w:noWrap/>
            <w:hideMark/>
          </w:tcPr>
          <w:p w14:paraId="48C70C16" w14:textId="77777777" w:rsidR="00D56BAE" w:rsidRPr="00D56BAE" w:rsidRDefault="00D56BAE" w:rsidP="00BA7F4F">
            <w:pPr>
              <w:pStyle w:val="TableText"/>
            </w:pPr>
            <w:r w:rsidRPr="00D56BAE">
              <w:t>91553</w:t>
            </w:r>
          </w:p>
        </w:tc>
        <w:tc>
          <w:tcPr>
            <w:tcW w:w="2273" w:type="dxa"/>
            <w:noWrap/>
            <w:hideMark/>
          </w:tcPr>
          <w:p w14:paraId="17278E6C" w14:textId="77777777" w:rsidR="00D56BAE" w:rsidRPr="00D56BAE" w:rsidRDefault="00D56BAE" w:rsidP="00BA7F4F">
            <w:pPr>
              <w:pStyle w:val="TableText"/>
            </w:pPr>
            <w:r w:rsidRPr="00D56BAE">
              <w:t>Titan Onza Red Rodenticide Paste</w:t>
            </w:r>
          </w:p>
        </w:tc>
        <w:tc>
          <w:tcPr>
            <w:tcW w:w="1275" w:type="dxa"/>
          </w:tcPr>
          <w:p w14:paraId="638F8452" w14:textId="77777777" w:rsidR="00D56BAE" w:rsidRPr="00D56BAE" w:rsidRDefault="00D56BAE" w:rsidP="00BA7F4F">
            <w:pPr>
              <w:pStyle w:val="TableText"/>
            </w:pPr>
            <w:r w:rsidRPr="00D56BAE">
              <w:t>0.05 g/kg</w:t>
            </w:r>
          </w:p>
        </w:tc>
        <w:tc>
          <w:tcPr>
            <w:tcW w:w="1980" w:type="dxa"/>
          </w:tcPr>
          <w:p w14:paraId="10E31038" w14:textId="4B3228B6" w:rsidR="00D56BAE" w:rsidRPr="00D56BAE" w:rsidRDefault="00FA5C20" w:rsidP="00BA7F4F">
            <w:pPr>
              <w:pStyle w:val="TableText"/>
            </w:pPr>
            <w:r w:rsidRPr="00D56BAE">
              <w:t>Freezone Public Health Pty Ltd</w:t>
            </w:r>
          </w:p>
        </w:tc>
        <w:tc>
          <w:tcPr>
            <w:tcW w:w="3118" w:type="dxa"/>
          </w:tcPr>
          <w:p w14:paraId="341901EB" w14:textId="711B587C" w:rsidR="00D56BAE" w:rsidRPr="00D56BAE" w:rsidRDefault="00D56BAE" w:rsidP="00BA7F4F">
            <w:pPr>
              <w:pStyle w:val="TableText"/>
            </w:pPr>
            <w:r w:rsidRPr="00D56BAE">
              <w:t xml:space="preserve">Vary formulation type to RB – </w:t>
            </w:r>
            <w:r w:rsidR="005F4C05">
              <w:t>ready-to-use bait</w:t>
            </w:r>
          </w:p>
        </w:tc>
      </w:tr>
      <w:tr w:rsidR="00D56BAE" w:rsidRPr="00703922" w14:paraId="3E5463D5" w14:textId="77777777" w:rsidTr="00FF7579">
        <w:trPr>
          <w:trHeight w:val="288"/>
        </w:trPr>
        <w:tc>
          <w:tcPr>
            <w:tcW w:w="988" w:type="dxa"/>
            <w:noWrap/>
            <w:hideMark/>
          </w:tcPr>
          <w:p w14:paraId="7D72DFFE" w14:textId="77777777" w:rsidR="00D56BAE" w:rsidRPr="00D56BAE" w:rsidRDefault="00D56BAE" w:rsidP="00BA7F4F">
            <w:pPr>
              <w:pStyle w:val="TableText"/>
            </w:pPr>
            <w:r w:rsidRPr="00D56BAE">
              <w:t>91554</w:t>
            </w:r>
          </w:p>
        </w:tc>
        <w:tc>
          <w:tcPr>
            <w:tcW w:w="2273" w:type="dxa"/>
            <w:noWrap/>
            <w:hideMark/>
          </w:tcPr>
          <w:p w14:paraId="3B0809F6" w14:textId="77777777" w:rsidR="00D56BAE" w:rsidRPr="00D56BAE" w:rsidRDefault="00D56BAE" w:rsidP="00BA7F4F">
            <w:pPr>
              <w:pStyle w:val="TableText"/>
            </w:pPr>
            <w:r w:rsidRPr="00D56BAE">
              <w:t>Titan Onza Red Rodenticide Blocks</w:t>
            </w:r>
          </w:p>
        </w:tc>
        <w:tc>
          <w:tcPr>
            <w:tcW w:w="1275" w:type="dxa"/>
          </w:tcPr>
          <w:p w14:paraId="3E72F16B" w14:textId="77777777" w:rsidR="00D56BAE" w:rsidRPr="00D56BAE" w:rsidRDefault="00D56BAE" w:rsidP="00BA7F4F">
            <w:pPr>
              <w:pStyle w:val="TableText"/>
            </w:pPr>
            <w:r w:rsidRPr="00D56BAE">
              <w:t>0.05 g/kg</w:t>
            </w:r>
          </w:p>
        </w:tc>
        <w:tc>
          <w:tcPr>
            <w:tcW w:w="1980" w:type="dxa"/>
          </w:tcPr>
          <w:p w14:paraId="69C72468" w14:textId="594D9C65" w:rsidR="00D56BAE" w:rsidRPr="00D56BAE" w:rsidRDefault="00FA5C20" w:rsidP="00BA7F4F">
            <w:pPr>
              <w:pStyle w:val="TableText"/>
            </w:pPr>
            <w:r w:rsidRPr="00D56BAE">
              <w:t>Freezone Public Health Pty Ltd</w:t>
            </w:r>
          </w:p>
        </w:tc>
        <w:tc>
          <w:tcPr>
            <w:tcW w:w="3118" w:type="dxa"/>
          </w:tcPr>
          <w:p w14:paraId="394AAC7B" w14:textId="62DA3BE4" w:rsidR="00D56BAE" w:rsidRPr="00D56BAE" w:rsidRDefault="00D56BAE" w:rsidP="00BA7F4F">
            <w:pPr>
              <w:pStyle w:val="TableText"/>
            </w:pPr>
            <w:r w:rsidRPr="00D56BAE">
              <w:t xml:space="preserve">Vary formulation type to RB – </w:t>
            </w:r>
            <w:r w:rsidR="005F4C05">
              <w:t>ready-to-use bait</w:t>
            </w:r>
          </w:p>
        </w:tc>
      </w:tr>
      <w:tr w:rsidR="00D56BAE" w:rsidRPr="00703922" w14:paraId="2785D1B2" w14:textId="77777777" w:rsidTr="00FF7579">
        <w:trPr>
          <w:trHeight w:val="288"/>
        </w:trPr>
        <w:tc>
          <w:tcPr>
            <w:tcW w:w="988" w:type="dxa"/>
            <w:noWrap/>
            <w:hideMark/>
          </w:tcPr>
          <w:p w14:paraId="4686BB8B" w14:textId="77777777" w:rsidR="00D56BAE" w:rsidRPr="00D56BAE" w:rsidRDefault="00D56BAE" w:rsidP="00BA7F4F">
            <w:pPr>
              <w:pStyle w:val="TableText"/>
            </w:pPr>
            <w:r w:rsidRPr="00D56BAE">
              <w:t>91653</w:t>
            </w:r>
          </w:p>
        </w:tc>
        <w:tc>
          <w:tcPr>
            <w:tcW w:w="2273" w:type="dxa"/>
            <w:noWrap/>
            <w:hideMark/>
          </w:tcPr>
          <w:p w14:paraId="39D5A32E" w14:textId="77777777" w:rsidR="00D56BAE" w:rsidRPr="00D56BAE" w:rsidRDefault="00D56BAE" w:rsidP="00BA7F4F">
            <w:pPr>
              <w:pStyle w:val="TableText"/>
            </w:pPr>
            <w:r w:rsidRPr="00D56BAE">
              <w:t>Pestmaster Brodifacoum Rat &amp; Mouse Killer Blocks</w:t>
            </w:r>
          </w:p>
        </w:tc>
        <w:tc>
          <w:tcPr>
            <w:tcW w:w="1275" w:type="dxa"/>
          </w:tcPr>
          <w:p w14:paraId="53E1F3D3" w14:textId="77777777" w:rsidR="00D56BAE" w:rsidRPr="00D56BAE" w:rsidRDefault="00D56BAE" w:rsidP="00BA7F4F">
            <w:pPr>
              <w:pStyle w:val="TableText"/>
            </w:pPr>
            <w:r w:rsidRPr="00D56BAE">
              <w:t>0.05 g/kg</w:t>
            </w:r>
          </w:p>
        </w:tc>
        <w:tc>
          <w:tcPr>
            <w:tcW w:w="1980" w:type="dxa"/>
          </w:tcPr>
          <w:p w14:paraId="1D46AC66" w14:textId="6D8F4FE1" w:rsidR="00D56BAE" w:rsidRPr="00D56BAE" w:rsidRDefault="00FA5C20" w:rsidP="00BA7F4F">
            <w:pPr>
              <w:pStyle w:val="TableText"/>
            </w:pPr>
            <w:r w:rsidRPr="00D56BAE">
              <w:t>Triox Pty. Ltd.</w:t>
            </w:r>
          </w:p>
        </w:tc>
        <w:tc>
          <w:tcPr>
            <w:tcW w:w="3118" w:type="dxa"/>
          </w:tcPr>
          <w:p w14:paraId="0A7A9DFA" w14:textId="29C31974" w:rsidR="00D56BAE" w:rsidRPr="00D56BAE" w:rsidRDefault="00D56BAE" w:rsidP="00BA7F4F">
            <w:pPr>
              <w:pStyle w:val="TableText"/>
            </w:pPr>
            <w:r w:rsidRPr="00D56BAE">
              <w:t xml:space="preserve">Vary formulation type to RB – </w:t>
            </w:r>
            <w:r w:rsidR="005F4C05">
              <w:t>ready-to-use bait</w:t>
            </w:r>
          </w:p>
        </w:tc>
      </w:tr>
      <w:tr w:rsidR="00D56BAE" w:rsidRPr="00703922" w14:paraId="721F7BCB" w14:textId="77777777" w:rsidTr="00FF7579">
        <w:trPr>
          <w:trHeight w:val="288"/>
        </w:trPr>
        <w:tc>
          <w:tcPr>
            <w:tcW w:w="988" w:type="dxa"/>
            <w:noWrap/>
            <w:hideMark/>
          </w:tcPr>
          <w:p w14:paraId="53CA4F76" w14:textId="77777777" w:rsidR="00D56BAE" w:rsidRPr="00D56BAE" w:rsidRDefault="00D56BAE" w:rsidP="00BA7F4F">
            <w:pPr>
              <w:pStyle w:val="TableText"/>
            </w:pPr>
            <w:r w:rsidRPr="00D56BAE">
              <w:t>91708</w:t>
            </w:r>
          </w:p>
        </w:tc>
        <w:tc>
          <w:tcPr>
            <w:tcW w:w="2273" w:type="dxa"/>
            <w:noWrap/>
            <w:hideMark/>
          </w:tcPr>
          <w:p w14:paraId="13574BBE" w14:textId="77777777" w:rsidR="00D56BAE" w:rsidRPr="00D56BAE" w:rsidRDefault="00D56BAE" w:rsidP="00BA7F4F">
            <w:pPr>
              <w:pStyle w:val="TableText"/>
            </w:pPr>
            <w:r w:rsidRPr="00D56BAE">
              <w:t>Titan Onza Red Grain Bait</w:t>
            </w:r>
          </w:p>
        </w:tc>
        <w:tc>
          <w:tcPr>
            <w:tcW w:w="1275" w:type="dxa"/>
          </w:tcPr>
          <w:p w14:paraId="170184C1" w14:textId="77777777" w:rsidR="00D56BAE" w:rsidRPr="00D56BAE" w:rsidRDefault="00D56BAE" w:rsidP="00BA7F4F">
            <w:pPr>
              <w:pStyle w:val="TableText"/>
            </w:pPr>
            <w:r w:rsidRPr="00D56BAE">
              <w:t>0.05 g/kg</w:t>
            </w:r>
          </w:p>
        </w:tc>
        <w:tc>
          <w:tcPr>
            <w:tcW w:w="1980" w:type="dxa"/>
          </w:tcPr>
          <w:p w14:paraId="1D03DEDA" w14:textId="2ECC6A0F" w:rsidR="00D56BAE" w:rsidRPr="00D56BAE" w:rsidRDefault="00FA5C20" w:rsidP="00BA7F4F">
            <w:pPr>
              <w:pStyle w:val="TableText"/>
            </w:pPr>
            <w:r w:rsidRPr="00D56BAE">
              <w:t>Freezone Public Health Pty Ltd</w:t>
            </w:r>
          </w:p>
        </w:tc>
        <w:tc>
          <w:tcPr>
            <w:tcW w:w="3118" w:type="dxa"/>
          </w:tcPr>
          <w:p w14:paraId="51B6080A" w14:textId="6C6F40D5" w:rsidR="00D56BAE" w:rsidRPr="00D56BAE" w:rsidRDefault="00D56BAE" w:rsidP="00BA7F4F">
            <w:pPr>
              <w:pStyle w:val="TableText"/>
            </w:pPr>
            <w:r w:rsidRPr="00D56BAE">
              <w:t xml:space="preserve">Vary formulation type to RB – </w:t>
            </w:r>
            <w:r w:rsidR="005F4C05">
              <w:t>ready-to-use bait</w:t>
            </w:r>
          </w:p>
        </w:tc>
      </w:tr>
      <w:tr w:rsidR="00D56BAE" w:rsidRPr="00703922" w14:paraId="062D1791" w14:textId="77777777" w:rsidTr="00FF7579">
        <w:trPr>
          <w:trHeight w:val="288"/>
        </w:trPr>
        <w:tc>
          <w:tcPr>
            <w:tcW w:w="988" w:type="dxa"/>
            <w:noWrap/>
            <w:hideMark/>
          </w:tcPr>
          <w:p w14:paraId="3CDD21FE" w14:textId="77777777" w:rsidR="00D56BAE" w:rsidRPr="00D56BAE" w:rsidRDefault="00D56BAE" w:rsidP="00BA7F4F">
            <w:pPr>
              <w:pStyle w:val="TableText"/>
            </w:pPr>
            <w:r w:rsidRPr="00D56BAE">
              <w:t>92319</w:t>
            </w:r>
          </w:p>
        </w:tc>
        <w:tc>
          <w:tcPr>
            <w:tcW w:w="2273" w:type="dxa"/>
            <w:noWrap/>
            <w:hideMark/>
          </w:tcPr>
          <w:p w14:paraId="0A6DE1DF" w14:textId="77777777" w:rsidR="00D56BAE" w:rsidRPr="00D56BAE" w:rsidRDefault="00D56BAE" w:rsidP="00BA7F4F">
            <w:pPr>
              <w:pStyle w:val="TableText"/>
            </w:pPr>
            <w:r w:rsidRPr="00D56BAE">
              <w:t>TALON GT Pro Rodenticide Grain Bait Block</w:t>
            </w:r>
          </w:p>
        </w:tc>
        <w:tc>
          <w:tcPr>
            <w:tcW w:w="1275" w:type="dxa"/>
          </w:tcPr>
          <w:p w14:paraId="347EDE43" w14:textId="77777777" w:rsidR="00D56BAE" w:rsidRPr="00D56BAE" w:rsidRDefault="00D56BAE" w:rsidP="00BA7F4F">
            <w:pPr>
              <w:pStyle w:val="TableText"/>
            </w:pPr>
            <w:r w:rsidRPr="00D56BAE">
              <w:t>0.05 g/kg</w:t>
            </w:r>
          </w:p>
        </w:tc>
        <w:tc>
          <w:tcPr>
            <w:tcW w:w="1980" w:type="dxa"/>
          </w:tcPr>
          <w:p w14:paraId="7CF4FB99" w14:textId="672E8F8D" w:rsidR="00D56BAE" w:rsidRPr="00D56BAE" w:rsidRDefault="00FA5C20" w:rsidP="00BA7F4F">
            <w:pPr>
              <w:pStyle w:val="TableText"/>
            </w:pPr>
            <w:r w:rsidRPr="00D56BAE">
              <w:t>Syngenta Australia Pty Ltd</w:t>
            </w:r>
          </w:p>
        </w:tc>
        <w:tc>
          <w:tcPr>
            <w:tcW w:w="3118" w:type="dxa"/>
          </w:tcPr>
          <w:p w14:paraId="71604292" w14:textId="4572F844" w:rsidR="00D56BAE" w:rsidRPr="00D56BAE" w:rsidRDefault="00D56BAE" w:rsidP="00BA7F4F">
            <w:pPr>
              <w:pStyle w:val="TableText"/>
            </w:pPr>
            <w:r w:rsidRPr="00D56BAE">
              <w:t xml:space="preserve">Vary formulation type to RB – </w:t>
            </w:r>
            <w:r w:rsidR="005F4C05">
              <w:t>ready-to-use bait</w:t>
            </w:r>
          </w:p>
          <w:p w14:paraId="17BC79F0" w14:textId="128D351F" w:rsidR="00D56BAE" w:rsidRPr="00D56BAE" w:rsidRDefault="00D56BAE" w:rsidP="00BA7F4F">
            <w:pPr>
              <w:pStyle w:val="TableText"/>
            </w:pPr>
            <w:r w:rsidRPr="00D56BAE">
              <w:t>Conditional registration: confirm source of active and formulation details of product</w:t>
            </w:r>
          </w:p>
        </w:tc>
      </w:tr>
      <w:tr w:rsidR="00D56BAE" w:rsidRPr="00703922" w14:paraId="3562C438" w14:textId="77777777" w:rsidTr="00FF7579">
        <w:trPr>
          <w:trHeight w:val="288"/>
        </w:trPr>
        <w:tc>
          <w:tcPr>
            <w:tcW w:w="988" w:type="dxa"/>
            <w:noWrap/>
            <w:hideMark/>
          </w:tcPr>
          <w:p w14:paraId="0AEDC99B" w14:textId="77777777" w:rsidR="00D56BAE" w:rsidRPr="00D56BAE" w:rsidRDefault="00D56BAE" w:rsidP="00BA7F4F">
            <w:pPr>
              <w:pStyle w:val="TableText"/>
            </w:pPr>
            <w:r w:rsidRPr="00D56BAE">
              <w:t>92320</w:t>
            </w:r>
          </w:p>
        </w:tc>
        <w:tc>
          <w:tcPr>
            <w:tcW w:w="2273" w:type="dxa"/>
            <w:noWrap/>
            <w:hideMark/>
          </w:tcPr>
          <w:p w14:paraId="5F5BEE10" w14:textId="77777777" w:rsidR="00D56BAE" w:rsidRPr="00D56BAE" w:rsidRDefault="00D56BAE" w:rsidP="00BA7F4F">
            <w:pPr>
              <w:pStyle w:val="TableText"/>
            </w:pPr>
            <w:r w:rsidRPr="00D56BAE">
              <w:t>TALON Rat &amp; Mouse Killer Grain Bait Block</w:t>
            </w:r>
          </w:p>
        </w:tc>
        <w:tc>
          <w:tcPr>
            <w:tcW w:w="1275" w:type="dxa"/>
          </w:tcPr>
          <w:p w14:paraId="64C8C2D6" w14:textId="77777777" w:rsidR="00D56BAE" w:rsidRPr="00D56BAE" w:rsidRDefault="00D56BAE" w:rsidP="00BA7F4F">
            <w:pPr>
              <w:pStyle w:val="TableText"/>
            </w:pPr>
            <w:r w:rsidRPr="00D56BAE">
              <w:t>0.05 g/kg</w:t>
            </w:r>
          </w:p>
        </w:tc>
        <w:tc>
          <w:tcPr>
            <w:tcW w:w="1980" w:type="dxa"/>
          </w:tcPr>
          <w:p w14:paraId="0C6CCCFE" w14:textId="18B04C1F" w:rsidR="00D56BAE" w:rsidRPr="00D56BAE" w:rsidRDefault="00FA5C20" w:rsidP="00BA7F4F">
            <w:pPr>
              <w:pStyle w:val="TableText"/>
            </w:pPr>
            <w:r w:rsidRPr="00D56BAE">
              <w:t>Syngenta Australia Pty Ltd</w:t>
            </w:r>
          </w:p>
        </w:tc>
        <w:tc>
          <w:tcPr>
            <w:tcW w:w="3118" w:type="dxa"/>
          </w:tcPr>
          <w:p w14:paraId="635115B3" w14:textId="78C45726" w:rsidR="00D56BAE" w:rsidRPr="00D56BAE" w:rsidRDefault="00D56BAE" w:rsidP="00BA7F4F">
            <w:pPr>
              <w:pStyle w:val="TableText"/>
            </w:pPr>
            <w:r w:rsidRPr="00D56BAE">
              <w:t xml:space="preserve">Vary formulation type to RB – </w:t>
            </w:r>
            <w:r w:rsidR="005F4C05">
              <w:t>ready-to-use bait</w:t>
            </w:r>
          </w:p>
          <w:p w14:paraId="43D614A3" w14:textId="635C7670" w:rsidR="00D56BAE" w:rsidRPr="00D56BAE" w:rsidRDefault="00D56BAE" w:rsidP="00BA7F4F">
            <w:pPr>
              <w:pStyle w:val="TableText"/>
            </w:pPr>
            <w:r w:rsidRPr="00D56BAE">
              <w:lastRenderedPageBreak/>
              <w:t>Conditional registration: confirm source of active and formulation details of product</w:t>
            </w:r>
          </w:p>
        </w:tc>
      </w:tr>
      <w:tr w:rsidR="00D56BAE" w:rsidRPr="00703922" w14:paraId="001FB0A9" w14:textId="77777777" w:rsidTr="00FF7579">
        <w:trPr>
          <w:trHeight w:val="288"/>
        </w:trPr>
        <w:tc>
          <w:tcPr>
            <w:tcW w:w="988" w:type="dxa"/>
            <w:noWrap/>
            <w:hideMark/>
          </w:tcPr>
          <w:p w14:paraId="290E709C" w14:textId="77777777" w:rsidR="00D56BAE" w:rsidRPr="00D56BAE" w:rsidRDefault="00D56BAE" w:rsidP="00BA7F4F">
            <w:pPr>
              <w:pStyle w:val="TableText"/>
            </w:pPr>
            <w:r w:rsidRPr="00D56BAE">
              <w:lastRenderedPageBreak/>
              <w:t>94213</w:t>
            </w:r>
          </w:p>
        </w:tc>
        <w:tc>
          <w:tcPr>
            <w:tcW w:w="2273" w:type="dxa"/>
            <w:noWrap/>
            <w:hideMark/>
          </w:tcPr>
          <w:p w14:paraId="2A02E977" w14:textId="77777777" w:rsidR="00D56BAE" w:rsidRPr="00D56BAE" w:rsidRDefault="00D56BAE" w:rsidP="00BA7F4F">
            <w:pPr>
              <w:pStyle w:val="TableText"/>
            </w:pPr>
            <w:r w:rsidRPr="00D56BAE">
              <w:t>4Farmers Rat and Mouse Blocks</w:t>
            </w:r>
          </w:p>
        </w:tc>
        <w:tc>
          <w:tcPr>
            <w:tcW w:w="1275" w:type="dxa"/>
          </w:tcPr>
          <w:p w14:paraId="4CC33712" w14:textId="77777777" w:rsidR="00D56BAE" w:rsidRPr="00D56BAE" w:rsidRDefault="00D56BAE" w:rsidP="00BA7F4F">
            <w:pPr>
              <w:pStyle w:val="TableText"/>
            </w:pPr>
            <w:r w:rsidRPr="00D56BAE">
              <w:t>0.05 g/kg</w:t>
            </w:r>
          </w:p>
        </w:tc>
        <w:tc>
          <w:tcPr>
            <w:tcW w:w="1980" w:type="dxa"/>
          </w:tcPr>
          <w:p w14:paraId="4DF37627" w14:textId="43A04498" w:rsidR="00D56BAE" w:rsidRPr="00D56BAE" w:rsidRDefault="00FA5C20" w:rsidP="00BA7F4F">
            <w:pPr>
              <w:pStyle w:val="TableText"/>
            </w:pPr>
            <w:r w:rsidRPr="00D56BAE">
              <w:t>4 Farmers Australia Pty Ltd</w:t>
            </w:r>
          </w:p>
        </w:tc>
        <w:tc>
          <w:tcPr>
            <w:tcW w:w="3118" w:type="dxa"/>
          </w:tcPr>
          <w:p w14:paraId="3CD22030" w14:textId="19CBF132" w:rsidR="00D56BAE" w:rsidRPr="00D56BAE" w:rsidRDefault="00014D18" w:rsidP="00BA7F4F">
            <w:pPr>
              <w:pStyle w:val="TableText"/>
            </w:pPr>
            <w:r w:rsidRPr="00793FC4">
              <w:t>Cancel – does not contain bittering agent</w:t>
            </w:r>
          </w:p>
        </w:tc>
      </w:tr>
      <w:tr w:rsidR="00D56BAE" w:rsidRPr="00703922" w14:paraId="42D75387" w14:textId="77777777" w:rsidTr="00FF7579">
        <w:trPr>
          <w:trHeight w:val="288"/>
        </w:trPr>
        <w:tc>
          <w:tcPr>
            <w:tcW w:w="988" w:type="dxa"/>
            <w:noWrap/>
            <w:hideMark/>
          </w:tcPr>
          <w:p w14:paraId="5AC902A2" w14:textId="77777777" w:rsidR="00D56BAE" w:rsidRPr="00D56BAE" w:rsidRDefault="00D56BAE" w:rsidP="00BA7F4F">
            <w:pPr>
              <w:pStyle w:val="TableText"/>
            </w:pPr>
            <w:r w:rsidRPr="00D56BAE">
              <w:t>94339</w:t>
            </w:r>
          </w:p>
        </w:tc>
        <w:tc>
          <w:tcPr>
            <w:tcW w:w="2273" w:type="dxa"/>
            <w:noWrap/>
            <w:hideMark/>
          </w:tcPr>
          <w:p w14:paraId="6C76E661" w14:textId="77777777" w:rsidR="00D56BAE" w:rsidRPr="00D56BAE" w:rsidRDefault="00D56BAE" w:rsidP="00BA7F4F">
            <w:pPr>
              <w:pStyle w:val="TableText"/>
            </w:pPr>
            <w:r w:rsidRPr="00D56BAE">
              <w:t>Ratsak 50 Waxblocks Kills Rats &amp; Mice</w:t>
            </w:r>
          </w:p>
        </w:tc>
        <w:tc>
          <w:tcPr>
            <w:tcW w:w="1275" w:type="dxa"/>
          </w:tcPr>
          <w:p w14:paraId="28710430" w14:textId="77777777" w:rsidR="00D56BAE" w:rsidRPr="00D56BAE" w:rsidRDefault="00D56BAE" w:rsidP="00BA7F4F">
            <w:pPr>
              <w:pStyle w:val="TableText"/>
            </w:pPr>
            <w:r w:rsidRPr="00D56BAE">
              <w:t>0.05 g/kg</w:t>
            </w:r>
          </w:p>
        </w:tc>
        <w:tc>
          <w:tcPr>
            <w:tcW w:w="1980" w:type="dxa"/>
          </w:tcPr>
          <w:p w14:paraId="3615F10B" w14:textId="681B102E" w:rsidR="00D56BAE" w:rsidRPr="00D56BAE" w:rsidRDefault="00FA5C20" w:rsidP="00BA7F4F">
            <w:pPr>
              <w:pStyle w:val="TableText"/>
            </w:pPr>
            <w:r w:rsidRPr="00D56BAE">
              <w:t>Duluxgroup (Australia) Pty Ltd</w:t>
            </w:r>
          </w:p>
        </w:tc>
        <w:tc>
          <w:tcPr>
            <w:tcW w:w="3118" w:type="dxa"/>
          </w:tcPr>
          <w:p w14:paraId="2DD611E1" w14:textId="544E8D34" w:rsidR="00D56BAE" w:rsidRPr="00D56BAE" w:rsidRDefault="00D56BAE" w:rsidP="00BA7F4F">
            <w:pPr>
              <w:pStyle w:val="TableText"/>
            </w:pPr>
            <w:r w:rsidRPr="00D56BAE">
              <w:t xml:space="preserve">Vary formulation type to RB – </w:t>
            </w:r>
            <w:r w:rsidR="005F4C05">
              <w:t>ready-to-use bait</w:t>
            </w:r>
          </w:p>
        </w:tc>
      </w:tr>
      <w:tr w:rsidR="00D56BAE" w:rsidRPr="00703922" w14:paraId="11A35929" w14:textId="77777777" w:rsidTr="00FF7579">
        <w:trPr>
          <w:trHeight w:val="288"/>
        </w:trPr>
        <w:tc>
          <w:tcPr>
            <w:tcW w:w="988" w:type="dxa"/>
            <w:noWrap/>
            <w:hideMark/>
          </w:tcPr>
          <w:p w14:paraId="59AC2866" w14:textId="77777777" w:rsidR="00D56BAE" w:rsidRPr="00D56BAE" w:rsidRDefault="00D56BAE" w:rsidP="00BA7F4F">
            <w:pPr>
              <w:pStyle w:val="TableText"/>
            </w:pPr>
            <w:r w:rsidRPr="00D56BAE">
              <w:t>94350</w:t>
            </w:r>
          </w:p>
        </w:tc>
        <w:tc>
          <w:tcPr>
            <w:tcW w:w="2273" w:type="dxa"/>
            <w:noWrap/>
            <w:hideMark/>
          </w:tcPr>
          <w:p w14:paraId="3C96C066" w14:textId="77777777" w:rsidR="00D56BAE" w:rsidRPr="00D56BAE" w:rsidRDefault="00D56BAE" w:rsidP="00BA7F4F">
            <w:pPr>
              <w:pStyle w:val="TableText"/>
            </w:pPr>
            <w:r w:rsidRPr="00D56BAE">
              <w:t>Ratsak 50 Soft Bait Kills Rats &amp; Mice</w:t>
            </w:r>
          </w:p>
        </w:tc>
        <w:tc>
          <w:tcPr>
            <w:tcW w:w="1275" w:type="dxa"/>
          </w:tcPr>
          <w:p w14:paraId="7E5FDFBE" w14:textId="77777777" w:rsidR="00D56BAE" w:rsidRPr="00D56BAE" w:rsidRDefault="00D56BAE" w:rsidP="00BA7F4F">
            <w:pPr>
              <w:pStyle w:val="TableText"/>
            </w:pPr>
            <w:r w:rsidRPr="00D56BAE">
              <w:t>0.05 g/kg</w:t>
            </w:r>
          </w:p>
        </w:tc>
        <w:tc>
          <w:tcPr>
            <w:tcW w:w="1980" w:type="dxa"/>
          </w:tcPr>
          <w:p w14:paraId="0D2AB9AC" w14:textId="09BF2FCF" w:rsidR="00D56BAE" w:rsidRPr="00D56BAE" w:rsidRDefault="00FA5C20" w:rsidP="00BA7F4F">
            <w:pPr>
              <w:pStyle w:val="TableText"/>
            </w:pPr>
            <w:r w:rsidRPr="00D56BAE">
              <w:t>Duluxgroup (Australia) Pty Ltd</w:t>
            </w:r>
          </w:p>
        </w:tc>
        <w:tc>
          <w:tcPr>
            <w:tcW w:w="3118" w:type="dxa"/>
          </w:tcPr>
          <w:p w14:paraId="1A48500B" w14:textId="6FFE3DCD" w:rsidR="00D56BAE" w:rsidRPr="00D56BAE" w:rsidRDefault="00D56BAE" w:rsidP="00BA7F4F">
            <w:pPr>
              <w:pStyle w:val="TableText"/>
            </w:pPr>
            <w:r w:rsidRPr="00D56BAE">
              <w:t xml:space="preserve">Vary formulation type to RB – </w:t>
            </w:r>
            <w:r w:rsidR="005F4C05">
              <w:t>ready-to-use bait</w:t>
            </w:r>
          </w:p>
        </w:tc>
      </w:tr>
      <w:tr w:rsidR="00D56BAE" w:rsidRPr="009C5CEC" w14:paraId="22F71626" w14:textId="77777777" w:rsidTr="00FF7579">
        <w:trPr>
          <w:trHeight w:val="288"/>
        </w:trPr>
        <w:tc>
          <w:tcPr>
            <w:tcW w:w="988" w:type="dxa"/>
            <w:noWrap/>
            <w:hideMark/>
          </w:tcPr>
          <w:p w14:paraId="42A03503" w14:textId="77777777" w:rsidR="00D56BAE" w:rsidRPr="00D56BAE" w:rsidRDefault="00D56BAE" w:rsidP="00BA7F4F">
            <w:pPr>
              <w:pStyle w:val="TableText"/>
            </w:pPr>
            <w:r w:rsidRPr="00D56BAE">
              <w:t>94918</w:t>
            </w:r>
          </w:p>
        </w:tc>
        <w:tc>
          <w:tcPr>
            <w:tcW w:w="2273" w:type="dxa"/>
            <w:noWrap/>
            <w:hideMark/>
          </w:tcPr>
          <w:p w14:paraId="171E99FF" w14:textId="77777777" w:rsidR="00D56BAE" w:rsidRPr="00D56BAE" w:rsidRDefault="00D56BAE" w:rsidP="00BA7F4F">
            <w:pPr>
              <w:pStyle w:val="TableText"/>
            </w:pPr>
            <w:r w:rsidRPr="00D56BAE">
              <w:t>No Rats &amp; Mice One Feed Rodenticide Blocks</w:t>
            </w:r>
          </w:p>
        </w:tc>
        <w:tc>
          <w:tcPr>
            <w:tcW w:w="1275" w:type="dxa"/>
          </w:tcPr>
          <w:p w14:paraId="0C068051" w14:textId="77777777" w:rsidR="00D56BAE" w:rsidRPr="00D56BAE" w:rsidRDefault="00D56BAE" w:rsidP="00BA7F4F">
            <w:pPr>
              <w:pStyle w:val="TableText"/>
            </w:pPr>
            <w:r w:rsidRPr="00D56BAE">
              <w:t>0.05 g/kg</w:t>
            </w:r>
          </w:p>
        </w:tc>
        <w:tc>
          <w:tcPr>
            <w:tcW w:w="1980" w:type="dxa"/>
          </w:tcPr>
          <w:p w14:paraId="1514299D" w14:textId="148C2D64" w:rsidR="00D56BAE" w:rsidRPr="0039473D" w:rsidRDefault="00FA5C20" w:rsidP="00BA7F4F">
            <w:pPr>
              <w:pStyle w:val="TableText"/>
              <w:rPr>
                <w:lang w:val="de-CH"/>
              </w:rPr>
            </w:pPr>
            <w:r w:rsidRPr="0039473D">
              <w:rPr>
                <w:lang w:val="de-CH"/>
              </w:rPr>
              <w:t>Pelgar International (Aus) Pty Ltd</w:t>
            </w:r>
          </w:p>
        </w:tc>
        <w:tc>
          <w:tcPr>
            <w:tcW w:w="3118" w:type="dxa"/>
          </w:tcPr>
          <w:p w14:paraId="4AF6E3DD" w14:textId="6685A72A" w:rsidR="00D56BAE" w:rsidRPr="00D56BAE" w:rsidRDefault="00D56BAE" w:rsidP="00BA7F4F">
            <w:pPr>
              <w:pStyle w:val="TableText"/>
            </w:pPr>
            <w:r w:rsidRPr="00D56BAE">
              <w:t xml:space="preserve">Vary formulation type to RB – </w:t>
            </w:r>
            <w:r w:rsidR="005F4C05">
              <w:t>ready-to-use bait</w:t>
            </w:r>
          </w:p>
        </w:tc>
      </w:tr>
    </w:tbl>
    <w:p w14:paraId="61C4D6AB" w14:textId="0A2D8858" w:rsidR="00C2685A" w:rsidRDefault="00C2685A" w:rsidP="00BD2F8D">
      <w:pPr>
        <w:pStyle w:val="NormalText"/>
      </w:pPr>
      <w:r>
        <w:t xml:space="preserve">The </w:t>
      </w:r>
      <w:r w:rsidR="00B124E3">
        <w:t xml:space="preserve">current registrations for brodifacoum </w:t>
      </w:r>
      <w:r>
        <w:t xml:space="preserve">chemical </w:t>
      </w:r>
      <w:r w:rsidR="00B124E3">
        <w:t>products</w:t>
      </w:r>
      <w:r>
        <w:t xml:space="preserve"> listed in </w:t>
      </w:r>
      <w:r>
        <w:fldChar w:fldCharType="begin"/>
      </w:r>
      <w:r>
        <w:instrText xml:space="preserve"> REF _Ref212836671 \h </w:instrText>
      </w:r>
      <w:r>
        <w:fldChar w:fldCharType="separate"/>
      </w:r>
      <w:r w:rsidR="003861AC">
        <w:t xml:space="preserve">Table </w:t>
      </w:r>
      <w:r w:rsidR="003861AC">
        <w:rPr>
          <w:noProof/>
        </w:rPr>
        <w:t>37</w:t>
      </w:r>
      <w:r>
        <w:fldChar w:fldCharType="end"/>
      </w:r>
      <w:r>
        <w:t>:</w:t>
      </w:r>
    </w:p>
    <w:p w14:paraId="720B7873" w14:textId="4D4254D0" w:rsidR="00C2685A" w:rsidRDefault="00C2685A" w:rsidP="00703922">
      <w:pPr>
        <w:pStyle w:val="Bullet1"/>
      </w:pPr>
      <w:r>
        <w:t xml:space="preserve">Are </w:t>
      </w:r>
      <w:r w:rsidRPr="0039473D">
        <w:rPr>
          <w:b/>
          <w:bCs/>
        </w:rPr>
        <w:t>not supported</w:t>
      </w:r>
      <w:r>
        <w:t xml:space="preserve"> if the formulation in the APVMA Register does not contain the requisite bittering agent and/or dye as constituents.</w:t>
      </w:r>
    </w:p>
    <w:p w14:paraId="346FCB25" w14:textId="1EC75950" w:rsidR="00C2685A" w:rsidRDefault="00C2685A" w:rsidP="00703922">
      <w:pPr>
        <w:pStyle w:val="Bullet1"/>
      </w:pPr>
      <w:r>
        <w:t>Are supported in this chemistry and manufacture risk assessment in all other instances, subject to:</w:t>
      </w:r>
    </w:p>
    <w:p w14:paraId="42CE3413" w14:textId="6258FB18" w:rsidR="00B124E3" w:rsidRDefault="00FA6982" w:rsidP="00286653">
      <w:pPr>
        <w:pStyle w:val="Bullet2"/>
      </w:pPr>
      <w:r>
        <w:t>U</w:t>
      </w:r>
      <w:r w:rsidR="00C2685A">
        <w:t xml:space="preserve">pdate </w:t>
      </w:r>
      <w:r w:rsidR="00B124E3">
        <w:t xml:space="preserve">of the formulation types recorded for </w:t>
      </w:r>
      <w:r w:rsidR="00F37651">
        <w:t>in the APVMA Register</w:t>
      </w:r>
      <w:r w:rsidR="00B124E3">
        <w:t xml:space="preserve"> to the contemporary designation of ‘</w:t>
      </w:r>
      <w:r w:rsidR="005F4C05">
        <w:t xml:space="preserve">ready-to-use bait </w:t>
      </w:r>
      <w:r w:rsidR="00B124E3">
        <w:t>(RB)’, in place of the more common currently used ‘bait (BA)’</w:t>
      </w:r>
      <w:r w:rsidR="00C2685A">
        <w:t>;</w:t>
      </w:r>
    </w:p>
    <w:p w14:paraId="7496397A" w14:textId="1A697F54" w:rsidR="00C2685A" w:rsidRDefault="00FA6982" w:rsidP="00286653">
      <w:pPr>
        <w:pStyle w:val="Bullet2"/>
      </w:pPr>
      <w:r>
        <w:t xml:space="preserve">The </w:t>
      </w:r>
      <w:r w:rsidR="00C2685A" w:rsidRPr="00C2685A">
        <w:t xml:space="preserve">manufacturing source(s) of active constituent used and the formulation details of </w:t>
      </w:r>
      <w:r>
        <w:t>relevant chemical products being confirmed by the holders, and appropriate</w:t>
      </w:r>
      <w:r w:rsidR="00C2685A" w:rsidRPr="00C2685A">
        <w:t xml:space="preserve"> supporting information</w:t>
      </w:r>
      <w:r>
        <w:t xml:space="preserve"> is provided as required</w:t>
      </w:r>
      <w:r w:rsidR="00C2685A" w:rsidRPr="00C2685A">
        <w:t>.</w:t>
      </w:r>
      <w:r>
        <w:t xml:space="preserve"> The APVMA Register for brodifacoum products is updated as required.</w:t>
      </w:r>
    </w:p>
    <w:p w14:paraId="7736C810" w14:textId="12852F05" w:rsidR="00516F5A" w:rsidRDefault="00516F5A" w:rsidP="00286653">
      <w:pPr>
        <w:pStyle w:val="Bullet2"/>
      </w:pPr>
      <w:r>
        <w:t xml:space="preserve">Variation of the formulation details </w:t>
      </w:r>
      <w:r w:rsidRPr="00F37651">
        <w:t xml:space="preserve">recorded in the APVMA Register </w:t>
      </w:r>
      <w:r>
        <w:t>for the relevant chemical product</w:t>
      </w:r>
      <w:r w:rsidR="001D274B">
        <w:t xml:space="preserve"> in order</w:t>
      </w:r>
      <w:r>
        <w:t xml:space="preserve"> to remove </w:t>
      </w:r>
      <w:r w:rsidR="0039473D">
        <w:t>subsidiary</w:t>
      </w:r>
      <w:r>
        <w:t xml:space="preserve"> formulation</w:t>
      </w:r>
      <w:r w:rsidR="0039473D">
        <w:t>(s)</w:t>
      </w:r>
      <w:r>
        <w:t xml:space="preserve"> that do not contain a bittering agent.</w:t>
      </w:r>
    </w:p>
    <w:p w14:paraId="1AB82E25" w14:textId="77777777" w:rsidR="00B124E3" w:rsidRDefault="00B124E3" w:rsidP="00377F3A">
      <w:pPr>
        <w:pStyle w:val="Heading3"/>
      </w:pPr>
      <w:bookmarkStart w:id="164" w:name="_Toc215150617"/>
      <w:bookmarkStart w:id="165" w:name="_Toc215150618"/>
      <w:bookmarkStart w:id="166" w:name="_Toc215150619"/>
      <w:bookmarkStart w:id="167" w:name="_Toc215150620"/>
      <w:bookmarkStart w:id="168" w:name="_Toc215150621"/>
      <w:bookmarkStart w:id="169" w:name="_Toc215150622"/>
      <w:bookmarkStart w:id="170" w:name="_Toc213334185"/>
      <w:bookmarkStart w:id="171" w:name="_Toc213770979"/>
      <w:bookmarkStart w:id="172" w:name="_Toc213942737"/>
      <w:bookmarkStart w:id="173" w:name="_Toc213944517"/>
      <w:bookmarkStart w:id="174" w:name="_Toc213334186"/>
      <w:bookmarkStart w:id="175" w:name="_Toc213770980"/>
      <w:bookmarkStart w:id="176" w:name="_Toc213942738"/>
      <w:bookmarkStart w:id="177" w:name="_Toc213944518"/>
      <w:bookmarkStart w:id="178" w:name="_Toc213334187"/>
      <w:bookmarkStart w:id="179" w:name="_Toc213770981"/>
      <w:bookmarkStart w:id="180" w:name="_Toc213942739"/>
      <w:bookmarkStart w:id="181" w:name="_Toc213944519"/>
      <w:bookmarkStart w:id="182" w:name="_Toc213334216"/>
      <w:bookmarkStart w:id="183" w:name="_Toc213771010"/>
      <w:bookmarkStart w:id="184" w:name="_Toc213942768"/>
      <w:bookmarkStart w:id="185" w:name="_Toc213944548"/>
      <w:bookmarkStart w:id="186" w:name="_Toc213334305"/>
      <w:bookmarkStart w:id="187" w:name="_Toc213771099"/>
      <w:bookmarkStart w:id="188" w:name="_Toc213942857"/>
      <w:bookmarkStart w:id="189" w:name="_Toc213944637"/>
      <w:bookmarkStart w:id="190" w:name="_Toc213334306"/>
      <w:bookmarkStart w:id="191" w:name="_Toc213771100"/>
      <w:bookmarkStart w:id="192" w:name="_Toc213942858"/>
      <w:bookmarkStart w:id="193" w:name="_Toc213944638"/>
      <w:bookmarkStart w:id="194" w:name="_Toc213334307"/>
      <w:bookmarkStart w:id="195" w:name="_Toc213771101"/>
      <w:bookmarkStart w:id="196" w:name="_Toc213942859"/>
      <w:bookmarkStart w:id="197" w:name="_Toc213944639"/>
      <w:bookmarkStart w:id="198" w:name="_Toc213334353"/>
      <w:bookmarkStart w:id="199" w:name="_Toc213771147"/>
      <w:bookmarkStart w:id="200" w:name="_Toc213942905"/>
      <w:bookmarkStart w:id="201" w:name="_Toc213944685"/>
      <w:bookmarkStart w:id="202" w:name="_Toc213334354"/>
      <w:bookmarkStart w:id="203" w:name="_Toc213771148"/>
      <w:bookmarkStart w:id="204" w:name="_Toc213942906"/>
      <w:bookmarkStart w:id="205" w:name="_Toc213944686"/>
      <w:bookmarkStart w:id="206" w:name="_Toc213334355"/>
      <w:bookmarkStart w:id="207" w:name="_Toc213771149"/>
      <w:bookmarkStart w:id="208" w:name="_Toc213942907"/>
      <w:bookmarkStart w:id="209" w:name="_Toc213944687"/>
      <w:bookmarkStart w:id="210" w:name="_Toc213334362"/>
      <w:bookmarkStart w:id="211" w:name="_Toc213771156"/>
      <w:bookmarkStart w:id="212" w:name="_Toc213942914"/>
      <w:bookmarkStart w:id="213" w:name="_Toc213944694"/>
      <w:bookmarkStart w:id="214" w:name="_Toc213334363"/>
      <w:bookmarkStart w:id="215" w:name="_Toc213771157"/>
      <w:bookmarkStart w:id="216" w:name="_Toc213942915"/>
      <w:bookmarkStart w:id="217" w:name="_Toc213944695"/>
      <w:bookmarkStart w:id="218" w:name="_Toc213334364"/>
      <w:bookmarkStart w:id="219" w:name="_Toc213771158"/>
      <w:bookmarkStart w:id="220" w:name="_Toc213942916"/>
      <w:bookmarkStart w:id="221" w:name="_Toc213944696"/>
      <w:bookmarkStart w:id="222" w:name="_Toc213334365"/>
      <w:bookmarkStart w:id="223" w:name="_Toc213771159"/>
      <w:bookmarkStart w:id="224" w:name="_Toc213942917"/>
      <w:bookmarkStart w:id="225" w:name="_Toc213944697"/>
      <w:bookmarkStart w:id="226" w:name="_Toc213334366"/>
      <w:bookmarkStart w:id="227" w:name="_Toc213771160"/>
      <w:bookmarkStart w:id="228" w:name="_Toc213942918"/>
      <w:bookmarkStart w:id="229" w:name="_Toc213944698"/>
      <w:bookmarkStart w:id="230" w:name="_Toc214025470"/>
      <w:bookmarkStart w:id="231" w:name="_Toc21669555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t>Formulated products - Bromadiolone</w:t>
      </w:r>
      <w:bookmarkEnd w:id="230"/>
      <w:bookmarkEnd w:id="231"/>
    </w:p>
    <w:p w14:paraId="453576D1" w14:textId="54E8918E" w:rsidR="005F4C05" w:rsidRDefault="0093501E" w:rsidP="00BD2F8D">
      <w:pPr>
        <w:pStyle w:val="NormalText"/>
      </w:pPr>
      <w:r w:rsidRPr="00E078CC">
        <w:t xml:space="preserve">A summary of the current </w:t>
      </w:r>
      <w:r>
        <w:t>registered chemical products</w:t>
      </w:r>
      <w:r w:rsidRPr="00E078CC">
        <w:t xml:space="preserve"> </w:t>
      </w:r>
      <w:r>
        <w:t xml:space="preserve">containing bromadiolone, and both bromadiolone and difenacoum, </w:t>
      </w:r>
      <w:r w:rsidRPr="00E078CC">
        <w:t xml:space="preserve">and recommendations based on review of the information entered in the APVMA’s </w:t>
      </w:r>
      <w:r>
        <w:t>Register are</w:t>
      </w:r>
      <w:r w:rsidRPr="00E078CC">
        <w:t xml:space="preserve"> provided </w:t>
      </w:r>
      <w:r>
        <w:t xml:space="preserve">in </w:t>
      </w:r>
      <w:r>
        <w:fldChar w:fldCharType="begin"/>
      </w:r>
      <w:r>
        <w:instrText xml:space="preserve"> REF _Ref213062466 \h </w:instrText>
      </w:r>
      <w:r>
        <w:fldChar w:fldCharType="separate"/>
      </w:r>
      <w:r w:rsidR="003861AC">
        <w:t xml:space="preserve">Table </w:t>
      </w:r>
      <w:r w:rsidR="003861AC">
        <w:rPr>
          <w:noProof/>
        </w:rPr>
        <w:t>38</w:t>
      </w:r>
      <w:r>
        <w:fldChar w:fldCharType="end"/>
      </w:r>
      <w:r>
        <w:t xml:space="preserve"> and </w:t>
      </w:r>
      <w:r>
        <w:fldChar w:fldCharType="begin"/>
      </w:r>
      <w:r>
        <w:instrText xml:space="preserve"> REF _Ref214974044 \h </w:instrText>
      </w:r>
      <w:r>
        <w:fldChar w:fldCharType="separate"/>
      </w:r>
      <w:r w:rsidR="003861AC">
        <w:t xml:space="preserve">Table </w:t>
      </w:r>
      <w:r w:rsidR="003861AC">
        <w:rPr>
          <w:noProof/>
        </w:rPr>
        <w:t>39</w:t>
      </w:r>
      <w:r>
        <w:fldChar w:fldCharType="end"/>
      </w:r>
      <w:r>
        <w:t xml:space="preserve"> respectively.</w:t>
      </w:r>
      <w:r w:rsidR="00996CF3">
        <w:t xml:space="preserve"> </w:t>
      </w:r>
      <w:r w:rsidR="00B124E3">
        <w:t>The registered products are</w:t>
      </w:r>
      <w:r>
        <w:t xml:space="preserve"> </w:t>
      </w:r>
      <w:r w:rsidR="005F4C05">
        <w:t>ready-to-use bait</w:t>
      </w:r>
      <w:r w:rsidR="00B124E3">
        <w:t xml:space="preserve"> formulations containing either 0.05 or 0.1 g/kg of </w:t>
      </w:r>
      <w:r w:rsidR="008A6565">
        <w:t>bromadiolone</w:t>
      </w:r>
      <w:r w:rsidR="00B124E3">
        <w:t xml:space="preserve">, liquid bait concentrates containing 0.5 g/L bromadiolone, or </w:t>
      </w:r>
      <w:r w:rsidR="005F4C05">
        <w:t xml:space="preserve">ready-to-use bait </w:t>
      </w:r>
      <w:r w:rsidR="00B124E3">
        <w:t>formulations containing 0.025 g/kg bromadiolone plus 0.025 g/kg difenacoum.</w:t>
      </w:r>
    </w:p>
    <w:p w14:paraId="60638F0A" w14:textId="75E07FD1" w:rsidR="00621C4D" w:rsidRDefault="0093501E" w:rsidP="00BD2F8D">
      <w:pPr>
        <w:pStyle w:val="NormalText"/>
      </w:pPr>
      <w:r>
        <w:t xml:space="preserve">It is noted that the human health and environment risk assessments recommend that inclusion of a distinctive dye and bittering agent in the formulated bait is necessary to mitigate risks to people and non-target animals (see sections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t xml:space="preserve"> and </w:t>
      </w:r>
      <w:r w:rsidRPr="002629BC">
        <w:rPr>
          <w:b/>
          <w:bCs/>
        </w:rPr>
        <w:fldChar w:fldCharType="begin"/>
      </w:r>
      <w:r w:rsidRPr="002629BC">
        <w:rPr>
          <w:b/>
          <w:bCs/>
        </w:rPr>
        <w:instrText xml:space="preserve"> REF _Ref214837015 \w \h </w:instrText>
      </w:r>
      <w:r>
        <w:rPr>
          <w:b/>
          <w:bCs/>
        </w:rPr>
        <w:instrText xml:space="preserve"> \* MERGEFORMAT </w:instrText>
      </w:r>
      <w:r w:rsidRPr="002629BC">
        <w:rPr>
          <w:b/>
          <w:bCs/>
        </w:rPr>
      </w:r>
      <w:r w:rsidRPr="002629BC">
        <w:rPr>
          <w:b/>
          <w:bCs/>
        </w:rPr>
        <w:fldChar w:fldCharType="separate"/>
      </w:r>
      <w:r w:rsidR="003861AC">
        <w:rPr>
          <w:b/>
          <w:bCs/>
        </w:rPr>
        <w:t>4.9.4</w:t>
      </w:r>
      <w:r w:rsidRPr="002629BC">
        <w:rPr>
          <w:b/>
          <w:bCs/>
        </w:rPr>
        <w:fldChar w:fldCharType="end"/>
      </w:r>
      <w:r w:rsidRPr="002629BC">
        <w:rPr>
          <w:b/>
          <w:bCs/>
        </w:rPr>
        <w:t xml:space="preserve"> Formulation recommendations</w:t>
      </w:r>
      <w:r>
        <w:t xml:space="preserve"> below). </w:t>
      </w:r>
      <w:r w:rsidR="00A911C7">
        <w:t xml:space="preserve">It </w:t>
      </w:r>
      <w:r>
        <w:t xml:space="preserve">is </w:t>
      </w:r>
      <w:r w:rsidR="00A911C7">
        <w:t>also</w:t>
      </w:r>
      <w:r>
        <w:t xml:space="preserve"> noted that the environment risk assessments recommend</w:t>
      </w:r>
      <w:r w:rsidR="00A911C7">
        <w:t xml:space="preserve"> </w:t>
      </w:r>
      <w:r>
        <w:t>that the risks posed to</w:t>
      </w:r>
      <w:r w:rsidR="005F4C05">
        <w:t xml:space="preserve"> non-target animal</w:t>
      </w:r>
      <w:r w:rsidR="0039473D">
        <w:t>s</w:t>
      </w:r>
      <w:r w:rsidR="00A911C7">
        <w:t xml:space="preserve"> </w:t>
      </w:r>
      <w:r w:rsidR="005F4C05">
        <w:t>by</w:t>
      </w:r>
      <w:r>
        <w:t xml:space="preserve"> use of</w:t>
      </w:r>
      <w:r w:rsidR="005F4C05">
        <w:t xml:space="preserve"> </w:t>
      </w:r>
      <w:r w:rsidR="00A911C7">
        <w:t xml:space="preserve">products formulated as </w:t>
      </w:r>
      <w:r>
        <w:t>bait concentrates (</w:t>
      </w:r>
      <w:r w:rsidR="00A911C7">
        <w:t>powders and liquids</w:t>
      </w:r>
      <w:r>
        <w:t>)</w:t>
      </w:r>
      <w:r w:rsidR="00A911C7">
        <w:t xml:space="preserve"> cannot be adequately </w:t>
      </w:r>
      <w:r w:rsidR="005F4C05">
        <w:t>mitigated</w:t>
      </w:r>
      <w:r>
        <w:t xml:space="preserve"> (see section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rPr>
          <w:b/>
          <w:bCs/>
        </w:rPr>
        <w:t>)</w:t>
      </w:r>
      <w:r w:rsidR="00A911C7">
        <w:t>.</w:t>
      </w:r>
    </w:p>
    <w:p w14:paraId="2100FAD6" w14:textId="1A8AE502" w:rsidR="0093501E" w:rsidRDefault="0093501E" w:rsidP="00BD2F8D">
      <w:pPr>
        <w:pStyle w:val="NormalText"/>
      </w:pPr>
      <w:r>
        <w:lastRenderedPageBreak/>
        <w:t>Conditional registration is recommended if minor potential inconsistencies have been identified in the APVMA Register with respect to the concentration and/or purity of the active constituent used in a chemical product formulation, requiring confirmation of the manufacturing source(s) of active constituent used and the formulation details of the chemical product, in addition to the provision of adequate supporting information.</w:t>
      </w:r>
    </w:p>
    <w:p w14:paraId="58DB7362" w14:textId="529FFA3F" w:rsidR="008A6565" w:rsidRPr="008A6565" w:rsidRDefault="008A6565" w:rsidP="00C83A5F">
      <w:pPr>
        <w:pStyle w:val="Caption"/>
      </w:pPr>
      <w:bookmarkStart w:id="232" w:name="_Ref213062466"/>
      <w:bookmarkStart w:id="233" w:name="_Toc213946014"/>
      <w:bookmarkStart w:id="234" w:name="_Toc216695700"/>
      <w:r>
        <w:t xml:space="preserve">Table </w:t>
      </w:r>
      <w:r>
        <w:fldChar w:fldCharType="begin"/>
      </w:r>
      <w:r>
        <w:instrText xml:space="preserve"> SEQ Table \* ARABIC </w:instrText>
      </w:r>
      <w:r>
        <w:fldChar w:fldCharType="separate"/>
      </w:r>
      <w:r w:rsidR="003861AC">
        <w:rPr>
          <w:noProof/>
        </w:rPr>
        <w:t>38</w:t>
      </w:r>
      <w:r>
        <w:rPr>
          <w:noProof/>
        </w:rPr>
        <w:fldChar w:fldCharType="end"/>
      </w:r>
      <w:bookmarkEnd w:id="232"/>
      <w:r w:rsidR="003958F3">
        <w:rPr>
          <w:noProof/>
        </w:rPr>
        <w:t>:</w:t>
      </w:r>
      <w:r>
        <w:t xml:space="preserve"> Current registered products containing bromadiolone</w:t>
      </w:r>
      <w:bookmarkEnd w:id="233"/>
      <w:bookmarkEnd w:id="234"/>
    </w:p>
    <w:tbl>
      <w:tblPr>
        <w:tblStyle w:val="TableGrid"/>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2268"/>
        <w:gridCol w:w="1423"/>
        <w:gridCol w:w="2126"/>
        <w:gridCol w:w="2688"/>
      </w:tblGrid>
      <w:tr w:rsidR="00A911C7" w:rsidRPr="004E06DA" w14:paraId="17819351" w14:textId="77777777" w:rsidTr="0017134F">
        <w:trPr>
          <w:trHeight w:val="288"/>
        </w:trPr>
        <w:tc>
          <w:tcPr>
            <w:tcW w:w="1129" w:type="dxa"/>
            <w:shd w:val="clear" w:color="auto" w:fill="53284F"/>
            <w:noWrap/>
          </w:tcPr>
          <w:p w14:paraId="7D69E064" w14:textId="67B77361" w:rsidR="00A911C7" w:rsidRPr="00DB5938" w:rsidRDefault="00A911C7" w:rsidP="00BA7F4F">
            <w:pPr>
              <w:pStyle w:val="TableHead"/>
            </w:pPr>
            <w:r w:rsidRPr="00DB5938">
              <w:t>Product number</w:t>
            </w:r>
          </w:p>
        </w:tc>
        <w:tc>
          <w:tcPr>
            <w:tcW w:w="2268" w:type="dxa"/>
            <w:shd w:val="clear" w:color="auto" w:fill="53284F"/>
            <w:noWrap/>
          </w:tcPr>
          <w:p w14:paraId="61D25B68" w14:textId="32799DDC" w:rsidR="00A911C7" w:rsidRPr="00DB5938" w:rsidRDefault="00A911C7" w:rsidP="00BA7F4F">
            <w:pPr>
              <w:pStyle w:val="TableHead"/>
            </w:pPr>
            <w:r w:rsidRPr="00DB5938">
              <w:t>Product name</w:t>
            </w:r>
          </w:p>
        </w:tc>
        <w:tc>
          <w:tcPr>
            <w:tcW w:w="1423" w:type="dxa"/>
            <w:shd w:val="clear" w:color="auto" w:fill="53284F"/>
          </w:tcPr>
          <w:p w14:paraId="5E098104" w14:textId="523ABF0A" w:rsidR="00A911C7" w:rsidRPr="00DB5938" w:rsidRDefault="00A911C7" w:rsidP="00BA7F4F">
            <w:pPr>
              <w:pStyle w:val="TableHead"/>
            </w:pPr>
            <w:r w:rsidRPr="00DB5938">
              <w:t>Active content</w:t>
            </w:r>
          </w:p>
        </w:tc>
        <w:tc>
          <w:tcPr>
            <w:tcW w:w="2126" w:type="dxa"/>
            <w:shd w:val="clear" w:color="auto" w:fill="53284F"/>
          </w:tcPr>
          <w:p w14:paraId="20385DCF" w14:textId="048B1325" w:rsidR="00A911C7" w:rsidRPr="00DB5938" w:rsidRDefault="00A911C7" w:rsidP="00BA7F4F">
            <w:pPr>
              <w:pStyle w:val="TableHead"/>
            </w:pPr>
            <w:r w:rsidRPr="00DB5938">
              <w:t>Holder</w:t>
            </w:r>
          </w:p>
        </w:tc>
        <w:tc>
          <w:tcPr>
            <w:tcW w:w="2688" w:type="dxa"/>
            <w:shd w:val="clear" w:color="auto" w:fill="53284F"/>
          </w:tcPr>
          <w:p w14:paraId="2DA7674C" w14:textId="117137B8" w:rsidR="00A911C7" w:rsidRPr="00DB5938" w:rsidRDefault="00A911C7" w:rsidP="00BA7F4F">
            <w:pPr>
              <w:pStyle w:val="TableHead"/>
            </w:pPr>
            <w:r w:rsidRPr="00DB5938">
              <w:t>Recommendation</w:t>
            </w:r>
          </w:p>
        </w:tc>
      </w:tr>
      <w:tr w:rsidR="00A911C7" w:rsidRPr="004E06DA" w14:paraId="3396277C" w14:textId="77777777" w:rsidTr="00732D50">
        <w:trPr>
          <w:trHeight w:val="288"/>
        </w:trPr>
        <w:tc>
          <w:tcPr>
            <w:tcW w:w="1129" w:type="dxa"/>
            <w:noWrap/>
            <w:hideMark/>
          </w:tcPr>
          <w:p w14:paraId="60FD4F35" w14:textId="77777777" w:rsidR="00A911C7" w:rsidRPr="00732D50" w:rsidRDefault="00A911C7" w:rsidP="00BA7F4F">
            <w:pPr>
              <w:pStyle w:val="TableText"/>
            </w:pPr>
            <w:r w:rsidRPr="00732D50">
              <w:t>33908</w:t>
            </w:r>
          </w:p>
        </w:tc>
        <w:tc>
          <w:tcPr>
            <w:tcW w:w="2268" w:type="dxa"/>
            <w:noWrap/>
            <w:hideMark/>
          </w:tcPr>
          <w:p w14:paraId="70D49AB6" w14:textId="453E85E9" w:rsidR="00A911C7" w:rsidRPr="00732D50" w:rsidRDefault="00732D50" w:rsidP="00BA7F4F">
            <w:pPr>
              <w:pStyle w:val="TableText"/>
            </w:pPr>
            <w:r w:rsidRPr="00732D50">
              <w:t xml:space="preserve">Bromakil Block Bait </w:t>
            </w:r>
            <w:r w:rsidR="00A83702" w:rsidRPr="00732D50">
              <w:t>for</w:t>
            </w:r>
            <w:r w:rsidRPr="00732D50">
              <w:t xml:space="preserve"> Rats </w:t>
            </w:r>
            <w:r>
              <w:t>a</w:t>
            </w:r>
            <w:r w:rsidRPr="00732D50">
              <w:t>nd Mice</w:t>
            </w:r>
          </w:p>
        </w:tc>
        <w:tc>
          <w:tcPr>
            <w:tcW w:w="1423" w:type="dxa"/>
          </w:tcPr>
          <w:p w14:paraId="27403EFD" w14:textId="240172B2" w:rsidR="00A911C7" w:rsidRPr="00732D50" w:rsidRDefault="00A911C7" w:rsidP="00BA7F4F">
            <w:pPr>
              <w:pStyle w:val="TableText"/>
            </w:pPr>
            <w:r w:rsidRPr="00732D50">
              <w:t>0.05 g/kg bromadiolone</w:t>
            </w:r>
          </w:p>
        </w:tc>
        <w:tc>
          <w:tcPr>
            <w:tcW w:w="2126" w:type="dxa"/>
          </w:tcPr>
          <w:p w14:paraId="43457B64" w14:textId="74098494" w:rsidR="00A911C7" w:rsidRPr="0039473D" w:rsidRDefault="00732D50" w:rsidP="00BA7F4F">
            <w:pPr>
              <w:pStyle w:val="TableText"/>
              <w:rPr>
                <w:lang w:val="de-CH"/>
              </w:rPr>
            </w:pPr>
            <w:r w:rsidRPr="0039473D">
              <w:rPr>
                <w:lang w:val="de-CH"/>
              </w:rPr>
              <w:t>De Sangosse Australia Pty. Ltd.</w:t>
            </w:r>
          </w:p>
        </w:tc>
        <w:tc>
          <w:tcPr>
            <w:tcW w:w="2688" w:type="dxa"/>
          </w:tcPr>
          <w:p w14:paraId="66BD47F3" w14:textId="5FA1D23C" w:rsidR="00A911C7" w:rsidRPr="00732D50" w:rsidRDefault="00A911C7" w:rsidP="00BA7F4F">
            <w:pPr>
              <w:pStyle w:val="TableText"/>
            </w:pPr>
            <w:r w:rsidRPr="00732D50">
              <w:t>Cancel – does not contain bittering agent</w:t>
            </w:r>
          </w:p>
        </w:tc>
      </w:tr>
      <w:tr w:rsidR="00A911C7" w:rsidRPr="004E06DA" w14:paraId="0A777271" w14:textId="77777777" w:rsidTr="00732D50">
        <w:trPr>
          <w:trHeight w:val="288"/>
        </w:trPr>
        <w:tc>
          <w:tcPr>
            <w:tcW w:w="1129" w:type="dxa"/>
            <w:noWrap/>
            <w:hideMark/>
          </w:tcPr>
          <w:p w14:paraId="22759398" w14:textId="77777777" w:rsidR="00A911C7" w:rsidRPr="00732D50" w:rsidRDefault="00A911C7" w:rsidP="00BA7F4F">
            <w:pPr>
              <w:pStyle w:val="TableText"/>
            </w:pPr>
            <w:r w:rsidRPr="00732D50">
              <w:t>33911</w:t>
            </w:r>
          </w:p>
        </w:tc>
        <w:tc>
          <w:tcPr>
            <w:tcW w:w="2268" w:type="dxa"/>
            <w:noWrap/>
            <w:hideMark/>
          </w:tcPr>
          <w:p w14:paraId="13ABF601" w14:textId="3ADB71E8" w:rsidR="00A911C7" w:rsidRPr="00732D50" w:rsidRDefault="00732D50" w:rsidP="00BA7F4F">
            <w:pPr>
              <w:pStyle w:val="TableText"/>
            </w:pPr>
            <w:r w:rsidRPr="00732D50">
              <w:t>Bromakil Pellet Bait for Rats and Mice</w:t>
            </w:r>
          </w:p>
        </w:tc>
        <w:tc>
          <w:tcPr>
            <w:tcW w:w="1423" w:type="dxa"/>
          </w:tcPr>
          <w:p w14:paraId="4709384A" w14:textId="3D4778A7" w:rsidR="00A911C7" w:rsidRPr="00732D50" w:rsidRDefault="00A911C7" w:rsidP="00BA7F4F">
            <w:pPr>
              <w:pStyle w:val="TableText"/>
            </w:pPr>
            <w:r w:rsidRPr="00732D50">
              <w:t>0.05 g/kg bromadiolone</w:t>
            </w:r>
          </w:p>
        </w:tc>
        <w:tc>
          <w:tcPr>
            <w:tcW w:w="2126" w:type="dxa"/>
          </w:tcPr>
          <w:p w14:paraId="77A13C2E" w14:textId="4975083A" w:rsidR="00A911C7" w:rsidRPr="0039473D" w:rsidRDefault="00732D50" w:rsidP="00BA7F4F">
            <w:pPr>
              <w:pStyle w:val="TableText"/>
              <w:rPr>
                <w:lang w:val="de-CH"/>
              </w:rPr>
            </w:pPr>
            <w:r w:rsidRPr="0039473D">
              <w:rPr>
                <w:lang w:val="de-CH"/>
              </w:rPr>
              <w:t>De Sangosse Australia Pty. Ltd.</w:t>
            </w:r>
          </w:p>
        </w:tc>
        <w:tc>
          <w:tcPr>
            <w:tcW w:w="2688" w:type="dxa"/>
          </w:tcPr>
          <w:p w14:paraId="47C14400" w14:textId="76C3EF35" w:rsidR="00A911C7" w:rsidRPr="00732D50" w:rsidRDefault="00A911C7" w:rsidP="00BA7F4F">
            <w:pPr>
              <w:pStyle w:val="TableText"/>
            </w:pPr>
            <w:r w:rsidRPr="00732D50">
              <w:t>Cancel – does not contain bittering agent</w:t>
            </w:r>
          </w:p>
        </w:tc>
      </w:tr>
      <w:tr w:rsidR="00A911C7" w:rsidRPr="004E06DA" w14:paraId="0A0CD743" w14:textId="77777777" w:rsidTr="00732D50">
        <w:trPr>
          <w:trHeight w:val="288"/>
        </w:trPr>
        <w:tc>
          <w:tcPr>
            <w:tcW w:w="1129" w:type="dxa"/>
            <w:noWrap/>
            <w:hideMark/>
          </w:tcPr>
          <w:p w14:paraId="236E1C7D" w14:textId="77777777" w:rsidR="00A911C7" w:rsidRPr="00732D50" w:rsidRDefault="00A911C7" w:rsidP="00BA7F4F">
            <w:pPr>
              <w:pStyle w:val="TableText"/>
            </w:pPr>
            <w:r w:rsidRPr="00732D50">
              <w:t>39461</w:t>
            </w:r>
          </w:p>
        </w:tc>
        <w:tc>
          <w:tcPr>
            <w:tcW w:w="2268" w:type="dxa"/>
            <w:noWrap/>
            <w:hideMark/>
          </w:tcPr>
          <w:p w14:paraId="5247AD2B" w14:textId="3B8B387C" w:rsidR="00A911C7" w:rsidRPr="00732D50" w:rsidRDefault="00732D50" w:rsidP="00BA7F4F">
            <w:pPr>
              <w:pStyle w:val="TableText"/>
            </w:pPr>
            <w:r w:rsidRPr="00732D50">
              <w:t>Rentokil Bromard</w:t>
            </w:r>
          </w:p>
        </w:tc>
        <w:tc>
          <w:tcPr>
            <w:tcW w:w="1423" w:type="dxa"/>
          </w:tcPr>
          <w:p w14:paraId="22CB2895" w14:textId="209EF7B2" w:rsidR="00A911C7" w:rsidRPr="00732D50" w:rsidRDefault="00A911C7" w:rsidP="00BA7F4F">
            <w:pPr>
              <w:pStyle w:val="TableText"/>
            </w:pPr>
            <w:r w:rsidRPr="00732D50">
              <w:t>0.1 g/kg bromadiolone</w:t>
            </w:r>
          </w:p>
        </w:tc>
        <w:tc>
          <w:tcPr>
            <w:tcW w:w="2126" w:type="dxa"/>
          </w:tcPr>
          <w:p w14:paraId="1D825113" w14:textId="32A8AB08" w:rsidR="00A911C7" w:rsidRPr="00732D50" w:rsidRDefault="00732D50" w:rsidP="00BA7F4F">
            <w:pPr>
              <w:pStyle w:val="TableText"/>
            </w:pPr>
            <w:r w:rsidRPr="00732D50">
              <w:t>Rentokil Initial Pty Ltd</w:t>
            </w:r>
          </w:p>
        </w:tc>
        <w:tc>
          <w:tcPr>
            <w:tcW w:w="2688" w:type="dxa"/>
          </w:tcPr>
          <w:p w14:paraId="66E0AD6D" w14:textId="5FB79291" w:rsidR="00A911C7" w:rsidRPr="00732D50" w:rsidRDefault="00A911C7" w:rsidP="00BA7F4F">
            <w:pPr>
              <w:pStyle w:val="TableText"/>
            </w:pPr>
            <w:r w:rsidRPr="00732D50">
              <w:t xml:space="preserve">Vary formulation type to RB – </w:t>
            </w:r>
            <w:r w:rsidR="005F4C05">
              <w:t>ready-to-use bait</w:t>
            </w:r>
          </w:p>
        </w:tc>
      </w:tr>
      <w:tr w:rsidR="00A911C7" w:rsidRPr="004E06DA" w14:paraId="5904BF1A" w14:textId="77777777" w:rsidTr="00732D50">
        <w:trPr>
          <w:trHeight w:val="288"/>
        </w:trPr>
        <w:tc>
          <w:tcPr>
            <w:tcW w:w="1129" w:type="dxa"/>
            <w:noWrap/>
            <w:hideMark/>
          </w:tcPr>
          <w:p w14:paraId="29AAD82E" w14:textId="77777777" w:rsidR="00A911C7" w:rsidRPr="00732D50" w:rsidRDefault="00A911C7" w:rsidP="00BA7F4F">
            <w:pPr>
              <w:pStyle w:val="TableText"/>
            </w:pPr>
            <w:r w:rsidRPr="00732D50">
              <w:t>47484</w:t>
            </w:r>
          </w:p>
        </w:tc>
        <w:tc>
          <w:tcPr>
            <w:tcW w:w="2268" w:type="dxa"/>
            <w:noWrap/>
            <w:hideMark/>
          </w:tcPr>
          <w:p w14:paraId="1A342CB3" w14:textId="6F5E691B" w:rsidR="00A911C7" w:rsidRPr="00732D50" w:rsidRDefault="00732D50" w:rsidP="00BA7F4F">
            <w:pPr>
              <w:pStyle w:val="TableText"/>
            </w:pPr>
            <w:r w:rsidRPr="00732D50">
              <w:t>Bromakil Super Rat Drink</w:t>
            </w:r>
          </w:p>
        </w:tc>
        <w:tc>
          <w:tcPr>
            <w:tcW w:w="1423" w:type="dxa"/>
          </w:tcPr>
          <w:p w14:paraId="445441A7" w14:textId="59EBD9D3" w:rsidR="00A911C7" w:rsidRPr="00732D50" w:rsidRDefault="00A911C7" w:rsidP="00BA7F4F">
            <w:pPr>
              <w:pStyle w:val="TableText"/>
            </w:pPr>
            <w:r w:rsidRPr="00732D50">
              <w:t>0.5 g/L bromadiolone</w:t>
            </w:r>
          </w:p>
        </w:tc>
        <w:tc>
          <w:tcPr>
            <w:tcW w:w="2126" w:type="dxa"/>
          </w:tcPr>
          <w:p w14:paraId="1000C065" w14:textId="62D39CEF" w:rsidR="00A911C7" w:rsidRPr="0039473D" w:rsidRDefault="00732D50" w:rsidP="00BA7F4F">
            <w:pPr>
              <w:pStyle w:val="TableText"/>
              <w:rPr>
                <w:lang w:val="de-CH"/>
              </w:rPr>
            </w:pPr>
            <w:r w:rsidRPr="0039473D">
              <w:rPr>
                <w:lang w:val="de-CH"/>
              </w:rPr>
              <w:t>De Sangosse Australia Pty. Ltd.</w:t>
            </w:r>
          </w:p>
        </w:tc>
        <w:tc>
          <w:tcPr>
            <w:tcW w:w="2688" w:type="dxa"/>
          </w:tcPr>
          <w:p w14:paraId="6F6781DA" w14:textId="0AA403A7" w:rsidR="00A911C7" w:rsidRPr="00732D50" w:rsidRDefault="00A911C7" w:rsidP="00BA7F4F">
            <w:pPr>
              <w:pStyle w:val="TableText"/>
            </w:pPr>
            <w:r w:rsidRPr="00732D50">
              <w:t xml:space="preserve">Cancel – </w:t>
            </w:r>
            <w:r w:rsidR="00A83702">
              <w:t xml:space="preserve">does not contain a bittering agent and </w:t>
            </w:r>
            <w:r w:rsidRPr="00732D50">
              <w:t xml:space="preserve">liquid </w:t>
            </w:r>
            <w:r w:rsidR="00A83702">
              <w:t xml:space="preserve">(bait concentrate) formulation </w:t>
            </w:r>
            <w:r w:rsidRPr="00732D50">
              <w:t>not supported</w:t>
            </w:r>
          </w:p>
        </w:tc>
      </w:tr>
      <w:tr w:rsidR="00A911C7" w:rsidRPr="004E06DA" w14:paraId="02DF2F37" w14:textId="77777777" w:rsidTr="00732D50">
        <w:trPr>
          <w:trHeight w:val="288"/>
        </w:trPr>
        <w:tc>
          <w:tcPr>
            <w:tcW w:w="1129" w:type="dxa"/>
            <w:noWrap/>
            <w:hideMark/>
          </w:tcPr>
          <w:p w14:paraId="262430D3" w14:textId="77777777" w:rsidR="00A911C7" w:rsidRPr="00732D50" w:rsidRDefault="00A911C7" w:rsidP="00BA7F4F">
            <w:pPr>
              <w:pStyle w:val="TableText"/>
            </w:pPr>
            <w:r w:rsidRPr="00732D50">
              <w:t>48145</w:t>
            </w:r>
          </w:p>
        </w:tc>
        <w:tc>
          <w:tcPr>
            <w:tcW w:w="2268" w:type="dxa"/>
            <w:noWrap/>
            <w:hideMark/>
          </w:tcPr>
          <w:p w14:paraId="5571C31A" w14:textId="1A3C85A5" w:rsidR="00A911C7" w:rsidRPr="00732D50" w:rsidRDefault="00732D50" w:rsidP="00BA7F4F">
            <w:pPr>
              <w:pStyle w:val="TableText"/>
            </w:pPr>
            <w:r w:rsidRPr="00732D50">
              <w:t>Bromakil Grain Bait for Rats and Mice</w:t>
            </w:r>
          </w:p>
        </w:tc>
        <w:tc>
          <w:tcPr>
            <w:tcW w:w="1423" w:type="dxa"/>
          </w:tcPr>
          <w:p w14:paraId="08569BFC" w14:textId="77847AB2" w:rsidR="00A911C7" w:rsidRPr="00732D50" w:rsidRDefault="00A911C7" w:rsidP="00BA7F4F">
            <w:pPr>
              <w:pStyle w:val="TableText"/>
            </w:pPr>
            <w:r w:rsidRPr="00732D50">
              <w:t>0.05 g/kg bromadiolone</w:t>
            </w:r>
          </w:p>
        </w:tc>
        <w:tc>
          <w:tcPr>
            <w:tcW w:w="2126" w:type="dxa"/>
          </w:tcPr>
          <w:p w14:paraId="74DA7AD3" w14:textId="6CE597F8" w:rsidR="00A911C7" w:rsidRPr="0039473D" w:rsidRDefault="00732D50" w:rsidP="00BA7F4F">
            <w:pPr>
              <w:pStyle w:val="TableText"/>
              <w:rPr>
                <w:lang w:val="de-CH"/>
              </w:rPr>
            </w:pPr>
            <w:r w:rsidRPr="0039473D">
              <w:rPr>
                <w:lang w:val="de-CH"/>
              </w:rPr>
              <w:t>De Sangosse Australia Pty. Ltd.</w:t>
            </w:r>
          </w:p>
        </w:tc>
        <w:tc>
          <w:tcPr>
            <w:tcW w:w="2688" w:type="dxa"/>
          </w:tcPr>
          <w:p w14:paraId="7DAAB65C" w14:textId="2B8D672A" w:rsidR="00A911C7" w:rsidRPr="00732D50" w:rsidRDefault="00A911C7" w:rsidP="00BA7F4F">
            <w:pPr>
              <w:pStyle w:val="TableText"/>
            </w:pPr>
            <w:r w:rsidRPr="00732D50">
              <w:t>Cancel – does not contain bittering agent</w:t>
            </w:r>
          </w:p>
        </w:tc>
      </w:tr>
      <w:tr w:rsidR="00A911C7" w:rsidRPr="004E06DA" w14:paraId="6989B72B" w14:textId="77777777" w:rsidTr="00732D50">
        <w:trPr>
          <w:trHeight w:val="288"/>
        </w:trPr>
        <w:tc>
          <w:tcPr>
            <w:tcW w:w="1129" w:type="dxa"/>
            <w:noWrap/>
            <w:hideMark/>
          </w:tcPr>
          <w:p w14:paraId="4722F95E" w14:textId="77777777" w:rsidR="00A911C7" w:rsidRPr="00732D50" w:rsidRDefault="00A911C7" w:rsidP="00BA7F4F">
            <w:pPr>
              <w:pStyle w:val="TableText"/>
            </w:pPr>
            <w:r w:rsidRPr="00732D50">
              <w:t>48372</w:t>
            </w:r>
          </w:p>
        </w:tc>
        <w:tc>
          <w:tcPr>
            <w:tcW w:w="2268" w:type="dxa"/>
            <w:noWrap/>
            <w:hideMark/>
          </w:tcPr>
          <w:p w14:paraId="23C56152" w14:textId="7E04D5B0" w:rsidR="00A911C7" w:rsidRPr="00732D50" w:rsidRDefault="00732D50" w:rsidP="00BA7F4F">
            <w:pPr>
              <w:pStyle w:val="TableText"/>
            </w:pPr>
            <w:r w:rsidRPr="00732D50">
              <w:t>Contrac Blox</w:t>
            </w:r>
          </w:p>
        </w:tc>
        <w:tc>
          <w:tcPr>
            <w:tcW w:w="1423" w:type="dxa"/>
          </w:tcPr>
          <w:p w14:paraId="66334CEC" w14:textId="5AD86BDE" w:rsidR="00A911C7" w:rsidRPr="00732D50" w:rsidRDefault="00A911C7" w:rsidP="00BA7F4F">
            <w:pPr>
              <w:pStyle w:val="TableText"/>
            </w:pPr>
            <w:r w:rsidRPr="00732D50">
              <w:t>0.05 g/kg bromadiolone</w:t>
            </w:r>
          </w:p>
        </w:tc>
        <w:tc>
          <w:tcPr>
            <w:tcW w:w="2126" w:type="dxa"/>
          </w:tcPr>
          <w:p w14:paraId="293F6CA8" w14:textId="155AE83E" w:rsidR="00A911C7" w:rsidRPr="00732D50" w:rsidRDefault="00732D50" w:rsidP="00BA7F4F">
            <w:pPr>
              <w:pStyle w:val="TableText"/>
            </w:pPr>
            <w:r w:rsidRPr="00732D50">
              <w:t>Bell Laboratories, Inc.</w:t>
            </w:r>
          </w:p>
        </w:tc>
        <w:tc>
          <w:tcPr>
            <w:tcW w:w="2688" w:type="dxa"/>
          </w:tcPr>
          <w:p w14:paraId="591AD42C" w14:textId="6148FE59" w:rsidR="00A911C7" w:rsidRPr="00732D50" w:rsidRDefault="00A911C7" w:rsidP="00BA7F4F">
            <w:pPr>
              <w:pStyle w:val="TableText"/>
            </w:pPr>
            <w:r w:rsidRPr="00732D50">
              <w:t xml:space="preserve">Vary formulation type to RB – </w:t>
            </w:r>
            <w:r w:rsidR="005F4C05">
              <w:t>ready-to-use bait</w:t>
            </w:r>
          </w:p>
        </w:tc>
      </w:tr>
      <w:tr w:rsidR="00A911C7" w:rsidRPr="004E06DA" w14:paraId="186B101B" w14:textId="77777777" w:rsidTr="00732D50">
        <w:trPr>
          <w:trHeight w:val="288"/>
        </w:trPr>
        <w:tc>
          <w:tcPr>
            <w:tcW w:w="1129" w:type="dxa"/>
            <w:noWrap/>
            <w:hideMark/>
          </w:tcPr>
          <w:p w14:paraId="6344C988" w14:textId="77777777" w:rsidR="00A911C7" w:rsidRPr="00732D50" w:rsidRDefault="00A911C7" w:rsidP="00BA7F4F">
            <w:pPr>
              <w:pStyle w:val="TableText"/>
            </w:pPr>
            <w:r w:rsidRPr="00732D50">
              <w:t>48373</w:t>
            </w:r>
          </w:p>
        </w:tc>
        <w:tc>
          <w:tcPr>
            <w:tcW w:w="2268" w:type="dxa"/>
            <w:noWrap/>
            <w:hideMark/>
          </w:tcPr>
          <w:p w14:paraId="60F4493C" w14:textId="40DCDAAE" w:rsidR="00A911C7" w:rsidRPr="00732D50" w:rsidRDefault="00732D50" w:rsidP="00BA7F4F">
            <w:pPr>
              <w:pStyle w:val="TableText"/>
            </w:pPr>
            <w:r w:rsidRPr="00732D50">
              <w:t>Contrac Rat And Mouse Bait</w:t>
            </w:r>
          </w:p>
        </w:tc>
        <w:tc>
          <w:tcPr>
            <w:tcW w:w="1423" w:type="dxa"/>
          </w:tcPr>
          <w:p w14:paraId="16AA730B" w14:textId="588E96FE" w:rsidR="00A911C7" w:rsidRPr="00732D50" w:rsidRDefault="00A911C7" w:rsidP="00BA7F4F">
            <w:pPr>
              <w:pStyle w:val="TableText"/>
            </w:pPr>
            <w:r w:rsidRPr="00732D50">
              <w:t>0.05 g/kg bromadiolone</w:t>
            </w:r>
          </w:p>
        </w:tc>
        <w:tc>
          <w:tcPr>
            <w:tcW w:w="2126" w:type="dxa"/>
          </w:tcPr>
          <w:p w14:paraId="61F7E9E5" w14:textId="31350ADA" w:rsidR="00A911C7" w:rsidRPr="00732D50" w:rsidRDefault="00732D50" w:rsidP="00BA7F4F">
            <w:pPr>
              <w:pStyle w:val="TableText"/>
            </w:pPr>
            <w:r w:rsidRPr="00732D50">
              <w:t>Bell Laboratories, Inc.</w:t>
            </w:r>
          </w:p>
        </w:tc>
        <w:tc>
          <w:tcPr>
            <w:tcW w:w="2688" w:type="dxa"/>
          </w:tcPr>
          <w:p w14:paraId="240C2438" w14:textId="215135EA" w:rsidR="00A911C7" w:rsidRPr="00732D50" w:rsidRDefault="00A911C7" w:rsidP="00BA7F4F">
            <w:pPr>
              <w:pStyle w:val="TableText"/>
            </w:pPr>
            <w:r w:rsidRPr="00732D50">
              <w:t xml:space="preserve">Vary formulation type to RB – </w:t>
            </w:r>
            <w:r w:rsidR="005F4C05">
              <w:t>ready-to-use bait</w:t>
            </w:r>
          </w:p>
        </w:tc>
      </w:tr>
      <w:tr w:rsidR="00A911C7" w:rsidRPr="004E06DA" w14:paraId="26B5B17B" w14:textId="77777777" w:rsidTr="00732D50">
        <w:trPr>
          <w:trHeight w:val="288"/>
        </w:trPr>
        <w:tc>
          <w:tcPr>
            <w:tcW w:w="1129" w:type="dxa"/>
            <w:noWrap/>
            <w:hideMark/>
          </w:tcPr>
          <w:p w14:paraId="5E559C65" w14:textId="77777777" w:rsidR="00A911C7" w:rsidRPr="00732D50" w:rsidRDefault="00A911C7" w:rsidP="00BA7F4F">
            <w:pPr>
              <w:pStyle w:val="TableText"/>
            </w:pPr>
            <w:r w:rsidRPr="00732D50">
              <w:t>48374</w:t>
            </w:r>
          </w:p>
        </w:tc>
        <w:tc>
          <w:tcPr>
            <w:tcW w:w="2268" w:type="dxa"/>
            <w:noWrap/>
            <w:hideMark/>
          </w:tcPr>
          <w:p w14:paraId="155DBE90" w14:textId="620D0C9F" w:rsidR="00A911C7" w:rsidRPr="00732D50" w:rsidRDefault="00732D50" w:rsidP="00BA7F4F">
            <w:pPr>
              <w:pStyle w:val="TableText"/>
            </w:pPr>
            <w:r w:rsidRPr="00732D50">
              <w:t>Contrac Rodenticide</w:t>
            </w:r>
          </w:p>
        </w:tc>
        <w:tc>
          <w:tcPr>
            <w:tcW w:w="1423" w:type="dxa"/>
          </w:tcPr>
          <w:p w14:paraId="4864550E" w14:textId="7F966631" w:rsidR="00A911C7" w:rsidRPr="00732D50" w:rsidRDefault="00A911C7" w:rsidP="00BA7F4F">
            <w:pPr>
              <w:pStyle w:val="TableText"/>
            </w:pPr>
            <w:r w:rsidRPr="00732D50">
              <w:t>0.05 g/kg bromadiolone</w:t>
            </w:r>
          </w:p>
        </w:tc>
        <w:tc>
          <w:tcPr>
            <w:tcW w:w="2126" w:type="dxa"/>
          </w:tcPr>
          <w:p w14:paraId="4845BD20" w14:textId="7B990A3E" w:rsidR="00A911C7" w:rsidRPr="00732D50" w:rsidRDefault="00732D50" w:rsidP="00BA7F4F">
            <w:pPr>
              <w:pStyle w:val="TableText"/>
            </w:pPr>
            <w:r w:rsidRPr="00732D50">
              <w:t>Bell Laboratories, Inc.</w:t>
            </w:r>
          </w:p>
        </w:tc>
        <w:tc>
          <w:tcPr>
            <w:tcW w:w="2688" w:type="dxa"/>
          </w:tcPr>
          <w:p w14:paraId="4C1FE382" w14:textId="4851DE2E" w:rsidR="00A911C7" w:rsidRPr="00732D50" w:rsidRDefault="00A911C7" w:rsidP="00BA7F4F">
            <w:pPr>
              <w:pStyle w:val="TableText"/>
            </w:pPr>
            <w:r w:rsidRPr="00732D50">
              <w:t xml:space="preserve">Vary formulation type to RB – </w:t>
            </w:r>
            <w:r w:rsidR="005F4C05">
              <w:t>ready-to-use bait</w:t>
            </w:r>
          </w:p>
        </w:tc>
      </w:tr>
      <w:tr w:rsidR="00A911C7" w:rsidRPr="004E06DA" w14:paraId="7FCCE064" w14:textId="77777777" w:rsidTr="00732D50">
        <w:trPr>
          <w:trHeight w:val="288"/>
        </w:trPr>
        <w:tc>
          <w:tcPr>
            <w:tcW w:w="1129" w:type="dxa"/>
            <w:noWrap/>
            <w:hideMark/>
          </w:tcPr>
          <w:p w14:paraId="23668AE3" w14:textId="77777777" w:rsidR="00A911C7" w:rsidRPr="00732D50" w:rsidRDefault="00A911C7" w:rsidP="00BA7F4F">
            <w:pPr>
              <w:pStyle w:val="TableText"/>
            </w:pPr>
            <w:r w:rsidRPr="00732D50">
              <w:t>49776</w:t>
            </w:r>
          </w:p>
        </w:tc>
        <w:tc>
          <w:tcPr>
            <w:tcW w:w="2268" w:type="dxa"/>
            <w:noWrap/>
            <w:hideMark/>
          </w:tcPr>
          <w:p w14:paraId="2FEAD9B8" w14:textId="7F94B8B2" w:rsidR="00A911C7" w:rsidRPr="00732D50" w:rsidRDefault="00732D50" w:rsidP="00BA7F4F">
            <w:pPr>
              <w:pStyle w:val="TableText"/>
            </w:pPr>
            <w:r w:rsidRPr="00732D50">
              <w:t>Tomcat All-Weather Blox</w:t>
            </w:r>
          </w:p>
        </w:tc>
        <w:tc>
          <w:tcPr>
            <w:tcW w:w="1423" w:type="dxa"/>
          </w:tcPr>
          <w:p w14:paraId="5FAF249C" w14:textId="23BFE7E8" w:rsidR="00A911C7" w:rsidRPr="00732D50" w:rsidRDefault="00A911C7" w:rsidP="00BA7F4F">
            <w:pPr>
              <w:pStyle w:val="TableText"/>
            </w:pPr>
            <w:r w:rsidRPr="00732D50">
              <w:t>0.05 g/kg bromadiolone</w:t>
            </w:r>
          </w:p>
        </w:tc>
        <w:tc>
          <w:tcPr>
            <w:tcW w:w="2126" w:type="dxa"/>
          </w:tcPr>
          <w:p w14:paraId="4C084BA5" w14:textId="3DF0D6F1" w:rsidR="00A911C7" w:rsidRPr="00732D50" w:rsidRDefault="00732D50" w:rsidP="00BA7F4F">
            <w:pPr>
              <w:pStyle w:val="TableText"/>
            </w:pPr>
            <w:r w:rsidRPr="00732D50">
              <w:t>Bell Laboratories, Inc.</w:t>
            </w:r>
          </w:p>
        </w:tc>
        <w:tc>
          <w:tcPr>
            <w:tcW w:w="2688" w:type="dxa"/>
          </w:tcPr>
          <w:p w14:paraId="5D1C5A6C" w14:textId="0EE3799E" w:rsidR="00A911C7" w:rsidRPr="00732D50" w:rsidRDefault="00A911C7" w:rsidP="00BA7F4F">
            <w:pPr>
              <w:pStyle w:val="TableText"/>
            </w:pPr>
            <w:r w:rsidRPr="00732D50">
              <w:t xml:space="preserve">Vary formulation type to RB – </w:t>
            </w:r>
            <w:r w:rsidR="005F4C05">
              <w:t>ready-to-use bait</w:t>
            </w:r>
          </w:p>
        </w:tc>
      </w:tr>
      <w:tr w:rsidR="00A911C7" w:rsidRPr="004E06DA" w14:paraId="0862E19F" w14:textId="77777777" w:rsidTr="00732D50">
        <w:trPr>
          <w:trHeight w:val="288"/>
        </w:trPr>
        <w:tc>
          <w:tcPr>
            <w:tcW w:w="1129" w:type="dxa"/>
            <w:noWrap/>
            <w:hideMark/>
          </w:tcPr>
          <w:p w14:paraId="71C94646" w14:textId="77777777" w:rsidR="00A911C7" w:rsidRPr="00732D50" w:rsidRDefault="00A911C7" w:rsidP="00BA7F4F">
            <w:pPr>
              <w:pStyle w:val="TableText"/>
            </w:pPr>
            <w:r w:rsidRPr="00732D50">
              <w:t>49782</w:t>
            </w:r>
          </w:p>
        </w:tc>
        <w:tc>
          <w:tcPr>
            <w:tcW w:w="2268" w:type="dxa"/>
            <w:noWrap/>
            <w:hideMark/>
          </w:tcPr>
          <w:p w14:paraId="5199E5A3" w14:textId="08DDDD71" w:rsidR="00A911C7" w:rsidRPr="00732D50" w:rsidRDefault="00732D50" w:rsidP="00BA7F4F">
            <w:pPr>
              <w:pStyle w:val="TableText"/>
            </w:pPr>
            <w:r w:rsidRPr="00732D50">
              <w:t xml:space="preserve">Tomcat Rat </w:t>
            </w:r>
            <w:r>
              <w:t>a</w:t>
            </w:r>
            <w:r w:rsidRPr="00732D50">
              <w:t>nd Mouse Bait</w:t>
            </w:r>
          </w:p>
        </w:tc>
        <w:tc>
          <w:tcPr>
            <w:tcW w:w="1423" w:type="dxa"/>
          </w:tcPr>
          <w:p w14:paraId="180B81F2" w14:textId="69FF8299" w:rsidR="00A911C7" w:rsidRPr="00732D50" w:rsidRDefault="00A911C7" w:rsidP="00BA7F4F">
            <w:pPr>
              <w:pStyle w:val="TableText"/>
            </w:pPr>
            <w:r w:rsidRPr="00732D50">
              <w:t>0.05 g/kg bromadiolone</w:t>
            </w:r>
          </w:p>
        </w:tc>
        <w:tc>
          <w:tcPr>
            <w:tcW w:w="2126" w:type="dxa"/>
          </w:tcPr>
          <w:p w14:paraId="53DE04CF" w14:textId="5AE7AC06" w:rsidR="00A911C7" w:rsidRPr="00732D50" w:rsidRDefault="00732D50" w:rsidP="00BA7F4F">
            <w:pPr>
              <w:pStyle w:val="TableText"/>
            </w:pPr>
            <w:r w:rsidRPr="00732D50">
              <w:t>Bell Laboratories, Inc.</w:t>
            </w:r>
          </w:p>
        </w:tc>
        <w:tc>
          <w:tcPr>
            <w:tcW w:w="2688" w:type="dxa"/>
          </w:tcPr>
          <w:p w14:paraId="0C84F1B1" w14:textId="40B201B7" w:rsidR="00A911C7" w:rsidRPr="00732D50" w:rsidRDefault="00A911C7" w:rsidP="00BA7F4F">
            <w:pPr>
              <w:pStyle w:val="TableText"/>
            </w:pPr>
            <w:r w:rsidRPr="00732D50">
              <w:t xml:space="preserve">Vary formulation type to RB – </w:t>
            </w:r>
            <w:r w:rsidR="005F4C05">
              <w:t>ready-to-use bait</w:t>
            </w:r>
          </w:p>
        </w:tc>
      </w:tr>
      <w:tr w:rsidR="00A911C7" w:rsidRPr="004E06DA" w14:paraId="74904204" w14:textId="77777777" w:rsidTr="00732D50">
        <w:trPr>
          <w:trHeight w:val="288"/>
        </w:trPr>
        <w:tc>
          <w:tcPr>
            <w:tcW w:w="1129" w:type="dxa"/>
            <w:noWrap/>
            <w:hideMark/>
          </w:tcPr>
          <w:p w14:paraId="54763600" w14:textId="77777777" w:rsidR="00A911C7" w:rsidRPr="00732D50" w:rsidRDefault="00A911C7" w:rsidP="00BA7F4F">
            <w:pPr>
              <w:pStyle w:val="TableText"/>
            </w:pPr>
            <w:r w:rsidRPr="00732D50">
              <w:t>51245</w:t>
            </w:r>
          </w:p>
        </w:tc>
        <w:tc>
          <w:tcPr>
            <w:tcW w:w="2268" w:type="dxa"/>
            <w:noWrap/>
            <w:hideMark/>
          </w:tcPr>
          <w:p w14:paraId="56028267" w14:textId="07F73C5B" w:rsidR="00A911C7" w:rsidRPr="00732D50" w:rsidRDefault="00732D50" w:rsidP="00BA7F4F">
            <w:pPr>
              <w:pStyle w:val="TableText"/>
            </w:pPr>
            <w:r w:rsidRPr="00732D50">
              <w:t>Mouseoff Bromadiolone Rodent Bait</w:t>
            </w:r>
          </w:p>
        </w:tc>
        <w:tc>
          <w:tcPr>
            <w:tcW w:w="1423" w:type="dxa"/>
          </w:tcPr>
          <w:p w14:paraId="3951928B" w14:textId="2A07BDEE" w:rsidR="00A911C7" w:rsidRPr="00732D50" w:rsidRDefault="00A911C7" w:rsidP="00BA7F4F">
            <w:pPr>
              <w:pStyle w:val="TableText"/>
            </w:pPr>
            <w:r w:rsidRPr="00732D50">
              <w:t>0.05 g/kg bromadiolone</w:t>
            </w:r>
          </w:p>
        </w:tc>
        <w:tc>
          <w:tcPr>
            <w:tcW w:w="2126" w:type="dxa"/>
          </w:tcPr>
          <w:p w14:paraId="3BF2F195" w14:textId="3A681B38" w:rsidR="00A911C7" w:rsidRPr="00732D50" w:rsidRDefault="00732D50" w:rsidP="00BA7F4F">
            <w:pPr>
              <w:pStyle w:val="TableText"/>
            </w:pPr>
            <w:r w:rsidRPr="00732D50">
              <w:t>Animal Control Technologies (Australia) Pty Ltd</w:t>
            </w:r>
          </w:p>
        </w:tc>
        <w:tc>
          <w:tcPr>
            <w:tcW w:w="2688" w:type="dxa"/>
          </w:tcPr>
          <w:p w14:paraId="096FB245" w14:textId="7B281C26" w:rsidR="00A911C7" w:rsidRPr="00732D50" w:rsidRDefault="00A911C7" w:rsidP="00BA7F4F">
            <w:pPr>
              <w:pStyle w:val="TableText"/>
            </w:pPr>
            <w:r w:rsidRPr="00732D50">
              <w:t>Cancel – does not contain bittering agent</w:t>
            </w:r>
          </w:p>
        </w:tc>
      </w:tr>
      <w:tr w:rsidR="00A911C7" w:rsidRPr="004E06DA" w14:paraId="01E0C1FE" w14:textId="77777777" w:rsidTr="00732D50">
        <w:trPr>
          <w:trHeight w:val="288"/>
        </w:trPr>
        <w:tc>
          <w:tcPr>
            <w:tcW w:w="1129" w:type="dxa"/>
            <w:noWrap/>
            <w:hideMark/>
          </w:tcPr>
          <w:p w14:paraId="5D419933" w14:textId="77777777" w:rsidR="00A911C7" w:rsidRPr="00732D50" w:rsidRDefault="00A911C7" w:rsidP="00BA7F4F">
            <w:pPr>
              <w:pStyle w:val="TableText"/>
            </w:pPr>
            <w:r w:rsidRPr="00732D50">
              <w:t>61668</w:t>
            </w:r>
          </w:p>
        </w:tc>
        <w:tc>
          <w:tcPr>
            <w:tcW w:w="2268" w:type="dxa"/>
            <w:noWrap/>
            <w:hideMark/>
          </w:tcPr>
          <w:p w14:paraId="389F1C35" w14:textId="02A8108F" w:rsidR="00A911C7" w:rsidRPr="00732D50" w:rsidRDefault="00732D50" w:rsidP="00BA7F4F">
            <w:pPr>
              <w:pStyle w:val="TableText"/>
            </w:pPr>
            <w:r w:rsidRPr="00732D50">
              <w:t>Bromakil Kills Rats and Mice!</w:t>
            </w:r>
          </w:p>
        </w:tc>
        <w:tc>
          <w:tcPr>
            <w:tcW w:w="1423" w:type="dxa"/>
          </w:tcPr>
          <w:p w14:paraId="4B09FF8F" w14:textId="32733A70" w:rsidR="00A911C7" w:rsidRPr="00732D50" w:rsidRDefault="00A911C7" w:rsidP="00BA7F4F">
            <w:pPr>
              <w:pStyle w:val="TableText"/>
            </w:pPr>
            <w:r w:rsidRPr="00732D50">
              <w:t>0.05 g/kg bromadiolone</w:t>
            </w:r>
          </w:p>
        </w:tc>
        <w:tc>
          <w:tcPr>
            <w:tcW w:w="2126" w:type="dxa"/>
          </w:tcPr>
          <w:p w14:paraId="68E3F556" w14:textId="72EB556E" w:rsidR="00A911C7" w:rsidRPr="0039473D" w:rsidRDefault="00732D50" w:rsidP="00BA7F4F">
            <w:pPr>
              <w:pStyle w:val="TableText"/>
              <w:rPr>
                <w:lang w:val="de-CH"/>
              </w:rPr>
            </w:pPr>
            <w:r w:rsidRPr="0039473D">
              <w:rPr>
                <w:lang w:val="de-CH"/>
              </w:rPr>
              <w:t>De Sangosse Australia Pty. Ltd.</w:t>
            </w:r>
          </w:p>
        </w:tc>
        <w:tc>
          <w:tcPr>
            <w:tcW w:w="2688" w:type="dxa"/>
          </w:tcPr>
          <w:p w14:paraId="599DF6C7" w14:textId="6E1D5E6B" w:rsidR="00A911C7" w:rsidRPr="00732D50" w:rsidRDefault="00A911C7" w:rsidP="00BA7F4F">
            <w:pPr>
              <w:pStyle w:val="TableText"/>
            </w:pPr>
            <w:r w:rsidRPr="00732D50">
              <w:t>Cancel – does not contain bittering agent</w:t>
            </w:r>
          </w:p>
        </w:tc>
      </w:tr>
      <w:tr w:rsidR="00A911C7" w:rsidRPr="004E06DA" w14:paraId="669F2F96" w14:textId="77777777" w:rsidTr="00732D50">
        <w:trPr>
          <w:trHeight w:val="288"/>
        </w:trPr>
        <w:tc>
          <w:tcPr>
            <w:tcW w:w="1129" w:type="dxa"/>
            <w:noWrap/>
            <w:hideMark/>
          </w:tcPr>
          <w:p w14:paraId="267EDEA7" w14:textId="77777777" w:rsidR="00A911C7" w:rsidRPr="00732D50" w:rsidRDefault="00A911C7" w:rsidP="00BA7F4F">
            <w:pPr>
              <w:pStyle w:val="TableText"/>
            </w:pPr>
            <w:r w:rsidRPr="00732D50">
              <w:t>62180</w:t>
            </w:r>
          </w:p>
        </w:tc>
        <w:tc>
          <w:tcPr>
            <w:tcW w:w="2268" w:type="dxa"/>
            <w:noWrap/>
            <w:hideMark/>
          </w:tcPr>
          <w:p w14:paraId="6C307B0B" w14:textId="72C1D4BC" w:rsidR="00A911C7" w:rsidRPr="00732D50" w:rsidRDefault="00732D50" w:rsidP="00BA7F4F">
            <w:pPr>
              <w:pStyle w:val="TableText"/>
            </w:pPr>
            <w:r w:rsidRPr="00732D50">
              <w:t>Maki Block Weather - Proof Rodenticide</w:t>
            </w:r>
          </w:p>
        </w:tc>
        <w:tc>
          <w:tcPr>
            <w:tcW w:w="1423" w:type="dxa"/>
          </w:tcPr>
          <w:p w14:paraId="1AED45B1" w14:textId="7A4708CC" w:rsidR="00A911C7" w:rsidRPr="00732D50" w:rsidRDefault="00A911C7" w:rsidP="00BA7F4F">
            <w:pPr>
              <w:pStyle w:val="TableText"/>
            </w:pPr>
            <w:r w:rsidRPr="00732D50">
              <w:t>0.05 g/kg bromadiolone</w:t>
            </w:r>
          </w:p>
        </w:tc>
        <w:tc>
          <w:tcPr>
            <w:tcW w:w="2126" w:type="dxa"/>
          </w:tcPr>
          <w:p w14:paraId="3C44C466" w14:textId="34BB73D7" w:rsidR="00A911C7" w:rsidRPr="00732D50" w:rsidRDefault="00732D50" w:rsidP="00BA7F4F">
            <w:pPr>
              <w:pStyle w:val="TableText"/>
            </w:pPr>
            <w:r w:rsidRPr="00732D50">
              <w:t>Liphatech S.A.S.</w:t>
            </w:r>
          </w:p>
        </w:tc>
        <w:tc>
          <w:tcPr>
            <w:tcW w:w="2688" w:type="dxa"/>
          </w:tcPr>
          <w:p w14:paraId="1B9751F9" w14:textId="26E52376" w:rsidR="00A911C7" w:rsidRPr="00732D50" w:rsidRDefault="00A911C7" w:rsidP="00BA7F4F">
            <w:pPr>
              <w:pStyle w:val="TableText"/>
            </w:pPr>
            <w:r w:rsidRPr="00732D50">
              <w:t xml:space="preserve">Vary formulation type to RB – </w:t>
            </w:r>
            <w:r w:rsidR="005F4C05">
              <w:t>ready-to-use bait</w:t>
            </w:r>
          </w:p>
        </w:tc>
      </w:tr>
      <w:tr w:rsidR="00A911C7" w:rsidRPr="004E06DA" w14:paraId="62843A61" w14:textId="77777777" w:rsidTr="00732D50">
        <w:trPr>
          <w:trHeight w:val="288"/>
        </w:trPr>
        <w:tc>
          <w:tcPr>
            <w:tcW w:w="1129" w:type="dxa"/>
            <w:noWrap/>
            <w:hideMark/>
          </w:tcPr>
          <w:p w14:paraId="03F16A42" w14:textId="77777777" w:rsidR="00A911C7" w:rsidRPr="00732D50" w:rsidRDefault="00A911C7" w:rsidP="00BA7F4F">
            <w:pPr>
              <w:pStyle w:val="TableText"/>
            </w:pPr>
            <w:r w:rsidRPr="00732D50">
              <w:t>64849</w:t>
            </w:r>
          </w:p>
        </w:tc>
        <w:tc>
          <w:tcPr>
            <w:tcW w:w="2268" w:type="dxa"/>
            <w:noWrap/>
            <w:hideMark/>
          </w:tcPr>
          <w:p w14:paraId="5F861481" w14:textId="731749DA" w:rsidR="00A911C7" w:rsidRPr="00732D50" w:rsidRDefault="00732D50" w:rsidP="00BA7F4F">
            <w:pPr>
              <w:pStyle w:val="TableText"/>
            </w:pPr>
            <w:r w:rsidRPr="00732D50">
              <w:t>Surefire Broma Blocks Rodenticide</w:t>
            </w:r>
          </w:p>
        </w:tc>
        <w:tc>
          <w:tcPr>
            <w:tcW w:w="1423" w:type="dxa"/>
          </w:tcPr>
          <w:p w14:paraId="35CD9159" w14:textId="2DB232D3" w:rsidR="00A911C7" w:rsidRPr="00732D50" w:rsidRDefault="00A911C7" w:rsidP="00BA7F4F">
            <w:pPr>
              <w:pStyle w:val="TableText"/>
            </w:pPr>
            <w:r w:rsidRPr="00732D50">
              <w:t>0.05 g/kg bromadiolone</w:t>
            </w:r>
          </w:p>
        </w:tc>
        <w:tc>
          <w:tcPr>
            <w:tcW w:w="2126" w:type="dxa"/>
          </w:tcPr>
          <w:p w14:paraId="728D333A" w14:textId="5FC0F237" w:rsidR="00A911C7" w:rsidRPr="00732D50" w:rsidRDefault="00732D50" w:rsidP="00BA7F4F">
            <w:pPr>
              <w:pStyle w:val="TableText"/>
            </w:pPr>
            <w:r w:rsidRPr="00732D50">
              <w:t>P</w:t>
            </w:r>
            <w:r>
              <w:t>CT</w:t>
            </w:r>
            <w:r w:rsidRPr="00732D50">
              <w:t xml:space="preserve"> Holdings Pty Ltd</w:t>
            </w:r>
          </w:p>
        </w:tc>
        <w:tc>
          <w:tcPr>
            <w:tcW w:w="2688" w:type="dxa"/>
          </w:tcPr>
          <w:p w14:paraId="2A4DE02B" w14:textId="6BBE9EFA" w:rsidR="00A911C7" w:rsidRPr="00732D50" w:rsidRDefault="00A911C7" w:rsidP="00BA7F4F">
            <w:pPr>
              <w:pStyle w:val="TableText"/>
            </w:pPr>
            <w:r w:rsidRPr="00732D50">
              <w:t xml:space="preserve">Vary formulation type to RB – </w:t>
            </w:r>
            <w:r w:rsidR="005F4C05">
              <w:t>ready-to-use bait</w:t>
            </w:r>
          </w:p>
        </w:tc>
      </w:tr>
      <w:tr w:rsidR="00A911C7" w:rsidRPr="004E06DA" w14:paraId="1EB150F9" w14:textId="77777777" w:rsidTr="00732D50">
        <w:trPr>
          <w:trHeight w:val="288"/>
        </w:trPr>
        <w:tc>
          <w:tcPr>
            <w:tcW w:w="1129" w:type="dxa"/>
            <w:noWrap/>
            <w:hideMark/>
          </w:tcPr>
          <w:p w14:paraId="05C07B00" w14:textId="77777777" w:rsidR="00A911C7" w:rsidRPr="00732D50" w:rsidRDefault="00A911C7" w:rsidP="00BA7F4F">
            <w:pPr>
              <w:pStyle w:val="TableText"/>
            </w:pPr>
            <w:r w:rsidRPr="00732D50">
              <w:lastRenderedPageBreak/>
              <w:t>64850</w:t>
            </w:r>
          </w:p>
        </w:tc>
        <w:tc>
          <w:tcPr>
            <w:tcW w:w="2268" w:type="dxa"/>
            <w:noWrap/>
            <w:hideMark/>
          </w:tcPr>
          <w:p w14:paraId="443B67B9" w14:textId="44098FD8" w:rsidR="00A911C7" w:rsidRPr="00732D50" w:rsidRDefault="00732D50" w:rsidP="00BA7F4F">
            <w:pPr>
              <w:pStyle w:val="TableText"/>
            </w:pPr>
            <w:r w:rsidRPr="00732D50">
              <w:t>Surefire Broma Pellets Rodenticide</w:t>
            </w:r>
          </w:p>
        </w:tc>
        <w:tc>
          <w:tcPr>
            <w:tcW w:w="1423" w:type="dxa"/>
          </w:tcPr>
          <w:p w14:paraId="3606EAF1" w14:textId="1AAB38B0" w:rsidR="00A911C7" w:rsidRPr="00732D50" w:rsidRDefault="00A911C7" w:rsidP="00BA7F4F">
            <w:pPr>
              <w:pStyle w:val="TableText"/>
            </w:pPr>
            <w:r w:rsidRPr="00732D50">
              <w:t>0.05 g/kg bromadiolone</w:t>
            </w:r>
          </w:p>
        </w:tc>
        <w:tc>
          <w:tcPr>
            <w:tcW w:w="2126" w:type="dxa"/>
          </w:tcPr>
          <w:p w14:paraId="6267595A" w14:textId="0F6DEEB2" w:rsidR="00A911C7" w:rsidRPr="00732D50" w:rsidRDefault="00732D50" w:rsidP="00BA7F4F">
            <w:pPr>
              <w:pStyle w:val="TableText"/>
            </w:pPr>
            <w:r w:rsidRPr="00732D50">
              <w:t>P</w:t>
            </w:r>
            <w:r>
              <w:t>CT</w:t>
            </w:r>
            <w:r w:rsidRPr="00732D50">
              <w:t xml:space="preserve"> Holdings Pty Ltd</w:t>
            </w:r>
          </w:p>
        </w:tc>
        <w:tc>
          <w:tcPr>
            <w:tcW w:w="2688" w:type="dxa"/>
          </w:tcPr>
          <w:p w14:paraId="426FE502" w14:textId="5CBE38C7" w:rsidR="00A911C7" w:rsidRPr="00732D50" w:rsidRDefault="00A911C7" w:rsidP="00BA7F4F">
            <w:pPr>
              <w:pStyle w:val="TableText"/>
            </w:pPr>
            <w:r w:rsidRPr="00732D50">
              <w:t xml:space="preserve">Vary formulation type to RB – </w:t>
            </w:r>
            <w:r w:rsidR="005F4C05">
              <w:t>ready-to-use bait</w:t>
            </w:r>
          </w:p>
        </w:tc>
      </w:tr>
      <w:tr w:rsidR="00A911C7" w:rsidRPr="004E06DA" w14:paraId="6A0A5E99" w14:textId="77777777" w:rsidTr="00732D50">
        <w:trPr>
          <w:trHeight w:val="288"/>
        </w:trPr>
        <w:tc>
          <w:tcPr>
            <w:tcW w:w="1129" w:type="dxa"/>
            <w:noWrap/>
            <w:hideMark/>
          </w:tcPr>
          <w:p w14:paraId="137C3009" w14:textId="77777777" w:rsidR="00A911C7" w:rsidRPr="00732D50" w:rsidRDefault="00A911C7" w:rsidP="00BA7F4F">
            <w:pPr>
              <w:pStyle w:val="TableText"/>
            </w:pPr>
            <w:r w:rsidRPr="00732D50">
              <w:t>64931</w:t>
            </w:r>
          </w:p>
        </w:tc>
        <w:tc>
          <w:tcPr>
            <w:tcW w:w="2268" w:type="dxa"/>
            <w:noWrap/>
            <w:hideMark/>
          </w:tcPr>
          <w:p w14:paraId="1E4B7900" w14:textId="5ADEF366" w:rsidR="00A911C7" w:rsidRPr="00732D50" w:rsidRDefault="00732D50" w:rsidP="00BA7F4F">
            <w:pPr>
              <w:pStyle w:val="TableText"/>
            </w:pPr>
            <w:r w:rsidRPr="00732D50">
              <w:t>Rodemise Bromadiolone Rodent Block</w:t>
            </w:r>
          </w:p>
        </w:tc>
        <w:tc>
          <w:tcPr>
            <w:tcW w:w="1423" w:type="dxa"/>
          </w:tcPr>
          <w:p w14:paraId="506DC386" w14:textId="60D872B3" w:rsidR="00A911C7" w:rsidRPr="00732D50" w:rsidRDefault="00A911C7" w:rsidP="00BA7F4F">
            <w:pPr>
              <w:pStyle w:val="TableText"/>
            </w:pPr>
            <w:r w:rsidRPr="00732D50">
              <w:t>0.05 g/kg bromadiolone</w:t>
            </w:r>
          </w:p>
        </w:tc>
        <w:tc>
          <w:tcPr>
            <w:tcW w:w="2126" w:type="dxa"/>
          </w:tcPr>
          <w:p w14:paraId="5832E02F" w14:textId="47AADC05" w:rsidR="00A911C7" w:rsidRPr="00732D50" w:rsidRDefault="00732D50" w:rsidP="00BA7F4F">
            <w:pPr>
              <w:pStyle w:val="TableText"/>
            </w:pPr>
            <w:r w:rsidRPr="00732D50">
              <w:t>Animal Control Technologies (Australia) Pty Ltd</w:t>
            </w:r>
          </w:p>
        </w:tc>
        <w:tc>
          <w:tcPr>
            <w:tcW w:w="2688" w:type="dxa"/>
          </w:tcPr>
          <w:p w14:paraId="1DF2D34F" w14:textId="04DFE186" w:rsidR="00A911C7" w:rsidRPr="00732D50" w:rsidRDefault="00A911C7" w:rsidP="00BA7F4F">
            <w:pPr>
              <w:pStyle w:val="TableText"/>
            </w:pPr>
            <w:r w:rsidRPr="00732D50">
              <w:t>Cancel – does not contain bittering agent</w:t>
            </w:r>
          </w:p>
        </w:tc>
      </w:tr>
      <w:tr w:rsidR="00A911C7" w:rsidRPr="004E06DA" w14:paraId="2E8AE327" w14:textId="77777777" w:rsidTr="00732D50">
        <w:trPr>
          <w:trHeight w:val="288"/>
        </w:trPr>
        <w:tc>
          <w:tcPr>
            <w:tcW w:w="1129" w:type="dxa"/>
            <w:noWrap/>
            <w:hideMark/>
          </w:tcPr>
          <w:p w14:paraId="2ADC0001" w14:textId="77777777" w:rsidR="00A911C7" w:rsidRPr="00732D50" w:rsidRDefault="00A911C7" w:rsidP="00BA7F4F">
            <w:pPr>
              <w:pStyle w:val="TableText"/>
            </w:pPr>
            <w:r w:rsidRPr="00732D50">
              <w:t>65675</w:t>
            </w:r>
          </w:p>
        </w:tc>
        <w:tc>
          <w:tcPr>
            <w:tcW w:w="2268" w:type="dxa"/>
            <w:noWrap/>
            <w:hideMark/>
          </w:tcPr>
          <w:p w14:paraId="54F8F9D5" w14:textId="60C7A949" w:rsidR="00A911C7" w:rsidRPr="00732D50" w:rsidRDefault="00732D50" w:rsidP="00BA7F4F">
            <w:pPr>
              <w:pStyle w:val="TableText"/>
            </w:pPr>
            <w:r w:rsidRPr="00732D50">
              <w:t>Imtrade Alley Cat Rodenticide Wax Blocks</w:t>
            </w:r>
          </w:p>
        </w:tc>
        <w:tc>
          <w:tcPr>
            <w:tcW w:w="1423" w:type="dxa"/>
          </w:tcPr>
          <w:p w14:paraId="6E95478D" w14:textId="7124CB93" w:rsidR="00A911C7" w:rsidRPr="00732D50" w:rsidRDefault="00A911C7" w:rsidP="00BA7F4F">
            <w:pPr>
              <w:pStyle w:val="TableText"/>
            </w:pPr>
            <w:r w:rsidRPr="00732D50">
              <w:t>0.05 g/kg bromadiolone</w:t>
            </w:r>
          </w:p>
        </w:tc>
        <w:tc>
          <w:tcPr>
            <w:tcW w:w="2126" w:type="dxa"/>
          </w:tcPr>
          <w:p w14:paraId="5611E57A" w14:textId="023F859F" w:rsidR="00A911C7" w:rsidRPr="00732D50" w:rsidRDefault="00732D50" w:rsidP="00BA7F4F">
            <w:pPr>
              <w:pStyle w:val="TableText"/>
            </w:pPr>
            <w:r w:rsidRPr="00732D50">
              <w:t>Imtrade Australia Pty Ltd</w:t>
            </w:r>
          </w:p>
        </w:tc>
        <w:tc>
          <w:tcPr>
            <w:tcW w:w="2688" w:type="dxa"/>
          </w:tcPr>
          <w:p w14:paraId="6FE6F0FE" w14:textId="09A0B633" w:rsidR="00A911C7" w:rsidRPr="00732D50" w:rsidRDefault="00A911C7" w:rsidP="00BA7F4F">
            <w:pPr>
              <w:pStyle w:val="TableText"/>
            </w:pPr>
            <w:r w:rsidRPr="00732D50">
              <w:t>Cancel – does not contain bittering agent</w:t>
            </w:r>
          </w:p>
        </w:tc>
      </w:tr>
      <w:tr w:rsidR="00A911C7" w:rsidRPr="004E06DA" w14:paraId="2DC41E03" w14:textId="77777777" w:rsidTr="00732D50">
        <w:trPr>
          <w:trHeight w:val="288"/>
        </w:trPr>
        <w:tc>
          <w:tcPr>
            <w:tcW w:w="1129" w:type="dxa"/>
            <w:noWrap/>
            <w:hideMark/>
          </w:tcPr>
          <w:p w14:paraId="21392377" w14:textId="77777777" w:rsidR="00A911C7" w:rsidRPr="00732D50" w:rsidRDefault="00A911C7" w:rsidP="00BA7F4F">
            <w:pPr>
              <w:pStyle w:val="TableText"/>
            </w:pPr>
            <w:r w:rsidRPr="00732D50">
              <w:t>67142</w:t>
            </w:r>
          </w:p>
        </w:tc>
        <w:tc>
          <w:tcPr>
            <w:tcW w:w="2268" w:type="dxa"/>
            <w:noWrap/>
            <w:hideMark/>
          </w:tcPr>
          <w:p w14:paraId="28124CF8" w14:textId="773DC2D7" w:rsidR="00A911C7" w:rsidRPr="00732D50" w:rsidRDefault="00732D50" w:rsidP="00BA7F4F">
            <w:pPr>
              <w:pStyle w:val="TableText"/>
            </w:pPr>
            <w:r w:rsidRPr="00732D50">
              <w:t>Surefire Broma Grain Bait Rodenticide</w:t>
            </w:r>
          </w:p>
        </w:tc>
        <w:tc>
          <w:tcPr>
            <w:tcW w:w="1423" w:type="dxa"/>
          </w:tcPr>
          <w:p w14:paraId="611F9D89" w14:textId="046A64B0" w:rsidR="00A911C7" w:rsidRPr="00732D50" w:rsidRDefault="00A911C7" w:rsidP="00BA7F4F">
            <w:pPr>
              <w:pStyle w:val="TableText"/>
            </w:pPr>
            <w:r w:rsidRPr="00732D50">
              <w:t>0.05 g/kg bromadiolone</w:t>
            </w:r>
          </w:p>
        </w:tc>
        <w:tc>
          <w:tcPr>
            <w:tcW w:w="2126" w:type="dxa"/>
          </w:tcPr>
          <w:p w14:paraId="3D940F24" w14:textId="45369332" w:rsidR="00A911C7" w:rsidRPr="00732D50" w:rsidRDefault="00732D50" w:rsidP="00BA7F4F">
            <w:pPr>
              <w:pStyle w:val="TableText"/>
            </w:pPr>
            <w:r w:rsidRPr="00732D50">
              <w:t>Pct Holdings Pty Ltd</w:t>
            </w:r>
          </w:p>
        </w:tc>
        <w:tc>
          <w:tcPr>
            <w:tcW w:w="2688" w:type="dxa"/>
          </w:tcPr>
          <w:p w14:paraId="14EB69A3" w14:textId="3F232B1A" w:rsidR="00A911C7" w:rsidRPr="00732D50" w:rsidRDefault="00A911C7" w:rsidP="00BA7F4F">
            <w:pPr>
              <w:pStyle w:val="TableText"/>
            </w:pPr>
            <w:r w:rsidRPr="00732D50">
              <w:t>Cancel – does not contain bittering agent</w:t>
            </w:r>
          </w:p>
        </w:tc>
      </w:tr>
      <w:tr w:rsidR="00A911C7" w:rsidRPr="004E06DA" w14:paraId="4D7CDD06" w14:textId="77777777" w:rsidTr="00732D50">
        <w:trPr>
          <w:trHeight w:val="288"/>
        </w:trPr>
        <w:tc>
          <w:tcPr>
            <w:tcW w:w="1129" w:type="dxa"/>
            <w:noWrap/>
            <w:hideMark/>
          </w:tcPr>
          <w:p w14:paraId="57C02C42" w14:textId="77777777" w:rsidR="00A911C7" w:rsidRPr="00732D50" w:rsidRDefault="00A911C7" w:rsidP="00BA7F4F">
            <w:pPr>
              <w:pStyle w:val="TableText"/>
            </w:pPr>
            <w:r w:rsidRPr="00732D50">
              <w:t>67578</w:t>
            </w:r>
          </w:p>
        </w:tc>
        <w:tc>
          <w:tcPr>
            <w:tcW w:w="2268" w:type="dxa"/>
            <w:noWrap/>
            <w:hideMark/>
          </w:tcPr>
          <w:p w14:paraId="026ED1A6" w14:textId="247F4A0A" w:rsidR="00A911C7" w:rsidRPr="00732D50" w:rsidRDefault="00732D50" w:rsidP="00BA7F4F">
            <w:pPr>
              <w:pStyle w:val="TableText"/>
            </w:pPr>
            <w:r w:rsidRPr="00732D50">
              <w:t>Rodemise Super Bromadiolone Rodent Block</w:t>
            </w:r>
          </w:p>
        </w:tc>
        <w:tc>
          <w:tcPr>
            <w:tcW w:w="1423" w:type="dxa"/>
          </w:tcPr>
          <w:p w14:paraId="706D6F78" w14:textId="06B162F7" w:rsidR="00A911C7" w:rsidRPr="00732D50" w:rsidRDefault="00A911C7" w:rsidP="00BA7F4F">
            <w:pPr>
              <w:pStyle w:val="TableText"/>
            </w:pPr>
            <w:r w:rsidRPr="00732D50">
              <w:t>0.05 g/kg bromadiolone</w:t>
            </w:r>
          </w:p>
        </w:tc>
        <w:tc>
          <w:tcPr>
            <w:tcW w:w="2126" w:type="dxa"/>
          </w:tcPr>
          <w:p w14:paraId="7C075C31" w14:textId="4759EA18" w:rsidR="00A911C7" w:rsidRPr="00732D50" w:rsidRDefault="00732D50" w:rsidP="00BA7F4F">
            <w:pPr>
              <w:pStyle w:val="TableText"/>
            </w:pPr>
            <w:r w:rsidRPr="00732D50">
              <w:t>Animal Control Technologies (Australia) Pty Ltd</w:t>
            </w:r>
          </w:p>
        </w:tc>
        <w:tc>
          <w:tcPr>
            <w:tcW w:w="2688" w:type="dxa"/>
          </w:tcPr>
          <w:p w14:paraId="315A4835" w14:textId="616B59F4" w:rsidR="00A911C7" w:rsidRPr="00732D50" w:rsidRDefault="00A911C7" w:rsidP="00BA7F4F">
            <w:pPr>
              <w:pStyle w:val="TableText"/>
            </w:pPr>
            <w:r w:rsidRPr="00732D50">
              <w:t>Cancel – does not contain bittering agent</w:t>
            </w:r>
          </w:p>
        </w:tc>
      </w:tr>
      <w:tr w:rsidR="00A911C7" w:rsidRPr="004E06DA" w14:paraId="4EE2C3FB" w14:textId="77777777" w:rsidTr="00732D50">
        <w:trPr>
          <w:trHeight w:val="288"/>
        </w:trPr>
        <w:tc>
          <w:tcPr>
            <w:tcW w:w="1129" w:type="dxa"/>
            <w:noWrap/>
            <w:hideMark/>
          </w:tcPr>
          <w:p w14:paraId="4A37FE87" w14:textId="77777777" w:rsidR="00A911C7" w:rsidRPr="00732D50" w:rsidRDefault="00A911C7" w:rsidP="00BA7F4F">
            <w:pPr>
              <w:pStyle w:val="TableText"/>
            </w:pPr>
            <w:r w:rsidRPr="00732D50">
              <w:t>69641</w:t>
            </w:r>
          </w:p>
        </w:tc>
        <w:tc>
          <w:tcPr>
            <w:tcW w:w="2268" w:type="dxa"/>
            <w:noWrap/>
            <w:hideMark/>
          </w:tcPr>
          <w:p w14:paraId="612C6898" w14:textId="66161A09" w:rsidR="00A911C7" w:rsidRPr="00732D50" w:rsidRDefault="00732D50" w:rsidP="00BA7F4F">
            <w:pPr>
              <w:pStyle w:val="TableText"/>
            </w:pPr>
            <w:r w:rsidRPr="00732D50">
              <w:t>Rat Stop Grain Bait</w:t>
            </w:r>
          </w:p>
        </w:tc>
        <w:tc>
          <w:tcPr>
            <w:tcW w:w="1423" w:type="dxa"/>
          </w:tcPr>
          <w:p w14:paraId="7FB56A1A" w14:textId="794EFAC5" w:rsidR="00A911C7" w:rsidRPr="00732D50" w:rsidRDefault="00A911C7" w:rsidP="00BA7F4F">
            <w:pPr>
              <w:pStyle w:val="TableText"/>
            </w:pPr>
            <w:r w:rsidRPr="00732D50">
              <w:t>0.05 g/kg bromadiolone</w:t>
            </w:r>
          </w:p>
        </w:tc>
        <w:tc>
          <w:tcPr>
            <w:tcW w:w="2126" w:type="dxa"/>
          </w:tcPr>
          <w:p w14:paraId="695CC151" w14:textId="5DE6C92E" w:rsidR="00A911C7" w:rsidRPr="00732D50" w:rsidRDefault="00732D50" w:rsidP="00BA7F4F">
            <w:pPr>
              <w:pStyle w:val="TableText"/>
            </w:pPr>
            <w:r w:rsidRPr="00732D50">
              <w:t>Oztec Rural Pty Limited</w:t>
            </w:r>
          </w:p>
        </w:tc>
        <w:tc>
          <w:tcPr>
            <w:tcW w:w="2688" w:type="dxa"/>
          </w:tcPr>
          <w:p w14:paraId="6DB4744F" w14:textId="2F5C9096" w:rsidR="00A911C7" w:rsidRPr="00732D50" w:rsidRDefault="00A911C7" w:rsidP="00BA7F4F">
            <w:pPr>
              <w:pStyle w:val="TableText"/>
            </w:pPr>
            <w:r w:rsidRPr="00732D50">
              <w:t>Cancel – does not contain bittering agent</w:t>
            </w:r>
          </w:p>
        </w:tc>
      </w:tr>
      <w:tr w:rsidR="00A911C7" w:rsidRPr="004E06DA" w14:paraId="13FC28DC" w14:textId="77777777" w:rsidTr="00732D50">
        <w:trPr>
          <w:trHeight w:val="288"/>
        </w:trPr>
        <w:tc>
          <w:tcPr>
            <w:tcW w:w="1129" w:type="dxa"/>
            <w:noWrap/>
            <w:hideMark/>
          </w:tcPr>
          <w:p w14:paraId="6C854E78" w14:textId="77777777" w:rsidR="00A911C7" w:rsidRPr="00732D50" w:rsidRDefault="00A911C7" w:rsidP="00BA7F4F">
            <w:pPr>
              <w:pStyle w:val="TableText"/>
            </w:pPr>
            <w:r w:rsidRPr="00732D50">
              <w:t>80379</w:t>
            </w:r>
          </w:p>
        </w:tc>
        <w:tc>
          <w:tcPr>
            <w:tcW w:w="2268" w:type="dxa"/>
            <w:noWrap/>
            <w:hideMark/>
          </w:tcPr>
          <w:p w14:paraId="51204D13" w14:textId="77777777" w:rsidR="00A911C7" w:rsidRPr="00732D50" w:rsidRDefault="00A911C7" w:rsidP="00BA7F4F">
            <w:pPr>
              <w:pStyle w:val="TableText"/>
            </w:pPr>
            <w:r w:rsidRPr="00732D50">
              <w:t>Generation Green Rodenticide Pellet</w:t>
            </w:r>
          </w:p>
        </w:tc>
        <w:tc>
          <w:tcPr>
            <w:tcW w:w="1423" w:type="dxa"/>
          </w:tcPr>
          <w:p w14:paraId="5F39B8ED" w14:textId="7C053EEA" w:rsidR="00A911C7" w:rsidRPr="00732D50" w:rsidRDefault="00A911C7" w:rsidP="00BA7F4F">
            <w:pPr>
              <w:pStyle w:val="TableText"/>
            </w:pPr>
            <w:r w:rsidRPr="00732D50">
              <w:t>0.05 g/kg bromadiolone</w:t>
            </w:r>
          </w:p>
        </w:tc>
        <w:tc>
          <w:tcPr>
            <w:tcW w:w="2126" w:type="dxa"/>
          </w:tcPr>
          <w:p w14:paraId="608FE041" w14:textId="7698C1AC" w:rsidR="00A911C7" w:rsidRPr="00732D50" w:rsidRDefault="00732D50" w:rsidP="00BA7F4F">
            <w:pPr>
              <w:pStyle w:val="TableText"/>
            </w:pPr>
            <w:r w:rsidRPr="00732D50">
              <w:t>Liphatech S.A.S.</w:t>
            </w:r>
          </w:p>
        </w:tc>
        <w:tc>
          <w:tcPr>
            <w:tcW w:w="2688" w:type="dxa"/>
          </w:tcPr>
          <w:p w14:paraId="447852EF" w14:textId="3518F0EF" w:rsidR="00A911C7" w:rsidRPr="00732D50" w:rsidRDefault="00A911C7" w:rsidP="00BA7F4F">
            <w:pPr>
              <w:pStyle w:val="TableText"/>
            </w:pPr>
            <w:r w:rsidRPr="00732D50">
              <w:t xml:space="preserve">Vary formulation type to RB – </w:t>
            </w:r>
            <w:r w:rsidR="005F4C05">
              <w:t>ready-to-use bait</w:t>
            </w:r>
          </w:p>
        </w:tc>
      </w:tr>
      <w:tr w:rsidR="00A911C7" w:rsidRPr="004E06DA" w14:paraId="5CAE4138" w14:textId="77777777" w:rsidTr="00732D50">
        <w:trPr>
          <w:trHeight w:val="288"/>
        </w:trPr>
        <w:tc>
          <w:tcPr>
            <w:tcW w:w="1129" w:type="dxa"/>
            <w:noWrap/>
            <w:hideMark/>
          </w:tcPr>
          <w:p w14:paraId="4BB83259" w14:textId="77777777" w:rsidR="00A911C7" w:rsidRPr="00732D50" w:rsidRDefault="00A911C7" w:rsidP="00BA7F4F">
            <w:pPr>
              <w:pStyle w:val="TableText"/>
            </w:pPr>
            <w:r w:rsidRPr="00732D50">
              <w:t>80388</w:t>
            </w:r>
          </w:p>
        </w:tc>
        <w:tc>
          <w:tcPr>
            <w:tcW w:w="2268" w:type="dxa"/>
            <w:noWrap/>
            <w:hideMark/>
          </w:tcPr>
          <w:p w14:paraId="74706389" w14:textId="2AD39BAA" w:rsidR="00A911C7" w:rsidRPr="00732D50" w:rsidRDefault="00A911C7" w:rsidP="00BA7F4F">
            <w:pPr>
              <w:pStyle w:val="TableText"/>
            </w:pPr>
            <w:r w:rsidRPr="00732D50">
              <w:t xml:space="preserve">Bromakil Power Block </w:t>
            </w:r>
            <w:r w:rsidR="00732D50" w:rsidRPr="00732D50">
              <w:t>for</w:t>
            </w:r>
            <w:r w:rsidRPr="00732D50">
              <w:t xml:space="preserve"> Rats and Mice</w:t>
            </w:r>
          </w:p>
        </w:tc>
        <w:tc>
          <w:tcPr>
            <w:tcW w:w="1423" w:type="dxa"/>
          </w:tcPr>
          <w:p w14:paraId="16A76B7E" w14:textId="621FB6EE" w:rsidR="00A911C7" w:rsidRPr="00732D50" w:rsidRDefault="00A911C7" w:rsidP="00BA7F4F">
            <w:pPr>
              <w:pStyle w:val="TableText"/>
            </w:pPr>
            <w:r w:rsidRPr="00732D50">
              <w:t>0.05 g/kg bromadiolone</w:t>
            </w:r>
          </w:p>
        </w:tc>
        <w:tc>
          <w:tcPr>
            <w:tcW w:w="2126" w:type="dxa"/>
          </w:tcPr>
          <w:p w14:paraId="7A1620A4" w14:textId="1AA6845D" w:rsidR="00A911C7" w:rsidRPr="00732D50" w:rsidRDefault="00732D50" w:rsidP="00BA7F4F">
            <w:pPr>
              <w:pStyle w:val="TableText"/>
            </w:pPr>
            <w:r w:rsidRPr="00732D50">
              <w:t>Liphatech S.A.S.</w:t>
            </w:r>
          </w:p>
        </w:tc>
        <w:tc>
          <w:tcPr>
            <w:tcW w:w="2688" w:type="dxa"/>
          </w:tcPr>
          <w:p w14:paraId="2FD389D4" w14:textId="37BB144F" w:rsidR="00A911C7" w:rsidRPr="00732D50" w:rsidRDefault="00A911C7" w:rsidP="00BA7F4F">
            <w:pPr>
              <w:pStyle w:val="TableText"/>
            </w:pPr>
            <w:r w:rsidRPr="00732D50">
              <w:t xml:space="preserve">Vary formulation type to RB – </w:t>
            </w:r>
            <w:r w:rsidR="005F4C05">
              <w:t>ready-to-use bait</w:t>
            </w:r>
          </w:p>
        </w:tc>
      </w:tr>
      <w:tr w:rsidR="00A911C7" w:rsidRPr="004E06DA" w14:paraId="174C19A8" w14:textId="77777777" w:rsidTr="00732D50">
        <w:trPr>
          <w:trHeight w:val="288"/>
        </w:trPr>
        <w:tc>
          <w:tcPr>
            <w:tcW w:w="1129" w:type="dxa"/>
            <w:noWrap/>
            <w:hideMark/>
          </w:tcPr>
          <w:p w14:paraId="2408D963" w14:textId="77777777" w:rsidR="00A911C7" w:rsidRPr="00732D50" w:rsidRDefault="00A911C7" w:rsidP="00BA7F4F">
            <w:pPr>
              <w:pStyle w:val="TableText"/>
            </w:pPr>
            <w:r w:rsidRPr="00732D50">
              <w:t>81205</w:t>
            </w:r>
          </w:p>
        </w:tc>
        <w:tc>
          <w:tcPr>
            <w:tcW w:w="2268" w:type="dxa"/>
            <w:noWrap/>
            <w:hideMark/>
          </w:tcPr>
          <w:p w14:paraId="02886EDB" w14:textId="221051A4" w:rsidR="00A911C7" w:rsidRPr="00732D50" w:rsidRDefault="00732D50" w:rsidP="00BA7F4F">
            <w:pPr>
              <w:pStyle w:val="TableText"/>
            </w:pPr>
            <w:r w:rsidRPr="00732D50">
              <w:t>Tomcat Bait Packs</w:t>
            </w:r>
          </w:p>
        </w:tc>
        <w:tc>
          <w:tcPr>
            <w:tcW w:w="1423" w:type="dxa"/>
          </w:tcPr>
          <w:p w14:paraId="47116A66" w14:textId="1CB41E93" w:rsidR="00A911C7" w:rsidRPr="00732D50" w:rsidRDefault="00A911C7" w:rsidP="00BA7F4F">
            <w:pPr>
              <w:pStyle w:val="TableText"/>
            </w:pPr>
            <w:r w:rsidRPr="00732D50">
              <w:t>0.05 g/kg bromadiolone</w:t>
            </w:r>
          </w:p>
        </w:tc>
        <w:tc>
          <w:tcPr>
            <w:tcW w:w="2126" w:type="dxa"/>
          </w:tcPr>
          <w:p w14:paraId="1A8E8968" w14:textId="41108C89" w:rsidR="00A911C7" w:rsidRPr="00732D50" w:rsidRDefault="00732D50" w:rsidP="00BA7F4F">
            <w:pPr>
              <w:pStyle w:val="TableText"/>
            </w:pPr>
            <w:r w:rsidRPr="00732D50">
              <w:t>Evergreen Garden Care Australia Pty Ltd</w:t>
            </w:r>
          </w:p>
        </w:tc>
        <w:tc>
          <w:tcPr>
            <w:tcW w:w="2688" w:type="dxa"/>
          </w:tcPr>
          <w:p w14:paraId="022BB6A8" w14:textId="106ACD0D" w:rsidR="00A911C7" w:rsidRPr="00732D50" w:rsidRDefault="00A911C7" w:rsidP="00BA7F4F">
            <w:pPr>
              <w:pStyle w:val="TableText"/>
            </w:pPr>
            <w:r w:rsidRPr="00732D50">
              <w:t xml:space="preserve">Vary formulation type to RB – </w:t>
            </w:r>
            <w:r w:rsidR="005F4C05">
              <w:t>ready-to-use bait</w:t>
            </w:r>
          </w:p>
        </w:tc>
      </w:tr>
      <w:tr w:rsidR="00A911C7" w:rsidRPr="004E06DA" w14:paraId="7408EDD7" w14:textId="77777777" w:rsidTr="00732D50">
        <w:trPr>
          <w:trHeight w:val="288"/>
        </w:trPr>
        <w:tc>
          <w:tcPr>
            <w:tcW w:w="1129" w:type="dxa"/>
            <w:noWrap/>
            <w:hideMark/>
          </w:tcPr>
          <w:p w14:paraId="5D80FC8C" w14:textId="77777777" w:rsidR="00A911C7" w:rsidRPr="00732D50" w:rsidRDefault="00A911C7" w:rsidP="00BA7F4F">
            <w:pPr>
              <w:pStyle w:val="TableText"/>
            </w:pPr>
            <w:r w:rsidRPr="00732D50">
              <w:t>81206</w:t>
            </w:r>
          </w:p>
        </w:tc>
        <w:tc>
          <w:tcPr>
            <w:tcW w:w="2268" w:type="dxa"/>
            <w:noWrap/>
            <w:hideMark/>
          </w:tcPr>
          <w:p w14:paraId="386581BE" w14:textId="2BD263FC" w:rsidR="00A911C7" w:rsidRPr="00732D50" w:rsidRDefault="00732D50" w:rsidP="00BA7F4F">
            <w:pPr>
              <w:pStyle w:val="TableText"/>
            </w:pPr>
            <w:r w:rsidRPr="00732D50">
              <w:t>Tomcat All-Weather Rat &amp; Mouse Block Baits</w:t>
            </w:r>
          </w:p>
        </w:tc>
        <w:tc>
          <w:tcPr>
            <w:tcW w:w="1423" w:type="dxa"/>
          </w:tcPr>
          <w:p w14:paraId="292F2BAB" w14:textId="23CF1EDB" w:rsidR="00A911C7" w:rsidRPr="00732D50" w:rsidRDefault="00A911C7" w:rsidP="00BA7F4F">
            <w:pPr>
              <w:pStyle w:val="TableText"/>
            </w:pPr>
            <w:r w:rsidRPr="00732D50">
              <w:t>0.05 g/kg bromadiolone</w:t>
            </w:r>
          </w:p>
        </w:tc>
        <w:tc>
          <w:tcPr>
            <w:tcW w:w="2126" w:type="dxa"/>
          </w:tcPr>
          <w:p w14:paraId="748C5CC6" w14:textId="2DAAF3CC" w:rsidR="00A911C7" w:rsidRPr="00732D50" w:rsidRDefault="00732D50" w:rsidP="00BA7F4F">
            <w:pPr>
              <w:pStyle w:val="TableText"/>
            </w:pPr>
            <w:r w:rsidRPr="00732D50">
              <w:t>Evergreen Garden Care Australia Pty Ltd</w:t>
            </w:r>
          </w:p>
        </w:tc>
        <w:tc>
          <w:tcPr>
            <w:tcW w:w="2688" w:type="dxa"/>
          </w:tcPr>
          <w:p w14:paraId="11AB0A34" w14:textId="2D708075" w:rsidR="00A911C7" w:rsidRPr="00732D50" w:rsidRDefault="00A911C7" w:rsidP="00BA7F4F">
            <w:pPr>
              <w:pStyle w:val="TableText"/>
            </w:pPr>
            <w:r w:rsidRPr="00732D50">
              <w:t xml:space="preserve">Vary formulation type to RB – </w:t>
            </w:r>
            <w:r w:rsidR="005F4C05">
              <w:t>ready-to-use bait</w:t>
            </w:r>
          </w:p>
        </w:tc>
      </w:tr>
      <w:tr w:rsidR="00A911C7" w:rsidRPr="004E06DA" w14:paraId="200DB772" w14:textId="77777777" w:rsidTr="00732D50">
        <w:trPr>
          <w:trHeight w:val="288"/>
        </w:trPr>
        <w:tc>
          <w:tcPr>
            <w:tcW w:w="1129" w:type="dxa"/>
            <w:noWrap/>
            <w:hideMark/>
          </w:tcPr>
          <w:p w14:paraId="15993C55" w14:textId="77777777" w:rsidR="00A911C7" w:rsidRPr="00732D50" w:rsidRDefault="00A911C7" w:rsidP="00BA7F4F">
            <w:pPr>
              <w:pStyle w:val="TableText"/>
            </w:pPr>
            <w:r w:rsidRPr="00732D50">
              <w:t>86179</w:t>
            </w:r>
          </w:p>
        </w:tc>
        <w:tc>
          <w:tcPr>
            <w:tcW w:w="2268" w:type="dxa"/>
            <w:noWrap/>
            <w:hideMark/>
          </w:tcPr>
          <w:p w14:paraId="32AC39A9" w14:textId="77777777" w:rsidR="00A911C7" w:rsidRPr="00732D50" w:rsidRDefault="00A911C7" w:rsidP="00BA7F4F">
            <w:pPr>
              <w:pStyle w:val="TableText"/>
            </w:pPr>
            <w:r w:rsidRPr="00732D50">
              <w:t>Resolv Soft Bait Rodenticide</w:t>
            </w:r>
          </w:p>
        </w:tc>
        <w:tc>
          <w:tcPr>
            <w:tcW w:w="1423" w:type="dxa"/>
          </w:tcPr>
          <w:p w14:paraId="142CC564" w14:textId="495D033D" w:rsidR="00A911C7" w:rsidRPr="00732D50" w:rsidRDefault="00A911C7" w:rsidP="00BA7F4F">
            <w:pPr>
              <w:pStyle w:val="TableText"/>
            </w:pPr>
            <w:r w:rsidRPr="00732D50">
              <w:t>0.05 g/kg bromadiolone</w:t>
            </w:r>
          </w:p>
        </w:tc>
        <w:tc>
          <w:tcPr>
            <w:tcW w:w="2126" w:type="dxa"/>
          </w:tcPr>
          <w:p w14:paraId="13211A36" w14:textId="4967A6BA" w:rsidR="00A911C7" w:rsidRPr="00732D50" w:rsidRDefault="00732D50" w:rsidP="00BA7F4F">
            <w:pPr>
              <w:pStyle w:val="TableText"/>
            </w:pPr>
            <w:r w:rsidRPr="00732D50">
              <w:t>Liphatech S.A.S.</w:t>
            </w:r>
          </w:p>
        </w:tc>
        <w:tc>
          <w:tcPr>
            <w:tcW w:w="2688" w:type="dxa"/>
          </w:tcPr>
          <w:p w14:paraId="149D3B43" w14:textId="1B8AD6D6" w:rsidR="00A911C7" w:rsidRPr="00732D50" w:rsidRDefault="00A911C7" w:rsidP="00BA7F4F">
            <w:pPr>
              <w:pStyle w:val="TableText"/>
            </w:pPr>
            <w:r w:rsidRPr="00732D50">
              <w:t xml:space="preserve">Vary formulation type to RB – </w:t>
            </w:r>
            <w:r w:rsidR="005F4C05">
              <w:t>ready-to-use bait</w:t>
            </w:r>
          </w:p>
        </w:tc>
      </w:tr>
      <w:tr w:rsidR="00A911C7" w:rsidRPr="004E06DA" w14:paraId="7C6C4E1A" w14:textId="77777777" w:rsidTr="00732D50">
        <w:trPr>
          <w:trHeight w:val="288"/>
        </w:trPr>
        <w:tc>
          <w:tcPr>
            <w:tcW w:w="1129" w:type="dxa"/>
            <w:noWrap/>
            <w:hideMark/>
          </w:tcPr>
          <w:p w14:paraId="49434E88" w14:textId="77777777" w:rsidR="00A911C7" w:rsidRPr="00732D50" w:rsidRDefault="00A911C7" w:rsidP="00BA7F4F">
            <w:pPr>
              <w:pStyle w:val="TableText"/>
            </w:pPr>
            <w:r w:rsidRPr="00732D50">
              <w:t>86331</w:t>
            </w:r>
          </w:p>
        </w:tc>
        <w:tc>
          <w:tcPr>
            <w:tcW w:w="2268" w:type="dxa"/>
            <w:noWrap/>
            <w:hideMark/>
          </w:tcPr>
          <w:p w14:paraId="36288123" w14:textId="77777777" w:rsidR="00A911C7" w:rsidRPr="00732D50" w:rsidRDefault="00A911C7" w:rsidP="00BA7F4F">
            <w:pPr>
              <w:pStyle w:val="TableText"/>
            </w:pPr>
            <w:r w:rsidRPr="00732D50">
              <w:t>Contrac Soft Bait</w:t>
            </w:r>
          </w:p>
        </w:tc>
        <w:tc>
          <w:tcPr>
            <w:tcW w:w="1423" w:type="dxa"/>
          </w:tcPr>
          <w:p w14:paraId="4AEEEB5D" w14:textId="34161688" w:rsidR="00A911C7" w:rsidRPr="00732D50" w:rsidRDefault="00A911C7" w:rsidP="00BA7F4F">
            <w:pPr>
              <w:pStyle w:val="TableText"/>
            </w:pPr>
            <w:r w:rsidRPr="00732D50">
              <w:t>0.05 g/kg bromadiolone</w:t>
            </w:r>
          </w:p>
        </w:tc>
        <w:tc>
          <w:tcPr>
            <w:tcW w:w="2126" w:type="dxa"/>
          </w:tcPr>
          <w:p w14:paraId="635FAE58" w14:textId="0430B122" w:rsidR="00A911C7" w:rsidRPr="00732D50" w:rsidRDefault="00732D50" w:rsidP="00BA7F4F">
            <w:pPr>
              <w:pStyle w:val="TableText"/>
            </w:pPr>
            <w:r w:rsidRPr="00732D50">
              <w:t>Bell Laboratories, Inc.</w:t>
            </w:r>
          </w:p>
        </w:tc>
        <w:tc>
          <w:tcPr>
            <w:tcW w:w="2688" w:type="dxa"/>
          </w:tcPr>
          <w:p w14:paraId="4AC82BD9" w14:textId="62823EBC" w:rsidR="00A911C7" w:rsidRPr="00732D50" w:rsidRDefault="00A911C7" w:rsidP="00BA7F4F">
            <w:pPr>
              <w:pStyle w:val="TableText"/>
            </w:pPr>
            <w:r w:rsidRPr="00732D50">
              <w:t xml:space="preserve">Vary formulation type to RB – </w:t>
            </w:r>
            <w:r w:rsidR="005F4C05">
              <w:t>ready-to-use bait</w:t>
            </w:r>
          </w:p>
        </w:tc>
      </w:tr>
      <w:tr w:rsidR="00A911C7" w:rsidRPr="004E06DA" w14:paraId="794B8E13" w14:textId="77777777" w:rsidTr="00732D50">
        <w:trPr>
          <w:trHeight w:val="288"/>
        </w:trPr>
        <w:tc>
          <w:tcPr>
            <w:tcW w:w="1129" w:type="dxa"/>
            <w:noWrap/>
            <w:hideMark/>
          </w:tcPr>
          <w:p w14:paraId="61FD4683" w14:textId="77777777" w:rsidR="00A911C7" w:rsidRPr="00732D50" w:rsidRDefault="00A911C7" w:rsidP="00BA7F4F">
            <w:pPr>
              <w:pStyle w:val="TableText"/>
            </w:pPr>
            <w:r w:rsidRPr="00732D50">
              <w:t>93518</w:t>
            </w:r>
          </w:p>
        </w:tc>
        <w:tc>
          <w:tcPr>
            <w:tcW w:w="2268" w:type="dxa"/>
            <w:noWrap/>
            <w:hideMark/>
          </w:tcPr>
          <w:p w14:paraId="4C86EE39" w14:textId="77777777" w:rsidR="00A911C7" w:rsidRPr="00732D50" w:rsidRDefault="00A911C7" w:rsidP="00BA7F4F">
            <w:pPr>
              <w:pStyle w:val="TableText"/>
            </w:pPr>
            <w:r w:rsidRPr="00732D50">
              <w:t>Surefire Broma Liquid Rodenticide</w:t>
            </w:r>
          </w:p>
        </w:tc>
        <w:tc>
          <w:tcPr>
            <w:tcW w:w="1423" w:type="dxa"/>
          </w:tcPr>
          <w:p w14:paraId="6F6DEA5A" w14:textId="0A8EF5F5" w:rsidR="00A911C7" w:rsidRPr="00732D50" w:rsidRDefault="00A911C7" w:rsidP="00BA7F4F">
            <w:pPr>
              <w:pStyle w:val="TableText"/>
            </w:pPr>
            <w:r w:rsidRPr="00732D50">
              <w:t>0.5 g/L bromadiolone</w:t>
            </w:r>
          </w:p>
        </w:tc>
        <w:tc>
          <w:tcPr>
            <w:tcW w:w="2126" w:type="dxa"/>
          </w:tcPr>
          <w:p w14:paraId="512744D9" w14:textId="61BB8287" w:rsidR="00A911C7" w:rsidRPr="00732D50" w:rsidRDefault="00732D50" w:rsidP="00BA7F4F">
            <w:pPr>
              <w:pStyle w:val="TableText"/>
            </w:pPr>
            <w:r w:rsidRPr="00732D50">
              <w:t>Pct Holdings Pty Ltd</w:t>
            </w:r>
          </w:p>
        </w:tc>
        <w:tc>
          <w:tcPr>
            <w:tcW w:w="2688" w:type="dxa"/>
          </w:tcPr>
          <w:p w14:paraId="66C4833E" w14:textId="512CE67F" w:rsidR="00A911C7" w:rsidRPr="00732D50" w:rsidRDefault="00A83702" w:rsidP="00BA7F4F">
            <w:pPr>
              <w:pStyle w:val="TableText"/>
            </w:pPr>
            <w:r w:rsidRPr="00732D50">
              <w:t xml:space="preserve">Cancel – liquid </w:t>
            </w:r>
            <w:r>
              <w:t xml:space="preserve">(bait concentrate) formulation </w:t>
            </w:r>
            <w:r w:rsidRPr="00732D50">
              <w:t>not supported</w:t>
            </w:r>
          </w:p>
        </w:tc>
      </w:tr>
    </w:tbl>
    <w:p w14:paraId="05AD1275" w14:textId="0C4FCD72" w:rsidR="00732D50" w:rsidRDefault="00732D50" w:rsidP="00732D50">
      <w:pPr>
        <w:pStyle w:val="Caption"/>
      </w:pPr>
      <w:bookmarkStart w:id="235" w:name="_Ref214974044"/>
      <w:bookmarkStart w:id="236" w:name="_Toc213946015"/>
      <w:bookmarkStart w:id="237" w:name="_Toc216695701"/>
      <w:r>
        <w:lastRenderedPageBreak/>
        <w:t xml:space="preserve">Table </w:t>
      </w:r>
      <w:r>
        <w:fldChar w:fldCharType="begin"/>
      </w:r>
      <w:r>
        <w:instrText xml:space="preserve"> SEQ Table \* ARABIC </w:instrText>
      </w:r>
      <w:r>
        <w:fldChar w:fldCharType="separate"/>
      </w:r>
      <w:r w:rsidR="003861AC">
        <w:rPr>
          <w:noProof/>
        </w:rPr>
        <w:t>39</w:t>
      </w:r>
      <w:r>
        <w:fldChar w:fldCharType="end"/>
      </w:r>
      <w:bookmarkEnd w:id="235"/>
      <w:r>
        <w:t>: Current registered products containing both bromadiolone and difenacoum</w:t>
      </w:r>
      <w:bookmarkEnd w:id="236"/>
      <w:bookmarkEnd w:id="237"/>
    </w:p>
    <w:tbl>
      <w:tblPr>
        <w:tblStyle w:val="TableGrid"/>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2273"/>
        <w:gridCol w:w="2127"/>
        <w:gridCol w:w="1417"/>
        <w:gridCol w:w="2688"/>
      </w:tblGrid>
      <w:tr w:rsidR="00732D50" w:rsidRPr="00732D50" w14:paraId="54C280AE" w14:textId="77777777" w:rsidTr="0017134F">
        <w:trPr>
          <w:trHeight w:val="288"/>
          <w:tblHeader/>
        </w:trPr>
        <w:tc>
          <w:tcPr>
            <w:tcW w:w="1129" w:type="dxa"/>
            <w:shd w:val="clear" w:color="auto" w:fill="53284F"/>
            <w:noWrap/>
          </w:tcPr>
          <w:p w14:paraId="2F669EAF" w14:textId="3D99FB37" w:rsidR="00732D50" w:rsidRPr="00732D50" w:rsidRDefault="00732D50" w:rsidP="00BA7F4F">
            <w:pPr>
              <w:pStyle w:val="TableHead"/>
            </w:pPr>
            <w:r w:rsidRPr="00DB5938">
              <w:t>Product number</w:t>
            </w:r>
          </w:p>
        </w:tc>
        <w:tc>
          <w:tcPr>
            <w:tcW w:w="2273" w:type="dxa"/>
            <w:shd w:val="clear" w:color="auto" w:fill="53284F"/>
            <w:noWrap/>
          </w:tcPr>
          <w:p w14:paraId="0EE26124" w14:textId="57474C83" w:rsidR="00732D50" w:rsidRPr="00732D50" w:rsidRDefault="00732D50" w:rsidP="00BA7F4F">
            <w:pPr>
              <w:pStyle w:val="TableHead"/>
            </w:pPr>
            <w:r w:rsidRPr="00DB5938">
              <w:t>Product name</w:t>
            </w:r>
          </w:p>
        </w:tc>
        <w:tc>
          <w:tcPr>
            <w:tcW w:w="2127" w:type="dxa"/>
            <w:shd w:val="clear" w:color="auto" w:fill="53284F"/>
          </w:tcPr>
          <w:p w14:paraId="1DB55315" w14:textId="654F2E21" w:rsidR="00732D50" w:rsidRPr="00732D50" w:rsidRDefault="00732D50" w:rsidP="00BA7F4F">
            <w:pPr>
              <w:pStyle w:val="TableHead"/>
            </w:pPr>
            <w:r w:rsidRPr="00DB5938">
              <w:t>Active content</w:t>
            </w:r>
          </w:p>
        </w:tc>
        <w:tc>
          <w:tcPr>
            <w:tcW w:w="1417" w:type="dxa"/>
            <w:shd w:val="clear" w:color="auto" w:fill="53284F"/>
          </w:tcPr>
          <w:p w14:paraId="50411E86" w14:textId="39D53F8E" w:rsidR="00732D50" w:rsidRPr="00732D50" w:rsidRDefault="00732D50" w:rsidP="00BA7F4F">
            <w:pPr>
              <w:pStyle w:val="TableHead"/>
            </w:pPr>
            <w:r>
              <w:t>Registrant</w:t>
            </w:r>
          </w:p>
        </w:tc>
        <w:tc>
          <w:tcPr>
            <w:tcW w:w="2688" w:type="dxa"/>
            <w:shd w:val="clear" w:color="auto" w:fill="53284F"/>
          </w:tcPr>
          <w:p w14:paraId="6D3CE8F9" w14:textId="6BA37D1C" w:rsidR="00732D50" w:rsidRPr="00732D50" w:rsidRDefault="00732D50" w:rsidP="00BA7F4F">
            <w:pPr>
              <w:pStyle w:val="TableHead"/>
            </w:pPr>
            <w:r w:rsidRPr="00DB5938">
              <w:t>Recommendation</w:t>
            </w:r>
          </w:p>
        </w:tc>
      </w:tr>
      <w:tr w:rsidR="00732D50" w:rsidRPr="00732D50" w14:paraId="213C3E66" w14:textId="77777777" w:rsidTr="00BB31F7">
        <w:trPr>
          <w:trHeight w:val="288"/>
          <w:tblHeader/>
        </w:trPr>
        <w:tc>
          <w:tcPr>
            <w:tcW w:w="1129" w:type="dxa"/>
            <w:noWrap/>
            <w:hideMark/>
          </w:tcPr>
          <w:p w14:paraId="596B396C" w14:textId="77777777" w:rsidR="00732D50" w:rsidRPr="00732D50" w:rsidRDefault="00732D50" w:rsidP="00BA7F4F">
            <w:pPr>
              <w:pStyle w:val="TableText"/>
            </w:pPr>
            <w:r w:rsidRPr="00732D50">
              <w:t>69994</w:t>
            </w:r>
          </w:p>
        </w:tc>
        <w:tc>
          <w:tcPr>
            <w:tcW w:w="2273" w:type="dxa"/>
            <w:noWrap/>
            <w:hideMark/>
          </w:tcPr>
          <w:p w14:paraId="0186DC59" w14:textId="77777777" w:rsidR="00732D50" w:rsidRPr="00732D50" w:rsidRDefault="00732D50" w:rsidP="00BA7F4F">
            <w:pPr>
              <w:pStyle w:val="TableText"/>
            </w:pPr>
            <w:r w:rsidRPr="00732D50">
              <w:t>Muskil Dual Active Rodenticide Blocks with Fluo-NP Technology</w:t>
            </w:r>
          </w:p>
        </w:tc>
        <w:tc>
          <w:tcPr>
            <w:tcW w:w="2127" w:type="dxa"/>
          </w:tcPr>
          <w:p w14:paraId="2DBFFC54" w14:textId="77777777" w:rsidR="00732D50" w:rsidRPr="00732D50" w:rsidRDefault="00732D50" w:rsidP="00BA7F4F">
            <w:pPr>
              <w:pStyle w:val="TableText"/>
            </w:pPr>
            <w:r w:rsidRPr="00732D50">
              <w:t>0.025 g/kg bromadiolone + 0.025 g/kg difenacoum</w:t>
            </w:r>
          </w:p>
        </w:tc>
        <w:tc>
          <w:tcPr>
            <w:tcW w:w="1417" w:type="dxa"/>
          </w:tcPr>
          <w:p w14:paraId="393FEC9F" w14:textId="77777777" w:rsidR="00732D50" w:rsidRPr="00732D50" w:rsidRDefault="00732D50" w:rsidP="00BA7F4F">
            <w:pPr>
              <w:pStyle w:val="TableText"/>
            </w:pPr>
            <w:r w:rsidRPr="00732D50">
              <w:t>Zapi SpA</w:t>
            </w:r>
          </w:p>
        </w:tc>
        <w:tc>
          <w:tcPr>
            <w:tcW w:w="2688" w:type="dxa"/>
          </w:tcPr>
          <w:p w14:paraId="64C9C4B7" w14:textId="4C25F302" w:rsidR="00732D50" w:rsidRDefault="00732D50" w:rsidP="00BA7F4F">
            <w:pPr>
              <w:pStyle w:val="TableText"/>
            </w:pPr>
            <w:r w:rsidRPr="00732D50">
              <w:t xml:space="preserve">Vary formulation type to RB – </w:t>
            </w:r>
            <w:r w:rsidR="005F4C05">
              <w:t>ready-to-use bait</w:t>
            </w:r>
          </w:p>
          <w:p w14:paraId="64656763" w14:textId="54D57546" w:rsidR="00E22AF9" w:rsidRPr="00732D50" w:rsidRDefault="00E22AF9" w:rsidP="00BA7F4F">
            <w:pPr>
              <w:pStyle w:val="TableText"/>
            </w:pPr>
            <w:r w:rsidRPr="00D56BAE">
              <w:t>Conditional registration: confirm source of active and formulation details of product</w:t>
            </w:r>
          </w:p>
        </w:tc>
      </w:tr>
      <w:tr w:rsidR="00732D50" w:rsidRPr="00732D50" w14:paraId="2345F99F" w14:textId="77777777" w:rsidTr="00BB31F7">
        <w:trPr>
          <w:trHeight w:val="288"/>
          <w:tblHeader/>
        </w:trPr>
        <w:tc>
          <w:tcPr>
            <w:tcW w:w="1129" w:type="dxa"/>
            <w:noWrap/>
            <w:hideMark/>
          </w:tcPr>
          <w:p w14:paraId="1F328515" w14:textId="77777777" w:rsidR="00732D50" w:rsidRPr="00732D50" w:rsidRDefault="00732D50" w:rsidP="00BA7F4F">
            <w:pPr>
              <w:pStyle w:val="TableText"/>
            </w:pPr>
            <w:r w:rsidRPr="00732D50">
              <w:t>82450</w:t>
            </w:r>
          </w:p>
        </w:tc>
        <w:tc>
          <w:tcPr>
            <w:tcW w:w="2273" w:type="dxa"/>
            <w:noWrap/>
            <w:hideMark/>
          </w:tcPr>
          <w:p w14:paraId="702828AE" w14:textId="77777777" w:rsidR="00732D50" w:rsidRPr="00732D50" w:rsidRDefault="00732D50" w:rsidP="00BA7F4F">
            <w:pPr>
              <w:pStyle w:val="TableText"/>
            </w:pPr>
            <w:r w:rsidRPr="00732D50">
              <w:t>Muskil Soft Bait with Two Actives for Faster Kill of Rats &amp; Mice</w:t>
            </w:r>
          </w:p>
        </w:tc>
        <w:tc>
          <w:tcPr>
            <w:tcW w:w="2127" w:type="dxa"/>
          </w:tcPr>
          <w:p w14:paraId="4FAD81F0" w14:textId="77777777" w:rsidR="00732D50" w:rsidRPr="00732D50" w:rsidRDefault="00732D50" w:rsidP="00BA7F4F">
            <w:pPr>
              <w:pStyle w:val="TableText"/>
            </w:pPr>
            <w:r w:rsidRPr="00732D50">
              <w:t>0.025 g/kg bromadiolone + 0.025 g/kg difenacoum</w:t>
            </w:r>
          </w:p>
        </w:tc>
        <w:tc>
          <w:tcPr>
            <w:tcW w:w="1417" w:type="dxa"/>
          </w:tcPr>
          <w:p w14:paraId="4E5EAF3A" w14:textId="77777777" w:rsidR="00732D50" w:rsidRPr="00732D50" w:rsidRDefault="00732D50" w:rsidP="00BA7F4F">
            <w:pPr>
              <w:pStyle w:val="TableText"/>
            </w:pPr>
            <w:r w:rsidRPr="00732D50">
              <w:t>Zapi SpA</w:t>
            </w:r>
          </w:p>
        </w:tc>
        <w:tc>
          <w:tcPr>
            <w:tcW w:w="2688" w:type="dxa"/>
          </w:tcPr>
          <w:p w14:paraId="78AD0D52" w14:textId="2D913E3E" w:rsidR="00732D50" w:rsidRDefault="00732D50" w:rsidP="00BA7F4F">
            <w:pPr>
              <w:pStyle w:val="TableText"/>
            </w:pPr>
            <w:r w:rsidRPr="00732D50">
              <w:t xml:space="preserve">Vary formulation type to RB – </w:t>
            </w:r>
            <w:r w:rsidR="005F4C05">
              <w:t>ready-to-use bait</w:t>
            </w:r>
          </w:p>
          <w:p w14:paraId="21751226" w14:textId="5F1C932B" w:rsidR="007C6642" w:rsidRPr="00732D50" w:rsidRDefault="007C6642" w:rsidP="00BA7F4F">
            <w:pPr>
              <w:pStyle w:val="TableText"/>
            </w:pPr>
            <w:r w:rsidRPr="007C6642">
              <w:t>Conditional registration: confirm source of active and formulation details of product</w:t>
            </w:r>
          </w:p>
        </w:tc>
      </w:tr>
      <w:tr w:rsidR="00732D50" w:rsidRPr="00732D50" w14:paraId="79A97B97" w14:textId="77777777" w:rsidTr="00BB31F7">
        <w:trPr>
          <w:trHeight w:val="288"/>
          <w:tblHeader/>
        </w:trPr>
        <w:tc>
          <w:tcPr>
            <w:tcW w:w="1129" w:type="dxa"/>
            <w:noWrap/>
            <w:hideMark/>
          </w:tcPr>
          <w:p w14:paraId="4E861CFB" w14:textId="77777777" w:rsidR="00732D50" w:rsidRPr="00732D50" w:rsidRDefault="00732D50" w:rsidP="00BA7F4F">
            <w:pPr>
              <w:pStyle w:val="TableText"/>
            </w:pPr>
            <w:r w:rsidRPr="00732D50">
              <w:t>84831</w:t>
            </w:r>
          </w:p>
        </w:tc>
        <w:tc>
          <w:tcPr>
            <w:tcW w:w="2273" w:type="dxa"/>
            <w:noWrap/>
            <w:hideMark/>
          </w:tcPr>
          <w:p w14:paraId="0A12A952" w14:textId="77777777" w:rsidR="00732D50" w:rsidRPr="00732D50" w:rsidRDefault="00732D50" w:rsidP="00BA7F4F">
            <w:pPr>
              <w:pStyle w:val="TableText"/>
            </w:pPr>
            <w:r w:rsidRPr="00732D50">
              <w:t>Ratsak Rapid Strike Dual Active Waxblocks</w:t>
            </w:r>
          </w:p>
        </w:tc>
        <w:tc>
          <w:tcPr>
            <w:tcW w:w="2127" w:type="dxa"/>
          </w:tcPr>
          <w:p w14:paraId="08F663FE" w14:textId="77777777" w:rsidR="00732D50" w:rsidRPr="00732D50" w:rsidRDefault="00732D50" w:rsidP="00BA7F4F">
            <w:pPr>
              <w:pStyle w:val="TableText"/>
            </w:pPr>
            <w:r w:rsidRPr="00732D50">
              <w:t>0.025 g/kg bromadiolone + 0.025 g/kg difenacoum</w:t>
            </w:r>
          </w:p>
        </w:tc>
        <w:tc>
          <w:tcPr>
            <w:tcW w:w="1417" w:type="dxa"/>
          </w:tcPr>
          <w:p w14:paraId="6F66B966" w14:textId="77777777" w:rsidR="00732D50" w:rsidRPr="00732D50" w:rsidRDefault="00732D50" w:rsidP="00BA7F4F">
            <w:pPr>
              <w:pStyle w:val="TableText"/>
            </w:pPr>
            <w:r w:rsidRPr="00732D50">
              <w:t>Zapi SpA</w:t>
            </w:r>
          </w:p>
        </w:tc>
        <w:tc>
          <w:tcPr>
            <w:tcW w:w="2688" w:type="dxa"/>
          </w:tcPr>
          <w:p w14:paraId="1B611D36" w14:textId="4979727F" w:rsidR="00732D50" w:rsidRDefault="00732D50" w:rsidP="00BA7F4F">
            <w:pPr>
              <w:pStyle w:val="TableText"/>
            </w:pPr>
            <w:r w:rsidRPr="00732D50">
              <w:t xml:space="preserve">Vary formulation type to RB – </w:t>
            </w:r>
            <w:r w:rsidR="005F4C05">
              <w:t>ready-to-use bait</w:t>
            </w:r>
          </w:p>
          <w:p w14:paraId="52E36BC0" w14:textId="5DA45231" w:rsidR="007C6642" w:rsidRPr="00732D50" w:rsidRDefault="007C6642" w:rsidP="00BA7F4F">
            <w:pPr>
              <w:pStyle w:val="TableText"/>
            </w:pPr>
            <w:r w:rsidRPr="007C6642">
              <w:t>Conditional registration: confirm source of active and formulation details of product</w:t>
            </w:r>
          </w:p>
        </w:tc>
      </w:tr>
      <w:tr w:rsidR="00732D50" w:rsidRPr="00732D50" w14:paraId="31FE0DC1" w14:textId="77777777" w:rsidTr="00BB31F7">
        <w:trPr>
          <w:trHeight w:val="288"/>
          <w:tblHeader/>
        </w:trPr>
        <w:tc>
          <w:tcPr>
            <w:tcW w:w="1129" w:type="dxa"/>
            <w:noWrap/>
            <w:hideMark/>
          </w:tcPr>
          <w:p w14:paraId="75F73DB3" w14:textId="77777777" w:rsidR="00732D50" w:rsidRPr="00732D50" w:rsidRDefault="00732D50" w:rsidP="00BA7F4F">
            <w:pPr>
              <w:pStyle w:val="TableText"/>
            </w:pPr>
            <w:r w:rsidRPr="00732D50">
              <w:t>84832</w:t>
            </w:r>
          </w:p>
        </w:tc>
        <w:tc>
          <w:tcPr>
            <w:tcW w:w="2273" w:type="dxa"/>
            <w:noWrap/>
            <w:hideMark/>
          </w:tcPr>
          <w:p w14:paraId="2906E0F5" w14:textId="77777777" w:rsidR="00732D50" w:rsidRPr="00732D50" w:rsidRDefault="00732D50" w:rsidP="00BA7F4F">
            <w:pPr>
              <w:pStyle w:val="TableText"/>
            </w:pPr>
            <w:r w:rsidRPr="00732D50">
              <w:t>Ratsak Rapid Strike Advanced Dual Active Soft Bait</w:t>
            </w:r>
          </w:p>
        </w:tc>
        <w:tc>
          <w:tcPr>
            <w:tcW w:w="2127" w:type="dxa"/>
          </w:tcPr>
          <w:p w14:paraId="07F0E442" w14:textId="77777777" w:rsidR="00732D50" w:rsidRPr="00732D50" w:rsidRDefault="00732D50" w:rsidP="00BA7F4F">
            <w:pPr>
              <w:pStyle w:val="TableText"/>
            </w:pPr>
            <w:r w:rsidRPr="00732D50">
              <w:t>0.025 g/kg bromadiolone + 0.025 g/kg difenacoum</w:t>
            </w:r>
          </w:p>
        </w:tc>
        <w:tc>
          <w:tcPr>
            <w:tcW w:w="1417" w:type="dxa"/>
          </w:tcPr>
          <w:p w14:paraId="3F7175DE" w14:textId="77777777" w:rsidR="00732D50" w:rsidRPr="00732D50" w:rsidRDefault="00732D50" w:rsidP="00BA7F4F">
            <w:pPr>
              <w:pStyle w:val="TableText"/>
            </w:pPr>
            <w:r w:rsidRPr="00732D50">
              <w:t>Zapi SpA</w:t>
            </w:r>
          </w:p>
        </w:tc>
        <w:tc>
          <w:tcPr>
            <w:tcW w:w="2688" w:type="dxa"/>
          </w:tcPr>
          <w:p w14:paraId="0A0F8344" w14:textId="4821C403" w:rsidR="00732D50" w:rsidRDefault="00732D50" w:rsidP="00BA7F4F">
            <w:pPr>
              <w:pStyle w:val="TableText"/>
            </w:pPr>
            <w:r w:rsidRPr="00732D50">
              <w:t xml:space="preserve">Vary formulation type to RB – </w:t>
            </w:r>
            <w:r w:rsidR="005F4C05">
              <w:t>ready-to-use bait</w:t>
            </w:r>
          </w:p>
          <w:p w14:paraId="7EC3A0D5" w14:textId="030445E1" w:rsidR="007C6642" w:rsidRPr="00732D50" w:rsidRDefault="007C6642" w:rsidP="00BA7F4F">
            <w:pPr>
              <w:pStyle w:val="TableText"/>
            </w:pPr>
            <w:r w:rsidRPr="007C6642">
              <w:t>Conditional registration: confirm source of active and formulation details of product</w:t>
            </w:r>
          </w:p>
        </w:tc>
      </w:tr>
    </w:tbl>
    <w:p w14:paraId="7BB0D448" w14:textId="3F40059C" w:rsidR="00F37651" w:rsidRDefault="00F37651" w:rsidP="00F37651">
      <w:pPr>
        <w:pStyle w:val="NormalText"/>
      </w:pPr>
      <w:r>
        <w:t xml:space="preserve">The current registrations for bromadiolone and bromadiolone/difenacoum chemical products listed respectively in </w:t>
      </w:r>
      <w:r>
        <w:fldChar w:fldCharType="begin"/>
      </w:r>
      <w:r>
        <w:instrText xml:space="preserve"> REF _Ref213062466 \h </w:instrText>
      </w:r>
      <w:r>
        <w:fldChar w:fldCharType="separate"/>
      </w:r>
      <w:r w:rsidR="003861AC">
        <w:t xml:space="preserve">Table </w:t>
      </w:r>
      <w:r w:rsidR="003861AC">
        <w:rPr>
          <w:noProof/>
        </w:rPr>
        <w:t>38</w:t>
      </w:r>
      <w:r>
        <w:fldChar w:fldCharType="end"/>
      </w:r>
      <w:r>
        <w:t xml:space="preserve"> and </w:t>
      </w:r>
      <w:r>
        <w:fldChar w:fldCharType="begin"/>
      </w:r>
      <w:r>
        <w:instrText xml:space="preserve"> REF _Ref214974044 \h </w:instrText>
      </w:r>
      <w:r>
        <w:fldChar w:fldCharType="separate"/>
      </w:r>
      <w:r w:rsidR="003861AC">
        <w:t xml:space="preserve">Table </w:t>
      </w:r>
      <w:r w:rsidR="003861AC">
        <w:rPr>
          <w:noProof/>
        </w:rPr>
        <w:t>39</w:t>
      </w:r>
      <w:r>
        <w:fldChar w:fldCharType="end"/>
      </w:r>
      <w:r>
        <w:t>:</w:t>
      </w:r>
    </w:p>
    <w:p w14:paraId="49CCD879" w14:textId="350056E4" w:rsidR="00F37651" w:rsidRDefault="00F37651" w:rsidP="00F37651">
      <w:pPr>
        <w:pStyle w:val="Bullet1"/>
      </w:pPr>
      <w:r>
        <w:t xml:space="preserve">Are </w:t>
      </w:r>
      <w:r w:rsidRPr="002629BC">
        <w:rPr>
          <w:b/>
          <w:bCs/>
        </w:rPr>
        <w:t>not supported</w:t>
      </w:r>
      <w:r>
        <w:t xml:space="preserve"> if the formulation in the APVMA Register does not contain the requisite bittering agent and/or dye as constituents or if the chemical product is formulated as a liquid bait concentrate.</w:t>
      </w:r>
    </w:p>
    <w:p w14:paraId="70A062E6" w14:textId="77777777" w:rsidR="00F37651" w:rsidRDefault="00F37651" w:rsidP="00F37651">
      <w:pPr>
        <w:pStyle w:val="Bullet1"/>
      </w:pPr>
      <w:r>
        <w:t xml:space="preserve">Are supported in this chemistry and manufacture risk assessment in all other instances, subject to: </w:t>
      </w:r>
    </w:p>
    <w:p w14:paraId="1D290CF5" w14:textId="540A57D2" w:rsidR="00F37651" w:rsidRDefault="00F37651" w:rsidP="00286653">
      <w:pPr>
        <w:pStyle w:val="Bullet2"/>
      </w:pPr>
      <w:r w:rsidRPr="00F37651">
        <w:t>Updates to the formulation types recorded in the APVMA Register to reflect the contemporary designation of ‘ready-to-use bait (RB)’, in place of the more common currently used ‘bait (BA)’</w:t>
      </w:r>
    </w:p>
    <w:p w14:paraId="79146B58" w14:textId="1C668F1B" w:rsidR="00F37651" w:rsidRDefault="00F37651" w:rsidP="00286653">
      <w:pPr>
        <w:pStyle w:val="Bullet2"/>
      </w:pPr>
      <w:r>
        <w:t xml:space="preserve">The </w:t>
      </w:r>
      <w:r w:rsidRPr="00C2685A">
        <w:t xml:space="preserve">manufacturing source(s) of active constituent used and the formulation details of </w:t>
      </w:r>
      <w:r>
        <w:t>relevant brodifacoum/difenacoum chemical products being confirmed by the holders, and appropriate</w:t>
      </w:r>
      <w:r w:rsidRPr="00C2685A">
        <w:t xml:space="preserve"> supporting information</w:t>
      </w:r>
      <w:r>
        <w:t xml:space="preserve"> is provided as required</w:t>
      </w:r>
      <w:r w:rsidRPr="00C2685A">
        <w:t>.</w:t>
      </w:r>
      <w:r>
        <w:t xml:space="preserve"> The APVMA Register for brodifacoum/difenacoum chemical products is updated as required.</w:t>
      </w:r>
    </w:p>
    <w:p w14:paraId="2A5FBF70" w14:textId="77777777" w:rsidR="00B124E3" w:rsidRDefault="00B124E3" w:rsidP="00377F3A">
      <w:pPr>
        <w:pStyle w:val="Heading3"/>
      </w:pPr>
      <w:bookmarkStart w:id="238" w:name="_Toc215150624"/>
      <w:bookmarkStart w:id="239" w:name="_Toc215150625"/>
      <w:bookmarkStart w:id="240" w:name="_Toc215150626"/>
      <w:bookmarkStart w:id="241" w:name="_Toc213334368"/>
      <w:bookmarkStart w:id="242" w:name="_Toc213771162"/>
      <w:bookmarkStart w:id="243" w:name="_Toc213942920"/>
      <w:bookmarkStart w:id="244" w:name="_Toc213944700"/>
      <w:bookmarkStart w:id="245" w:name="_Toc213334369"/>
      <w:bookmarkStart w:id="246" w:name="_Toc213771163"/>
      <w:bookmarkStart w:id="247" w:name="_Toc213942921"/>
      <w:bookmarkStart w:id="248" w:name="_Toc213944701"/>
      <w:bookmarkStart w:id="249" w:name="_Toc213334370"/>
      <w:bookmarkStart w:id="250" w:name="_Toc213771164"/>
      <w:bookmarkStart w:id="251" w:name="_Toc213942922"/>
      <w:bookmarkStart w:id="252" w:name="_Toc213944702"/>
      <w:bookmarkStart w:id="253" w:name="_Toc213334399"/>
      <w:bookmarkStart w:id="254" w:name="_Toc213771193"/>
      <w:bookmarkStart w:id="255" w:name="_Toc213942951"/>
      <w:bookmarkStart w:id="256" w:name="_Toc213944731"/>
      <w:bookmarkStart w:id="257" w:name="_Toc213334466"/>
      <w:bookmarkStart w:id="258" w:name="_Toc213771260"/>
      <w:bookmarkStart w:id="259" w:name="_Toc213943018"/>
      <w:bookmarkStart w:id="260" w:name="_Toc213944798"/>
      <w:bookmarkStart w:id="261" w:name="_Toc213334467"/>
      <w:bookmarkStart w:id="262" w:name="_Toc213771261"/>
      <w:bookmarkStart w:id="263" w:name="_Toc213943019"/>
      <w:bookmarkStart w:id="264" w:name="_Toc213944799"/>
      <w:bookmarkStart w:id="265" w:name="_Toc213334468"/>
      <w:bookmarkStart w:id="266" w:name="_Toc213771262"/>
      <w:bookmarkStart w:id="267" w:name="_Toc213943020"/>
      <w:bookmarkStart w:id="268" w:name="_Toc213944800"/>
      <w:bookmarkStart w:id="269" w:name="_Toc213334469"/>
      <w:bookmarkStart w:id="270" w:name="_Toc213771263"/>
      <w:bookmarkStart w:id="271" w:name="_Toc213943021"/>
      <w:bookmarkStart w:id="272" w:name="_Toc213944801"/>
      <w:bookmarkStart w:id="273" w:name="_Toc213334485"/>
      <w:bookmarkStart w:id="274" w:name="_Toc213771279"/>
      <w:bookmarkStart w:id="275" w:name="_Toc213943037"/>
      <w:bookmarkStart w:id="276" w:name="_Toc213944817"/>
      <w:bookmarkStart w:id="277" w:name="_Toc213334486"/>
      <w:bookmarkStart w:id="278" w:name="_Toc213771280"/>
      <w:bookmarkStart w:id="279" w:name="_Toc213943038"/>
      <w:bookmarkStart w:id="280" w:name="_Toc213944818"/>
      <w:bookmarkStart w:id="281" w:name="_Toc213334487"/>
      <w:bookmarkStart w:id="282" w:name="_Toc213771281"/>
      <w:bookmarkStart w:id="283" w:name="_Toc213943039"/>
      <w:bookmarkStart w:id="284" w:name="_Toc213944819"/>
      <w:bookmarkStart w:id="285" w:name="_Toc213334494"/>
      <w:bookmarkStart w:id="286" w:name="_Toc213771288"/>
      <w:bookmarkStart w:id="287" w:name="_Toc213943046"/>
      <w:bookmarkStart w:id="288" w:name="_Toc213944826"/>
      <w:bookmarkStart w:id="289" w:name="_Toc213334495"/>
      <w:bookmarkStart w:id="290" w:name="_Toc213771289"/>
      <w:bookmarkStart w:id="291" w:name="_Toc213943047"/>
      <w:bookmarkStart w:id="292" w:name="_Toc213944827"/>
      <w:bookmarkStart w:id="293" w:name="_Toc213334496"/>
      <w:bookmarkStart w:id="294" w:name="_Toc213771290"/>
      <w:bookmarkStart w:id="295" w:name="_Toc213943048"/>
      <w:bookmarkStart w:id="296" w:name="_Toc213944828"/>
      <w:bookmarkStart w:id="297" w:name="_Toc213334497"/>
      <w:bookmarkStart w:id="298" w:name="_Toc213771291"/>
      <w:bookmarkStart w:id="299" w:name="_Toc213943049"/>
      <w:bookmarkStart w:id="300" w:name="_Toc213944829"/>
      <w:bookmarkStart w:id="301" w:name="_Toc213334498"/>
      <w:bookmarkStart w:id="302" w:name="_Toc213771292"/>
      <w:bookmarkStart w:id="303" w:name="_Toc213943050"/>
      <w:bookmarkStart w:id="304" w:name="_Toc213944830"/>
      <w:bookmarkStart w:id="305" w:name="_Toc213334499"/>
      <w:bookmarkStart w:id="306" w:name="_Toc213771293"/>
      <w:bookmarkStart w:id="307" w:name="_Toc213943051"/>
      <w:bookmarkStart w:id="308" w:name="_Toc213944831"/>
      <w:bookmarkStart w:id="309" w:name="_Toc214025471"/>
      <w:bookmarkStart w:id="310" w:name="_Toc21669555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t>Formulated products - Coumatetralyl</w:t>
      </w:r>
      <w:bookmarkEnd w:id="309"/>
      <w:bookmarkEnd w:id="310"/>
    </w:p>
    <w:p w14:paraId="33DB6433" w14:textId="7890373C" w:rsidR="00621C4D" w:rsidRDefault="00F37651" w:rsidP="00B124E3">
      <w:pPr>
        <w:pStyle w:val="NormalText"/>
      </w:pPr>
      <w:r w:rsidRPr="00E078CC">
        <w:t xml:space="preserve">A summary of the current </w:t>
      </w:r>
      <w:r>
        <w:t>registered chemical products</w:t>
      </w:r>
      <w:r w:rsidRPr="00E078CC">
        <w:t xml:space="preserve"> </w:t>
      </w:r>
      <w:r>
        <w:t>containing coumatetralyl</w:t>
      </w:r>
      <w:r w:rsidRPr="009A1704">
        <w:t xml:space="preserve"> </w:t>
      </w:r>
      <w:r w:rsidRPr="00E078CC">
        <w:t xml:space="preserve">and recommendations based on review of the information entered in the APVMA’s </w:t>
      </w:r>
      <w:r>
        <w:t xml:space="preserve">Register </w:t>
      </w:r>
      <w:r w:rsidRPr="00E078CC">
        <w:t xml:space="preserve">is provided </w:t>
      </w:r>
      <w:r>
        <w:t xml:space="preserve">in </w:t>
      </w:r>
      <w:r>
        <w:fldChar w:fldCharType="begin"/>
      </w:r>
      <w:r>
        <w:instrText xml:space="preserve"> REF _Ref213082872 \h </w:instrText>
      </w:r>
      <w:r>
        <w:fldChar w:fldCharType="separate"/>
      </w:r>
      <w:r w:rsidR="003861AC">
        <w:t xml:space="preserve">Table </w:t>
      </w:r>
      <w:r w:rsidR="003861AC">
        <w:rPr>
          <w:noProof/>
        </w:rPr>
        <w:t>40</w:t>
      </w:r>
      <w:r>
        <w:fldChar w:fldCharType="end"/>
      </w:r>
      <w:r>
        <w:t xml:space="preserve">. </w:t>
      </w:r>
      <w:r w:rsidR="00B124E3">
        <w:t>The registered products are ready</w:t>
      </w:r>
      <w:r w:rsidR="005F4C05">
        <w:t>-</w:t>
      </w:r>
      <w:r w:rsidR="00B124E3">
        <w:t>to</w:t>
      </w:r>
      <w:r w:rsidR="005F4C05">
        <w:t>-</w:t>
      </w:r>
      <w:r w:rsidR="00B124E3">
        <w:t>use bait formulations containing 0.37, 0.38 or 0.4 g/kg coumatetralyl, or bait concentrates containing 7.5 or 8 g/kg coumatetralyl.</w:t>
      </w:r>
    </w:p>
    <w:p w14:paraId="570CC53F" w14:textId="3219C052" w:rsidR="00F37651" w:rsidRDefault="00F37651" w:rsidP="00F37651">
      <w:pPr>
        <w:pStyle w:val="NormalText"/>
      </w:pPr>
      <w:r>
        <w:lastRenderedPageBreak/>
        <w:t xml:space="preserve">It is noted that the human health and environment risk assessments recommend that inclusion of a distinctive dye and bittering agent in the formulated bait is necessary to mitigate risks to people and non-target animals (see sections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t xml:space="preserve"> and </w:t>
      </w:r>
      <w:r w:rsidRPr="002629BC">
        <w:rPr>
          <w:b/>
          <w:bCs/>
        </w:rPr>
        <w:fldChar w:fldCharType="begin"/>
      </w:r>
      <w:r w:rsidRPr="002629BC">
        <w:rPr>
          <w:b/>
          <w:bCs/>
        </w:rPr>
        <w:instrText xml:space="preserve"> REF _Ref214837015 \w \h </w:instrText>
      </w:r>
      <w:r>
        <w:rPr>
          <w:b/>
          <w:bCs/>
        </w:rPr>
        <w:instrText xml:space="preserve"> \* MERGEFORMAT </w:instrText>
      </w:r>
      <w:r w:rsidRPr="002629BC">
        <w:rPr>
          <w:b/>
          <w:bCs/>
        </w:rPr>
      </w:r>
      <w:r w:rsidRPr="002629BC">
        <w:rPr>
          <w:b/>
          <w:bCs/>
        </w:rPr>
        <w:fldChar w:fldCharType="separate"/>
      </w:r>
      <w:r w:rsidR="003861AC">
        <w:rPr>
          <w:b/>
          <w:bCs/>
        </w:rPr>
        <w:t>4.9.4</w:t>
      </w:r>
      <w:r w:rsidRPr="002629BC">
        <w:rPr>
          <w:b/>
          <w:bCs/>
        </w:rPr>
        <w:fldChar w:fldCharType="end"/>
      </w:r>
      <w:r w:rsidRPr="002629BC">
        <w:rPr>
          <w:b/>
          <w:bCs/>
        </w:rPr>
        <w:t xml:space="preserve"> Formulation recommendations</w:t>
      </w:r>
      <w:r>
        <w:t xml:space="preserve"> below). It is also noted that the environment risk assessments recommend that the risks posed to non-target animal by use of products formulated as bait concentrates (powders and liquids) cannot be adequately mitigated (see section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rPr>
          <w:b/>
          <w:bCs/>
        </w:rPr>
        <w:t>)</w:t>
      </w:r>
      <w:r>
        <w:t>.</w:t>
      </w:r>
    </w:p>
    <w:p w14:paraId="0667E2D3" w14:textId="2EBEB81C" w:rsidR="009475E9" w:rsidRPr="009475E9" w:rsidRDefault="00B124E3" w:rsidP="007A2863">
      <w:pPr>
        <w:pStyle w:val="Caption"/>
      </w:pPr>
      <w:bookmarkStart w:id="311" w:name="_Ref213082872"/>
      <w:bookmarkStart w:id="312" w:name="_Toc213946016"/>
      <w:bookmarkStart w:id="313" w:name="_Toc216695702"/>
      <w:r>
        <w:t xml:space="preserve">Table </w:t>
      </w:r>
      <w:r>
        <w:fldChar w:fldCharType="begin"/>
      </w:r>
      <w:r>
        <w:instrText xml:space="preserve"> SEQ Table \* ARABIC </w:instrText>
      </w:r>
      <w:r>
        <w:fldChar w:fldCharType="separate"/>
      </w:r>
      <w:r w:rsidR="003861AC">
        <w:rPr>
          <w:noProof/>
        </w:rPr>
        <w:t>40</w:t>
      </w:r>
      <w:r>
        <w:rPr>
          <w:noProof/>
        </w:rPr>
        <w:fldChar w:fldCharType="end"/>
      </w:r>
      <w:bookmarkEnd w:id="311"/>
      <w:r w:rsidR="009475E9">
        <w:rPr>
          <w:noProof/>
        </w:rPr>
        <w:t>:</w:t>
      </w:r>
      <w:r>
        <w:t xml:space="preserve"> Current registered products containing coumatetralyl</w:t>
      </w:r>
      <w:bookmarkEnd w:id="312"/>
      <w:bookmarkEnd w:id="313"/>
    </w:p>
    <w:tbl>
      <w:tblPr>
        <w:tblStyle w:val="TableGrid"/>
        <w:tblW w:w="4989" w:type="pct"/>
        <w:tblBorders>
          <w:left w:val="none" w:sz="0" w:space="0" w:color="auto"/>
          <w:right w:val="none" w:sz="0" w:space="0" w:color="auto"/>
          <w:insideV w:val="none" w:sz="0" w:space="0" w:color="auto"/>
        </w:tblBorders>
        <w:tblLook w:val="04A0" w:firstRow="1" w:lastRow="0" w:firstColumn="1" w:lastColumn="0" w:noHBand="0" w:noVBand="1"/>
      </w:tblPr>
      <w:tblGrid>
        <w:gridCol w:w="1496"/>
        <w:gridCol w:w="1784"/>
        <w:gridCol w:w="1540"/>
        <w:gridCol w:w="2108"/>
        <w:gridCol w:w="2689"/>
      </w:tblGrid>
      <w:tr w:rsidR="007A2863" w:rsidRPr="00990A23" w14:paraId="7C27AB20" w14:textId="77777777" w:rsidTr="0017134F">
        <w:trPr>
          <w:trHeight w:val="288"/>
        </w:trPr>
        <w:tc>
          <w:tcPr>
            <w:tcW w:w="1496" w:type="dxa"/>
            <w:shd w:val="clear" w:color="auto" w:fill="53284F"/>
            <w:noWrap/>
          </w:tcPr>
          <w:p w14:paraId="65521709" w14:textId="373311EB" w:rsidR="007A2863" w:rsidRPr="00990A23" w:rsidRDefault="007A2863" w:rsidP="00377F3A">
            <w:pPr>
              <w:pStyle w:val="TableHead"/>
            </w:pPr>
            <w:r w:rsidRPr="00DB5938">
              <w:t>Product number</w:t>
            </w:r>
          </w:p>
        </w:tc>
        <w:tc>
          <w:tcPr>
            <w:tcW w:w="1784" w:type="dxa"/>
            <w:shd w:val="clear" w:color="auto" w:fill="53284F"/>
            <w:noWrap/>
          </w:tcPr>
          <w:p w14:paraId="194AAC62" w14:textId="3D4340AF" w:rsidR="007A2863" w:rsidRPr="00990A23" w:rsidRDefault="007A2863" w:rsidP="00377F3A">
            <w:pPr>
              <w:pStyle w:val="TableHead"/>
            </w:pPr>
            <w:r w:rsidRPr="00DB5938">
              <w:t>Product name</w:t>
            </w:r>
          </w:p>
        </w:tc>
        <w:tc>
          <w:tcPr>
            <w:tcW w:w="1540" w:type="dxa"/>
            <w:shd w:val="clear" w:color="auto" w:fill="53284F"/>
          </w:tcPr>
          <w:p w14:paraId="60C3E598" w14:textId="58154B05" w:rsidR="007A2863" w:rsidRDefault="007A2863" w:rsidP="00377F3A">
            <w:pPr>
              <w:pStyle w:val="TableHead"/>
            </w:pPr>
            <w:r w:rsidRPr="00DB5938">
              <w:t>Active content</w:t>
            </w:r>
          </w:p>
        </w:tc>
        <w:tc>
          <w:tcPr>
            <w:tcW w:w="2108" w:type="dxa"/>
            <w:shd w:val="clear" w:color="auto" w:fill="53284F"/>
          </w:tcPr>
          <w:p w14:paraId="5BF5E83E" w14:textId="0C344A5D" w:rsidR="007A2863" w:rsidRDefault="007A2863" w:rsidP="00377F3A">
            <w:pPr>
              <w:pStyle w:val="TableHead"/>
            </w:pPr>
            <w:r w:rsidRPr="00DB5938">
              <w:t>Holder</w:t>
            </w:r>
          </w:p>
        </w:tc>
        <w:tc>
          <w:tcPr>
            <w:tcW w:w="2689" w:type="dxa"/>
            <w:shd w:val="clear" w:color="auto" w:fill="53284F"/>
          </w:tcPr>
          <w:p w14:paraId="564BE8AF" w14:textId="43EBE9AA" w:rsidR="007A2863" w:rsidRDefault="007A2863" w:rsidP="00377F3A">
            <w:pPr>
              <w:pStyle w:val="TableHead"/>
            </w:pPr>
            <w:r w:rsidRPr="00DB5938">
              <w:t>Recommendation</w:t>
            </w:r>
          </w:p>
        </w:tc>
      </w:tr>
      <w:tr w:rsidR="009475E9" w:rsidRPr="00990A23" w14:paraId="21485CA5" w14:textId="77777777" w:rsidTr="00F37651">
        <w:trPr>
          <w:trHeight w:val="288"/>
        </w:trPr>
        <w:tc>
          <w:tcPr>
            <w:tcW w:w="1496" w:type="dxa"/>
            <w:noWrap/>
            <w:hideMark/>
          </w:tcPr>
          <w:p w14:paraId="18DCE762" w14:textId="77777777" w:rsidR="009475E9" w:rsidRPr="00377F3A" w:rsidRDefault="009475E9" w:rsidP="00377F3A">
            <w:pPr>
              <w:pStyle w:val="TableText"/>
            </w:pPr>
            <w:r w:rsidRPr="00377F3A">
              <w:rPr>
                <w:rFonts w:asciiTheme="minorHAnsi" w:hAnsiTheme="minorHAnsi"/>
              </w:rPr>
              <w:t>42040</w:t>
            </w:r>
          </w:p>
        </w:tc>
        <w:tc>
          <w:tcPr>
            <w:tcW w:w="1784" w:type="dxa"/>
            <w:noWrap/>
            <w:hideMark/>
          </w:tcPr>
          <w:p w14:paraId="6DA55EB5" w14:textId="0DB4F712" w:rsidR="009475E9" w:rsidRPr="00377F3A" w:rsidRDefault="00776EFF" w:rsidP="00377F3A">
            <w:pPr>
              <w:pStyle w:val="TableText"/>
            </w:pPr>
            <w:r w:rsidRPr="00A01ABB">
              <w:t>Readi Rac Rat &amp; Mouse Killer</w:t>
            </w:r>
          </w:p>
        </w:tc>
        <w:tc>
          <w:tcPr>
            <w:tcW w:w="1540" w:type="dxa"/>
          </w:tcPr>
          <w:p w14:paraId="7C2F4A39" w14:textId="0D1B981C" w:rsidR="009475E9" w:rsidRPr="00377F3A" w:rsidRDefault="009475E9" w:rsidP="00377F3A">
            <w:pPr>
              <w:pStyle w:val="TableText"/>
            </w:pPr>
            <w:r w:rsidRPr="00377F3A">
              <w:t>0.4 g/kg</w:t>
            </w:r>
            <w:r w:rsidR="007A2863" w:rsidRPr="00776EFF">
              <w:t xml:space="preserve"> coumatetralyl</w:t>
            </w:r>
          </w:p>
        </w:tc>
        <w:tc>
          <w:tcPr>
            <w:tcW w:w="2108" w:type="dxa"/>
          </w:tcPr>
          <w:p w14:paraId="16516102" w14:textId="6E07892D" w:rsidR="009475E9" w:rsidRPr="00377F3A" w:rsidRDefault="00776EFF" w:rsidP="00377F3A">
            <w:pPr>
              <w:pStyle w:val="TableText"/>
            </w:pPr>
            <w:r w:rsidRPr="00A01ABB">
              <w:t>David Gray &amp; Co. Pty Limited</w:t>
            </w:r>
          </w:p>
        </w:tc>
        <w:tc>
          <w:tcPr>
            <w:tcW w:w="2689" w:type="dxa"/>
          </w:tcPr>
          <w:p w14:paraId="3D3F724E" w14:textId="4C6FF958" w:rsidR="009475E9" w:rsidRPr="00377F3A" w:rsidRDefault="009475E9" w:rsidP="00377F3A">
            <w:pPr>
              <w:pStyle w:val="TableText"/>
            </w:pPr>
            <w:r w:rsidRPr="00776EFF">
              <w:t>Cancel – does not contain bittering agent</w:t>
            </w:r>
          </w:p>
        </w:tc>
      </w:tr>
      <w:tr w:rsidR="009475E9" w:rsidRPr="00990A23" w14:paraId="1A4DCDB1" w14:textId="77777777" w:rsidTr="00F37651">
        <w:trPr>
          <w:trHeight w:val="288"/>
        </w:trPr>
        <w:tc>
          <w:tcPr>
            <w:tcW w:w="1496" w:type="dxa"/>
            <w:noWrap/>
            <w:hideMark/>
          </w:tcPr>
          <w:p w14:paraId="7016DAB0" w14:textId="77777777" w:rsidR="009475E9" w:rsidRPr="00377F3A" w:rsidRDefault="009475E9" w:rsidP="00377F3A">
            <w:pPr>
              <w:pStyle w:val="TableText"/>
            </w:pPr>
            <w:r w:rsidRPr="00377F3A">
              <w:rPr>
                <w:rFonts w:asciiTheme="minorHAnsi" w:hAnsiTheme="minorHAnsi"/>
              </w:rPr>
              <w:t>49256</w:t>
            </w:r>
          </w:p>
        </w:tc>
        <w:tc>
          <w:tcPr>
            <w:tcW w:w="1784" w:type="dxa"/>
            <w:noWrap/>
            <w:hideMark/>
          </w:tcPr>
          <w:p w14:paraId="37D08D58" w14:textId="4737A313" w:rsidR="009475E9" w:rsidRPr="00377F3A" w:rsidRDefault="00776EFF" w:rsidP="00377F3A">
            <w:pPr>
              <w:pStyle w:val="TableText"/>
            </w:pPr>
            <w:r w:rsidRPr="00A01ABB">
              <w:t xml:space="preserve">Ratex Mouse </w:t>
            </w:r>
            <w:r>
              <w:t>a</w:t>
            </w:r>
            <w:r w:rsidRPr="00A01ABB">
              <w:t>nd Rat Bait</w:t>
            </w:r>
          </w:p>
        </w:tc>
        <w:tc>
          <w:tcPr>
            <w:tcW w:w="1540" w:type="dxa"/>
          </w:tcPr>
          <w:p w14:paraId="56CB491A" w14:textId="7BDE41C6" w:rsidR="009475E9" w:rsidRPr="00377F3A" w:rsidRDefault="009475E9" w:rsidP="00377F3A">
            <w:pPr>
              <w:pStyle w:val="TableText"/>
            </w:pPr>
            <w:r w:rsidRPr="00377F3A">
              <w:t>0.38 g/kg</w:t>
            </w:r>
            <w:r w:rsidR="007A2863" w:rsidRPr="00776EFF">
              <w:t xml:space="preserve"> coumatetralyl</w:t>
            </w:r>
          </w:p>
        </w:tc>
        <w:tc>
          <w:tcPr>
            <w:tcW w:w="2108" w:type="dxa"/>
          </w:tcPr>
          <w:p w14:paraId="585AEE06" w14:textId="05CBE103" w:rsidR="009475E9" w:rsidRPr="00377F3A" w:rsidRDefault="00776EFF" w:rsidP="00377F3A">
            <w:pPr>
              <w:pStyle w:val="TableText"/>
            </w:pPr>
            <w:r w:rsidRPr="00A01ABB">
              <w:t>Parafarm Pty Ltd</w:t>
            </w:r>
          </w:p>
        </w:tc>
        <w:tc>
          <w:tcPr>
            <w:tcW w:w="2689" w:type="dxa"/>
          </w:tcPr>
          <w:p w14:paraId="4FC04602" w14:textId="7EBD95F5" w:rsidR="009475E9" w:rsidRPr="00377F3A" w:rsidRDefault="009475E9" w:rsidP="00377F3A">
            <w:pPr>
              <w:pStyle w:val="TableText"/>
            </w:pPr>
            <w:r w:rsidRPr="00776EFF">
              <w:t>Cancel – does not contain bittering agent</w:t>
            </w:r>
          </w:p>
        </w:tc>
      </w:tr>
      <w:tr w:rsidR="009475E9" w:rsidRPr="00990A23" w14:paraId="534596EB" w14:textId="77777777" w:rsidTr="00F37651">
        <w:trPr>
          <w:trHeight w:val="288"/>
        </w:trPr>
        <w:tc>
          <w:tcPr>
            <w:tcW w:w="1496" w:type="dxa"/>
            <w:noWrap/>
            <w:hideMark/>
          </w:tcPr>
          <w:p w14:paraId="35D8C6C9" w14:textId="77777777" w:rsidR="009475E9" w:rsidRPr="00776EFF" w:rsidRDefault="009475E9" w:rsidP="00377F3A">
            <w:pPr>
              <w:pStyle w:val="TableText"/>
            </w:pPr>
            <w:r w:rsidRPr="00377F3A">
              <w:rPr>
                <w:rFonts w:asciiTheme="minorHAnsi" w:hAnsiTheme="minorHAnsi"/>
              </w:rPr>
              <w:t>51508</w:t>
            </w:r>
          </w:p>
        </w:tc>
        <w:tc>
          <w:tcPr>
            <w:tcW w:w="1784" w:type="dxa"/>
            <w:noWrap/>
            <w:hideMark/>
          </w:tcPr>
          <w:p w14:paraId="584ECB6F" w14:textId="416B0AA0" w:rsidR="009475E9" w:rsidRPr="00776EFF" w:rsidRDefault="00776EFF" w:rsidP="00377F3A">
            <w:pPr>
              <w:pStyle w:val="TableText"/>
            </w:pPr>
            <w:r w:rsidRPr="00A01ABB">
              <w:t xml:space="preserve">Racumin Rat </w:t>
            </w:r>
            <w:r>
              <w:t>a</w:t>
            </w:r>
            <w:r w:rsidRPr="00A01ABB">
              <w:t>nd Mouse Paste</w:t>
            </w:r>
          </w:p>
        </w:tc>
        <w:tc>
          <w:tcPr>
            <w:tcW w:w="1540" w:type="dxa"/>
          </w:tcPr>
          <w:p w14:paraId="61DF46ED" w14:textId="02279656" w:rsidR="009475E9" w:rsidRPr="00776EFF" w:rsidRDefault="009475E9" w:rsidP="00377F3A">
            <w:pPr>
              <w:pStyle w:val="TableText"/>
            </w:pPr>
            <w:r w:rsidRPr="00776EFF">
              <w:t>0.37 g/kg</w:t>
            </w:r>
            <w:r w:rsidR="007A2863" w:rsidRPr="00776EFF">
              <w:t xml:space="preserve"> coumatetralyl</w:t>
            </w:r>
          </w:p>
        </w:tc>
        <w:tc>
          <w:tcPr>
            <w:tcW w:w="2108" w:type="dxa"/>
          </w:tcPr>
          <w:p w14:paraId="0F2B1286" w14:textId="53C6A2F5" w:rsidR="009475E9" w:rsidRPr="00776EFF" w:rsidRDefault="00776EFF" w:rsidP="00377F3A">
            <w:pPr>
              <w:pStyle w:val="TableText"/>
            </w:pPr>
            <w:r w:rsidRPr="00A01ABB">
              <w:t>2022 Environmental Science Au Pty Ltd</w:t>
            </w:r>
          </w:p>
        </w:tc>
        <w:tc>
          <w:tcPr>
            <w:tcW w:w="2689" w:type="dxa"/>
          </w:tcPr>
          <w:p w14:paraId="4DB0D7A0" w14:textId="6DFEBD3E" w:rsidR="009475E9" w:rsidRPr="00776EFF" w:rsidRDefault="009475E9" w:rsidP="00377F3A">
            <w:pPr>
              <w:pStyle w:val="TableText"/>
            </w:pPr>
            <w:r w:rsidRPr="00776EFF">
              <w:t>Vary formulation type to RB –ready</w:t>
            </w:r>
            <w:r w:rsidR="005F4C05">
              <w:t>-</w:t>
            </w:r>
            <w:r w:rsidRPr="00776EFF">
              <w:t>to</w:t>
            </w:r>
            <w:r w:rsidR="005F4C05">
              <w:t>-</w:t>
            </w:r>
            <w:r w:rsidRPr="00776EFF">
              <w:t>use bait</w:t>
            </w:r>
          </w:p>
        </w:tc>
      </w:tr>
      <w:tr w:rsidR="009475E9" w:rsidRPr="00990A23" w14:paraId="1588DD1B" w14:textId="77777777" w:rsidTr="00F37651">
        <w:trPr>
          <w:trHeight w:val="288"/>
        </w:trPr>
        <w:tc>
          <w:tcPr>
            <w:tcW w:w="1496" w:type="dxa"/>
            <w:noWrap/>
          </w:tcPr>
          <w:p w14:paraId="2FBB9B33" w14:textId="77777777" w:rsidR="009475E9" w:rsidRPr="00776EFF" w:rsidRDefault="009475E9" w:rsidP="00377F3A">
            <w:pPr>
              <w:pStyle w:val="TableText"/>
            </w:pPr>
            <w:r w:rsidRPr="00377F3A">
              <w:rPr>
                <w:rFonts w:asciiTheme="minorHAnsi" w:hAnsiTheme="minorHAnsi"/>
              </w:rPr>
              <w:t>52098</w:t>
            </w:r>
          </w:p>
        </w:tc>
        <w:tc>
          <w:tcPr>
            <w:tcW w:w="1784" w:type="dxa"/>
            <w:noWrap/>
          </w:tcPr>
          <w:p w14:paraId="4B3DC799" w14:textId="46A489BF" w:rsidR="009475E9" w:rsidRPr="00776EFF" w:rsidRDefault="00776EFF" w:rsidP="00377F3A">
            <w:pPr>
              <w:pStyle w:val="TableText"/>
            </w:pPr>
            <w:r w:rsidRPr="00A01ABB">
              <w:t>Racumin Rat And Mouse Blocks</w:t>
            </w:r>
          </w:p>
        </w:tc>
        <w:tc>
          <w:tcPr>
            <w:tcW w:w="1540" w:type="dxa"/>
          </w:tcPr>
          <w:p w14:paraId="1C1F0AC8" w14:textId="6B625E91" w:rsidR="009475E9" w:rsidRPr="00776EFF" w:rsidRDefault="009475E9" w:rsidP="00377F3A">
            <w:pPr>
              <w:pStyle w:val="TableText"/>
            </w:pPr>
            <w:r w:rsidRPr="00776EFF">
              <w:t>0.37 g/kg</w:t>
            </w:r>
            <w:r w:rsidR="007A2863" w:rsidRPr="00776EFF">
              <w:t xml:space="preserve"> coumatetralyl</w:t>
            </w:r>
          </w:p>
        </w:tc>
        <w:tc>
          <w:tcPr>
            <w:tcW w:w="2108" w:type="dxa"/>
          </w:tcPr>
          <w:p w14:paraId="76595F1D" w14:textId="25F4C5EA" w:rsidR="009475E9" w:rsidRPr="00776EFF" w:rsidRDefault="00776EFF" w:rsidP="00377F3A">
            <w:pPr>
              <w:pStyle w:val="TableText"/>
            </w:pPr>
            <w:r w:rsidRPr="00A01ABB">
              <w:t>2022 Environmental Science Au Pty Ltd</w:t>
            </w:r>
          </w:p>
        </w:tc>
        <w:tc>
          <w:tcPr>
            <w:tcW w:w="2689" w:type="dxa"/>
          </w:tcPr>
          <w:p w14:paraId="33CFE825" w14:textId="51C76AB4" w:rsidR="009475E9" w:rsidRDefault="009475E9" w:rsidP="00BA7F4F">
            <w:pPr>
              <w:pStyle w:val="TableText"/>
            </w:pPr>
            <w:r w:rsidRPr="00776EFF">
              <w:t xml:space="preserve">Vary formulation type to RB – </w:t>
            </w:r>
            <w:r w:rsidR="005F4C05">
              <w:t>ready-to-use bait</w:t>
            </w:r>
          </w:p>
          <w:p w14:paraId="6DED5818" w14:textId="6D7AD528" w:rsidR="0098768A" w:rsidRPr="00776EFF" w:rsidRDefault="0098768A" w:rsidP="00377F3A">
            <w:pPr>
              <w:pStyle w:val="TableText"/>
            </w:pPr>
            <w:r w:rsidRPr="00D56BAE">
              <w:t xml:space="preserve">Vary formulation: remove formulation that does not contain </w:t>
            </w:r>
            <w:r>
              <w:t xml:space="preserve">a </w:t>
            </w:r>
            <w:r w:rsidRPr="00D56BAE">
              <w:t>bittering agent</w:t>
            </w:r>
          </w:p>
        </w:tc>
      </w:tr>
      <w:tr w:rsidR="009475E9" w:rsidRPr="00990A23" w14:paraId="6D4DCFEF" w14:textId="77777777" w:rsidTr="00F37651">
        <w:trPr>
          <w:trHeight w:val="288"/>
        </w:trPr>
        <w:tc>
          <w:tcPr>
            <w:tcW w:w="1496" w:type="dxa"/>
            <w:noWrap/>
          </w:tcPr>
          <w:p w14:paraId="3E97146C" w14:textId="77777777" w:rsidR="009475E9" w:rsidRPr="00776EFF" w:rsidRDefault="009475E9" w:rsidP="00377F3A">
            <w:pPr>
              <w:pStyle w:val="TableText"/>
            </w:pPr>
            <w:r w:rsidRPr="00377F3A">
              <w:rPr>
                <w:rFonts w:asciiTheme="minorHAnsi" w:hAnsiTheme="minorHAnsi"/>
              </w:rPr>
              <w:t>52182</w:t>
            </w:r>
          </w:p>
        </w:tc>
        <w:tc>
          <w:tcPr>
            <w:tcW w:w="1784" w:type="dxa"/>
            <w:noWrap/>
          </w:tcPr>
          <w:p w14:paraId="44F7553E" w14:textId="09B8EF14" w:rsidR="009475E9" w:rsidRPr="00776EFF" w:rsidRDefault="00776EFF" w:rsidP="00377F3A">
            <w:pPr>
              <w:pStyle w:val="TableText"/>
            </w:pPr>
            <w:r w:rsidRPr="00A01ABB">
              <w:t>Racumin 8 Rat and Mouse Rodenticide</w:t>
            </w:r>
          </w:p>
        </w:tc>
        <w:tc>
          <w:tcPr>
            <w:tcW w:w="1540" w:type="dxa"/>
          </w:tcPr>
          <w:p w14:paraId="5F8DF57A" w14:textId="560C606C" w:rsidR="009475E9" w:rsidRPr="00776EFF" w:rsidRDefault="009475E9" w:rsidP="00377F3A">
            <w:pPr>
              <w:pStyle w:val="TableText"/>
            </w:pPr>
            <w:r w:rsidRPr="00776EFF">
              <w:t>8 g/kg</w:t>
            </w:r>
            <w:r w:rsidR="007A2863" w:rsidRPr="00776EFF">
              <w:t xml:space="preserve"> coumatetralyl</w:t>
            </w:r>
          </w:p>
        </w:tc>
        <w:tc>
          <w:tcPr>
            <w:tcW w:w="2108" w:type="dxa"/>
          </w:tcPr>
          <w:p w14:paraId="4C3C45AE" w14:textId="11A1372B" w:rsidR="009475E9" w:rsidRPr="00776EFF" w:rsidRDefault="00776EFF" w:rsidP="00377F3A">
            <w:pPr>
              <w:pStyle w:val="TableText"/>
            </w:pPr>
            <w:r w:rsidRPr="00A01ABB">
              <w:t>2022 Environmental Science Au Pty Ltd</w:t>
            </w:r>
          </w:p>
        </w:tc>
        <w:tc>
          <w:tcPr>
            <w:tcW w:w="2689" w:type="dxa"/>
          </w:tcPr>
          <w:p w14:paraId="640F2DDF" w14:textId="025787F1" w:rsidR="009475E9" w:rsidRPr="00776EFF" w:rsidRDefault="009475E9" w:rsidP="00377F3A">
            <w:pPr>
              <w:pStyle w:val="TableText"/>
            </w:pPr>
            <w:r w:rsidRPr="00776EFF">
              <w:t>Cancel – does not contain bittering agent and powder (bait concentrate)</w:t>
            </w:r>
            <w:r w:rsidR="00A83702">
              <w:t xml:space="preserve"> formulation not supported</w:t>
            </w:r>
          </w:p>
        </w:tc>
      </w:tr>
      <w:tr w:rsidR="009475E9" w:rsidRPr="00990A23" w14:paraId="675A53BF" w14:textId="77777777" w:rsidTr="00F37651">
        <w:trPr>
          <w:trHeight w:val="288"/>
        </w:trPr>
        <w:tc>
          <w:tcPr>
            <w:tcW w:w="1496" w:type="dxa"/>
            <w:noWrap/>
          </w:tcPr>
          <w:p w14:paraId="5D2EFD95" w14:textId="77777777" w:rsidR="009475E9" w:rsidRPr="00776EFF" w:rsidRDefault="009475E9" w:rsidP="00377F3A">
            <w:pPr>
              <w:pStyle w:val="TableText"/>
            </w:pPr>
            <w:r w:rsidRPr="00377F3A">
              <w:rPr>
                <w:rFonts w:asciiTheme="minorHAnsi" w:hAnsiTheme="minorHAnsi"/>
              </w:rPr>
              <w:t>59284</w:t>
            </w:r>
          </w:p>
        </w:tc>
        <w:tc>
          <w:tcPr>
            <w:tcW w:w="1784" w:type="dxa"/>
            <w:noWrap/>
          </w:tcPr>
          <w:p w14:paraId="6EC31D69" w14:textId="11D2D55F" w:rsidR="009475E9" w:rsidRPr="00776EFF" w:rsidRDefault="00776EFF" w:rsidP="00377F3A">
            <w:pPr>
              <w:pStyle w:val="TableText"/>
            </w:pPr>
            <w:r w:rsidRPr="00A01ABB">
              <w:t>Bayer Racumin Rat &amp; Mouse Killer</w:t>
            </w:r>
          </w:p>
        </w:tc>
        <w:tc>
          <w:tcPr>
            <w:tcW w:w="1540" w:type="dxa"/>
          </w:tcPr>
          <w:p w14:paraId="4E4C2EA5" w14:textId="6A329867" w:rsidR="009475E9" w:rsidRPr="00776EFF" w:rsidRDefault="009475E9" w:rsidP="00377F3A">
            <w:pPr>
              <w:pStyle w:val="TableText"/>
            </w:pPr>
            <w:r w:rsidRPr="00776EFF">
              <w:t>0.37 g/kg</w:t>
            </w:r>
            <w:r w:rsidR="007A2863" w:rsidRPr="00776EFF">
              <w:t xml:space="preserve"> coumatetralyl</w:t>
            </w:r>
          </w:p>
        </w:tc>
        <w:tc>
          <w:tcPr>
            <w:tcW w:w="2108" w:type="dxa"/>
          </w:tcPr>
          <w:p w14:paraId="13FA7207" w14:textId="3010E0FA" w:rsidR="009475E9" w:rsidRPr="00776EFF" w:rsidRDefault="00776EFF" w:rsidP="00377F3A">
            <w:pPr>
              <w:pStyle w:val="TableText"/>
            </w:pPr>
            <w:r w:rsidRPr="00A01ABB">
              <w:t>Bayer Cropscience Pty Ltd</w:t>
            </w:r>
          </w:p>
        </w:tc>
        <w:tc>
          <w:tcPr>
            <w:tcW w:w="2689" w:type="dxa"/>
          </w:tcPr>
          <w:p w14:paraId="5BA64030" w14:textId="676F5C15" w:rsidR="009475E9" w:rsidRPr="00776EFF" w:rsidRDefault="009475E9" w:rsidP="00377F3A">
            <w:pPr>
              <w:pStyle w:val="TableText"/>
            </w:pPr>
            <w:r w:rsidRPr="00776EFF">
              <w:t xml:space="preserve">Vary formulation type to RB – </w:t>
            </w:r>
            <w:r w:rsidR="005F4C05">
              <w:t>ready-to-use bait</w:t>
            </w:r>
          </w:p>
        </w:tc>
      </w:tr>
      <w:tr w:rsidR="009475E9" w:rsidRPr="00990A23" w14:paraId="31C5A3DD" w14:textId="77777777" w:rsidTr="00F37651">
        <w:trPr>
          <w:trHeight w:val="288"/>
        </w:trPr>
        <w:tc>
          <w:tcPr>
            <w:tcW w:w="1496" w:type="dxa"/>
            <w:noWrap/>
          </w:tcPr>
          <w:p w14:paraId="0F4BAF24" w14:textId="77777777" w:rsidR="009475E9" w:rsidRPr="00377F3A" w:rsidRDefault="009475E9" w:rsidP="00377F3A">
            <w:pPr>
              <w:pStyle w:val="TableText"/>
            </w:pPr>
            <w:r w:rsidRPr="00377F3A">
              <w:rPr>
                <w:rFonts w:asciiTheme="minorHAnsi" w:hAnsiTheme="minorHAnsi"/>
              </w:rPr>
              <w:t>82217</w:t>
            </w:r>
          </w:p>
        </w:tc>
        <w:tc>
          <w:tcPr>
            <w:tcW w:w="1784" w:type="dxa"/>
            <w:noWrap/>
          </w:tcPr>
          <w:p w14:paraId="658AA901" w14:textId="06C68E7D" w:rsidR="009475E9" w:rsidRPr="00377F3A" w:rsidRDefault="00776EFF" w:rsidP="00377F3A">
            <w:pPr>
              <w:pStyle w:val="TableText"/>
            </w:pPr>
            <w:r w:rsidRPr="00A01ABB">
              <w:t>Surefire Couma All Weather Blocks Rodenticide</w:t>
            </w:r>
          </w:p>
        </w:tc>
        <w:tc>
          <w:tcPr>
            <w:tcW w:w="1540" w:type="dxa"/>
          </w:tcPr>
          <w:p w14:paraId="13827CA8" w14:textId="344B4789" w:rsidR="009475E9" w:rsidRPr="00377F3A" w:rsidRDefault="009475E9" w:rsidP="00377F3A">
            <w:pPr>
              <w:pStyle w:val="TableText"/>
            </w:pPr>
            <w:r w:rsidRPr="00377F3A">
              <w:t>0.37 g/kg</w:t>
            </w:r>
            <w:r w:rsidR="007A2863" w:rsidRPr="00776EFF">
              <w:t xml:space="preserve"> coumatetralyl</w:t>
            </w:r>
          </w:p>
        </w:tc>
        <w:tc>
          <w:tcPr>
            <w:tcW w:w="2108" w:type="dxa"/>
          </w:tcPr>
          <w:p w14:paraId="1F39DDE5" w14:textId="4523E96C" w:rsidR="009475E9" w:rsidRPr="00377F3A" w:rsidRDefault="00776EFF" w:rsidP="00377F3A">
            <w:pPr>
              <w:pStyle w:val="TableText"/>
            </w:pPr>
            <w:r w:rsidRPr="00A01ABB">
              <w:t>P</w:t>
            </w:r>
            <w:r>
              <w:t>CT</w:t>
            </w:r>
            <w:r w:rsidRPr="00A01ABB">
              <w:t xml:space="preserve"> Holdings Pty Ltd</w:t>
            </w:r>
          </w:p>
        </w:tc>
        <w:tc>
          <w:tcPr>
            <w:tcW w:w="2689" w:type="dxa"/>
          </w:tcPr>
          <w:p w14:paraId="0FF50516" w14:textId="7AEBCF8E" w:rsidR="009475E9" w:rsidRPr="00377F3A" w:rsidRDefault="009475E9" w:rsidP="00377F3A">
            <w:pPr>
              <w:pStyle w:val="TableText"/>
            </w:pPr>
            <w:r w:rsidRPr="00776EFF">
              <w:t xml:space="preserve">Vary formulation type to RB – </w:t>
            </w:r>
            <w:r w:rsidR="005F4C05">
              <w:t>ready-to-use bait</w:t>
            </w:r>
          </w:p>
        </w:tc>
      </w:tr>
      <w:tr w:rsidR="009475E9" w:rsidRPr="00990A23" w14:paraId="55332218" w14:textId="77777777" w:rsidTr="00F37651">
        <w:trPr>
          <w:trHeight w:val="288"/>
        </w:trPr>
        <w:tc>
          <w:tcPr>
            <w:tcW w:w="1496" w:type="dxa"/>
            <w:noWrap/>
          </w:tcPr>
          <w:p w14:paraId="062C1AAC" w14:textId="77777777" w:rsidR="009475E9" w:rsidRPr="00776EFF" w:rsidRDefault="009475E9" w:rsidP="00377F3A">
            <w:pPr>
              <w:pStyle w:val="TableText"/>
            </w:pPr>
            <w:r w:rsidRPr="00377F3A">
              <w:rPr>
                <w:rFonts w:asciiTheme="minorHAnsi" w:hAnsiTheme="minorHAnsi"/>
              </w:rPr>
              <w:t>86417</w:t>
            </w:r>
          </w:p>
        </w:tc>
        <w:tc>
          <w:tcPr>
            <w:tcW w:w="1784" w:type="dxa"/>
            <w:noWrap/>
          </w:tcPr>
          <w:p w14:paraId="6507F39A" w14:textId="799DF629" w:rsidR="009475E9" w:rsidRPr="00776EFF" w:rsidRDefault="00776EFF" w:rsidP="00377F3A">
            <w:pPr>
              <w:pStyle w:val="TableText"/>
            </w:pPr>
            <w:r w:rsidRPr="00A01ABB">
              <w:t>Racumin Tp Rat And Mouse Rodenticide</w:t>
            </w:r>
          </w:p>
        </w:tc>
        <w:tc>
          <w:tcPr>
            <w:tcW w:w="1540" w:type="dxa"/>
          </w:tcPr>
          <w:p w14:paraId="7D1940D8" w14:textId="5D381704" w:rsidR="009475E9" w:rsidRPr="00776EFF" w:rsidRDefault="009475E9" w:rsidP="00377F3A">
            <w:pPr>
              <w:pStyle w:val="TableText"/>
            </w:pPr>
            <w:r w:rsidRPr="00776EFF">
              <w:t>7.5 g/kg</w:t>
            </w:r>
            <w:r w:rsidR="007A2863" w:rsidRPr="00776EFF">
              <w:t xml:space="preserve"> coumatetralyl</w:t>
            </w:r>
          </w:p>
        </w:tc>
        <w:tc>
          <w:tcPr>
            <w:tcW w:w="2108" w:type="dxa"/>
          </w:tcPr>
          <w:p w14:paraId="15B24790" w14:textId="567BEABC" w:rsidR="009475E9" w:rsidRPr="00776EFF" w:rsidRDefault="00776EFF" w:rsidP="00377F3A">
            <w:pPr>
              <w:pStyle w:val="TableText"/>
            </w:pPr>
            <w:r w:rsidRPr="00A01ABB">
              <w:t>2022 Environmental Science Au Pty Ltd</w:t>
            </w:r>
          </w:p>
        </w:tc>
        <w:tc>
          <w:tcPr>
            <w:tcW w:w="2689" w:type="dxa"/>
          </w:tcPr>
          <w:p w14:paraId="4CD99FDF" w14:textId="4616923A" w:rsidR="009475E9" w:rsidRPr="00776EFF" w:rsidRDefault="009475E9" w:rsidP="00377F3A">
            <w:pPr>
              <w:pStyle w:val="TableText"/>
            </w:pPr>
            <w:r w:rsidRPr="00776EFF">
              <w:t>Cancel – does not contain bittering agent and powder (bait concentrate)</w:t>
            </w:r>
            <w:r w:rsidR="00A83702">
              <w:t xml:space="preserve"> formulation not supported</w:t>
            </w:r>
          </w:p>
        </w:tc>
      </w:tr>
    </w:tbl>
    <w:p w14:paraId="79E52245" w14:textId="141A4DD8" w:rsidR="00F37651" w:rsidRDefault="00F37651" w:rsidP="00F37651">
      <w:pPr>
        <w:pStyle w:val="NormalText"/>
      </w:pPr>
      <w:r>
        <w:t xml:space="preserve">The current registrations for coumatetralyl chemical products listed in </w:t>
      </w:r>
      <w:r>
        <w:fldChar w:fldCharType="begin"/>
      </w:r>
      <w:r>
        <w:instrText xml:space="preserve"> REF _Ref213082872 \h </w:instrText>
      </w:r>
      <w:r>
        <w:fldChar w:fldCharType="separate"/>
      </w:r>
      <w:r w:rsidR="003861AC">
        <w:t xml:space="preserve">Table </w:t>
      </w:r>
      <w:r w:rsidR="003861AC">
        <w:rPr>
          <w:noProof/>
        </w:rPr>
        <w:t>40</w:t>
      </w:r>
      <w:r>
        <w:fldChar w:fldCharType="end"/>
      </w:r>
      <w:r>
        <w:t>:</w:t>
      </w:r>
    </w:p>
    <w:p w14:paraId="6660A9B3" w14:textId="0AB6FE5D" w:rsidR="00F37651" w:rsidRDefault="00F37651" w:rsidP="00F37651">
      <w:pPr>
        <w:pStyle w:val="Bullet1"/>
      </w:pPr>
      <w:r>
        <w:t xml:space="preserve">Are </w:t>
      </w:r>
      <w:r w:rsidRPr="002629BC">
        <w:rPr>
          <w:b/>
          <w:bCs/>
        </w:rPr>
        <w:t>not supported</w:t>
      </w:r>
      <w:r>
        <w:t xml:space="preserve"> if the formulation in the APVMA Register does not contain the requisite bittering agent and/or dye as constituents or if the chemical product is formulated as a powder bait concentrate.</w:t>
      </w:r>
    </w:p>
    <w:p w14:paraId="255B22F4" w14:textId="498748F7" w:rsidR="00F37651" w:rsidRDefault="00F37651" w:rsidP="00F37651">
      <w:pPr>
        <w:pStyle w:val="Bullet1"/>
      </w:pPr>
      <w:r>
        <w:t>Are supported in this chemistry and manufacture risk assessment in all other instances, subject to:</w:t>
      </w:r>
    </w:p>
    <w:p w14:paraId="3458A5D6" w14:textId="77777777" w:rsidR="00F37651" w:rsidRDefault="00F37651" w:rsidP="00286653">
      <w:pPr>
        <w:pStyle w:val="Bullet2"/>
      </w:pPr>
      <w:r w:rsidRPr="00F37651">
        <w:t>Updates to the formulation types recorded in the APVMA Register to reflect the contemporary designation of ‘ready-to-use bait (RB)’, in place of the more common currently used ‘bait (BA)’</w:t>
      </w:r>
    </w:p>
    <w:p w14:paraId="070D4FB9" w14:textId="7B5FFC5F" w:rsidR="00F37651" w:rsidRDefault="00F37651" w:rsidP="00286653">
      <w:pPr>
        <w:pStyle w:val="Bullet2"/>
      </w:pPr>
      <w:r>
        <w:lastRenderedPageBreak/>
        <w:t xml:space="preserve">Variation of the formulation details </w:t>
      </w:r>
      <w:r w:rsidRPr="00F37651">
        <w:t xml:space="preserve">recorded in the APVMA Register </w:t>
      </w:r>
      <w:r>
        <w:t>for the relevant chemical product</w:t>
      </w:r>
      <w:r w:rsidR="001D274B">
        <w:t xml:space="preserve"> in order</w:t>
      </w:r>
      <w:r>
        <w:t xml:space="preserve"> to remove the formulation that does not contain a bittering agent.</w:t>
      </w:r>
    </w:p>
    <w:p w14:paraId="6D24032F" w14:textId="77777777" w:rsidR="00B124E3" w:rsidRDefault="00B124E3" w:rsidP="00377F3A">
      <w:pPr>
        <w:pStyle w:val="Heading3"/>
      </w:pPr>
      <w:bookmarkStart w:id="314" w:name="_Toc215150628"/>
      <w:bookmarkStart w:id="315" w:name="_Toc215150629"/>
      <w:bookmarkStart w:id="316" w:name="_Toc215150630"/>
      <w:bookmarkStart w:id="317" w:name="_Toc215150631"/>
      <w:bookmarkStart w:id="318" w:name="_Toc213334501"/>
      <w:bookmarkStart w:id="319" w:name="_Toc213771295"/>
      <w:bookmarkStart w:id="320" w:name="_Toc213943053"/>
      <w:bookmarkStart w:id="321" w:name="_Toc213944833"/>
      <w:bookmarkStart w:id="322" w:name="_Toc213334502"/>
      <w:bookmarkStart w:id="323" w:name="_Toc213771296"/>
      <w:bookmarkStart w:id="324" w:name="_Toc213943054"/>
      <w:bookmarkStart w:id="325" w:name="_Toc213944834"/>
      <w:bookmarkStart w:id="326" w:name="_Toc213334503"/>
      <w:bookmarkStart w:id="327" w:name="_Toc213771297"/>
      <w:bookmarkStart w:id="328" w:name="_Toc213943055"/>
      <w:bookmarkStart w:id="329" w:name="_Toc213944835"/>
      <w:bookmarkStart w:id="330" w:name="_Toc213334532"/>
      <w:bookmarkStart w:id="331" w:name="_Toc213771326"/>
      <w:bookmarkStart w:id="332" w:name="_Toc213943084"/>
      <w:bookmarkStart w:id="333" w:name="_Toc213944864"/>
      <w:bookmarkStart w:id="334" w:name="_Toc213334533"/>
      <w:bookmarkStart w:id="335" w:name="_Toc213771327"/>
      <w:bookmarkStart w:id="336" w:name="_Toc213943085"/>
      <w:bookmarkStart w:id="337" w:name="_Toc213944865"/>
      <w:bookmarkStart w:id="338" w:name="_Toc213334566"/>
      <w:bookmarkStart w:id="339" w:name="_Toc213771360"/>
      <w:bookmarkStart w:id="340" w:name="_Toc213943118"/>
      <w:bookmarkStart w:id="341" w:name="_Toc213944898"/>
      <w:bookmarkStart w:id="342" w:name="_Toc213334567"/>
      <w:bookmarkStart w:id="343" w:name="_Toc213771361"/>
      <w:bookmarkStart w:id="344" w:name="_Toc213943119"/>
      <w:bookmarkStart w:id="345" w:name="_Toc213944899"/>
      <w:bookmarkStart w:id="346" w:name="_Toc213334568"/>
      <w:bookmarkStart w:id="347" w:name="_Toc213771362"/>
      <w:bookmarkStart w:id="348" w:name="_Toc213943120"/>
      <w:bookmarkStart w:id="349" w:name="_Toc213944900"/>
      <w:bookmarkStart w:id="350" w:name="_Toc213334587"/>
      <w:bookmarkStart w:id="351" w:name="_Toc213771381"/>
      <w:bookmarkStart w:id="352" w:name="_Toc213943139"/>
      <w:bookmarkStart w:id="353" w:name="_Toc213944919"/>
      <w:bookmarkStart w:id="354" w:name="_Toc213334588"/>
      <w:bookmarkStart w:id="355" w:name="_Toc213771382"/>
      <w:bookmarkStart w:id="356" w:name="_Toc213943140"/>
      <w:bookmarkStart w:id="357" w:name="_Toc213944920"/>
      <w:bookmarkStart w:id="358" w:name="_Toc213334589"/>
      <w:bookmarkStart w:id="359" w:name="_Toc213771383"/>
      <w:bookmarkStart w:id="360" w:name="_Toc213943141"/>
      <w:bookmarkStart w:id="361" w:name="_Toc213944921"/>
      <w:bookmarkStart w:id="362" w:name="_Toc213334596"/>
      <w:bookmarkStart w:id="363" w:name="_Toc213771390"/>
      <w:bookmarkStart w:id="364" w:name="_Toc213943148"/>
      <w:bookmarkStart w:id="365" w:name="_Toc213944928"/>
      <w:bookmarkStart w:id="366" w:name="_Toc213334597"/>
      <w:bookmarkStart w:id="367" w:name="_Toc213771391"/>
      <w:bookmarkStart w:id="368" w:name="_Toc213943149"/>
      <w:bookmarkStart w:id="369" w:name="_Toc213944929"/>
      <w:bookmarkStart w:id="370" w:name="_Toc213334598"/>
      <w:bookmarkStart w:id="371" w:name="_Toc213771392"/>
      <w:bookmarkStart w:id="372" w:name="_Toc213943150"/>
      <w:bookmarkStart w:id="373" w:name="_Toc213944930"/>
      <w:bookmarkStart w:id="374" w:name="_Toc213334599"/>
      <w:bookmarkStart w:id="375" w:name="_Toc213771393"/>
      <w:bookmarkStart w:id="376" w:name="_Toc213943151"/>
      <w:bookmarkStart w:id="377" w:name="_Toc213944931"/>
      <w:bookmarkStart w:id="378" w:name="_Toc213334600"/>
      <w:bookmarkStart w:id="379" w:name="_Toc213771394"/>
      <w:bookmarkStart w:id="380" w:name="_Toc213943152"/>
      <w:bookmarkStart w:id="381" w:name="_Toc213944932"/>
      <w:bookmarkStart w:id="382" w:name="_Toc213334601"/>
      <w:bookmarkStart w:id="383" w:name="_Toc213771395"/>
      <w:bookmarkStart w:id="384" w:name="_Toc213943153"/>
      <w:bookmarkStart w:id="385" w:name="_Toc213944933"/>
      <w:bookmarkStart w:id="386" w:name="_Toc213334602"/>
      <w:bookmarkStart w:id="387" w:name="_Toc213771396"/>
      <w:bookmarkStart w:id="388" w:name="_Toc213943154"/>
      <w:bookmarkStart w:id="389" w:name="_Toc213944934"/>
      <w:bookmarkStart w:id="390" w:name="_Toc213334626"/>
      <w:bookmarkStart w:id="391" w:name="_Toc213771420"/>
      <w:bookmarkStart w:id="392" w:name="_Toc213943178"/>
      <w:bookmarkStart w:id="393" w:name="_Toc213944958"/>
      <w:bookmarkStart w:id="394" w:name="_Toc213334627"/>
      <w:bookmarkStart w:id="395" w:name="_Toc213771421"/>
      <w:bookmarkStart w:id="396" w:name="_Toc213943179"/>
      <w:bookmarkStart w:id="397" w:name="_Toc213944959"/>
      <w:bookmarkStart w:id="398" w:name="_Toc213334628"/>
      <w:bookmarkStart w:id="399" w:name="_Toc213771422"/>
      <w:bookmarkStart w:id="400" w:name="_Toc213943180"/>
      <w:bookmarkStart w:id="401" w:name="_Toc213944960"/>
      <w:bookmarkStart w:id="402" w:name="_Toc213334629"/>
      <w:bookmarkStart w:id="403" w:name="_Toc213771423"/>
      <w:bookmarkStart w:id="404" w:name="_Toc213943181"/>
      <w:bookmarkStart w:id="405" w:name="_Toc213944961"/>
      <w:bookmarkStart w:id="406" w:name="_Toc213334630"/>
      <w:bookmarkStart w:id="407" w:name="_Toc213771424"/>
      <w:bookmarkStart w:id="408" w:name="_Toc213943182"/>
      <w:bookmarkStart w:id="409" w:name="_Toc213944962"/>
      <w:bookmarkStart w:id="410" w:name="_Toc213334631"/>
      <w:bookmarkStart w:id="411" w:name="_Toc213771425"/>
      <w:bookmarkStart w:id="412" w:name="_Toc213943183"/>
      <w:bookmarkStart w:id="413" w:name="_Toc213944963"/>
      <w:bookmarkStart w:id="414" w:name="_Toc214025472"/>
      <w:bookmarkStart w:id="415" w:name="_Toc21669555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t>Formulated products - Difenacoum</w:t>
      </w:r>
      <w:bookmarkEnd w:id="414"/>
      <w:bookmarkEnd w:id="415"/>
    </w:p>
    <w:p w14:paraId="33B5C5CB" w14:textId="23341EC3" w:rsidR="00CA614A" w:rsidRDefault="00996CF3" w:rsidP="00B124E3">
      <w:pPr>
        <w:pStyle w:val="NormalText"/>
      </w:pPr>
      <w:r w:rsidRPr="00E078CC">
        <w:t xml:space="preserve">A summary of the current </w:t>
      </w:r>
      <w:r>
        <w:t>registered chemical products</w:t>
      </w:r>
      <w:r w:rsidRPr="00E078CC">
        <w:t xml:space="preserve"> </w:t>
      </w:r>
      <w:r>
        <w:t>containing difenacoum</w:t>
      </w:r>
      <w:r w:rsidRPr="009A1704">
        <w:t xml:space="preserve"> </w:t>
      </w:r>
      <w:r w:rsidRPr="00E078CC">
        <w:t xml:space="preserve">and recommendations based on review of the information entered in the APVMA’s </w:t>
      </w:r>
      <w:r>
        <w:t xml:space="preserve">Register </w:t>
      </w:r>
      <w:r w:rsidRPr="00E078CC">
        <w:t xml:space="preserve">is provided </w:t>
      </w:r>
      <w:r>
        <w:t xml:space="preserve">in </w:t>
      </w:r>
      <w:r>
        <w:fldChar w:fldCharType="begin"/>
      </w:r>
      <w:r>
        <w:instrText xml:space="preserve"> REF _Ref213095774 \h </w:instrText>
      </w:r>
      <w:r>
        <w:fldChar w:fldCharType="separate"/>
      </w:r>
      <w:r w:rsidR="003861AC">
        <w:t xml:space="preserve">Table </w:t>
      </w:r>
      <w:r w:rsidR="003861AC">
        <w:rPr>
          <w:noProof/>
        </w:rPr>
        <w:t>41</w:t>
      </w:r>
      <w:r>
        <w:fldChar w:fldCharType="end"/>
      </w:r>
      <w:r>
        <w:t xml:space="preserve">. </w:t>
      </w:r>
      <w:r w:rsidR="00B124E3">
        <w:t>The registered products are ready</w:t>
      </w:r>
      <w:r w:rsidR="005F4C05">
        <w:t>-</w:t>
      </w:r>
      <w:r w:rsidR="00B124E3">
        <w:t>to</w:t>
      </w:r>
      <w:r w:rsidR="005F4C05">
        <w:t>-</w:t>
      </w:r>
      <w:r w:rsidR="00B124E3">
        <w:t>use bait formulations containing either 0.025 or 0.05 g/kg of difenacoum, or 0.025 g/kg difenacoum plus 0.025 g/kg bromadiolone.</w:t>
      </w:r>
    </w:p>
    <w:p w14:paraId="33A27363" w14:textId="279FD718" w:rsidR="00996CF3" w:rsidRDefault="00996CF3" w:rsidP="00B124E3">
      <w:pPr>
        <w:pStyle w:val="NormalText"/>
      </w:pPr>
      <w:r>
        <w:t xml:space="preserve">It is noted that the human health and environment risk assessments recommend that inclusion of a distinctive dye and bittering agent in the formulated bait is necessary to mitigate risks to people and non-target animals (see sections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t xml:space="preserve"> and </w:t>
      </w:r>
      <w:r w:rsidRPr="002629BC">
        <w:rPr>
          <w:b/>
          <w:bCs/>
        </w:rPr>
        <w:fldChar w:fldCharType="begin"/>
      </w:r>
      <w:r w:rsidRPr="002629BC">
        <w:rPr>
          <w:b/>
          <w:bCs/>
        </w:rPr>
        <w:instrText xml:space="preserve"> REF _Ref214837015 \w \h </w:instrText>
      </w:r>
      <w:r>
        <w:rPr>
          <w:b/>
          <w:bCs/>
        </w:rPr>
        <w:instrText xml:space="preserve"> \* MERGEFORMAT </w:instrText>
      </w:r>
      <w:r w:rsidRPr="002629BC">
        <w:rPr>
          <w:b/>
          <w:bCs/>
        </w:rPr>
      </w:r>
      <w:r w:rsidRPr="002629BC">
        <w:rPr>
          <w:b/>
          <w:bCs/>
        </w:rPr>
        <w:fldChar w:fldCharType="separate"/>
      </w:r>
      <w:r w:rsidR="003861AC">
        <w:rPr>
          <w:b/>
          <w:bCs/>
        </w:rPr>
        <w:t>4.9.4</w:t>
      </w:r>
      <w:r w:rsidRPr="002629BC">
        <w:rPr>
          <w:b/>
          <w:bCs/>
        </w:rPr>
        <w:fldChar w:fldCharType="end"/>
      </w:r>
      <w:r w:rsidRPr="002629BC">
        <w:rPr>
          <w:b/>
          <w:bCs/>
        </w:rPr>
        <w:t xml:space="preserve"> Formulation recommendations</w:t>
      </w:r>
      <w:r>
        <w:t xml:space="preserve"> below).</w:t>
      </w:r>
      <w:r w:rsidRPr="00996CF3">
        <w:t xml:space="preserve"> Conditional registration is recommended if minor potential inconsistencies have been identified in the APVMA Register with respect to the concentration and/or purity of the active constituent used in a chemical product formulation, requiring confirmation of the manufacturing source(s) of active constituent used and the formulation details of the chemical product, in addition to the provision of adequate supporting information.</w:t>
      </w:r>
    </w:p>
    <w:p w14:paraId="6CB5EF9C" w14:textId="5406D917" w:rsidR="00B124E3" w:rsidRDefault="00B124E3" w:rsidP="00B124E3">
      <w:pPr>
        <w:pStyle w:val="Caption"/>
      </w:pPr>
      <w:bookmarkStart w:id="416" w:name="_Ref213095774"/>
      <w:bookmarkStart w:id="417" w:name="_Toc213946017"/>
      <w:bookmarkStart w:id="418" w:name="_Toc216695703"/>
      <w:r>
        <w:t xml:space="preserve">Table </w:t>
      </w:r>
      <w:r>
        <w:fldChar w:fldCharType="begin"/>
      </w:r>
      <w:r>
        <w:instrText xml:space="preserve"> SEQ Table \* ARABIC </w:instrText>
      </w:r>
      <w:r>
        <w:fldChar w:fldCharType="separate"/>
      </w:r>
      <w:r w:rsidR="003861AC">
        <w:rPr>
          <w:noProof/>
        </w:rPr>
        <w:t>41</w:t>
      </w:r>
      <w:r>
        <w:rPr>
          <w:noProof/>
        </w:rPr>
        <w:fldChar w:fldCharType="end"/>
      </w:r>
      <w:bookmarkEnd w:id="416"/>
      <w:r w:rsidR="00276AC2">
        <w:rPr>
          <w:noProof/>
        </w:rPr>
        <w:t>:</w:t>
      </w:r>
      <w:r>
        <w:t xml:space="preserve"> Current registered products containing difenacoum</w:t>
      </w:r>
      <w:bookmarkEnd w:id="417"/>
      <w:bookmarkEnd w:id="41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98"/>
        <w:gridCol w:w="1875"/>
        <w:gridCol w:w="1355"/>
        <w:gridCol w:w="2078"/>
        <w:gridCol w:w="2832"/>
      </w:tblGrid>
      <w:tr w:rsidR="0013519E" w:rsidRPr="00990A23" w14:paraId="3313CFF4" w14:textId="77777777" w:rsidTr="0017134F">
        <w:trPr>
          <w:trHeight w:val="288"/>
        </w:trPr>
        <w:tc>
          <w:tcPr>
            <w:tcW w:w="1498" w:type="dxa"/>
            <w:shd w:val="clear" w:color="auto" w:fill="53284F"/>
            <w:noWrap/>
          </w:tcPr>
          <w:p w14:paraId="1AB62C9C" w14:textId="2E0F332B" w:rsidR="0013519E" w:rsidRPr="00F63763" w:rsidRDefault="0013519E" w:rsidP="00BA7F4F">
            <w:pPr>
              <w:pStyle w:val="TableHead"/>
            </w:pPr>
            <w:r w:rsidRPr="00F63763">
              <w:t>Product number</w:t>
            </w:r>
          </w:p>
        </w:tc>
        <w:tc>
          <w:tcPr>
            <w:tcW w:w="1875" w:type="dxa"/>
            <w:shd w:val="clear" w:color="auto" w:fill="53284F"/>
            <w:noWrap/>
          </w:tcPr>
          <w:p w14:paraId="59DA16BD" w14:textId="182AC0DB" w:rsidR="0013519E" w:rsidRPr="00F63763" w:rsidRDefault="0013519E" w:rsidP="00BA7F4F">
            <w:pPr>
              <w:pStyle w:val="TableHead"/>
            </w:pPr>
            <w:r w:rsidRPr="00F63763">
              <w:t>Product name</w:t>
            </w:r>
          </w:p>
        </w:tc>
        <w:tc>
          <w:tcPr>
            <w:tcW w:w="1355" w:type="dxa"/>
            <w:shd w:val="clear" w:color="auto" w:fill="53284F"/>
          </w:tcPr>
          <w:p w14:paraId="1EA74819" w14:textId="3B3548EE" w:rsidR="0013519E" w:rsidRPr="00F63763" w:rsidRDefault="0013519E" w:rsidP="00BA7F4F">
            <w:pPr>
              <w:pStyle w:val="TableHead"/>
            </w:pPr>
            <w:r w:rsidRPr="00F63763">
              <w:t>Active content</w:t>
            </w:r>
          </w:p>
        </w:tc>
        <w:tc>
          <w:tcPr>
            <w:tcW w:w="2078" w:type="dxa"/>
            <w:shd w:val="clear" w:color="auto" w:fill="53284F"/>
          </w:tcPr>
          <w:p w14:paraId="38608375" w14:textId="208174D9" w:rsidR="0013519E" w:rsidRPr="00F63763" w:rsidRDefault="0013519E" w:rsidP="00BA7F4F">
            <w:pPr>
              <w:pStyle w:val="TableHead"/>
            </w:pPr>
            <w:r w:rsidRPr="00F63763">
              <w:t>Holder</w:t>
            </w:r>
          </w:p>
        </w:tc>
        <w:tc>
          <w:tcPr>
            <w:tcW w:w="2832" w:type="dxa"/>
            <w:shd w:val="clear" w:color="auto" w:fill="53284F"/>
          </w:tcPr>
          <w:p w14:paraId="1285AF17" w14:textId="063BB538" w:rsidR="0013519E" w:rsidRPr="00F63763" w:rsidRDefault="0013519E" w:rsidP="00BA7F4F">
            <w:pPr>
              <w:pStyle w:val="TableHead"/>
            </w:pPr>
            <w:r w:rsidRPr="00F63763">
              <w:t>Recommendation</w:t>
            </w:r>
          </w:p>
        </w:tc>
      </w:tr>
      <w:tr w:rsidR="0013519E" w:rsidRPr="00990A23" w14:paraId="3D4F0073" w14:textId="77777777" w:rsidTr="00996CF3">
        <w:trPr>
          <w:trHeight w:val="288"/>
        </w:trPr>
        <w:tc>
          <w:tcPr>
            <w:tcW w:w="1498" w:type="dxa"/>
            <w:noWrap/>
            <w:hideMark/>
          </w:tcPr>
          <w:p w14:paraId="1A1D898D" w14:textId="77777777" w:rsidR="0013519E" w:rsidRPr="00A01ABB" w:rsidRDefault="0013519E" w:rsidP="00BA7F4F">
            <w:pPr>
              <w:pStyle w:val="TableText"/>
            </w:pPr>
            <w:r w:rsidRPr="00A01ABB">
              <w:t>65339</w:t>
            </w:r>
          </w:p>
        </w:tc>
        <w:tc>
          <w:tcPr>
            <w:tcW w:w="1875" w:type="dxa"/>
            <w:noWrap/>
            <w:hideMark/>
          </w:tcPr>
          <w:p w14:paraId="7A32ABC1" w14:textId="1629E857" w:rsidR="0013519E" w:rsidRPr="00A01ABB" w:rsidRDefault="00A01ABB" w:rsidP="00BA7F4F">
            <w:pPr>
              <w:pStyle w:val="TableText"/>
            </w:pPr>
            <w:r w:rsidRPr="00A01ABB">
              <w:t>Roban Rodenticide Blocks</w:t>
            </w:r>
          </w:p>
        </w:tc>
        <w:tc>
          <w:tcPr>
            <w:tcW w:w="1355" w:type="dxa"/>
          </w:tcPr>
          <w:p w14:paraId="04F3FA89" w14:textId="7296F8DD" w:rsidR="0013519E" w:rsidRPr="00A01ABB" w:rsidRDefault="0013519E" w:rsidP="00BA7F4F">
            <w:pPr>
              <w:pStyle w:val="TableText"/>
            </w:pPr>
            <w:r w:rsidRPr="00A01ABB">
              <w:t>0.05 g/kg difenacoum</w:t>
            </w:r>
          </w:p>
        </w:tc>
        <w:tc>
          <w:tcPr>
            <w:tcW w:w="2078" w:type="dxa"/>
          </w:tcPr>
          <w:p w14:paraId="38923DA0" w14:textId="248A3DBE" w:rsidR="0013519E" w:rsidRPr="0039473D" w:rsidRDefault="00A01ABB" w:rsidP="00BA7F4F">
            <w:pPr>
              <w:pStyle w:val="TableText"/>
              <w:rPr>
                <w:lang w:val="de-CH"/>
              </w:rPr>
            </w:pPr>
            <w:r w:rsidRPr="0039473D">
              <w:rPr>
                <w:lang w:val="de-CH"/>
              </w:rPr>
              <w:t>Pelgar International (Aus) Pty Ltd</w:t>
            </w:r>
          </w:p>
        </w:tc>
        <w:tc>
          <w:tcPr>
            <w:tcW w:w="2832" w:type="dxa"/>
          </w:tcPr>
          <w:p w14:paraId="1EDF1125" w14:textId="70160AC5" w:rsidR="0013519E" w:rsidRPr="00A01ABB" w:rsidRDefault="0013519E" w:rsidP="00BA7F4F">
            <w:pPr>
              <w:pStyle w:val="TableText"/>
            </w:pPr>
            <w:r w:rsidRPr="00A01ABB">
              <w:t xml:space="preserve">Vary formulation type to RB – </w:t>
            </w:r>
            <w:r w:rsidR="005F4C05">
              <w:t>ready-to-use bait</w:t>
            </w:r>
          </w:p>
        </w:tc>
      </w:tr>
      <w:tr w:rsidR="0013519E" w:rsidRPr="00990A23" w14:paraId="679847EB" w14:textId="77777777" w:rsidTr="00996CF3">
        <w:trPr>
          <w:trHeight w:val="288"/>
        </w:trPr>
        <w:tc>
          <w:tcPr>
            <w:tcW w:w="1498" w:type="dxa"/>
            <w:noWrap/>
            <w:hideMark/>
          </w:tcPr>
          <w:p w14:paraId="1AD11731" w14:textId="77777777" w:rsidR="0013519E" w:rsidRPr="00A01ABB" w:rsidRDefault="0013519E" w:rsidP="00BA7F4F">
            <w:pPr>
              <w:pStyle w:val="TableText"/>
            </w:pPr>
            <w:r w:rsidRPr="00A01ABB">
              <w:t>65358</w:t>
            </w:r>
          </w:p>
        </w:tc>
        <w:tc>
          <w:tcPr>
            <w:tcW w:w="1875" w:type="dxa"/>
            <w:noWrap/>
            <w:hideMark/>
          </w:tcPr>
          <w:p w14:paraId="62737D5A" w14:textId="33CC5221" w:rsidR="0013519E" w:rsidRPr="00A01ABB" w:rsidRDefault="00A01ABB" w:rsidP="00BA7F4F">
            <w:pPr>
              <w:pStyle w:val="TableText"/>
            </w:pPr>
            <w:r w:rsidRPr="00A01ABB">
              <w:t>Roban Rodenticide Paste</w:t>
            </w:r>
          </w:p>
        </w:tc>
        <w:tc>
          <w:tcPr>
            <w:tcW w:w="1355" w:type="dxa"/>
          </w:tcPr>
          <w:p w14:paraId="039CDBA3" w14:textId="2B898D63" w:rsidR="0013519E" w:rsidRPr="00A01ABB" w:rsidRDefault="0013519E" w:rsidP="00BA7F4F">
            <w:pPr>
              <w:pStyle w:val="TableText"/>
            </w:pPr>
            <w:r w:rsidRPr="00A01ABB">
              <w:t>0.05 g/kg difenacoum</w:t>
            </w:r>
          </w:p>
        </w:tc>
        <w:tc>
          <w:tcPr>
            <w:tcW w:w="2078" w:type="dxa"/>
          </w:tcPr>
          <w:p w14:paraId="5288EF5E" w14:textId="59F04CFF" w:rsidR="0013519E" w:rsidRPr="0039473D" w:rsidRDefault="00A01ABB" w:rsidP="00BA7F4F">
            <w:pPr>
              <w:pStyle w:val="TableText"/>
              <w:rPr>
                <w:lang w:val="de-CH"/>
              </w:rPr>
            </w:pPr>
            <w:r w:rsidRPr="0039473D">
              <w:rPr>
                <w:lang w:val="de-CH"/>
              </w:rPr>
              <w:t>Pelgar International (Aus) Pty Ltd</w:t>
            </w:r>
          </w:p>
        </w:tc>
        <w:tc>
          <w:tcPr>
            <w:tcW w:w="2832" w:type="dxa"/>
          </w:tcPr>
          <w:p w14:paraId="33A2ABF2" w14:textId="0ED54553" w:rsidR="0013519E" w:rsidRPr="00A01ABB" w:rsidRDefault="0013519E" w:rsidP="00BA7F4F">
            <w:pPr>
              <w:pStyle w:val="TableText"/>
            </w:pPr>
            <w:r w:rsidRPr="00A01ABB">
              <w:t xml:space="preserve">Vary formulation type to RB – </w:t>
            </w:r>
            <w:r w:rsidR="005F4C05">
              <w:t>ready-to-use bait</w:t>
            </w:r>
          </w:p>
        </w:tc>
      </w:tr>
      <w:tr w:rsidR="0013519E" w:rsidRPr="00990A23" w14:paraId="3C2A2AB3" w14:textId="77777777" w:rsidTr="00996CF3">
        <w:trPr>
          <w:trHeight w:val="288"/>
        </w:trPr>
        <w:tc>
          <w:tcPr>
            <w:tcW w:w="1498" w:type="dxa"/>
            <w:noWrap/>
            <w:hideMark/>
          </w:tcPr>
          <w:p w14:paraId="580BFBD4" w14:textId="77777777" w:rsidR="0013519E" w:rsidRPr="00A01ABB" w:rsidRDefault="0013519E" w:rsidP="00BA7F4F">
            <w:pPr>
              <w:pStyle w:val="TableText"/>
            </w:pPr>
            <w:r w:rsidRPr="00A01ABB">
              <w:t>65528</w:t>
            </w:r>
          </w:p>
        </w:tc>
        <w:tc>
          <w:tcPr>
            <w:tcW w:w="1875" w:type="dxa"/>
            <w:noWrap/>
            <w:hideMark/>
          </w:tcPr>
          <w:p w14:paraId="5EC8DEB6" w14:textId="479BED9A" w:rsidR="0013519E" w:rsidRPr="00A01ABB" w:rsidRDefault="00A01ABB" w:rsidP="00BA7F4F">
            <w:pPr>
              <w:pStyle w:val="TableText"/>
            </w:pPr>
            <w:r w:rsidRPr="00A01ABB">
              <w:t>Roban Rodenticide Pellets</w:t>
            </w:r>
          </w:p>
        </w:tc>
        <w:tc>
          <w:tcPr>
            <w:tcW w:w="1355" w:type="dxa"/>
          </w:tcPr>
          <w:p w14:paraId="5B14DF21" w14:textId="1614DB01" w:rsidR="0013519E" w:rsidRPr="00A01ABB" w:rsidRDefault="0013519E" w:rsidP="00BA7F4F">
            <w:pPr>
              <w:pStyle w:val="TableText"/>
            </w:pPr>
            <w:r w:rsidRPr="00A01ABB">
              <w:t>0.05 g/kg difenacoum</w:t>
            </w:r>
          </w:p>
        </w:tc>
        <w:tc>
          <w:tcPr>
            <w:tcW w:w="2078" w:type="dxa"/>
          </w:tcPr>
          <w:p w14:paraId="2DD04E87" w14:textId="4C26C6BB" w:rsidR="0013519E" w:rsidRPr="0039473D" w:rsidRDefault="00A01ABB" w:rsidP="00BA7F4F">
            <w:pPr>
              <w:pStyle w:val="TableText"/>
              <w:rPr>
                <w:lang w:val="de-CH"/>
              </w:rPr>
            </w:pPr>
            <w:r w:rsidRPr="0039473D">
              <w:rPr>
                <w:lang w:val="de-CH"/>
              </w:rPr>
              <w:t>Pelgar International (Aus) Pty Ltd</w:t>
            </w:r>
          </w:p>
        </w:tc>
        <w:tc>
          <w:tcPr>
            <w:tcW w:w="2832" w:type="dxa"/>
          </w:tcPr>
          <w:p w14:paraId="4AC0EE39" w14:textId="26D127AB" w:rsidR="0013519E" w:rsidRPr="00A01ABB" w:rsidRDefault="0013519E" w:rsidP="00BA7F4F">
            <w:pPr>
              <w:pStyle w:val="TableText"/>
            </w:pPr>
            <w:r w:rsidRPr="00A01ABB">
              <w:t xml:space="preserve">Vary formulation type to RB – </w:t>
            </w:r>
            <w:r w:rsidR="005F4C05">
              <w:t>ready-to-use bait</w:t>
            </w:r>
          </w:p>
        </w:tc>
      </w:tr>
      <w:tr w:rsidR="0013519E" w:rsidRPr="00990A23" w14:paraId="7B3C7340" w14:textId="77777777" w:rsidTr="00996CF3">
        <w:trPr>
          <w:trHeight w:val="288"/>
        </w:trPr>
        <w:tc>
          <w:tcPr>
            <w:tcW w:w="1498" w:type="dxa"/>
            <w:noWrap/>
            <w:hideMark/>
          </w:tcPr>
          <w:p w14:paraId="38B4F563" w14:textId="77777777" w:rsidR="0013519E" w:rsidRPr="00B8147D" w:rsidRDefault="0013519E" w:rsidP="00BA7F4F">
            <w:pPr>
              <w:pStyle w:val="TableText"/>
            </w:pPr>
            <w:r w:rsidRPr="00B8147D">
              <w:t>65672</w:t>
            </w:r>
          </w:p>
        </w:tc>
        <w:tc>
          <w:tcPr>
            <w:tcW w:w="1875" w:type="dxa"/>
            <w:noWrap/>
            <w:hideMark/>
          </w:tcPr>
          <w:p w14:paraId="1136A112" w14:textId="748D388E" w:rsidR="0013519E" w:rsidRPr="00B8147D" w:rsidRDefault="00A01ABB" w:rsidP="00BA7F4F">
            <w:pPr>
              <w:pStyle w:val="TableText"/>
            </w:pPr>
            <w:r w:rsidRPr="00A01ABB">
              <w:t>Rodemise Difenacoum Rodent Bait Blocks</w:t>
            </w:r>
          </w:p>
        </w:tc>
        <w:tc>
          <w:tcPr>
            <w:tcW w:w="1355" w:type="dxa"/>
          </w:tcPr>
          <w:p w14:paraId="77CDFBAA" w14:textId="1D3DCE80" w:rsidR="0013519E" w:rsidRPr="00B8147D" w:rsidRDefault="0013519E" w:rsidP="00BA7F4F">
            <w:pPr>
              <w:pStyle w:val="TableText"/>
            </w:pPr>
            <w:r w:rsidRPr="00B8147D">
              <w:t>0.05 g/kg</w:t>
            </w:r>
            <w:r w:rsidRPr="00A01ABB">
              <w:t xml:space="preserve"> difenacoum</w:t>
            </w:r>
          </w:p>
        </w:tc>
        <w:tc>
          <w:tcPr>
            <w:tcW w:w="2078" w:type="dxa"/>
          </w:tcPr>
          <w:p w14:paraId="50B34FC7" w14:textId="3088E1E9" w:rsidR="0013519E" w:rsidRPr="00B8147D" w:rsidRDefault="00A01ABB" w:rsidP="00BA7F4F">
            <w:pPr>
              <w:pStyle w:val="TableText"/>
            </w:pPr>
            <w:r w:rsidRPr="00A01ABB">
              <w:t>Animal Control Technologies (Australia) Pty Ltd</w:t>
            </w:r>
          </w:p>
        </w:tc>
        <w:tc>
          <w:tcPr>
            <w:tcW w:w="2832" w:type="dxa"/>
          </w:tcPr>
          <w:p w14:paraId="343C9794" w14:textId="503D6DD3" w:rsidR="0013519E" w:rsidRPr="00377F3A" w:rsidRDefault="0013519E" w:rsidP="00BA7F4F">
            <w:pPr>
              <w:pStyle w:val="TableText"/>
            </w:pPr>
            <w:r w:rsidRPr="00A01ABB">
              <w:t>Cancel – does not contain bittering agent</w:t>
            </w:r>
          </w:p>
        </w:tc>
      </w:tr>
      <w:tr w:rsidR="0013519E" w:rsidRPr="00990A23" w14:paraId="4CEF770B" w14:textId="77777777" w:rsidTr="00996CF3">
        <w:trPr>
          <w:trHeight w:val="288"/>
        </w:trPr>
        <w:tc>
          <w:tcPr>
            <w:tcW w:w="1498" w:type="dxa"/>
            <w:noWrap/>
            <w:hideMark/>
          </w:tcPr>
          <w:p w14:paraId="591E5C21" w14:textId="77777777" w:rsidR="0013519E" w:rsidRPr="00A01ABB" w:rsidRDefault="0013519E" w:rsidP="00BA7F4F">
            <w:pPr>
              <w:pStyle w:val="TableText"/>
            </w:pPr>
            <w:r w:rsidRPr="00A01ABB">
              <w:t>66399</w:t>
            </w:r>
          </w:p>
        </w:tc>
        <w:tc>
          <w:tcPr>
            <w:tcW w:w="1875" w:type="dxa"/>
            <w:noWrap/>
            <w:hideMark/>
          </w:tcPr>
          <w:p w14:paraId="7CC13DD1" w14:textId="1759BD0D" w:rsidR="0013519E" w:rsidRPr="00A01ABB" w:rsidRDefault="00A01ABB" w:rsidP="00BA7F4F">
            <w:pPr>
              <w:pStyle w:val="TableText"/>
            </w:pPr>
            <w:r w:rsidRPr="00A01ABB">
              <w:t>Roban Rodenticide Placepacks</w:t>
            </w:r>
          </w:p>
        </w:tc>
        <w:tc>
          <w:tcPr>
            <w:tcW w:w="1355" w:type="dxa"/>
          </w:tcPr>
          <w:p w14:paraId="1C6D8758" w14:textId="30782CB3" w:rsidR="0013519E" w:rsidRPr="00A01ABB" w:rsidRDefault="0013519E" w:rsidP="00BA7F4F">
            <w:pPr>
              <w:pStyle w:val="TableText"/>
            </w:pPr>
            <w:r w:rsidRPr="00A01ABB">
              <w:t>0.05 g/kg difenacoum</w:t>
            </w:r>
          </w:p>
        </w:tc>
        <w:tc>
          <w:tcPr>
            <w:tcW w:w="2078" w:type="dxa"/>
          </w:tcPr>
          <w:p w14:paraId="7DB232F8" w14:textId="1A0210EA" w:rsidR="0013519E" w:rsidRPr="0039473D" w:rsidRDefault="00A01ABB" w:rsidP="00BA7F4F">
            <w:pPr>
              <w:pStyle w:val="TableText"/>
              <w:rPr>
                <w:lang w:val="de-CH"/>
              </w:rPr>
            </w:pPr>
            <w:r w:rsidRPr="0039473D">
              <w:rPr>
                <w:lang w:val="de-CH"/>
              </w:rPr>
              <w:t>Pelgar International (Aus) Pty Ltd</w:t>
            </w:r>
          </w:p>
        </w:tc>
        <w:tc>
          <w:tcPr>
            <w:tcW w:w="2832" w:type="dxa"/>
          </w:tcPr>
          <w:p w14:paraId="30EDFDBB" w14:textId="40EB8C89" w:rsidR="0013519E" w:rsidRPr="00A01ABB" w:rsidRDefault="0013519E" w:rsidP="00BA7F4F">
            <w:pPr>
              <w:pStyle w:val="TableText"/>
            </w:pPr>
            <w:r w:rsidRPr="00A01ABB">
              <w:t xml:space="preserve">Vary formulation type to RB – </w:t>
            </w:r>
            <w:r w:rsidR="005F4C05">
              <w:t>ready-to-use bait</w:t>
            </w:r>
          </w:p>
        </w:tc>
      </w:tr>
      <w:tr w:rsidR="0013519E" w:rsidRPr="00990A23" w14:paraId="4DBA2F45" w14:textId="77777777" w:rsidTr="00996CF3">
        <w:trPr>
          <w:trHeight w:val="288"/>
        </w:trPr>
        <w:tc>
          <w:tcPr>
            <w:tcW w:w="1498" w:type="dxa"/>
            <w:noWrap/>
            <w:hideMark/>
          </w:tcPr>
          <w:p w14:paraId="19B6BD76" w14:textId="77777777" w:rsidR="0013519E" w:rsidRPr="00A01ABB" w:rsidRDefault="0013519E" w:rsidP="00BA7F4F">
            <w:pPr>
              <w:pStyle w:val="TableText"/>
            </w:pPr>
            <w:r w:rsidRPr="00A01ABB">
              <w:t>66587</w:t>
            </w:r>
          </w:p>
        </w:tc>
        <w:tc>
          <w:tcPr>
            <w:tcW w:w="1875" w:type="dxa"/>
            <w:noWrap/>
            <w:hideMark/>
          </w:tcPr>
          <w:p w14:paraId="128F10E4" w14:textId="3608FDB1" w:rsidR="0013519E" w:rsidRPr="00A01ABB" w:rsidRDefault="00A01ABB" w:rsidP="00BA7F4F">
            <w:pPr>
              <w:pStyle w:val="TableText"/>
            </w:pPr>
            <w:r w:rsidRPr="00A01ABB">
              <w:t>Cougar Rodenticide Paste Sachets</w:t>
            </w:r>
          </w:p>
        </w:tc>
        <w:tc>
          <w:tcPr>
            <w:tcW w:w="1355" w:type="dxa"/>
          </w:tcPr>
          <w:p w14:paraId="1587B713" w14:textId="35964C7C" w:rsidR="0013519E" w:rsidRPr="00A01ABB" w:rsidRDefault="0013519E" w:rsidP="00BA7F4F">
            <w:pPr>
              <w:pStyle w:val="TableText"/>
            </w:pPr>
            <w:r w:rsidRPr="00A01ABB">
              <w:t>0.05 g/kg difenacoum</w:t>
            </w:r>
          </w:p>
        </w:tc>
        <w:tc>
          <w:tcPr>
            <w:tcW w:w="2078" w:type="dxa"/>
          </w:tcPr>
          <w:p w14:paraId="7BF93E02" w14:textId="73AFAE56" w:rsidR="0013519E" w:rsidRPr="0039473D" w:rsidRDefault="00A01ABB" w:rsidP="00BA7F4F">
            <w:pPr>
              <w:pStyle w:val="TableText"/>
              <w:rPr>
                <w:lang w:val="de-CH"/>
              </w:rPr>
            </w:pPr>
            <w:r w:rsidRPr="0039473D">
              <w:rPr>
                <w:lang w:val="de-CH"/>
              </w:rPr>
              <w:t>Pelgar International (Aus) Pty Ltd</w:t>
            </w:r>
          </w:p>
        </w:tc>
        <w:tc>
          <w:tcPr>
            <w:tcW w:w="2832" w:type="dxa"/>
          </w:tcPr>
          <w:p w14:paraId="128708E1" w14:textId="277B2D33" w:rsidR="0013519E" w:rsidRPr="00A01ABB" w:rsidRDefault="0013519E" w:rsidP="00BA7F4F">
            <w:pPr>
              <w:pStyle w:val="TableText"/>
            </w:pPr>
            <w:r w:rsidRPr="00A01ABB">
              <w:t xml:space="preserve">Vary formulation type to RB – </w:t>
            </w:r>
            <w:r w:rsidR="005F4C05">
              <w:t>ready-to-use bait</w:t>
            </w:r>
          </w:p>
        </w:tc>
      </w:tr>
      <w:tr w:rsidR="0013519E" w:rsidRPr="00990A23" w14:paraId="6C76A4C9" w14:textId="77777777" w:rsidTr="00996CF3">
        <w:trPr>
          <w:trHeight w:val="288"/>
        </w:trPr>
        <w:tc>
          <w:tcPr>
            <w:tcW w:w="1498" w:type="dxa"/>
            <w:noWrap/>
            <w:hideMark/>
          </w:tcPr>
          <w:p w14:paraId="7AB43FEE" w14:textId="77777777" w:rsidR="0013519E" w:rsidRPr="00A01ABB" w:rsidRDefault="0013519E" w:rsidP="00BA7F4F">
            <w:pPr>
              <w:pStyle w:val="TableText"/>
            </w:pPr>
            <w:r w:rsidRPr="00A01ABB">
              <w:t>66588</w:t>
            </w:r>
          </w:p>
        </w:tc>
        <w:tc>
          <w:tcPr>
            <w:tcW w:w="1875" w:type="dxa"/>
            <w:noWrap/>
            <w:hideMark/>
          </w:tcPr>
          <w:p w14:paraId="700593CE" w14:textId="202D81A5" w:rsidR="0013519E" w:rsidRPr="00A01ABB" w:rsidRDefault="00A01ABB" w:rsidP="00BA7F4F">
            <w:pPr>
              <w:pStyle w:val="TableText"/>
            </w:pPr>
            <w:r w:rsidRPr="00A01ABB">
              <w:t>Cougar Rodenticide Wax Blocks</w:t>
            </w:r>
          </w:p>
        </w:tc>
        <w:tc>
          <w:tcPr>
            <w:tcW w:w="1355" w:type="dxa"/>
          </w:tcPr>
          <w:p w14:paraId="210439E7" w14:textId="10556D0E" w:rsidR="0013519E" w:rsidRPr="00A01ABB" w:rsidRDefault="0013519E" w:rsidP="00BA7F4F">
            <w:pPr>
              <w:pStyle w:val="TableText"/>
            </w:pPr>
            <w:r w:rsidRPr="00A01ABB">
              <w:t>0.05 g/kg difenacoum</w:t>
            </w:r>
          </w:p>
        </w:tc>
        <w:tc>
          <w:tcPr>
            <w:tcW w:w="2078" w:type="dxa"/>
          </w:tcPr>
          <w:p w14:paraId="03FB63D4" w14:textId="25973C6C" w:rsidR="0013519E" w:rsidRPr="0039473D" w:rsidRDefault="00A01ABB" w:rsidP="00BA7F4F">
            <w:pPr>
              <w:pStyle w:val="TableText"/>
              <w:rPr>
                <w:lang w:val="de-CH"/>
              </w:rPr>
            </w:pPr>
            <w:r w:rsidRPr="0039473D">
              <w:rPr>
                <w:lang w:val="de-CH"/>
              </w:rPr>
              <w:t>Pelgar International (Aus) Pty Ltd</w:t>
            </w:r>
          </w:p>
        </w:tc>
        <w:tc>
          <w:tcPr>
            <w:tcW w:w="2832" w:type="dxa"/>
          </w:tcPr>
          <w:p w14:paraId="3A2E1455" w14:textId="3B81D7AB" w:rsidR="0013519E" w:rsidRPr="00A01ABB" w:rsidRDefault="0013519E" w:rsidP="00BA7F4F">
            <w:pPr>
              <w:pStyle w:val="TableText"/>
            </w:pPr>
            <w:r w:rsidRPr="00A01ABB">
              <w:t xml:space="preserve">Vary formulation type to RB – </w:t>
            </w:r>
            <w:r w:rsidR="005F4C05">
              <w:t>ready-to-use bait</w:t>
            </w:r>
          </w:p>
        </w:tc>
      </w:tr>
      <w:tr w:rsidR="0013519E" w:rsidRPr="00990A23" w14:paraId="7109127C" w14:textId="77777777" w:rsidTr="00996CF3">
        <w:trPr>
          <w:trHeight w:val="288"/>
        </w:trPr>
        <w:tc>
          <w:tcPr>
            <w:tcW w:w="1498" w:type="dxa"/>
            <w:noWrap/>
            <w:hideMark/>
          </w:tcPr>
          <w:p w14:paraId="1E9CA91C" w14:textId="77777777" w:rsidR="0013519E" w:rsidRPr="00A01ABB" w:rsidRDefault="0013519E" w:rsidP="00BA7F4F">
            <w:pPr>
              <w:pStyle w:val="TableText"/>
            </w:pPr>
            <w:r w:rsidRPr="00A01ABB">
              <w:t>67484</w:t>
            </w:r>
          </w:p>
        </w:tc>
        <w:tc>
          <w:tcPr>
            <w:tcW w:w="1875" w:type="dxa"/>
            <w:noWrap/>
            <w:hideMark/>
          </w:tcPr>
          <w:p w14:paraId="7B1054D6" w14:textId="2383FDE5" w:rsidR="0013519E" w:rsidRPr="00A01ABB" w:rsidRDefault="00A01ABB" w:rsidP="00BA7F4F">
            <w:pPr>
              <w:pStyle w:val="TableText"/>
            </w:pPr>
            <w:r w:rsidRPr="00A01ABB">
              <w:t>Roban Rat And Mouse Killer Paste</w:t>
            </w:r>
          </w:p>
        </w:tc>
        <w:tc>
          <w:tcPr>
            <w:tcW w:w="1355" w:type="dxa"/>
          </w:tcPr>
          <w:p w14:paraId="3C938264" w14:textId="5521352E" w:rsidR="0013519E" w:rsidRPr="00A01ABB" w:rsidRDefault="0013519E" w:rsidP="00BA7F4F">
            <w:pPr>
              <w:pStyle w:val="TableText"/>
            </w:pPr>
            <w:r w:rsidRPr="00A01ABB">
              <w:t>0.05 g/kg difenacoum</w:t>
            </w:r>
          </w:p>
        </w:tc>
        <w:tc>
          <w:tcPr>
            <w:tcW w:w="2078" w:type="dxa"/>
          </w:tcPr>
          <w:p w14:paraId="2B5811E2" w14:textId="2F729450" w:rsidR="0013519E" w:rsidRPr="0039473D" w:rsidRDefault="00A01ABB" w:rsidP="00BA7F4F">
            <w:pPr>
              <w:pStyle w:val="TableText"/>
              <w:rPr>
                <w:lang w:val="de-CH"/>
              </w:rPr>
            </w:pPr>
            <w:r w:rsidRPr="0039473D">
              <w:rPr>
                <w:lang w:val="de-CH"/>
              </w:rPr>
              <w:t>Pelgar International (Aus) Pty Ltd</w:t>
            </w:r>
          </w:p>
        </w:tc>
        <w:tc>
          <w:tcPr>
            <w:tcW w:w="2832" w:type="dxa"/>
          </w:tcPr>
          <w:p w14:paraId="01FDF87E" w14:textId="34B6B716" w:rsidR="0013519E" w:rsidRPr="00A01ABB" w:rsidRDefault="0013519E" w:rsidP="00BA7F4F">
            <w:pPr>
              <w:pStyle w:val="TableText"/>
            </w:pPr>
            <w:r w:rsidRPr="00A01ABB">
              <w:t xml:space="preserve">Vary formulation type to RB – </w:t>
            </w:r>
            <w:r w:rsidR="005F4C05">
              <w:t>ready-to-use bait</w:t>
            </w:r>
          </w:p>
        </w:tc>
      </w:tr>
      <w:tr w:rsidR="0013519E" w:rsidRPr="00990A23" w14:paraId="5B22686F" w14:textId="77777777" w:rsidTr="00996CF3">
        <w:trPr>
          <w:trHeight w:val="288"/>
        </w:trPr>
        <w:tc>
          <w:tcPr>
            <w:tcW w:w="1498" w:type="dxa"/>
            <w:noWrap/>
            <w:hideMark/>
          </w:tcPr>
          <w:p w14:paraId="041705A1" w14:textId="77777777" w:rsidR="0013519E" w:rsidRPr="00A01ABB" w:rsidRDefault="0013519E" w:rsidP="00BA7F4F">
            <w:pPr>
              <w:pStyle w:val="TableText"/>
            </w:pPr>
            <w:r w:rsidRPr="00A01ABB">
              <w:t>67644</w:t>
            </w:r>
          </w:p>
        </w:tc>
        <w:tc>
          <w:tcPr>
            <w:tcW w:w="1875" w:type="dxa"/>
            <w:noWrap/>
            <w:hideMark/>
          </w:tcPr>
          <w:p w14:paraId="023F983B" w14:textId="7268B5A8" w:rsidR="0013519E" w:rsidRPr="00A01ABB" w:rsidRDefault="00A01ABB" w:rsidP="00BA7F4F">
            <w:pPr>
              <w:pStyle w:val="TableText"/>
            </w:pPr>
            <w:r w:rsidRPr="00A01ABB">
              <w:t xml:space="preserve">Time's Up Rat &amp; Mouse Killer Ready </w:t>
            </w:r>
            <w:r w:rsidR="00796F19" w:rsidRPr="00A01ABB">
              <w:t>to</w:t>
            </w:r>
            <w:r w:rsidRPr="00A01ABB">
              <w:t xml:space="preserve"> Use Bait Packs</w:t>
            </w:r>
          </w:p>
        </w:tc>
        <w:tc>
          <w:tcPr>
            <w:tcW w:w="1355" w:type="dxa"/>
          </w:tcPr>
          <w:p w14:paraId="5CBFBF63" w14:textId="67083FF5" w:rsidR="0013519E" w:rsidRPr="00A01ABB" w:rsidRDefault="0013519E" w:rsidP="00BA7F4F">
            <w:pPr>
              <w:pStyle w:val="TableText"/>
            </w:pPr>
            <w:r w:rsidRPr="00A01ABB">
              <w:t>0.05 g/kg difenacoum</w:t>
            </w:r>
          </w:p>
        </w:tc>
        <w:tc>
          <w:tcPr>
            <w:tcW w:w="2078" w:type="dxa"/>
          </w:tcPr>
          <w:p w14:paraId="257EA94E" w14:textId="66338D19" w:rsidR="0013519E" w:rsidRPr="0039473D" w:rsidRDefault="00A01ABB" w:rsidP="00BA7F4F">
            <w:pPr>
              <w:pStyle w:val="TableText"/>
              <w:rPr>
                <w:lang w:val="de-CH"/>
              </w:rPr>
            </w:pPr>
            <w:r w:rsidRPr="0039473D">
              <w:rPr>
                <w:lang w:val="de-CH"/>
              </w:rPr>
              <w:t>Pelgar International (Aus) Pty Ltd</w:t>
            </w:r>
          </w:p>
        </w:tc>
        <w:tc>
          <w:tcPr>
            <w:tcW w:w="2832" w:type="dxa"/>
          </w:tcPr>
          <w:p w14:paraId="431E1C66" w14:textId="609A90DF" w:rsidR="0013519E" w:rsidRPr="00A01ABB" w:rsidRDefault="0013519E" w:rsidP="00BA7F4F">
            <w:pPr>
              <w:pStyle w:val="TableText"/>
            </w:pPr>
            <w:r w:rsidRPr="00A01ABB">
              <w:t xml:space="preserve">Vary formulation type to RB – </w:t>
            </w:r>
            <w:r w:rsidR="005F4C05">
              <w:t>ready-to-use bait</w:t>
            </w:r>
          </w:p>
        </w:tc>
      </w:tr>
      <w:tr w:rsidR="0013519E" w:rsidRPr="00990A23" w14:paraId="45923A3C" w14:textId="77777777" w:rsidTr="00996CF3">
        <w:trPr>
          <w:trHeight w:val="288"/>
        </w:trPr>
        <w:tc>
          <w:tcPr>
            <w:tcW w:w="1498" w:type="dxa"/>
            <w:noWrap/>
            <w:hideMark/>
          </w:tcPr>
          <w:p w14:paraId="520D3FE4" w14:textId="77777777" w:rsidR="0013519E" w:rsidRPr="00A01ABB" w:rsidRDefault="0013519E" w:rsidP="00BA7F4F">
            <w:pPr>
              <w:pStyle w:val="TableText"/>
            </w:pPr>
            <w:r w:rsidRPr="00A01ABB">
              <w:lastRenderedPageBreak/>
              <w:t>67647</w:t>
            </w:r>
          </w:p>
        </w:tc>
        <w:tc>
          <w:tcPr>
            <w:tcW w:w="1875" w:type="dxa"/>
            <w:noWrap/>
            <w:hideMark/>
          </w:tcPr>
          <w:p w14:paraId="6158F84D" w14:textId="2E045EE4" w:rsidR="0013519E" w:rsidRPr="00A01ABB" w:rsidRDefault="00A01ABB" w:rsidP="00BA7F4F">
            <w:pPr>
              <w:pStyle w:val="TableText"/>
            </w:pPr>
            <w:r w:rsidRPr="00A01ABB">
              <w:t>Time's Up All-Weather Block Bait Rodenticide</w:t>
            </w:r>
          </w:p>
        </w:tc>
        <w:tc>
          <w:tcPr>
            <w:tcW w:w="1355" w:type="dxa"/>
          </w:tcPr>
          <w:p w14:paraId="2D3A8016" w14:textId="14F507BF" w:rsidR="0013519E" w:rsidRPr="00A01ABB" w:rsidRDefault="0013519E" w:rsidP="00BA7F4F">
            <w:pPr>
              <w:pStyle w:val="TableText"/>
            </w:pPr>
            <w:r w:rsidRPr="00A01ABB">
              <w:t>0.05 g/kg difenacoum</w:t>
            </w:r>
          </w:p>
        </w:tc>
        <w:tc>
          <w:tcPr>
            <w:tcW w:w="2078" w:type="dxa"/>
          </w:tcPr>
          <w:p w14:paraId="1C2B22A6" w14:textId="6A81D810" w:rsidR="0013519E" w:rsidRPr="0039473D" w:rsidRDefault="00A01ABB" w:rsidP="00BA7F4F">
            <w:pPr>
              <w:pStyle w:val="TableText"/>
              <w:rPr>
                <w:lang w:val="de-CH"/>
              </w:rPr>
            </w:pPr>
            <w:r w:rsidRPr="0039473D">
              <w:rPr>
                <w:lang w:val="de-CH"/>
              </w:rPr>
              <w:t>Pelgar International (Aus) Pty Ltd</w:t>
            </w:r>
          </w:p>
        </w:tc>
        <w:tc>
          <w:tcPr>
            <w:tcW w:w="2832" w:type="dxa"/>
          </w:tcPr>
          <w:p w14:paraId="385084DD" w14:textId="5C420239" w:rsidR="0013519E" w:rsidRPr="00A01ABB" w:rsidRDefault="0013519E" w:rsidP="00BA7F4F">
            <w:pPr>
              <w:pStyle w:val="TableText"/>
            </w:pPr>
            <w:r w:rsidRPr="00A01ABB">
              <w:t xml:space="preserve">Vary formulation type to RB – </w:t>
            </w:r>
            <w:r w:rsidR="005F4C05">
              <w:t>ready-to-use bait</w:t>
            </w:r>
          </w:p>
        </w:tc>
      </w:tr>
      <w:tr w:rsidR="0013519E" w:rsidRPr="00990A23" w14:paraId="45F83FE6" w14:textId="77777777" w:rsidTr="00996CF3">
        <w:trPr>
          <w:trHeight w:val="288"/>
        </w:trPr>
        <w:tc>
          <w:tcPr>
            <w:tcW w:w="1498" w:type="dxa"/>
            <w:noWrap/>
            <w:hideMark/>
          </w:tcPr>
          <w:p w14:paraId="15D0E871" w14:textId="77777777" w:rsidR="0013519E" w:rsidRPr="00A01ABB" w:rsidRDefault="0013519E" w:rsidP="00BA7F4F">
            <w:pPr>
              <w:pStyle w:val="TableText"/>
            </w:pPr>
            <w:r w:rsidRPr="00A01ABB">
              <w:t>67681</w:t>
            </w:r>
          </w:p>
        </w:tc>
        <w:tc>
          <w:tcPr>
            <w:tcW w:w="1875" w:type="dxa"/>
            <w:noWrap/>
            <w:hideMark/>
          </w:tcPr>
          <w:p w14:paraId="0A71E5F6" w14:textId="713F63F5" w:rsidR="0013519E" w:rsidRPr="00A01ABB" w:rsidRDefault="00A01ABB" w:rsidP="00BA7F4F">
            <w:pPr>
              <w:pStyle w:val="TableText"/>
            </w:pPr>
            <w:r w:rsidRPr="00A01ABB">
              <w:t>Time's Up Baited Mouse Kill Station</w:t>
            </w:r>
          </w:p>
        </w:tc>
        <w:tc>
          <w:tcPr>
            <w:tcW w:w="1355" w:type="dxa"/>
          </w:tcPr>
          <w:p w14:paraId="4E8FB69A" w14:textId="35D5C979" w:rsidR="0013519E" w:rsidRPr="00A01ABB" w:rsidRDefault="0013519E" w:rsidP="00BA7F4F">
            <w:pPr>
              <w:pStyle w:val="TableText"/>
            </w:pPr>
            <w:r w:rsidRPr="00A01ABB">
              <w:t>0.05 g/kg difenacoum</w:t>
            </w:r>
          </w:p>
        </w:tc>
        <w:tc>
          <w:tcPr>
            <w:tcW w:w="2078" w:type="dxa"/>
          </w:tcPr>
          <w:p w14:paraId="646EEBB7" w14:textId="5C11BE2F" w:rsidR="0013519E" w:rsidRPr="0039473D" w:rsidRDefault="00A01ABB" w:rsidP="00BA7F4F">
            <w:pPr>
              <w:pStyle w:val="TableText"/>
              <w:rPr>
                <w:lang w:val="de-CH"/>
              </w:rPr>
            </w:pPr>
            <w:r w:rsidRPr="0039473D">
              <w:rPr>
                <w:lang w:val="de-CH"/>
              </w:rPr>
              <w:t>Pelgar International (Aus) Pty Ltd</w:t>
            </w:r>
          </w:p>
        </w:tc>
        <w:tc>
          <w:tcPr>
            <w:tcW w:w="2832" w:type="dxa"/>
          </w:tcPr>
          <w:p w14:paraId="7A5D2089" w14:textId="6B5C3B77" w:rsidR="0013519E" w:rsidRPr="00A01ABB" w:rsidRDefault="0013519E" w:rsidP="00BA7F4F">
            <w:pPr>
              <w:pStyle w:val="TableText"/>
            </w:pPr>
            <w:r w:rsidRPr="00A01ABB">
              <w:t xml:space="preserve">Vary formulation type to RB – </w:t>
            </w:r>
            <w:r w:rsidR="005F4C05">
              <w:t>ready-to-use bait</w:t>
            </w:r>
          </w:p>
        </w:tc>
      </w:tr>
      <w:tr w:rsidR="0013519E" w:rsidRPr="00990A23" w14:paraId="2D6CEBC3" w14:textId="77777777" w:rsidTr="00996CF3">
        <w:trPr>
          <w:trHeight w:val="288"/>
        </w:trPr>
        <w:tc>
          <w:tcPr>
            <w:tcW w:w="1498" w:type="dxa"/>
            <w:noWrap/>
            <w:hideMark/>
          </w:tcPr>
          <w:p w14:paraId="5FB82F5F" w14:textId="77777777" w:rsidR="0013519E" w:rsidRPr="00A01ABB" w:rsidRDefault="0013519E" w:rsidP="00BA7F4F">
            <w:pPr>
              <w:pStyle w:val="TableText"/>
            </w:pPr>
            <w:r w:rsidRPr="00A01ABB">
              <w:t>68759</w:t>
            </w:r>
          </w:p>
        </w:tc>
        <w:tc>
          <w:tcPr>
            <w:tcW w:w="1875" w:type="dxa"/>
            <w:noWrap/>
            <w:hideMark/>
          </w:tcPr>
          <w:p w14:paraId="37FE4107" w14:textId="6DD15F8A" w:rsidR="0013519E" w:rsidRPr="00A01ABB" w:rsidRDefault="00A01ABB" w:rsidP="00BA7F4F">
            <w:pPr>
              <w:pStyle w:val="TableText"/>
            </w:pPr>
            <w:r w:rsidRPr="00A01ABB">
              <w:t>Ratshot Rodenticide Paste</w:t>
            </w:r>
          </w:p>
        </w:tc>
        <w:tc>
          <w:tcPr>
            <w:tcW w:w="1355" w:type="dxa"/>
          </w:tcPr>
          <w:p w14:paraId="30118A80" w14:textId="1BDB09ED" w:rsidR="0013519E" w:rsidRPr="00A01ABB" w:rsidRDefault="0013519E" w:rsidP="00BA7F4F">
            <w:pPr>
              <w:pStyle w:val="TableText"/>
            </w:pPr>
            <w:r w:rsidRPr="00A01ABB">
              <w:t>0.05 g/kg difenacoum</w:t>
            </w:r>
          </w:p>
        </w:tc>
        <w:tc>
          <w:tcPr>
            <w:tcW w:w="2078" w:type="dxa"/>
          </w:tcPr>
          <w:p w14:paraId="0B48D7B3" w14:textId="0F470D34" w:rsidR="0013519E" w:rsidRPr="00A01ABB" w:rsidRDefault="00A01ABB" w:rsidP="00BA7F4F">
            <w:pPr>
              <w:pStyle w:val="TableText"/>
            </w:pPr>
            <w:r w:rsidRPr="00A01ABB">
              <w:t>Freezone Public Health Pty Ltd</w:t>
            </w:r>
          </w:p>
        </w:tc>
        <w:tc>
          <w:tcPr>
            <w:tcW w:w="2832" w:type="dxa"/>
          </w:tcPr>
          <w:p w14:paraId="2BFB2BFD" w14:textId="4C62409C" w:rsidR="0013519E" w:rsidRPr="00A01ABB" w:rsidRDefault="0013519E" w:rsidP="00BA7F4F">
            <w:pPr>
              <w:pStyle w:val="TableText"/>
            </w:pPr>
            <w:r w:rsidRPr="00A01ABB">
              <w:t xml:space="preserve">Vary formulation type to RB – </w:t>
            </w:r>
            <w:r w:rsidR="005F4C05">
              <w:t>ready-to-use bait</w:t>
            </w:r>
          </w:p>
        </w:tc>
      </w:tr>
      <w:tr w:rsidR="0013519E" w:rsidRPr="00990A23" w14:paraId="7BE0059E" w14:textId="77777777" w:rsidTr="00996CF3">
        <w:trPr>
          <w:trHeight w:val="288"/>
        </w:trPr>
        <w:tc>
          <w:tcPr>
            <w:tcW w:w="1498" w:type="dxa"/>
            <w:noWrap/>
            <w:hideMark/>
          </w:tcPr>
          <w:p w14:paraId="469D62D8" w14:textId="77777777" w:rsidR="0013519E" w:rsidRPr="00A01ABB" w:rsidRDefault="0013519E" w:rsidP="00BA7F4F">
            <w:pPr>
              <w:pStyle w:val="TableText"/>
            </w:pPr>
            <w:r w:rsidRPr="00A01ABB">
              <w:t>68760</w:t>
            </w:r>
          </w:p>
        </w:tc>
        <w:tc>
          <w:tcPr>
            <w:tcW w:w="1875" w:type="dxa"/>
            <w:noWrap/>
            <w:hideMark/>
          </w:tcPr>
          <w:p w14:paraId="1EE5CB7E" w14:textId="1EFC181B" w:rsidR="0013519E" w:rsidRPr="00A01ABB" w:rsidRDefault="00A01ABB" w:rsidP="00BA7F4F">
            <w:pPr>
              <w:pStyle w:val="TableText"/>
            </w:pPr>
            <w:r w:rsidRPr="00A01ABB">
              <w:t>Ratshot Reusable Baited Rat Kill Station</w:t>
            </w:r>
          </w:p>
        </w:tc>
        <w:tc>
          <w:tcPr>
            <w:tcW w:w="1355" w:type="dxa"/>
          </w:tcPr>
          <w:p w14:paraId="70BC5E23" w14:textId="7644247D" w:rsidR="0013519E" w:rsidRPr="00A01ABB" w:rsidRDefault="0013519E" w:rsidP="00BA7F4F">
            <w:pPr>
              <w:pStyle w:val="TableText"/>
            </w:pPr>
            <w:r w:rsidRPr="00A01ABB">
              <w:t>0.05 g/kg difenacoum</w:t>
            </w:r>
            <w:r w:rsidRPr="00A01ABB" w:rsidDel="00821EFC">
              <w:t xml:space="preserve"> </w:t>
            </w:r>
          </w:p>
        </w:tc>
        <w:tc>
          <w:tcPr>
            <w:tcW w:w="2078" w:type="dxa"/>
          </w:tcPr>
          <w:p w14:paraId="633758EE" w14:textId="22160929" w:rsidR="0013519E" w:rsidRPr="00A01ABB" w:rsidRDefault="00A01ABB" w:rsidP="00BA7F4F">
            <w:pPr>
              <w:pStyle w:val="TableText"/>
            </w:pPr>
            <w:r w:rsidRPr="00A01ABB">
              <w:t>Freezone Public Health Pty Ltd</w:t>
            </w:r>
          </w:p>
        </w:tc>
        <w:tc>
          <w:tcPr>
            <w:tcW w:w="2832" w:type="dxa"/>
          </w:tcPr>
          <w:p w14:paraId="05745BDB" w14:textId="70558E97" w:rsidR="0013519E" w:rsidRPr="00A01ABB" w:rsidRDefault="0013519E" w:rsidP="00BA7F4F">
            <w:pPr>
              <w:pStyle w:val="TableText"/>
            </w:pPr>
            <w:r w:rsidRPr="00A01ABB">
              <w:t xml:space="preserve">Vary formulation type to RB – </w:t>
            </w:r>
            <w:r w:rsidR="005F4C05">
              <w:t>ready-to-use bait</w:t>
            </w:r>
          </w:p>
        </w:tc>
      </w:tr>
      <w:tr w:rsidR="0013519E" w:rsidRPr="00990A23" w14:paraId="4CFFE20A" w14:textId="77777777" w:rsidTr="00996CF3">
        <w:trPr>
          <w:trHeight w:val="288"/>
        </w:trPr>
        <w:tc>
          <w:tcPr>
            <w:tcW w:w="1498" w:type="dxa"/>
            <w:noWrap/>
            <w:hideMark/>
          </w:tcPr>
          <w:p w14:paraId="5C448651" w14:textId="77777777" w:rsidR="0013519E" w:rsidRPr="00A01ABB" w:rsidRDefault="0013519E" w:rsidP="00BA7F4F">
            <w:pPr>
              <w:pStyle w:val="TableText"/>
            </w:pPr>
            <w:r w:rsidRPr="00A01ABB">
              <w:t>68762</w:t>
            </w:r>
          </w:p>
        </w:tc>
        <w:tc>
          <w:tcPr>
            <w:tcW w:w="1875" w:type="dxa"/>
            <w:noWrap/>
            <w:hideMark/>
          </w:tcPr>
          <w:p w14:paraId="4BE1BE72" w14:textId="462B1D52" w:rsidR="0013519E" w:rsidRPr="00A01ABB" w:rsidRDefault="00A01ABB" w:rsidP="00BA7F4F">
            <w:pPr>
              <w:pStyle w:val="TableText"/>
            </w:pPr>
            <w:r w:rsidRPr="00A01ABB">
              <w:t>Ratshot Rodenticide Blocks</w:t>
            </w:r>
          </w:p>
        </w:tc>
        <w:tc>
          <w:tcPr>
            <w:tcW w:w="1355" w:type="dxa"/>
          </w:tcPr>
          <w:p w14:paraId="2E540045" w14:textId="3257C640" w:rsidR="0013519E" w:rsidRPr="00A01ABB" w:rsidRDefault="0013519E" w:rsidP="00BA7F4F">
            <w:pPr>
              <w:pStyle w:val="TableText"/>
            </w:pPr>
            <w:r w:rsidRPr="00A01ABB">
              <w:t>0.05 g/kg difenacoum</w:t>
            </w:r>
          </w:p>
        </w:tc>
        <w:tc>
          <w:tcPr>
            <w:tcW w:w="2078" w:type="dxa"/>
          </w:tcPr>
          <w:p w14:paraId="1AC4DBC0" w14:textId="7D68667F" w:rsidR="0013519E" w:rsidRPr="00A01ABB" w:rsidRDefault="00A01ABB" w:rsidP="00BA7F4F">
            <w:pPr>
              <w:pStyle w:val="TableText"/>
            </w:pPr>
            <w:r w:rsidRPr="00A01ABB">
              <w:t>Freezone Public Health Pty Ltd</w:t>
            </w:r>
          </w:p>
        </w:tc>
        <w:tc>
          <w:tcPr>
            <w:tcW w:w="2832" w:type="dxa"/>
          </w:tcPr>
          <w:p w14:paraId="679B1D46" w14:textId="1D4C229B" w:rsidR="0013519E" w:rsidRPr="00A01ABB" w:rsidRDefault="0013519E" w:rsidP="00BA7F4F">
            <w:pPr>
              <w:pStyle w:val="TableText"/>
            </w:pPr>
            <w:r w:rsidRPr="00A01ABB">
              <w:t xml:space="preserve">Vary formulation type to RB – </w:t>
            </w:r>
            <w:r w:rsidR="005F4C05">
              <w:t>ready-to-use bait</w:t>
            </w:r>
          </w:p>
        </w:tc>
      </w:tr>
      <w:tr w:rsidR="0013519E" w:rsidRPr="00990A23" w14:paraId="1D6A457B" w14:textId="77777777" w:rsidTr="00996CF3">
        <w:trPr>
          <w:trHeight w:val="288"/>
        </w:trPr>
        <w:tc>
          <w:tcPr>
            <w:tcW w:w="1498" w:type="dxa"/>
            <w:noWrap/>
            <w:hideMark/>
          </w:tcPr>
          <w:p w14:paraId="0F8F7A38" w14:textId="77777777" w:rsidR="0013519E" w:rsidRPr="00A01ABB" w:rsidRDefault="0013519E" w:rsidP="00BA7F4F">
            <w:pPr>
              <w:pStyle w:val="TableText"/>
            </w:pPr>
            <w:r w:rsidRPr="00A01ABB">
              <w:t>68763</w:t>
            </w:r>
          </w:p>
        </w:tc>
        <w:tc>
          <w:tcPr>
            <w:tcW w:w="1875" w:type="dxa"/>
            <w:noWrap/>
            <w:hideMark/>
          </w:tcPr>
          <w:p w14:paraId="0E506EFE" w14:textId="3E4847D3" w:rsidR="0013519E" w:rsidRPr="00A01ABB" w:rsidRDefault="00A01ABB" w:rsidP="00BA7F4F">
            <w:pPr>
              <w:pStyle w:val="TableText"/>
            </w:pPr>
            <w:r w:rsidRPr="00A01ABB">
              <w:t>Ratshot Rat And Mouse Killer Paste</w:t>
            </w:r>
          </w:p>
        </w:tc>
        <w:tc>
          <w:tcPr>
            <w:tcW w:w="1355" w:type="dxa"/>
          </w:tcPr>
          <w:p w14:paraId="3EBEC60A" w14:textId="2F42168E" w:rsidR="0013519E" w:rsidRPr="00A01ABB" w:rsidRDefault="0013519E" w:rsidP="00BA7F4F">
            <w:pPr>
              <w:pStyle w:val="TableText"/>
            </w:pPr>
            <w:r w:rsidRPr="00A01ABB">
              <w:t>0.05 g/kg difenacoum</w:t>
            </w:r>
          </w:p>
        </w:tc>
        <w:tc>
          <w:tcPr>
            <w:tcW w:w="2078" w:type="dxa"/>
          </w:tcPr>
          <w:p w14:paraId="60F6A3C2" w14:textId="5BF370C3" w:rsidR="0013519E" w:rsidRPr="00A01ABB" w:rsidRDefault="00A01ABB" w:rsidP="00BA7F4F">
            <w:pPr>
              <w:pStyle w:val="TableText"/>
            </w:pPr>
            <w:r w:rsidRPr="00A01ABB">
              <w:t>Freezone Public Health Pty Ltd</w:t>
            </w:r>
          </w:p>
        </w:tc>
        <w:tc>
          <w:tcPr>
            <w:tcW w:w="2832" w:type="dxa"/>
          </w:tcPr>
          <w:p w14:paraId="37C03737" w14:textId="16031ED0" w:rsidR="0013519E" w:rsidRPr="00A01ABB" w:rsidRDefault="0013519E" w:rsidP="00BA7F4F">
            <w:pPr>
              <w:pStyle w:val="TableText"/>
            </w:pPr>
            <w:r w:rsidRPr="00A01ABB">
              <w:t xml:space="preserve">Vary formulation type to RB – </w:t>
            </w:r>
            <w:r w:rsidR="005F4C05">
              <w:t>ready-to-use bait</w:t>
            </w:r>
          </w:p>
        </w:tc>
      </w:tr>
      <w:tr w:rsidR="0013519E" w:rsidRPr="00990A23" w14:paraId="647C1843" w14:textId="77777777" w:rsidTr="00996CF3">
        <w:trPr>
          <w:trHeight w:val="288"/>
        </w:trPr>
        <w:tc>
          <w:tcPr>
            <w:tcW w:w="1498" w:type="dxa"/>
            <w:noWrap/>
            <w:hideMark/>
          </w:tcPr>
          <w:p w14:paraId="10F8314A" w14:textId="77777777" w:rsidR="0013519E" w:rsidRPr="00A01ABB" w:rsidRDefault="0013519E" w:rsidP="00BA7F4F">
            <w:pPr>
              <w:pStyle w:val="TableText"/>
            </w:pPr>
            <w:r w:rsidRPr="00A01ABB">
              <w:t>69347</w:t>
            </w:r>
          </w:p>
        </w:tc>
        <w:tc>
          <w:tcPr>
            <w:tcW w:w="1875" w:type="dxa"/>
            <w:noWrap/>
            <w:hideMark/>
          </w:tcPr>
          <w:p w14:paraId="1C87A0CD" w14:textId="4EAF9C8D" w:rsidR="0013519E" w:rsidRPr="00A01ABB" w:rsidRDefault="00A01ABB" w:rsidP="00BA7F4F">
            <w:pPr>
              <w:pStyle w:val="TableText"/>
            </w:pPr>
            <w:r w:rsidRPr="00A01ABB">
              <w:t>Roban Rodenticide Grain Bait</w:t>
            </w:r>
          </w:p>
        </w:tc>
        <w:tc>
          <w:tcPr>
            <w:tcW w:w="1355" w:type="dxa"/>
          </w:tcPr>
          <w:p w14:paraId="1A30A5CD" w14:textId="7DDB63B6" w:rsidR="0013519E" w:rsidRPr="00A01ABB" w:rsidRDefault="0013519E" w:rsidP="00BA7F4F">
            <w:pPr>
              <w:pStyle w:val="TableText"/>
            </w:pPr>
            <w:r w:rsidRPr="00A01ABB">
              <w:t>0.05 g/kg difenacoum</w:t>
            </w:r>
          </w:p>
        </w:tc>
        <w:tc>
          <w:tcPr>
            <w:tcW w:w="2078" w:type="dxa"/>
          </w:tcPr>
          <w:p w14:paraId="086C9FB0" w14:textId="34D174AB" w:rsidR="0013519E" w:rsidRPr="0039473D" w:rsidRDefault="00A01ABB" w:rsidP="00BA7F4F">
            <w:pPr>
              <w:pStyle w:val="TableText"/>
              <w:rPr>
                <w:lang w:val="de-CH"/>
              </w:rPr>
            </w:pPr>
            <w:r w:rsidRPr="0039473D">
              <w:rPr>
                <w:lang w:val="de-CH"/>
              </w:rPr>
              <w:t>Pelgar International (Aus) Pty Ltd</w:t>
            </w:r>
          </w:p>
        </w:tc>
        <w:tc>
          <w:tcPr>
            <w:tcW w:w="2832" w:type="dxa"/>
          </w:tcPr>
          <w:p w14:paraId="57556E55" w14:textId="10C1D6B9" w:rsidR="0013519E" w:rsidRPr="00A01ABB" w:rsidRDefault="0013519E" w:rsidP="00BA7F4F">
            <w:pPr>
              <w:pStyle w:val="TableText"/>
            </w:pPr>
            <w:r w:rsidRPr="00A01ABB">
              <w:t xml:space="preserve">Vary formulation type to RB – </w:t>
            </w:r>
            <w:r w:rsidR="005F4C05">
              <w:t>ready-to-use bait</w:t>
            </w:r>
          </w:p>
        </w:tc>
      </w:tr>
      <w:tr w:rsidR="0013519E" w:rsidRPr="00990A23" w14:paraId="1F2D5135" w14:textId="77777777" w:rsidTr="00996CF3">
        <w:trPr>
          <w:trHeight w:val="288"/>
        </w:trPr>
        <w:tc>
          <w:tcPr>
            <w:tcW w:w="1498" w:type="dxa"/>
            <w:noWrap/>
            <w:hideMark/>
          </w:tcPr>
          <w:p w14:paraId="07BBAFD0" w14:textId="77777777" w:rsidR="0013519E" w:rsidRPr="00A01ABB" w:rsidRDefault="0013519E" w:rsidP="00BA7F4F">
            <w:pPr>
              <w:pStyle w:val="TableText"/>
            </w:pPr>
            <w:r w:rsidRPr="00A01ABB">
              <w:t>69911</w:t>
            </w:r>
          </w:p>
        </w:tc>
        <w:tc>
          <w:tcPr>
            <w:tcW w:w="1875" w:type="dxa"/>
            <w:noWrap/>
            <w:hideMark/>
          </w:tcPr>
          <w:p w14:paraId="46548080" w14:textId="53E4E06A" w:rsidR="0013519E" w:rsidRPr="00A01ABB" w:rsidRDefault="00A01ABB" w:rsidP="00BA7F4F">
            <w:pPr>
              <w:pStyle w:val="TableText"/>
            </w:pPr>
            <w:r w:rsidRPr="00A01ABB">
              <w:t>Surefire Difenate All Weather Blocks Rodenticide</w:t>
            </w:r>
          </w:p>
        </w:tc>
        <w:tc>
          <w:tcPr>
            <w:tcW w:w="1355" w:type="dxa"/>
          </w:tcPr>
          <w:p w14:paraId="32D28259" w14:textId="40713FEC" w:rsidR="0013519E" w:rsidRPr="00A01ABB" w:rsidRDefault="0013519E" w:rsidP="00BA7F4F">
            <w:pPr>
              <w:pStyle w:val="TableText"/>
            </w:pPr>
            <w:r w:rsidRPr="00A01ABB">
              <w:t>0.05 g/kg difenacoum</w:t>
            </w:r>
          </w:p>
        </w:tc>
        <w:tc>
          <w:tcPr>
            <w:tcW w:w="2078" w:type="dxa"/>
          </w:tcPr>
          <w:p w14:paraId="32F50764" w14:textId="121BCB30" w:rsidR="0013519E" w:rsidRPr="00A01ABB" w:rsidRDefault="00A01ABB" w:rsidP="00BA7F4F">
            <w:pPr>
              <w:pStyle w:val="TableText"/>
            </w:pPr>
            <w:r w:rsidRPr="00A01ABB">
              <w:t>PCT Holdings Pty Ltd</w:t>
            </w:r>
          </w:p>
        </w:tc>
        <w:tc>
          <w:tcPr>
            <w:tcW w:w="2832" w:type="dxa"/>
          </w:tcPr>
          <w:p w14:paraId="50DF4D9F" w14:textId="4F66A65D" w:rsidR="0013519E" w:rsidRPr="00A01ABB" w:rsidRDefault="0013519E" w:rsidP="00BA7F4F">
            <w:pPr>
              <w:pStyle w:val="TableText"/>
            </w:pPr>
            <w:r w:rsidRPr="00A01ABB">
              <w:t xml:space="preserve">Vary formulation type to RB – </w:t>
            </w:r>
            <w:r w:rsidR="005F4C05">
              <w:t>ready-to-use bait</w:t>
            </w:r>
          </w:p>
        </w:tc>
      </w:tr>
      <w:tr w:rsidR="0013519E" w:rsidRPr="00990A23" w14:paraId="40C2238B" w14:textId="77777777" w:rsidTr="00996CF3">
        <w:trPr>
          <w:trHeight w:val="288"/>
        </w:trPr>
        <w:tc>
          <w:tcPr>
            <w:tcW w:w="1498" w:type="dxa"/>
            <w:noWrap/>
            <w:hideMark/>
          </w:tcPr>
          <w:p w14:paraId="28912909" w14:textId="77777777" w:rsidR="0013519E" w:rsidRPr="00A01ABB" w:rsidRDefault="0013519E" w:rsidP="00BA7F4F">
            <w:pPr>
              <w:pStyle w:val="TableText"/>
            </w:pPr>
            <w:r w:rsidRPr="00A01ABB">
              <w:t>80124</w:t>
            </w:r>
          </w:p>
        </w:tc>
        <w:tc>
          <w:tcPr>
            <w:tcW w:w="1875" w:type="dxa"/>
            <w:noWrap/>
            <w:hideMark/>
          </w:tcPr>
          <w:p w14:paraId="63DFFC62" w14:textId="3D3FA07D" w:rsidR="0013519E" w:rsidRPr="00A01ABB" w:rsidRDefault="00A01ABB" w:rsidP="00BA7F4F">
            <w:pPr>
              <w:pStyle w:val="TableText"/>
            </w:pPr>
            <w:r w:rsidRPr="00A01ABB">
              <w:t>All Weather PCT Pro Formula Blocks Rodenticide</w:t>
            </w:r>
          </w:p>
        </w:tc>
        <w:tc>
          <w:tcPr>
            <w:tcW w:w="1355" w:type="dxa"/>
          </w:tcPr>
          <w:p w14:paraId="22E22BB2" w14:textId="5433EF43" w:rsidR="0013519E" w:rsidRPr="00A01ABB" w:rsidRDefault="0013519E" w:rsidP="00BA7F4F">
            <w:pPr>
              <w:pStyle w:val="TableText"/>
            </w:pPr>
            <w:r w:rsidRPr="00A01ABB">
              <w:t>0.05 g/kg difenacoum</w:t>
            </w:r>
          </w:p>
        </w:tc>
        <w:tc>
          <w:tcPr>
            <w:tcW w:w="2078" w:type="dxa"/>
          </w:tcPr>
          <w:p w14:paraId="353CDA6B" w14:textId="4189175B" w:rsidR="0013519E" w:rsidRPr="00A01ABB" w:rsidRDefault="00A01ABB" w:rsidP="00BA7F4F">
            <w:pPr>
              <w:pStyle w:val="TableText"/>
            </w:pPr>
            <w:r w:rsidRPr="00A01ABB">
              <w:t>PCT Holdings Pty Ltd</w:t>
            </w:r>
          </w:p>
        </w:tc>
        <w:tc>
          <w:tcPr>
            <w:tcW w:w="2832" w:type="dxa"/>
          </w:tcPr>
          <w:p w14:paraId="59B31B50" w14:textId="264BDF93" w:rsidR="0013519E" w:rsidRPr="00A01ABB" w:rsidRDefault="0013519E" w:rsidP="00BA7F4F">
            <w:pPr>
              <w:pStyle w:val="TableText"/>
            </w:pPr>
            <w:r w:rsidRPr="00A01ABB">
              <w:t xml:space="preserve">Vary formulation type to RB – </w:t>
            </w:r>
            <w:r w:rsidR="005F4C05">
              <w:t>ready-to-use bait</w:t>
            </w:r>
          </w:p>
        </w:tc>
      </w:tr>
      <w:tr w:rsidR="0013519E" w:rsidRPr="00990A23" w14:paraId="694985A6" w14:textId="77777777" w:rsidTr="00996CF3">
        <w:trPr>
          <w:trHeight w:val="288"/>
        </w:trPr>
        <w:tc>
          <w:tcPr>
            <w:tcW w:w="1498" w:type="dxa"/>
            <w:noWrap/>
            <w:hideMark/>
          </w:tcPr>
          <w:p w14:paraId="72DA69D4" w14:textId="77777777" w:rsidR="0013519E" w:rsidRPr="00A01ABB" w:rsidRDefault="0013519E" w:rsidP="00BA7F4F">
            <w:pPr>
              <w:pStyle w:val="TableText"/>
            </w:pPr>
            <w:r w:rsidRPr="00A01ABB">
              <w:t>80667</w:t>
            </w:r>
          </w:p>
        </w:tc>
        <w:tc>
          <w:tcPr>
            <w:tcW w:w="1875" w:type="dxa"/>
            <w:noWrap/>
            <w:hideMark/>
          </w:tcPr>
          <w:p w14:paraId="401ADE28" w14:textId="77777777" w:rsidR="0013519E" w:rsidRPr="00A01ABB" w:rsidRDefault="0013519E" w:rsidP="00BA7F4F">
            <w:pPr>
              <w:pStyle w:val="TableText"/>
            </w:pPr>
            <w:r w:rsidRPr="00A01ABB">
              <w:t>Ratshot-G Rodenticide Grain Bait</w:t>
            </w:r>
          </w:p>
        </w:tc>
        <w:tc>
          <w:tcPr>
            <w:tcW w:w="1355" w:type="dxa"/>
          </w:tcPr>
          <w:p w14:paraId="61C96CFC" w14:textId="034A8C79" w:rsidR="0013519E" w:rsidRPr="00A01ABB" w:rsidRDefault="0013519E" w:rsidP="00BA7F4F">
            <w:pPr>
              <w:pStyle w:val="TableText"/>
            </w:pPr>
            <w:r w:rsidRPr="00A01ABB">
              <w:t>0.05 g/kg difenacoum</w:t>
            </w:r>
          </w:p>
        </w:tc>
        <w:tc>
          <w:tcPr>
            <w:tcW w:w="2078" w:type="dxa"/>
          </w:tcPr>
          <w:p w14:paraId="1C1F707C" w14:textId="1997349B" w:rsidR="0013519E" w:rsidRPr="00A01ABB" w:rsidRDefault="00A01ABB" w:rsidP="00BA7F4F">
            <w:pPr>
              <w:pStyle w:val="TableText"/>
            </w:pPr>
            <w:r w:rsidRPr="00A01ABB">
              <w:t>Freezone Public Health Pty Ltd</w:t>
            </w:r>
          </w:p>
        </w:tc>
        <w:tc>
          <w:tcPr>
            <w:tcW w:w="2832" w:type="dxa"/>
          </w:tcPr>
          <w:p w14:paraId="0766F231" w14:textId="508BE8E1" w:rsidR="0013519E" w:rsidRPr="00A01ABB" w:rsidRDefault="0013519E" w:rsidP="00BA7F4F">
            <w:pPr>
              <w:pStyle w:val="TableText"/>
            </w:pPr>
            <w:r w:rsidRPr="00A01ABB">
              <w:t xml:space="preserve">Vary formulation type to RB – </w:t>
            </w:r>
            <w:r w:rsidR="005F4C05">
              <w:t>ready-to-use bait</w:t>
            </w:r>
          </w:p>
        </w:tc>
      </w:tr>
      <w:tr w:rsidR="0013519E" w:rsidRPr="00622A42" w14:paraId="07D2AA52" w14:textId="77777777" w:rsidTr="00996CF3">
        <w:trPr>
          <w:trHeight w:val="288"/>
        </w:trPr>
        <w:tc>
          <w:tcPr>
            <w:tcW w:w="1498" w:type="dxa"/>
            <w:noWrap/>
            <w:hideMark/>
          </w:tcPr>
          <w:p w14:paraId="449914A9" w14:textId="77777777" w:rsidR="0013519E" w:rsidRPr="00B8147D" w:rsidRDefault="0013519E" w:rsidP="00BA7F4F">
            <w:pPr>
              <w:pStyle w:val="TableText"/>
            </w:pPr>
            <w:r w:rsidRPr="00B8147D">
              <w:t>85512</w:t>
            </w:r>
          </w:p>
        </w:tc>
        <w:tc>
          <w:tcPr>
            <w:tcW w:w="1875" w:type="dxa"/>
            <w:noWrap/>
            <w:hideMark/>
          </w:tcPr>
          <w:p w14:paraId="3FBA6BB0" w14:textId="77777777" w:rsidR="0013519E" w:rsidRPr="00B8147D" w:rsidRDefault="0013519E" w:rsidP="00BA7F4F">
            <w:pPr>
              <w:pStyle w:val="TableText"/>
            </w:pPr>
            <w:r w:rsidRPr="00B8147D">
              <w:t>Amgrow Patrol All Weather Blocks Rodenticide</w:t>
            </w:r>
          </w:p>
        </w:tc>
        <w:tc>
          <w:tcPr>
            <w:tcW w:w="1355" w:type="dxa"/>
          </w:tcPr>
          <w:p w14:paraId="6DC22609" w14:textId="08F8BCAD" w:rsidR="0013519E" w:rsidRPr="00B8147D" w:rsidRDefault="0013519E" w:rsidP="00BA7F4F">
            <w:pPr>
              <w:pStyle w:val="TableText"/>
            </w:pPr>
            <w:r w:rsidRPr="00B8147D">
              <w:t>0.05 g/kg</w:t>
            </w:r>
            <w:r w:rsidRPr="00A01ABB">
              <w:t xml:space="preserve"> difenacoum</w:t>
            </w:r>
          </w:p>
        </w:tc>
        <w:tc>
          <w:tcPr>
            <w:tcW w:w="2078" w:type="dxa"/>
          </w:tcPr>
          <w:p w14:paraId="75957273" w14:textId="55B7CD31" w:rsidR="0013519E" w:rsidRPr="00B8147D" w:rsidRDefault="00A01ABB" w:rsidP="00BA7F4F">
            <w:pPr>
              <w:pStyle w:val="TableText"/>
            </w:pPr>
            <w:r w:rsidRPr="00A01ABB">
              <w:t>Amgrow Pty Ltd</w:t>
            </w:r>
          </w:p>
        </w:tc>
        <w:tc>
          <w:tcPr>
            <w:tcW w:w="2832" w:type="dxa"/>
          </w:tcPr>
          <w:p w14:paraId="2D42607D" w14:textId="2271D42F" w:rsidR="0013519E" w:rsidRPr="00A01ABB" w:rsidRDefault="0013519E" w:rsidP="00BA7F4F">
            <w:pPr>
              <w:pStyle w:val="TableText"/>
            </w:pPr>
            <w:r w:rsidRPr="00A01ABB">
              <w:t xml:space="preserve">Vary formulation type to RB – </w:t>
            </w:r>
            <w:r w:rsidR="005F4C05">
              <w:t>ready-to-use bait</w:t>
            </w:r>
          </w:p>
          <w:p w14:paraId="4C3A2513" w14:textId="5D0DFC8A"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62FBDDAB" w14:textId="77777777" w:rsidTr="00996CF3">
        <w:trPr>
          <w:trHeight w:val="288"/>
        </w:trPr>
        <w:tc>
          <w:tcPr>
            <w:tcW w:w="1498" w:type="dxa"/>
            <w:noWrap/>
            <w:hideMark/>
          </w:tcPr>
          <w:p w14:paraId="37DCD140" w14:textId="77777777" w:rsidR="0013519E" w:rsidRPr="00B8147D" w:rsidRDefault="0013519E" w:rsidP="00BA7F4F">
            <w:pPr>
              <w:pStyle w:val="TableText"/>
            </w:pPr>
            <w:r w:rsidRPr="00B8147D">
              <w:t>85513</w:t>
            </w:r>
          </w:p>
        </w:tc>
        <w:tc>
          <w:tcPr>
            <w:tcW w:w="1875" w:type="dxa"/>
            <w:noWrap/>
            <w:hideMark/>
          </w:tcPr>
          <w:p w14:paraId="2D544657" w14:textId="77777777" w:rsidR="0013519E" w:rsidRPr="00B8147D" w:rsidRDefault="0013519E" w:rsidP="00BA7F4F">
            <w:pPr>
              <w:pStyle w:val="TableText"/>
            </w:pPr>
            <w:r w:rsidRPr="00B8147D">
              <w:t>Amgrow Patrol Rat &amp; Mouse Soft Bait Rodenticide</w:t>
            </w:r>
          </w:p>
        </w:tc>
        <w:tc>
          <w:tcPr>
            <w:tcW w:w="1355" w:type="dxa"/>
          </w:tcPr>
          <w:p w14:paraId="151B3307" w14:textId="1D059CD5" w:rsidR="0013519E" w:rsidRPr="00B8147D" w:rsidRDefault="0013519E" w:rsidP="00BA7F4F">
            <w:pPr>
              <w:pStyle w:val="TableText"/>
            </w:pPr>
            <w:r w:rsidRPr="00B8147D">
              <w:t>0.05 g/kg</w:t>
            </w:r>
            <w:r w:rsidRPr="00A01ABB">
              <w:t xml:space="preserve"> difenacoum</w:t>
            </w:r>
          </w:p>
        </w:tc>
        <w:tc>
          <w:tcPr>
            <w:tcW w:w="2078" w:type="dxa"/>
          </w:tcPr>
          <w:p w14:paraId="281158B1" w14:textId="6777D890" w:rsidR="0013519E" w:rsidRPr="00B8147D" w:rsidRDefault="00A01ABB" w:rsidP="00BA7F4F">
            <w:pPr>
              <w:pStyle w:val="TableText"/>
            </w:pPr>
            <w:r w:rsidRPr="00A01ABB">
              <w:t>Amgrow Pty Ltd</w:t>
            </w:r>
          </w:p>
        </w:tc>
        <w:tc>
          <w:tcPr>
            <w:tcW w:w="2832" w:type="dxa"/>
          </w:tcPr>
          <w:p w14:paraId="4F814897" w14:textId="2EBA91B3" w:rsidR="0013519E" w:rsidRPr="00B8147D" w:rsidRDefault="0013519E" w:rsidP="00BA7F4F">
            <w:pPr>
              <w:pStyle w:val="TableText"/>
            </w:pPr>
            <w:r w:rsidRPr="00B8147D">
              <w:t>Cancel – does not contain dye</w:t>
            </w:r>
          </w:p>
        </w:tc>
      </w:tr>
      <w:tr w:rsidR="0013519E" w:rsidRPr="00990A23" w14:paraId="4C59B1B0" w14:textId="77777777" w:rsidTr="00996CF3">
        <w:trPr>
          <w:trHeight w:val="288"/>
        </w:trPr>
        <w:tc>
          <w:tcPr>
            <w:tcW w:w="1498" w:type="dxa"/>
            <w:noWrap/>
            <w:hideMark/>
          </w:tcPr>
          <w:p w14:paraId="7373CB0D" w14:textId="77777777" w:rsidR="0013519E" w:rsidRPr="00B8147D" w:rsidRDefault="0013519E" w:rsidP="00BA7F4F">
            <w:pPr>
              <w:pStyle w:val="TableText"/>
            </w:pPr>
            <w:r w:rsidRPr="00B8147D">
              <w:t>87869</w:t>
            </w:r>
          </w:p>
        </w:tc>
        <w:tc>
          <w:tcPr>
            <w:tcW w:w="1875" w:type="dxa"/>
            <w:noWrap/>
            <w:hideMark/>
          </w:tcPr>
          <w:p w14:paraId="3C419B13" w14:textId="154F2F19" w:rsidR="0013519E" w:rsidRPr="00B8147D" w:rsidRDefault="00A01ABB" w:rsidP="00BA7F4F">
            <w:pPr>
              <w:pStyle w:val="TableText"/>
            </w:pPr>
            <w:r w:rsidRPr="00A01ABB">
              <w:t>The Big Cheese Home Choice All Weather Block Bait</w:t>
            </w:r>
          </w:p>
        </w:tc>
        <w:tc>
          <w:tcPr>
            <w:tcW w:w="1355" w:type="dxa"/>
          </w:tcPr>
          <w:p w14:paraId="3BE6EA5D" w14:textId="624723CB" w:rsidR="0013519E" w:rsidRPr="00B8147D" w:rsidRDefault="0013519E" w:rsidP="00BA7F4F">
            <w:pPr>
              <w:pStyle w:val="TableText"/>
            </w:pPr>
            <w:r w:rsidRPr="00B8147D">
              <w:t>0.025 g/kg</w:t>
            </w:r>
            <w:r w:rsidRPr="00A01ABB">
              <w:t xml:space="preserve"> difenacoum</w:t>
            </w:r>
          </w:p>
        </w:tc>
        <w:tc>
          <w:tcPr>
            <w:tcW w:w="2078" w:type="dxa"/>
          </w:tcPr>
          <w:p w14:paraId="37599240" w14:textId="73ACCA00" w:rsidR="0013519E" w:rsidRPr="0039473D" w:rsidRDefault="00A01ABB" w:rsidP="00BA7F4F">
            <w:pPr>
              <w:pStyle w:val="TableText"/>
              <w:rPr>
                <w:lang w:val="de-CH"/>
              </w:rPr>
            </w:pPr>
            <w:r w:rsidRPr="0039473D">
              <w:rPr>
                <w:lang w:val="de-CH"/>
              </w:rPr>
              <w:t>Pelgar International (Aus) Pty Ltd</w:t>
            </w:r>
          </w:p>
        </w:tc>
        <w:tc>
          <w:tcPr>
            <w:tcW w:w="2832" w:type="dxa"/>
          </w:tcPr>
          <w:p w14:paraId="5C30B535" w14:textId="03E5DDC1" w:rsidR="0013519E" w:rsidRPr="00A01ABB" w:rsidRDefault="0013519E" w:rsidP="00BA7F4F">
            <w:pPr>
              <w:pStyle w:val="TableText"/>
            </w:pPr>
            <w:r w:rsidRPr="00A01ABB">
              <w:t xml:space="preserve">Vary formulation type to RB – </w:t>
            </w:r>
            <w:r w:rsidR="005F4C05">
              <w:t>ready-to-use bait</w:t>
            </w:r>
          </w:p>
          <w:p w14:paraId="24B9D00C" w14:textId="59AD5A86"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18FBF291" w14:textId="77777777" w:rsidTr="00996CF3">
        <w:trPr>
          <w:trHeight w:val="288"/>
        </w:trPr>
        <w:tc>
          <w:tcPr>
            <w:tcW w:w="1498" w:type="dxa"/>
            <w:noWrap/>
            <w:hideMark/>
          </w:tcPr>
          <w:p w14:paraId="28028F18" w14:textId="77777777" w:rsidR="0013519E" w:rsidRPr="00B8147D" w:rsidRDefault="0013519E" w:rsidP="00BA7F4F">
            <w:pPr>
              <w:pStyle w:val="TableText"/>
            </w:pPr>
            <w:r w:rsidRPr="00B8147D">
              <w:t>87870</w:t>
            </w:r>
          </w:p>
        </w:tc>
        <w:tc>
          <w:tcPr>
            <w:tcW w:w="1875" w:type="dxa"/>
            <w:noWrap/>
            <w:hideMark/>
          </w:tcPr>
          <w:p w14:paraId="0538639D" w14:textId="77777777" w:rsidR="0013519E" w:rsidRPr="00B8147D" w:rsidRDefault="0013519E" w:rsidP="00BA7F4F">
            <w:pPr>
              <w:pStyle w:val="TableText"/>
            </w:pPr>
            <w:r w:rsidRPr="00B8147D">
              <w:t>The Big Cheese Home Choice Rat &amp; Mouse Kill Throw Packs</w:t>
            </w:r>
          </w:p>
        </w:tc>
        <w:tc>
          <w:tcPr>
            <w:tcW w:w="1355" w:type="dxa"/>
          </w:tcPr>
          <w:p w14:paraId="5F5233FB" w14:textId="19DBF101" w:rsidR="0013519E" w:rsidRPr="00B8147D" w:rsidRDefault="0013519E" w:rsidP="00BA7F4F">
            <w:pPr>
              <w:pStyle w:val="TableText"/>
            </w:pPr>
            <w:r w:rsidRPr="00B8147D">
              <w:t>0.025 g/kg</w:t>
            </w:r>
            <w:r w:rsidRPr="00A01ABB">
              <w:t xml:space="preserve"> difenacoum</w:t>
            </w:r>
          </w:p>
        </w:tc>
        <w:tc>
          <w:tcPr>
            <w:tcW w:w="2078" w:type="dxa"/>
          </w:tcPr>
          <w:p w14:paraId="4A715AA8" w14:textId="73B49800" w:rsidR="0013519E" w:rsidRPr="0039473D" w:rsidRDefault="00A01ABB" w:rsidP="00BA7F4F">
            <w:pPr>
              <w:pStyle w:val="TableText"/>
              <w:rPr>
                <w:lang w:val="de-CH"/>
              </w:rPr>
            </w:pPr>
            <w:r w:rsidRPr="0039473D">
              <w:rPr>
                <w:lang w:val="de-CH"/>
              </w:rPr>
              <w:t>Pelgar International (Aus) Pty Ltd</w:t>
            </w:r>
          </w:p>
        </w:tc>
        <w:tc>
          <w:tcPr>
            <w:tcW w:w="2832" w:type="dxa"/>
          </w:tcPr>
          <w:p w14:paraId="2B250A56" w14:textId="2478DDF4" w:rsidR="0013519E" w:rsidRPr="00A01ABB" w:rsidRDefault="0013519E" w:rsidP="00BA7F4F">
            <w:pPr>
              <w:pStyle w:val="TableText"/>
            </w:pPr>
            <w:r w:rsidRPr="00A01ABB">
              <w:t xml:space="preserve">Vary formulation type to RB – </w:t>
            </w:r>
            <w:r w:rsidR="005F4C05">
              <w:t>ready-to-use bait</w:t>
            </w:r>
          </w:p>
          <w:p w14:paraId="6FA11BFE" w14:textId="3BC02297" w:rsidR="0013519E" w:rsidRPr="00B8147D" w:rsidRDefault="0013519E" w:rsidP="00286653">
            <w:pPr>
              <w:pStyle w:val="TableText"/>
            </w:pPr>
            <w:r w:rsidRPr="00A01ABB">
              <w:lastRenderedPageBreak/>
              <w:t>Conditional registration: confirm source of active and formulation details of product.</w:t>
            </w:r>
          </w:p>
        </w:tc>
      </w:tr>
      <w:tr w:rsidR="0013519E" w:rsidRPr="00990A23" w14:paraId="10BAB276" w14:textId="77777777" w:rsidTr="00996CF3">
        <w:trPr>
          <w:trHeight w:val="288"/>
        </w:trPr>
        <w:tc>
          <w:tcPr>
            <w:tcW w:w="1498" w:type="dxa"/>
            <w:noWrap/>
            <w:hideMark/>
          </w:tcPr>
          <w:p w14:paraId="149572FB" w14:textId="77777777" w:rsidR="0013519E" w:rsidRPr="00B8147D" w:rsidRDefault="0013519E" w:rsidP="00BA7F4F">
            <w:pPr>
              <w:pStyle w:val="TableText"/>
            </w:pPr>
            <w:r w:rsidRPr="00B8147D">
              <w:lastRenderedPageBreak/>
              <w:t>89203</w:t>
            </w:r>
          </w:p>
        </w:tc>
        <w:tc>
          <w:tcPr>
            <w:tcW w:w="1875" w:type="dxa"/>
            <w:noWrap/>
            <w:hideMark/>
          </w:tcPr>
          <w:p w14:paraId="4468B38B" w14:textId="097AD906" w:rsidR="0013519E" w:rsidRPr="00B8147D" w:rsidRDefault="0013519E" w:rsidP="00BA7F4F">
            <w:pPr>
              <w:pStyle w:val="TableText"/>
            </w:pPr>
            <w:r w:rsidRPr="00B8147D">
              <w:t>The Big Cheese Home Choice Rat &amp; Mouse Killer Ready to Use Bait Station</w:t>
            </w:r>
          </w:p>
        </w:tc>
        <w:tc>
          <w:tcPr>
            <w:tcW w:w="1355" w:type="dxa"/>
          </w:tcPr>
          <w:p w14:paraId="7FBCA359" w14:textId="08149645" w:rsidR="0013519E" w:rsidRPr="00B8147D" w:rsidRDefault="0013519E" w:rsidP="00BA7F4F">
            <w:pPr>
              <w:pStyle w:val="TableText"/>
            </w:pPr>
            <w:r w:rsidRPr="00B8147D">
              <w:t>0.025 g/kg</w:t>
            </w:r>
            <w:r w:rsidRPr="00A01ABB">
              <w:t xml:space="preserve"> difenacoum</w:t>
            </w:r>
          </w:p>
        </w:tc>
        <w:tc>
          <w:tcPr>
            <w:tcW w:w="2078" w:type="dxa"/>
          </w:tcPr>
          <w:p w14:paraId="67343616" w14:textId="71275C31" w:rsidR="0013519E" w:rsidRPr="0039473D" w:rsidRDefault="00A01ABB" w:rsidP="00BA7F4F">
            <w:pPr>
              <w:pStyle w:val="TableText"/>
              <w:rPr>
                <w:lang w:val="de-CH"/>
              </w:rPr>
            </w:pPr>
            <w:r w:rsidRPr="0039473D">
              <w:rPr>
                <w:lang w:val="de-CH"/>
              </w:rPr>
              <w:t>Pelgar International (Aus) Pty Ltd</w:t>
            </w:r>
          </w:p>
        </w:tc>
        <w:tc>
          <w:tcPr>
            <w:tcW w:w="2832" w:type="dxa"/>
          </w:tcPr>
          <w:p w14:paraId="02D394F5" w14:textId="584EEA8F"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6969C178" w14:textId="77777777" w:rsidTr="00996CF3">
        <w:trPr>
          <w:trHeight w:val="288"/>
        </w:trPr>
        <w:tc>
          <w:tcPr>
            <w:tcW w:w="1498" w:type="dxa"/>
            <w:noWrap/>
            <w:hideMark/>
          </w:tcPr>
          <w:p w14:paraId="655D0140" w14:textId="77777777" w:rsidR="0013519E" w:rsidRPr="00B8147D" w:rsidRDefault="0013519E" w:rsidP="00BA7F4F">
            <w:pPr>
              <w:pStyle w:val="TableText"/>
            </w:pPr>
            <w:r w:rsidRPr="00B8147D">
              <w:t>89204</w:t>
            </w:r>
          </w:p>
        </w:tc>
        <w:tc>
          <w:tcPr>
            <w:tcW w:w="1875" w:type="dxa"/>
            <w:noWrap/>
            <w:hideMark/>
          </w:tcPr>
          <w:p w14:paraId="3C05F0C8" w14:textId="5B31C7DE" w:rsidR="0013519E" w:rsidRPr="00B8147D" w:rsidRDefault="0013519E" w:rsidP="00BA7F4F">
            <w:pPr>
              <w:pStyle w:val="TableText"/>
            </w:pPr>
            <w:r w:rsidRPr="00B8147D">
              <w:t>The Big Cheese Home Choice Mouse Killer Bait Station</w:t>
            </w:r>
          </w:p>
        </w:tc>
        <w:tc>
          <w:tcPr>
            <w:tcW w:w="1355" w:type="dxa"/>
          </w:tcPr>
          <w:p w14:paraId="4AF2FE26" w14:textId="46FD3310" w:rsidR="0013519E" w:rsidRPr="00B8147D" w:rsidRDefault="0013519E" w:rsidP="00BA7F4F">
            <w:pPr>
              <w:pStyle w:val="TableText"/>
            </w:pPr>
            <w:r w:rsidRPr="00B8147D">
              <w:t>0.025 g/kg</w:t>
            </w:r>
            <w:r w:rsidRPr="00A01ABB">
              <w:t xml:space="preserve"> difenacoum</w:t>
            </w:r>
          </w:p>
        </w:tc>
        <w:tc>
          <w:tcPr>
            <w:tcW w:w="2078" w:type="dxa"/>
          </w:tcPr>
          <w:p w14:paraId="38105E41" w14:textId="7D775898" w:rsidR="0013519E" w:rsidRPr="0039473D" w:rsidRDefault="00A01ABB" w:rsidP="00BA7F4F">
            <w:pPr>
              <w:pStyle w:val="TableText"/>
              <w:rPr>
                <w:lang w:val="de-CH"/>
              </w:rPr>
            </w:pPr>
            <w:r w:rsidRPr="0039473D">
              <w:rPr>
                <w:lang w:val="de-CH"/>
              </w:rPr>
              <w:t>Pelgar International (Aus) Pty Ltd</w:t>
            </w:r>
          </w:p>
        </w:tc>
        <w:tc>
          <w:tcPr>
            <w:tcW w:w="2832" w:type="dxa"/>
          </w:tcPr>
          <w:p w14:paraId="670CDB4F" w14:textId="605D4743"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68999646" w14:textId="77777777" w:rsidTr="00996CF3">
        <w:trPr>
          <w:trHeight w:val="288"/>
        </w:trPr>
        <w:tc>
          <w:tcPr>
            <w:tcW w:w="1498" w:type="dxa"/>
            <w:noWrap/>
            <w:hideMark/>
          </w:tcPr>
          <w:p w14:paraId="193005B1" w14:textId="77777777" w:rsidR="0013519E" w:rsidRPr="00B8147D" w:rsidRDefault="0013519E" w:rsidP="00BA7F4F">
            <w:pPr>
              <w:pStyle w:val="TableText"/>
            </w:pPr>
            <w:r w:rsidRPr="00B8147D">
              <w:t>89206</w:t>
            </w:r>
          </w:p>
        </w:tc>
        <w:tc>
          <w:tcPr>
            <w:tcW w:w="1875" w:type="dxa"/>
            <w:noWrap/>
            <w:hideMark/>
          </w:tcPr>
          <w:p w14:paraId="62571CC2" w14:textId="77777777" w:rsidR="0013519E" w:rsidRPr="00B8147D" w:rsidRDefault="0013519E" w:rsidP="00BA7F4F">
            <w:pPr>
              <w:pStyle w:val="TableText"/>
            </w:pPr>
            <w:r w:rsidRPr="00B8147D">
              <w:t>The Big Cheese Home Choice Rat Killer Bait Station</w:t>
            </w:r>
          </w:p>
        </w:tc>
        <w:tc>
          <w:tcPr>
            <w:tcW w:w="1355" w:type="dxa"/>
          </w:tcPr>
          <w:p w14:paraId="42F726ED" w14:textId="38AC73C3" w:rsidR="0013519E" w:rsidRPr="00B8147D" w:rsidRDefault="0013519E" w:rsidP="00BA7F4F">
            <w:pPr>
              <w:pStyle w:val="TableText"/>
            </w:pPr>
            <w:r w:rsidRPr="00B8147D">
              <w:t xml:space="preserve">0.025 g/kg </w:t>
            </w:r>
            <w:r w:rsidRPr="00A01ABB">
              <w:t>difenacoum</w:t>
            </w:r>
          </w:p>
        </w:tc>
        <w:tc>
          <w:tcPr>
            <w:tcW w:w="2078" w:type="dxa"/>
          </w:tcPr>
          <w:p w14:paraId="04F7CB1D" w14:textId="0E077BE9" w:rsidR="0013519E" w:rsidRPr="0039473D" w:rsidRDefault="00A01ABB" w:rsidP="00BA7F4F">
            <w:pPr>
              <w:pStyle w:val="TableText"/>
              <w:rPr>
                <w:lang w:val="de-CH"/>
              </w:rPr>
            </w:pPr>
            <w:r w:rsidRPr="0039473D">
              <w:rPr>
                <w:lang w:val="de-CH"/>
              </w:rPr>
              <w:t>Pelgar International (Aus) Pty Ltd</w:t>
            </w:r>
          </w:p>
        </w:tc>
        <w:tc>
          <w:tcPr>
            <w:tcW w:w="2832" w:type="dxa"/>
          </w:tcPr>
          <w:p w14:paraId="1E9D33E2" w14:textId="78C0FA44"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70B81B66" w14:textId="77777777" w:rsidTr="00996CF3">
        <w:trPr>
          <w:trHeight w:val="288"/>
        </w:trPr>
        <w:tc>
          <w:tcPr>
            <w:tcW w:w="1498" w:type="dxa"/>
            <w:noWrap/>
            <w:hideMark/>
          </w:tcPr>
          <w:p w14:paraId="6726E30E" w14:textId="77777777" w:rsidR="0013519E" w:rsidRPr="00B8147D" w:rsidRDefault="0013519E" w:rsidP="00BA7F4F">
            <w:pPr>
              <w:pStyle w:val="TableText"/>
            </w:pPr>
            <w:r w:rsidRPr="00B8147D">
              <w:t>89510</w:t>
            </w:r>
          </w:p>
        </w:tc>
        <w:tc>
          <w:tcPr>
            <w:tcW w:w="1875" w:type="dxa"/>
            <w:noWrap/>
            <w:hideMark/>
          </w:tcPr>
          <w:p w14:paraId="59E171F1" w14:textId="77777777" w:rsidR="0013519E" w:rsidRPr="00B8147D" w:rsidRDefault="0013519E" w:rsidP="00BA7F4F">
            <w:pPr>
              <w:pStyle w:val="TableText"/>
            </w:pPr>
            <w:r w:rsidRPr="00B8147D">
              <w:t>Surefire Difenate Paste Bait Rodenticide</w:t>
            </w:r>
          </w:p>
        </w:tc>
        <w:tc>
          <w:tcPr>
            <w:tcW w:w="1355" w:type="dxa"/>
          </w:tcPr>
          <w:p w14:paraId="38DD0CEF" w14:textId="4AB444E5" w:rsidR="0013519E" w:rsidRPr="00B8147D" w:rsidRDefault="0013519E" w:rsidP="00BA7F4F">
            <w:pPr>
              <w:pStyle w:val="TableText"/>
            </w:pPr>
            <w:r w:rsidRPr="00B8147D">
              <w:t>0.05 g/kg</w:t>
            </w:r>
            <w:r w:rsidRPr="00A01ABB">
              <w:t xml:space="preserve"> difenacoum</w:t>
            </w:r>
          </w:p>
        </w:tc>
        <w:tc>
          <w:tcPr>
            <w:tcW w:w="2078" w:type="dxa"/>
          </w:tcPr>
          <w:p w14:paraId="47036646" w14:textId="5DEF09F5" w:rsidR="0013519E" w:rsidRPr="00B8147D" w:rsidRDefault="00A01ABB" w:rsidP="00BA7F4F">
            <w:pPr>
              <w:pStyle w:val="TableText"/>
            </w:pPr>
            <w:r w:rsidRPr="00A01ABB">
              <w:t>PCT Holdings Pty Ltd</w:t>
            </w:r>
          </w:p>
        </w:tc>
        <w:tc>
          <w:tcPr>
            <w:tcW w:w="2832" w:type="dxa"/>
          </w:tcPr>
          <w:p w14:paraId="1345F343" w14:textId="39365C9D" w:rsidR="0013519E" w:rsidRPr="00B8147D" w:rsidRDefault="0013519E" w:rsidP="00BA7F4F">
            <w:pPr>
              <w:pStyle w:val="TableText"/>
            </w:pPr>
            <w:r w:rsidRPr="00A01ABB">
              <w:t xml:space="preserve">Conditional registration: confirm source of active and formulation details of product. </w:t>
            </w:r>
          </w:p>
        </w:tc>
      </w:tr>
      <w:tr w:rsidR="0013519E" w:rsidRPr="00990A23" w14:paraId="612924F3" w14:textId="77777777" w:rsidTr="00996CF3">
        <w:trPr>
          <w:trHeight w:val="288"/>
        </w:trPr>
        <w:tc>
          <w:tcPr>
            <w:tcW w:w="1498" w:type="dxa"/>
            <w:noWrap/>
            <w:hideMark/>
          </w:tcPr>
          <w:p w14:paraId="62000752" w14:textId="77777777" w:rsidR="0013519E" w:rsidRPr="00B8147D" w:rsidRDefault="0013519E" w:rsidP="00BA7F4F">
            <w:pPr>
              <w:pStyle w:val="TableText"/>
            </w:pPr>
            <w:r w:rsidRPr="00B8147D">
              <w:t>89556</w:t>
            </w:r>
          </w:p>
        </w:tc>
        <w:tc>
          <w:tcPr>
            <w:tcW w:w="1875" w:type="dxa"/>
            <w:noWrap/>
            <w:hideMark/>
          </w:tcPr>
          <w:p w14:paraId="3625CAF4" w14:textId="77777777" w:rsidR="0013519E" w:rsidRPr="00B8147D" w:rsidRDefault="0013519E" w:rsidP="00BA7F4F">
            <w:pPr>
              <w:pStyle w:val="TableText"/>
            </w:pPr>
            <w:r w:rsidRPr="00B8147D">
              <w:t xml:space="preserve">Raticate all-weather block - Difenacoum </w:t>
            </w:r>
          </w:p>
        </w:tc>
        <w:tc>
          <w:tcPr>
            <w:tcW w:w="1355" w:type="dxa"/>
          </w:tcPr>
          <w:p w14:paraId="62E7B746" w14:textId="19CCF8D2" w:rsidR="0013519E" w:rsidRPr="00A01ABB" w:rsidRDefault="0013519E" w:rsidP="00BA7F4F">
            <w:pPr>
              <w:pStyle w:val="TableText"/>
            </w:pPr>
            <w:r w:rsidRPr="00B8147D">
              <w:t>0.05 g/kg</w:t>
            </w:r>
            <w:r w:rsidRPr="00A01ABB">
              <w:t xml:space="preserve"> difenacoum</w:t>
            </w:r>
          </w:p>
        </w:tc>
        <w:tc>
          <w:tcPr>
            <w:tcW w:w="2078" w:type="dxa"/>
          </w:tcPr>
          <w:p w14:paraId="4A4EF8E4" w14:textId="09EAA1D6" w:rsidR="0013519E" w:rsidRPr="00B8147D" w:rsidRDefault="00A01ABB" w:rsidP="00BA7F4F">
            <w:pPr>
              <w:pStyle w:val="TableText"/>
            </w:pPr>
            <w:r w:rsidRPr="00A01ABB">
              <w:t>Freezone Public Health Pty Ltd</w:t>
            </w:r>
          </w:p>
        </w:tc>
        <w:tc>
          <w:tcPr>
            <w:tcW w:w="2832" w:type="dxa"/>
          </w:tcPr>
          <w:p w14:paraId="6E6EE0F4" w14:textId="2FAF3661" w:rsidR="0013519E" w:rsidRPr="00A01ABB" w:rsidRDefault="0013519E" w:rsidP="00BA7F4F">
            <w:pPr>
              <w:pStyle w:val="TableText"/>
            </w:pPr>
            <w:r w:rsidRPr="00A01ABB">
              <w:t xml:space="preserve">Vary formulation type to RB – </w:t>
            </w:r>
            <w:r w:rsidR="005F4C05">
              <w:t>ready-to-use bait</w:t>
            </w:r>
          </w:p>
        </w:tc>
      </w:tr>
      <w:tr w:rsidR="0013519E" w:rsidRPr="00990A23" w14:paraId="04FB566D" w14:textId="77777777" w:rsidTr="00996CF3">
        <w:trPr>
          <w:trHeight w:val="288"/>
        </w:trPr>
        <w:tc>
          <w:tcPr>
            <w:tcW w:w="1498" w:type="dxa"/>
            <w:noWrap/>
          </w:tcPr>
          <w:p w14:paraId="3566C5D1" w14:textId="2BC47E64" w:rsidR="0013519E" w:rsidRPr="00B8147D" w:rsidRDefault="0013519E" w:rsidP="00BA7F4F">
            <w:pPr>
              <w:pStyle w:val="TableText"/>
            </w:pPr>
            <w:r w:rsidRPr="00A01ABB">
              <w:t>91552</w:t>
            </w:r>
          </w:p>
        </w:tc>
        <w:tc>
          <w:tcPr>
            <w:tcW w:w="1875" w:type="dxa"/>
            <w:noWrap/>
          </w:tcPr>
          <w:p w14:paraId="42BFB25A" w14:textId="2C31864A" w:rsidR="0013519E" w:rsidRPr="00B8147D" w:rsidRDefault="0013519E" w:rsidP="00BA7F4F">
            <w:pPr>
              <w:pStyle w:val="TableText"/>
            </w:pPr>
            <w:r w:rsidRPr="00A01ABB">
              <w:t>Titan Onza Blue Rodenticide Grain Bait</w:t>
            </w:r>
          </w:p>
        </w:tc>
        <w:tc>
          <w:tcPr>
            <w:tcW w:w="1355" w:type="dxa"/>
          </w:tcPr>
          <w:p w14:paraId="4F29EEDA" w14:textId="02F9950F" w:rsidR="0013519E" w:rsidRPr="00B8147D" w:rsidRDefault="0013519E" w:rsidP="00BA7F4F">
            <w:pPr>
              <w:pStyle w:val="TableText"/>
            </w:pPr>
            <w:r w:rsidRPr="00A01ABB">
              <w:t>0.05 g/kg difenacoum</w:t>
            </w:r>
          </w:p>
        </w:tc>
        <w:tc>
          <w:tcPr>
            <w:tcW w:w="2078" w:type="dxa"/>
          </w:tcPr>
          <w:p w14:paraId="16BCF7F7" w14:textId="486036F6" w:rsidR="0013519E" w:rsidRPr="00A01ABB" w:rsidRDefault="00A01ABB" w:rsidP="00BA7F4F">
            <w:pPr>
              <w:pStyle w:val="TableText"/>
            </w:pPr>
            <w:r w:rsidRPr="00A01ABB">
              <w:t>Freezone Public Health Pty Ltd</w:t>
            </w:r>
          </w:p>
        </w:tc>
        <w:tc>
          <w:tcPr>
            <w:tcW w:w="2832" w:type="dxa"/>
          </w:tcPr>
          <w:p w14:paraId="6A817F3E" w14:textId="6FC5F5C3" w:rsidR="0013519E" w:rsidRPr="00A01ABB" w:rsidRDefault="0013519E" w:rsidP="00BA7F4F">
            <w:pPr>
              <w:pStyle w:val="TableText"/>
            </w:pPr>
            <w:r w:rsidRPr="00A01ABB">
              <w:t xml:space="preserve">Vary formulation type to RB – </w:t>
            </w:r>
            <w:r w:rsidR="005F4C05">
              <w:t>ready-to-use bait</w:t>
            </w:r>
          </w:p>
        </w:tc>
      </w:tr>
      <w:tr w:rsidR="0013519E" w:rsidRPr="00990A23" w14:paraId="33DF1C6A" w14:textId="77777777" w:rsidTr="00996CF3">
        <w:trPr>
          <w:trHeight w:val="288"/>
        </w:trPr>
        <w:tc>
          <w:tcPr>
            <w:tcW w:w="1498" w:type="dxa"/>
            <w:noWrap/>
          </w:tcPr>
          <w:p w14:paraId="07BEFAD1" w14:textId="74E3066A" w:rsidR="0013519E" w:rsidRPr="00B8147D" w:rsidRDefault="0013519E" w:rsidP="00BA7F4F">
            <w:pPr>
              <w:pStyle w:val="TableText"/>
            </w:pPr>
            <w:r w:rsidRPr="00B8147D">
              <w:t>91555</w:t>
            </w:r>
          </w:p>
        </w:tc>
        <w:tc>
          <w:tcPr>
            <w:tcW w:w="1875" w:type="dxa"/>
            <w:noWrap/>
          </w:tcPr>
          <w:p w14:paraId="44A8CF9C" w14:textId="447A0D30" w:rsidR="0013519E" w:rsidRPr="00B8147D" w:rsidRDefault="0013519E" w:rsidP="00BA7F4F">
            <w:pPr>
              <w:pStyle w:val="TableText"/>
            </w:pPr>
            <w:r w:rsidRPr="00B8147D">
              <w:t>Titan Onza Blue Rodenticide Paste</w:t>
            </w:r>
          </w:p>
        </w:tc>
        <w:tc>
          <w:tcPr>
            <w:tcW w:w="1355" w:type="dxa"/>
          </w:tcPr>
          <w:p w14:paraId="1B31698B" w14:textId="1958CDDF" w:rsidR="0013519E" w:rsidRPr="00B8147D" w:rsidRDefault="0013519E" w:rsidP="00BA7F4F">
            <w:pPr>
              <w:pStyle w:val="TableText"/>
            </w:pPr>
            <w:r w:rsidRPr="00A01ABB">
              <w:t>0.05 g/kg difenacoum</w:t>
            </w:r>
          </w:p>
        </w:tc>
        <w:tc>
          <w:tcPr>
            <w:tcW w:w="2078" w:type="dxa"/>
          </w:tcPr>
          <w:p w14:paraId="51AAB31D" w14:textId="7EDE98E8" w:rsidR="0013519E" w:rsidRPr="00A01ABB" w:rsidRDefault="0013519E" w:rsidP="00BA7F4F">
            <w:pPr>
              <w:pStyle w:val="TableText"/>
            </w:pPr>
            <w:r w:rsidRPr="00B8147D">
              <w:t>Freezone Public Health Pty Ltd</w:t>
            </w:r>
          </w:p>
        </w:tc>
        <w:tc>
          <w:tcPr>
            <w:tcW w:w="2832" w:type="dxa"/>
          </w:tcPr>
          <w:p w14:paraId="1CA65387" w14:textId="18722178" w:rsidR="0013519E" w:rsidRPr="00A01ABB" w:rsidRDefault="0013519E" w:rsidP="00BA7F4F">
            <w:pPr>
              <w:pStyle w:val="TableText"/>
            </w:pPr>
            <w:r w:rsidRPr="00A01ABB">
              <w:t xml:space="preserve">Vary formulation type to RB – </w:t>
            </w:r>
            <w:r w:rsidR="005F4C05">
              <w:t>ready-to-use bait</w:t>
            </w:r>
          </w:p>
        </w:tc>
      </w:tr>
      <w:tr w:rsidR="0013519E" w:rsidRPr="00990A23" w14:paraId="11B91197" w14:textId="77777777" w:rsidTr="00996CF3">
        <w:trPr>
          <w:trHeight w:val="288"/>
        </w:trPr>
        <w:tc>
          <w:tcPr>
            <w:tcW w:w="1498" w:type="dxa"/>
            <w:noWrap/>
          </w:tcPr>
          <w:p w14:paraId="6ACE4E50" w14:textId="2D93ACC4" w:rsidR="0013519E" w:rsidRPr="00B8147D" w:rsidRDefault="0013519E" w:rsidP="00BA7F4F">
            <w:pPr>
              <w:pStyle w:val="TableText"/>
            </w:pPr>
            <w:r w:rsidRPr="00B8147D">
              <w:t>91556</w:t>
            </w:r>
          </w:p>
        </w:tc>
        <w:tc>
          <w:tcPr>
            <w:tcW w:w="1875" w:type="dxa"/>
            <w:noWrap/>
          </w:tcPr>
          <w:p w14:paraId="079F4E06" w14:textId="1557ACA7" w:rsidR="0013519E" w:rsidRPr="00B8147D" w:rsidRDefault="0013519E" w:rsidP="00BA7F4F">
            <w:pPr>
              <w:pStyle w:val="TableText"/>
            </w:pPr>
            <w:r w:rsidRPr="00B8147D">
              <w:t>Titan Onza Blue Rodenticide Blocks</w:t>
            </w:r>
          </w:p>
        </w:tc>
        <w:tc>
          <w:tcPr>
            <w:tcW w:w="1355" w:type="dxa"/>
          </w:tcPr>
          <w:p w14:paraId="0580F282" w14:textId="5F874727" w:rsidR="0013519E" w:rsidRPr="00B8147D" w:rsidRDefault="0013519E" w:rsidP="00BA7F4F">
            <w:pPr>
              <w:pStyle w:val="TableText"/>
            </w:pPr>
            <w:r w:rsidRPr="00A01ABB">
              <w:t>0.05 g/kg difenacoum</w:t>
            </w:r>
          </w:p>
        </w:tc>
        <w:tc>
          <w:tcPr>
            <w:tcW w:w="2078" w:type="dxa"/>
          </w:tcPr>
          <w:p w14:paraId="3EE40CCA" w14:textId="63C17DC1" w:rsidR="0013519E" w:rsidRPr="00A01ABB" w:rsidRDefault="0013519E" w:rsidP="00BA7F4F">
            <w:pPr>
              <w:pStyle w:val="TableText"/>
            </w:pPr>
            <w:r w:rsidRPr="00B8147D">
              <w:t>Freezone Public Health Pty Ltd</w:t>
            </w:r>
          </w:p>
        </w:tc>
        <w:tc>
          <w:tcPr>
            <w:tcW w:w="2832" w:type="dxa"/>
          </w:tcPr>
          <w:p w14:paraId="4DCB77A0" w14:textId="49A8110A" w:rsidR="0013519E" w:rsidRPr="00A01ABB" w:rsidRDefault="0013519E" w:rsidP="00BA7F4F">
            <w:pPr>
              <w:pStyle w:val="TableText"/>
            </w:pPr>
            <w:r w:rsidRPr="00A01ABB">
              <w:t xml:space="preserve">Vary formulation type to RB – </w:t>
            </w:r>
            <w:r w:rsidR="005F4C05">
              <w:t>ready-to-use bait</w:t>
            </w:r>
          </w:p>
        </w:tc>
      </w:tr>
      <w:tr w:rsidR="0013519E" w:rsidRPr="00990A23" w14:paraId="21534F93" w14:textId="77777777" w:rsidTr="00996CF3">
        <w:trPr>
          <w:trHeight w:val="288"/>
        </w:trPr>
        <w:tc>
          <w:tcPr>
            <w:tcW w:w="1498" w:type="dxa"/>
            <w:noWrap/>
          </w:tcPr>
          <w:p w14:paraId="680697FD" w14:textId="343F5EAB" w:rsidR="0013519E" w:rsidRPr="00B8147D" w:rsidRDefault="0013519E" w:rsidP="00BA7F4F">
            <w:pPr>
              <w:pStyle w:val="TableText"/>
            </w:pPr>
            <w:r w:rsidRPr="00B8147D">
              <w:t>91657</w:t>
            </w:r>
          </w:p>
        </w:tc>
        <w:tc>
          <w:tcPr>
            <w:tcW w:w="1875" w:type="dxa"/>
            <w:noWrap/>
          </w:tcPr>
          <w:p w14:paraId="6001BC6B" w14:textId="7E1F9504" w:rsidR="0013519E" w:rsidRPr="00B8147D" w:rsidRDefault="0013519E" w:rsidP="00BA7F4F">
            <w:pPr>
              <w:pStyle w:val="TableText"/>
            </w:pPr>
            <w:r w:rsidRPr="00B8147D">
              <w:t>Pestmaster Difenacoum Rat &amp; Mouse Killer Blocks</w:t>
            </w:r>
          </w:p>
        </w:tc>
        <w:tc>
          <w:tcPr>
            <w:tcW w:w="1355" w:type="dxa"/>
          </w:tcPr>
          <w:p w14:paraId="3DA64A36" w14:textId="1CA4C4EC" w:rsidR="0013519E" w:rsidRPr="00B8147D" w:rsidRDefault="0013519E" w:rsidP="00BA7F4F">
            <w:pPr>
              <w:pStyle w:val="TableText"/>
            </w:pPr>
            <w:r w:rsidRPr="00A01ABB">
              <w:t>0.05 g/kg difenacoum</w:t>
            </w:r>
          </w:p>
        </w:tc>
        <w:tc>
          <w:tcPr>
            <w:tcW w:w="2078" w:type="dxa"/>
          </w:tcPr>
          <w:p w14:paraId="2F79BE54" w14:textId="78235EFB" w:rsidR="0013519E" w:rsidRPr="00A01ABB" w:rsidRDefault="0013519E" w:rsidP="00BA7F4F">
            <w:pPr>
              <w:pStyle w:val="TableText"/>
            </w:pPr>
            <w:r w:rsidRPr="00B8147D">
              <w:t>Triox Pty. Ltd.</w:t>
            </w:r>
          </w:p>
        </w:tc>
        <w:tc>
          <w:tcPr>
            <w:tcW w:w="2832" w:type="dxa"/>
          </w:tcPr>
          <w:p w14:paraId="6C8765A5" w14:textId="4505E7E1" w:rsidR="0013519E" w:rsidRPr="00A01ABB" w:rsidRDefault="0013519E" w:rsidP="00BA7F4F">
            <w:pPr>
              <w:pStyle w:val="TableText"/>
            </w:pPr>
            <w:r w:rsidRPr="00A01ABB">
              <w:t xml:space="preserve">Vary formulation type to RB – </w:t>
            </w:r>
            <w:r w:rsidR="005F4C05">
              <w:t>ready-to-use bait</w:t>
            </w:r>
          </w:p>
        </w:tc>
      </w:tr>
      <w:tr w:rsidR="0013519E" w:rsidRPr="00990A23" w14:paraId="336E1482" w14:textId="77777777" w:rsidTr="00996CF3">
        <w:trPr>
          <w:trHeight w:val="288"/>
        </w:trPr>
        <w:tc>
          <w:tcPr>
            <w:tcW w:w="1498" w:type="dxa"/>
            <w:noWrap/>
          </w:tcPr>
          <w:p w14:paraId="539DEF0E" w14:textId="13870CD0" w:rsidR="0013519E" w:rsidRPr="00B8147D" w:rsidRDefault="0013519E" w:rsidP="00BA7F4F">
            <w:pPr>
              <w:pStyle w:val="TableText"/>
            </w:pPr>
            <w:r w:rsidRPr="00B8147D">
              <w:t>92812</w:t>
            </w:r>
          </w:p>
        </w:tc>
        <w:tc>
          <w:tcPr>
            <w:tcW w:w="1875" w:type="dxa"/>
            <w:noWrap/>
          </w:tcPr>
          <w:p w14:paraId="6CE8D4D5" w14:textId="3F034B39" w:rsidR="0013519E" w:rsidRPr="00B8147D" w:rsidRDefault="0013519E" w:rsidP="00BA7F4F">
            <w:pPr>
              <w:pStyle w:val="TableText"/>
            </w:pPr>
            <w:r w:rsidRPr="00B8147D">
              <w:t>Roban 25 All Weather Block Bait</w:t>
            </w:r>
          </w:p>
        </w:tc>
        <w:tc>
          <w:tcPr>
            <w:tcW w:w="1355" w:type="dxa"/>
          </w:tcPr>
          <w:p w14:paraId="3B39ED09" w14:textId="7C69A45E" w:rsidR="0013519E" w:rsidRPr="00B8147D" w:rsidRDefault="0013519E" w:rsidP="00BA7F4F">
            <w:pPr>
              <w:pStyle w:val="TableText"/>
            </w:pPr>
            <w:r w:rsidRPr="00A01ABB">
              <w:t>0.05 g/kg difenacoum</w:t>
            </w:r>
          </w:p>
        </w:tc>
        <w:tc>
          <w:tcPr>
            <w:tcW w:w="2078" w:type="dxa"/>
          </w:tcPr>
          <w:p w14:paraId="38473D46" w14:textId="7BD3A21B" w:rsidR="0013519E" w:rsidRPr="0039473D" w:rsidRDefault="0013519E" w:rsidP="00BA7F4F">
            <w:pPr>
              <w:pStyle w:val="TableText"/>
              <w:rPr>
                <w:lang w:val="de-CH"/>
              </w:rPr>
            </w:pPr>
            <w:r w:rsidRPr="0039473D">
              <w:rPr>
                <w:lang w:val="de-CH"/>
              </w:rPr>
              <w:t>Pelgar International (Aus) Pty Ltd</w:t>
            </w:r>
          </w:p>
        </w:tc>
        <w:tc>
          <w:tcPr>
            <w:tcW w:w="2832" w:type="dxa"/>
          </w:tcPr>
          <w:p w14:paraId="20067974" w14:textId="1C4DC647" w:rsidR="0013519E" w:rsidRPr="00A01ABB" w:rsidRDefault="0013519E" w:rsidP="00BA7F4F">
            <w:pPr>
              <w:pStyle w:val="TableText"/>
            </w:pPr>
            <w:r w:rsidRPr="00A01ABB">
              <w:t xml:space="preserve">Vary formulation type to RB – </w:t>
            </w:r>
            <w:r w:rsidR="005F4C05">
              <w:t>ready-to-use bait</w:t>
            </w:r>
          </w:p>
        </w:tc>
      </w:tr>
      <w:tr w:rsidR="0013519E" w:rsidRPr="00990A23" w14:paraId="2EE24F03" w14:textId="77777777" w:rsidTr="00996CF3">
        <w:trPr>
          <w:trHeight w:val="288"/>
        </w:trPr>
        <w:tc>
          <w:tcPr>
            <w:tcW w:w="1498" w:type="dxa"/>
            <w:noWrap/>
          </w:tcPr>
          <w:p w14:paraId="1A0F0E3A" w14:textId="4212B2D1" w:rsidR="0013519E" w:rsidRPr="00B8147D" w:rsidRDefault="0013519E" w:rsidP="00BA7F4F">
            <w:pPr>
              <w:pStyle w:val="TableText"/>
            </w:pPr>
            <w:r w:rsidRPr="00B8147D">
              <w:t>94917</w:t>
            </w:r>
          </w:p>
        </w:tc>
        <w:tc>
          <w:tcPr>
            <w:tcW w:w="1875" w:type="dxa"/>
            <w:noWrap/>
          </w:tcPr>
          <w:p w14:paraId="4EA197FE" w14:textId="6262D324" w:rsidR="0013519E" w:rsidRPr="00B8147D" w:rsidRDefault="0013519E" w:rsidP="00BA7F4F">
            <w:pPr>
              <w:pStyle w:val="TableText"/>
            </w:pPr>
            <w:r w:rsidRPr="00B8147D">
              <w:t>No Mice Difend Rodenticide Blocks</w:t>
            </w:r>
          </w:p>
        </w:tc>
        <w:tc>
          <w:tcPr>
            <w:tcW w:w="1355" w:type="dxa"/>
          </w:tcPr>
          <w:p w14:paraId="2850CBB5" w14:textId="044AF668" w:rsidR="0013519E" w:rsidRPr="00B8147D" w:rsidRDefault="0013519E" w:rsidP="00BA7F4F">
            <w:pPr>
              <w:pStyle w:val="TableText"/>
            </w:pPr>
            <w:r w:rsidRPr="00A01ABB">
              <w:t>0.05 g/kg difenacoum</w:t>
            </w:r>
          </w:p>
        </w:tc>
        <w:tc>
          <w:tcPr>
            <w:tcW w:w="2078" w:type="dxa"/>
          </w:tcPr>
          <w:p w14:paraId="3EA3AFD4" w14:textId="4ADB9D97" w:rsidR="0013519E" w:rsidRPr="0039473D" w:rsidRDefault="0013519E" w:rsidP="00BA7F4F">
            <w:pPr>
              <w:pStyle w:val="TableText"/>
              <w:rPr>
                <w:lang w:val="de-CH"/>
              </w:rPr>
            </w:pPr>
            <w:r w:rsidRPr="0039473D">
              <w:rPr>
                <w:lang w:val="de-CH"/>
              </w:rPr>
              <w:t>Pelgar International (Aus) Pty Ltd</w:t>
            </w:r>
          </w:p>
        </w:tc>
        <w:tc>
          <w:tcPr>
            <w:tcW w:w="2832" w:type="dxa"/>
          </w:tcPr>
          <w:p w14:paraId="289D2006" w14:textId="580336A3" w:rsidR="0013519E" w:rsidRPr="00A01ABB" w:rsidRDefault="0013519E" w:rsidP="00BA7F4F">
            <w:pPr>
              <w:pStyle w:val="TableText"/>
            </w:pPr>
            <w:r w:rsidRPr="00A01ABB">
              <w:t xml:space="preserve">Vary formulation type to RB – </w:t>
            </w:r>
            <w:r w:rsidR="005F4C05">
              <w:t>ready-to-use bait</w:t>
            </w:r>
          </w:p>
        </w:tc>
      </w:tr>
    </w:tbl>
    <w:p w14:paraId="745841EF" w14:textId="3ADE87AD" w:rsidR="00996CF3" w:rsidRDefault="00996CF3" w:rsidP="00996CF3">
      <w:pPr>
        <w:pStyle w:val="NormalText"/>
      </w:pPr>
      <w:r>
        <w:t xml:space="preserve">The current registrations for difenacoum chemical products listed in </w:t>
      </w:r>
      <w:r>
        <w:fldChar w:fldCharType="begin"/>
      </w:r>
      <w:r>
        <w:instrText xml:space="preserve"> REF _Ref213095774 \h </w:instrText>
      </w:r>
      <w:r>
        <w:fldChar w:fldCharType="separate"/>
      </w:r>
      <w:r w:rsidR="003861AC">
        <w:t xml:space="preserve">Table </w:t>
      </w:r>
      <w:r w:rsidR="003861AC">
        <w:rPr>
          <w:noProof/>
        </w:rPr>
        <w:t>41</w:t>
      </w:r>
      <w:r>
        <w:fldChar w:fldCharType="end"/>
      </w:r>
      <w:r>
        <w:t>:</w:t>
      </w:r>
    </w:p>
    <w:p w14:paraId="78E65E97" w14:textId="77777777" w:rsidR="00996CF3" w:rsidRDefault="00996CF3" w:rsidP="00996CF3">
      <w:pPr>
        <w:pStyle w:val="Bullet1"/>
      </w:pPr>
      <w:r>
        <w:t xml:space="preserve">Are </w:t>
      </w:r>
      <w:r w:rsidRPr="002629BC">
        <w:rPr>
          <w:b/>
          <w:bCs/>
        </w:rPr>
        <w:t>not supported</w:t>
      </w:r>
      <w:r>
        <w:t xml:space="preserve"> if the formulation in the APVMA Register does not contain the requisite bittering agent and/or dye as constituents.</w:t>
      </w:r>
    </w:p>
    <w:p w14:paraId="38C7AEEE" w14:textId="54FBD644" w:rsidR="00996CF3" w:rsidRDefault="00996CF3" w:rsidP="00996CF3">
      <w:pPr>
        <w:pStyle w:val="Bullet1"/>
      </w:pPr>
      <w:r>
        <w:t>Are supported in this chemistry and manufacture risk assessment in all other instances, subject to:</w:t>
      </w:r>
    </w:p>
    <w:p w14:paraId="5F8EC5D6" w14:textId="77777777" w:rsidR="00996CF3" w:rsidRDefault="00996CF3" w:rsidP="00286653">
      <w:pPr>
        <w:pStyle w:val="Bullet2"/>
      </w:pPr>
      <w:r>
        <w:t>Update of the formulation types recorded for in the APVMA Register to the contemporary designation of ‘ready-to-use bait (RB)’, in place of the more common currently used ‘bait (BA)’;</w:t>
      </w:r>
    </w:p>
    <w:p w14:paraId="034899BB" w14:textId="2E734794" w:rsidR="00996CF3" w:rsidRDefault="00996CF3" w:rsidP="00286653">
      <w:pPr>
        <w:pStyle w:val="Bullet2"/>
      </w:pPr>
      <w:r>
        <w:lastRenderedPageBreak/>
        <w:t xml:space="preserve">The </w:t>
      </w:r>
      <w:r w:rsidRPr="00C2685A">
        <w:t xml:space="preserve">manufacturing source(s) of active constituent used and the formulation details of </w:t>
      </w:r>
      <w:r>
        <w:t>relevant chemical products being confirmed by the holders, and appropriate</w:t>
      </w:r>
      <w:r w:rsidRPr="00C2685A">
        <w:t xml:space="preserve"> supporting information</w:t>
      </w:r>
      <w:r>
        <w:t xml:space="preserve"> is provided as required</w:t>
      </w:r>
      <w:r w:rsidRPr="00C2685A">
        <w:t>.</w:t>
      </w:r>
      <w:r>
        <w:t xml:space="preserve"> The APVMA Register for difenacoum products is updated as required.</w:t>
      </w:r>
    </w:p>
    <w:p w14:paraId="141428CF" w14:textId="5A55B76B" w:rsidR="00B124E3" w:rsidRDefault="00B124E3" w:rsidP="00377F3A">
      <w:pPr>
        <w:pStyle w:val="Heading3"/>
      </w:pPr>
      <w:bookmarkStart w:id="419" w:name="_Toc215150633"/>
      <w:bookmarkStart w:id="420" w:name="_Toc215150634"/>
      <w:bookmarkStart w:id="421" w:name="_Toc215150635"/>
      <w:bookmarkStart w:id="422" w:name="_Toc213153582"/>
      <w:bookmarkStart w:id="423" w:name="_Toc213334633"/>
      <w:bookmarkStart w:id="424" w:name="_Toc213771427"/>
      <w:bookmarkStart w:id="425" w:name="_Toc213943185"/>
      <w:bookmarkStart w:id="426" w:name="_Toc213944965"/>
      <w:bookmarkStart w:id="427" w:name="_Toc213153583"/>
      <w:bookmarkStart w:id="428" w:name="_Toc213334634"/>
      <w:bookmarkStart w:id="429" w:name="_Toc213771428"/>
      <w:bookmarkStart w:id="430" w:name="_Toc213943186"/>
      <w:bookmarkStart w:id="431" w:name="_Toc213944966"/>
      <w:bookmarkStart w:id="432" w:name="_Toc213153584"/>
      <w:bookmarkStart w:id="433" w:name="_Toc213334635"/>
      <w:bookmarkStart w:id="434" w:name="_Toc213771429"/>
      <w:bookmarkStart w:id="435" w:name="_Toc213943187"/>
      <w:bookmarkStart w:id="436" w:name="_Toc213944967"/>
      <w:bookmarkStart w:id="437" w:name="_Toc213153585"/>
      <w:bookmarkStart w:id="438" w:name="_Toc213334636"/>
      <w:bookmarkStart w:id="439" w:name="_Toc213771430"/>
      <w:bookmarkStart w:id="440" w:name="_Toc213943188"/>
      <w:bookmarkStart w:id="441" w:name="_Toc213944968"/>
      <w:bookmarkStart w:id="442" w:name="_Toc213153586"/>
      <w:bookmarkStart w:id="443" w:name="_Toc213334637"/>
      <w:bookmarkStart w:id="444" w:name="_Toc213771431"/>
      <w:bookmarkStart w:id="445" w:name="_Toc213943189"/>
      <w:bookmarkStart w:id="446" w:name="_Toc213944969"/>
      <w:bookmarkStart w:id="447" w:name="_Toc213153587"/>
      <w:bookmarkStart w:id="448" w:name="_Toc213334638"/>
      <w:bookmarkStart w:id="449" w:name="_Toc213771432"/>
      <w:bookmarkStart w:id="450" w:name="_Toc213943190"/>
      <w:bookmarkStart w:id="451" w:name="_Toc213944970"/>
      <w:bookmarkStart w:id="452" w:name="_Toc213153588"/>
      <w:bookmarkStart w:id="453" w:name="_Toc213334639"/>
      <w:bookmarkStart w:id="454" w:name="_Toc213771433"/>
      <w:bookmarkStart w:id="455" w:name="_Toc213943191"/>
      <w:bookmarkStart w:id="456" w:name="_Toc213944971"/>
      <w:bookmarkStart w:id="457" w:name="_Toc213153589"/>
      <w:bookmarkStart w:id="458" w:name="_Toc213334640"/>
      <w:bookmarkStart w:id="459" w:name="_Toc213771434"/>
      <w:bookmarkStart w:id="460" w:name="_Toc213943192"/>
      <w:bookmarkStart w:id="461" w:name="_Toc213944972"/>
      <w:bookmarkStart w:id="462" w:name="_Toc213334641"/>
      <w:bookmarkStart w:id="463" w:name="_Toc213771435"/>
      <w:bookmarkStart w:id="464" w:name="_Toc213943193"/>
      <w:bookmarkStart w:id="465" w:name="_Toc213944973"/>
      <w:bookmarkStart w:id="466" w:name="_Toc213334642"/>
      <w:bookmarkStart w:id="467" w:name="_Toc213771436"/>
      <w:bookmarkStart w:id="468" w:name="_Toc213943194"/>
      <w:bookmarkStart w:id="469" w:name="_Toc213944974"/>
      <w:bookmarkStart w:id="470" w:name="_Toc213334643"/>
      <w:bookmarkStart w:id="471" w:name="_Toc213771437"/>
      <w:bookmarkStart w:id="472" w:name="_Toc213943195"/>
      <w:bookmarkStart w:id="473" w:name="_Toc213944975"/>
      <w:bookmarkStart w:id="474" w:name="_Toc213334672"/>
      <w:bookmarkStart w:id="475" w:name="_Toc213771466"/>
      <w:bookmarkStart w:id="476" w:name="_Toc213943224"/>
      <w:bookmarkStart w:id="477" w:name="_Toc213945004"/>
      <w:bookmarkStart w:id="478" w:name="_Toc213334715"/>
      <w:bookmarkStart w:id="479" w:name="_Toc213771509"/>
      <w:bookmarkStart w:id="480" w:name="_Toc213943267"/>
      <w:bookmarkStart w:id="481" w:name="_Toc213945047"/>
      <w:bookmarkStart w:id="482" w:name="_Toc213334716"/>
      <w:bookmarkStart w:id="483" w:name="_Toc213771510"/>
      <w:bookmarkStart w:id="484" w:name="_Toc213943268"/>
      <w:bookmarkStart w:id="485" w:name="_Toc213945048"/>
      <w:bookmarkStart w:id="486" w:name="_Toc213334717"/>
      <w:bookmarkStart w:id="487" w:name="_Toc213771511"/>
      <w:bookmarkStart w:id="488" w:name="_Toc213943269"/>
      <w:bookmarkStart w:id="489" w:name="_Toc213945049"/>
      <w:bookmarkStart w:id="490" w:name="_Toc213334718"/>
      <w:bookmarkStart w:id="491" w:name="_Toc213771512"/>
      <w:bookmarkStart w:id="492" w:name="_Toc213943270"/>
      <w:bookmarkStart w:id="493" w:name="_Toc213945050"/>
      <w:bookmarkStart w:id="494" w:name="_Toc213334732"/>
      <w:bookmarkStart w:id="495" w:name="_Toc213771526"/>
      <w:bookmarkStart w:id="496" w:name="_Toc213943284"/>
      <w:bookmarkStart w:id="497" w:name="_Toc213945064"/>
      <w:bookmarkStart w:id="498" w:name="_Toc213334733"/>
      <w:bookmarkStart w:id="499" w:name="_Toc213771527"/>
      <w:bookmarkStart w:id="500" w:name="_Toc213943285"/>
      <w:bookmarkStart w:id="501" w:name="_Toc213945065"/>
      <w:bookmarkStart w:id="502" w:name="_Toc213334734"/>
      <w:bookmarkStart w:id="503" w:name="_Toc213771528"/>
      <w:bookmarkStart w:id="504" w:name="_Toc213943286"/>
      <w:bookmarkStart w:id="505" w:name="_Toc213945066"/>
      <w:bookmarkStart w:id="506" w:name="_Toc213334744"/>
      <w:bookmarkStart w:id="507" w:name="_Toc213771538"/>
      <w:bookmarkStart w:id="508" w:name="_Toc213943296"/>
      <w:bookmarkStart w:id="509" w:name="_Toc213945076"/>
      <w:bookmarkStart w:id="510" w:name="_Toc213334745"/>
      <w:bookmarkStart w:id="511" w:name="_Toc213771539"/>
      <w:bookmarkStart w:id="512" w:name="_Toc213943297"/>
      <w:bookmarkStart w:id="513" w:name="_Toc213945077"/>
      <w:bookmarkStart w:id="514" w:name="_Toc213334746"/>
      <w:bookmarkStart w:id="515" w:name="_Toc213771540"/>
      <w:bookmarkStart w:id="516" w:name="_Toc213943298"/>
      <w:bookmarkStart w:id="517" w:name="_Toc213945078"/>
      <w:bookmarkStart w:id="518" w:name="_Toc213334747"/>
      <w:bookmarkStart w:id="519" w:name="_Toc213771541"/>
      <w:bookmarkStart w:id="520" w:name="_Toc213943299"/>
      <w:bookmarkStart w:id="521" w:name="_Toc213945079"/>
      <w:bookmarkStart w:id="522" w:name="_Toc213334748"/>
      <w:bookmarkStart w:id="523" w:name="_Toc213771542"/>
      <w:bookmarkStart w:id="524" w:name="_Toc213943300"/>
      <w:bookmarkStart w:id="525" w:name="_Toc213945080"/>
      <w:bookmarkStart w:id="526" w:name="_Toc213334749"/>
      <w:bookmarkStart w:id="527" w:name="_Toc213771543"/>
      <w:bookmarkStart w:id="528" w:name="_Toc213943301"/>
      <w:bookmarkStart w:id="529" w:name="_Toc213945081"/>
      <w:bookmarkStart w:id="530" w:name="_Toc214025473"/>
      <w:bookmarkStart w:id="531" w:name="_Toc216695557"/>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t>Formulated products - Difethialone</w:t>
      </w:r>
      <w:bookmarkEnd w:id="530"/>
      <w:bookmarkEnd w:id="531"/>
    </w:p>
    <w:p w14:paraId="5B349406" w14:textId="3E594540" w:rsidR="008506D3" w:rsidRDefault="00996CF3" w:rsidP="00B124E3">
      <w:pPr>
        <w:pStyle w:val="NormalText"/>
      </w:pPr>
      <w:r w:rsidRPr="00BD2F8D">
        <w:t xml:space="preserve">A summary of the current </w:t>
      </w:r>
      <w:r>
        <w:t>registered chemical products</w:t>
      </w:r>
      <w:r w:rsidRPr="00BD2F8D">
        <w:t xml:space="preserve"> </w:t>
      </w:r>
      <w:r>
        <w:t>containing difethialone</w:t>
      </w:r>
      <w:r w:rsidRPr="009A1704">
        <w:t xml:space="preserve"> </w:t>
      </w:r>
      <w:r w:rsidRPr="00BD2F8D">
        <w:t xml:space="preserve">and recommendations based on review of the information entered in the APVMA’s </w:t>
      </w:r>
      <w:r>
        <w:t xml:space="preserve">Register </w:t>
      </w:r>
      <w:r w:rsidRPr="00BD2F8D">
        <w:t xml:space="preserve">is provided </w:t>
      </w:r>
      <w:r>
        <w:t xml:space="preserve">in </w:t>
      </w:r>
      <w:r>
        <w:fldChar w:fldCharType="begin"/>
      </w:r>
      <w:r>
        <w:instrText xml:space="preserve"> REF _Ref213155597 \h </w:instrText>
      </w:r>
      <w:r>
        <w:fldChar w:fldCharType="separate"/>
      </w:r>
      <w:r w:rsidR="003861AC">
        <w:t xml:space="preserve">Table </w:t>
      </w:r>
      <w:r w:rsidR="003861AC">
        <w:rPr>
          <w:noProof/>
        </w:rPr>
        <w:t>42</w:t>
      </w:r>
      <w:r>
        <w:fldChar w:fldCharType="end"/>
      </w:r>
      <w:r>
        <w:t xml:space="preserve">. </w:t>
      </w:r>
      <w:r w:rsidR="00B124E3">
        <w:t>The registered ready</w:t>
      </w:r>
      <w:r w:rsidR="005F4C05">
        <w:t>-</w:t>
      </w:r>
      <w:r w:rsidR="00B124E3">
        <w:t>to</w:t>
      </w:r>
      <w:r w:rsidR="005F4C05">
        <w:t>-</w:t>
      </w:r>
      <w:r w:rsidR="00B124E3">
        <w:t>use bait formulations containing 0.025 g/kg difethialone.</w:t>
      </w:r>
    </w:p>
    <w:p w14:paraId="24B6B0A4" w14:textId="6C16C1FC" w:rsidR="00B124E3" w:rsidRDefault="00B124E3" w:rsidP="00377F3A">
      <w:pPr>
        <w:pStyle w:val="Caption"/>
      </w:pPr>
      <w:bookmarkStart w:id="532" w:name="_Ref213155597"/>
      <w:bookmarkStart w:id="533" w:name="_Toc213946018"/>
      <w:bookmarkStart w:id="534" w:name="_Toc216695704"/>
      <w:r>
        <w:t xml:space="preserve">Table </w:t>
      </w:r>
      <w:r>
        <w:fldChar w:fldCharType="begin"/>
      </w:r>
      <w:r>
        <w:instrText xml:space="preserve"> SEQ Table \* ARABIC </w:instrText>
      </w:r>
      <w:r>
        <w:fldChar w:fldCharType="separate"/>
      </w:r>
      <w:r w:rsidR="003861AC">
        <w:rPr>
          <w:noProof/>
        </w:rPr>
        <w:t>42</w:t>
      </w:r>
      <w:r>
        <w:rPr>
          <w:noProof/>
        </w:rPr>
        <w:fldChar w:fldCharType="end"/>
      </w:r>
      <w:bookmarkEnd w:id="532"/>
      <w:r w:rsidR="00C66E16">
        <w:rPr>
          <w:noProof/>
        </w:rPr>
        <w:t>:</w:t>
      </w:r>
      <w:r>
        <w:t xml:space="preserve"> Current registered products containing difethialone</w:t>
      </w:r>
      <w:bookmarkEnd w:id="533"/>
      <w:bookmarkEnd w:id="534"/>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2"/>
        <w:gridCol w:w="2552"/>
        <w:gridCol w:w="1561"/>
        <w:gridCol w:w="1561"/>
        <w:gridCol w:w="2972"/>
      </w:tblGrid>
      <w:tr w:rsidR="00732D50" w:rsidRPr="009C5CEC" w14:paraId="75C561A1" w14:textId="77777777" w:rsidTr="0017134F">
        <w:trPr>
          <w:trHeight w:val="288"/>
          <w:tblHeader/>
        </w:trPr>
        <w:tc>
          <w:tcPr>
            <w:tcW w:w="514" w:type="pct"/>
            <w:shd w:val="clear" w:color="auto" w:fill="53284F"/>
            <w:noWrap/>
            <w:hideMark/>
          </w:tcPr>
          <w:p w14:paraId="0FA352C8" w14:textId="77777777" w:rsidR="0061537A" w:rsidRPr="009C5CEC" w:rsidRDefault="0061537A" w:rsidP="00377F3A">
            <w:pPr>
              <w:pStyle w:val="TableHead"/>
            </w:pPr>
            <w:r w:rsidRPr="009C5CEC">
              <w:t>Product number</w:t>
            </w:r>
          </w:p>
        </w:tc>
        <w:tc>
          <w:tcPr>
            <w:tcW w:w="1324" w:type="pct"/>
            <w:shd w:val="clear" w:color="auto" w:fill="53284F"/>
            <w:noWrap/>
            <w:hideMark/>
          </w:tcPr>
          <w:p w14:paraId="07AB75E9" w14:textId="77777777" w:rsidR="0061537A" w:rsidRPr="009C5CEC" w:rsidRDefault="0061537A" w:rsidP="00377F3A">
            <w:pPr>
              <w:pStyle w:val="TableHead"/>
            </w:pPr>
            <w:r w:rsidRPr="009C5CEC">
              <w:t>Product name</w:t>
            </w:r>
          </w:p>
        </w:tc>
        <w:tc>
          <w:tcPr>
            <w:tcW w:w="810" w:type="pct"/>
            <w:shd w:val="clear" w:color="auto" w:fill="53284F"/>
          </w:tcPr>
          <w:p w14:paraId="57D72869" w14:textId="77777777" w:rsidR="0061537A" w:rsidRPr="009C5CEC" w:rsidRDefault="0061537A" w:rsidP="00377F3A">
            <w:pPr>
              <w:pStyle w:val="TableHead"/>
            </w:pPr>
            <w:r>
              <w:t>Active content</w:t>
            </w:r>
          </w:p>
        </w:tc>
        <w:tc>
          <w:tcPr>
            <w:tcW w:w="810" w:type="pct"/>
            <w:shd w:val="clear" w:color="auto" w:fill="53284F"/>
          </w:tcPr>
          <w:p w14:paraId="400D916B" w14:textId="6CEA580F" w:rsidR="0061537A" w:rsidDel="00C66E16" w:rsidRDefault="0061537A" w:rsidP="00377F3A">
            <w:pPr>
              <w:pStyle w:val="TableHead"/>
            </w:pPr>
            <w:r>
              <w:t>Holder</w:t>
            </w:r>
          </w:p>
        </w:tc>
        <w:tc>
          <w:tcPr>
            <w:tcW w:w="1543" w:type="pct"/>
            <w:shd w:val="clear" w:color="auto" w:fill="53284F"/>
          </w:tcPr>
          <w:p w14:paraId="743629E5" w14:textId="4D08DCB6" w:rsidR="0061537A" w:rsidRPr="009C5CEC" w:rsidRDefault="0061537A" w:rsidP="00377F3A">
            <w:pPr>
              <w:pStyle w:val="TableHead"/>
            </w:pPr>
            <w:r>
              <w:t>Recommendation</w:t>
            </w:r>
          </w:p>
        </w:tc>
      </w:tr>
      <w:tr w:rsidR="0061537A" w:rsidRPr="009C5CEC" w14:paraId="10933BE1" w14:textId="77777777" w:rsidTr="00286653">
        <w:trPr>
          <w:trHeight w:val="413"/>
        </w:trPr>
        <w:tc>
          <w:tcPr>
            <w:tcW w:w="514" w:type="pct"/>
            <w:noWrap/>
          </w:tcPr>
          <w:p w14:paraId="303F5AFF" w14:textId="77777777" w:rsidR="0061537A" w:rsidRPr="00732D50" w:rsidRDefault="0061537A" w:rsidP="00377F3A">
            <w:pPr>
              <w:pStyle w:val="TableText"/>
            </w:pPr>
            <w:r w:rsidRPr="00732D50">
              <w:t>62178</w:t>
            </w:r>
          </w:p>
        </w:tc>
        <w:tc>
          <w:tcPr>
            <w:tcW w:w="1324" w:type="pct"/>
            <w:noWrap/>
          </w:tcPr>
          <w:p w14:paraId="0992A5B5" w14:textId="77777777" w:rsidR="0061537A" w:rsidRPr="00732D50" w:rsidRDefault="0061537A" w:rsidP="00377F3A">
            <w:pPr>
              <w:pStyle w:val="TableText"/>
            </w:pPr>
            <w:r w:rsidRPr="00732D50">
              <w:t>Generation Blue Max Block Single-Feed Rodenticide</w:t>
            </w:r>
          </w:p>
        </w:tc>
        <w:tc>
          <w:tcPr>
            <w:tcW w:w="810" w:type="pct"/>
          </w:tcPr>
          <w:p w14:paraId="59EBC5A7" w14:textId="52B734EE" w:rsidR="0061537A" w:rsidRPr="00732D50" w:rsidRDefault="0061537A" w:rsidP="00377F3A">
            <w:pPr>
              <w:pStyle w:val="TableText"/>
            </w:pPr>
            <w:r w:rsidRPr="00732D50">
              <w:t>0.025 g/kg difethialone</w:t>
            </w:r>
          </w:p>
        </w:tc>
        <w:tc>
          <w:tcPr>
            <w:tcW w:w="810" w:type="pct"/>
          </w:tcPr>
          <w:p w14:paraId="3BBAECBB" w14:textId="75411A6D" w:rsidR="0061537A" w:rsidRPr="00732D50" w:rsidRDefault="0061537A" w:rsidP="00377F3A">
            <w:pPr>
              <w:pStyle w:val="TableText"/>
            </w:pPr>
            <w:r w:rsidRPr="00732D50">
              <w:t>Liphatech SAS</w:t>
            </w:r>
          </w:p>
        </w:tc>
        <w:tc>
          <w:tcPr>
            <w:tcW w:w="1543" w:type="pct"/>
          </w:tcPr>
          <w:p w14:paraId="450A7AA6" w14:textId="05DCFEE2" w:rsidR="0061537A" w:rsidRPr="00732D50" w:rsidRDefault="0061537A" w:rsidP="00377F3A">
            <w:pPr>
              <w:pStyle w:val="TableText"/>
            </w:pPr>
            <w:r w:rsidRPr="00732D50">
              <w:t xml:space="preserve">Vary formulation type to RB – </w:t>
            </w:r>
            <w:r w:rsidR="005F4C05">
              <w:t>ready-to-use bait</w:t>
            </w:r>
          </w:p>
        </w:tc>
      </w:tr>
      <w:tr w:rsidR="0061537A" w:rsidRPr="009C5CEC" w14:paraId="1952A9E9" w14:textId="77777777" w:rsidTr="00286653">
        <w:trPr>
          <w:trHeight w:val="288"/>
        </w:trPr>
        <w:tc>
          <w:tcPr>
            <w:tcW w:w="514" w:type="pct"/>
            <w:noWrap/>
          </w:tcPr>
          <w:p w14:paraId="7B6CEAD8" w14:textId="77777777" w:rsidR="0061537A" w:rsidRPr="00732D50" w:rsidRDefault="0061537A" w:rsidP="00377F3A">
            <w:pPr>
              <w:pStyle w:val="TableText"/>
            </w:pPr>
            <w:r w:rsidRPr="00732D50">
              <w:t>62694</w:t>
            </w:r>
          </w:p>
        </w:tc>
        <w:tc>
          <w:tcPr>
            <w:tcW w:w="1324" w:type="pct"/>
            <w:noWrap/>
          </w:tcPr>
          <w:p w14:paraId="1C7A64F2" w14:textId="77777777" w:rsidR="0061537A" w:rsidRPr="00732D50" w:rsidRDefault="0061537A" w:rsidP="00377F3A">
            <w:pPr>
              <w:pStyle w:val="TableText"/>
            </w:pPr>
            <w:r w:rsidRPr="00732D50">
              <w:t>Generation Block Single-Feed Rodenticide</w:t>
            </w:r>
          </w:p>
        </w:tc>
        <w:tc>
          <w:tcPr>
            <w:tcW w:w="810" w:type="pct"/>
          </w:tcPr>
          <w:p w14:paraId="1E7F50C9" w14:textId="2C4C1A7A" w:rsidR="0061537A" w:rsidRPr="00732D50" w:rsidRDefault="0061537A" w:rsidP="00377F3A">
            <w:pPr>
              <w:pStyle w:val="TableText"/>
            </w:pPr>
            <w:r w:rsidRPr="00732D50">
              <w:t>0.025 g/kg difethialone</w:t>
            </w:r>
          </w:p>
        </w:tc>
        <w:tc>
          <w:tcPr>
            <w:tcW w:w="810" w:type="pct"/>
          </w:tcPr>
          <w:p w14:paraId="01CF871E" w14:textId="5D9FC5DA" w:rsidR="0061537A" w:rsidRPr="00732D50" w:rsidRDefault="0061537A" w:rsidP="00377F3A">
            <w:pPr>
              <w:pStyle w:val="TableText"/>
            </w:pPr>
            <w:r w:rsidRPr="00732D50">
              <w:t>Liphatech SAS</w:t>
            </w:r>
          </w:p>
        </w:tc>
        <w:tc>
          <w:tcPr>
            <w:tcW w:w="1543" w:type="pct"/>
          </w:tcPr>
          <w:p w14:paraId="154B03B1" w14:textId="1F2484D6" w:rsidR="0061537A" w:rsidRPr="00732D50" w:rsidRDefault="0061537A" w:rsidP="00377F3A">
            <w:pPr>
              <w:pStyle w:val="TableText"/>
            </w:pPr>
            <w:r w:rsidRPr="00732D50">
              <w:t xml:space="preserve">Vary formulation type to RB – </w:t>
            </w:r>
            <w:r w:rsidR="005F4C05">
              <w:t>ready-to-use bait</w:t>
            </w:r>
          </w:p>
        </w:tc>
      </w:tr>
      <w:tr w:rsidR="0061537A" w:rsidRPr="009C5CEC" w14:paraId="35E22D8A" w14:textId="77777777" w:rsidTr="00286653">
        <w:trPr>
          <w:trHeight w:val="288"/>
        </w:trPr>
        <w:tc>
          <w:tcPr>
            <w:tcW w:w="514" w:type="pct"/>
            <w:noWrap/>
          </w:tcPr>
          <w:p w14:paraId="134D01D9" w14:textId="77777777" w:rsidR="0061537A" w:rsidRPr="00732D50" w:rsidRDefault="0061537A" w:rsidP="00377F3A">
            <w:pPr>
              <w:pStyle w:val="TableText"/>
            </w:pPr>
            <w:r w:rsidRPr="00732D50">
              <w:t>66889</w:t>
            </w:r>
          </w:p>
        </w:tc>
        <w:tc>
          <w:tcPr>
            <w:tcW w:w="1324" w:type="pct"/>
            <w:noWrap/>
          </w:tcPr>
          <w:p w14:paraId="0C4CB023" w14:textId="77777777" w:rsidR="0061537A" w:rsidRPr="00732D50" w:rsidRDefault="0061537A" w:rsidP="00377F3A">
            <w:pPr>
              <w:pStyle w:val="TableText"/>
            </w:pPr>
            <w:r w:rsidRPr="00732D50">
              <w:t>Generation Firststrike Single-Feed Rodenticide</w:t>
            </w:r>
          </w:p>
        </w:tc>
        <w:tc>
          <w:tcPr>
            <w:tcW w:w="810" w:type="pct"/>
          </w:tcPr>
          <w:p w14:paraId="750DDB12" w14:textId="7AEFF2B8" w:rsidR="0061537A" w:rsidRPr="00732D50" w:rsidRDefault="0061537A" w:rsidP="00377F3A">
            <w:pPr>
              <w:pStyle w:val="TableText"/>
            </w:pPr>
            <w:r w:rsidRPr="00732D50">
              <w:t>0.025 g/kg difethialone</w:t>
            </w:r>
          </w:p>
        </w:tc>
        <w:tc>
          <w:tcPr>
            <w:tcW w:w="810" w:type="pct"/>
          </w:tcPr>
          <w:p w14:paraId="5970BCE7" w14:textId="55761895" w:rsidR="0061537A" w:rsidRPr="00732D50" w:rsidRDefault="0061537A" w:rsidP="00377F3A">
            <w:pPr>
              <w:pStyle w:val="TableText"/>
            </w:pPr>
            <w:r w:rsidRPr="00732D50">
              <w:t>Liphatech SAS</w:t>
            </w:r>
          </w:p>
        </w:tc>
        <w:tc>
          <w:tcPr>
            <w:tcW w:w="1543" w:type="pct"/>
          </w:tcPr>
          <w:p w14:paraId="2F9A2FC3" w14:textId="6EB8568C" w:rsidR="0061537A" w:rsidRPr="00732D50" w:rsidRDefault="0061537A" w:rsidP="00377F3A">
            <w:pPr>
              <w:pStyle w:val="TableText"/>
            </w:pPr>
            <w:r w:rsidRPr="00732D50">
              <w:t xml:space="preserve">Vary formulation type to RB – </w:t>
            </w:r>
            <w:r w:rsidR="005F4C05">
              <w:t>ready-to-use bait</w:t>
            </w:r>
          </w:p>
        </w:tc>
      </w:tr>
      <w:tr w:rsidR="0061537A" w:rsidRPr="009C5CEC" w14:paraId="08ECB6ED" w14:textId="77777777" w:rsidTr="00286653">
        <w:trPr>
          <w:trHeight w:val="288"/>
        </w:trPr>
        <w:tc>
          <w:tcPr>
            <w:tcW w:w="514" w:type="pct"/>
            <w:noWrap/>
          </w:tcPr>
          <w:p w14:paraId="40F9D489" w14:textId="77777777" w:rsidR="0061537A" w:rsidRPr="00732D50" w:rsidRDefault="0061537A" w:rsidP="00377F3A">
            <w:pPr>
              <w:pStyle w:val="TableText"/>
            </w:pPr>
            <w:r w:rsidRPr="00732D50">
              <w:t>69086</w:t>
            </w:r>
          </w:p>
        </w:tc>
        <w:tc>
          <w:tcPr>
            <w:tcW w:w="1324" w:type="pct"/>
            <w:noWrap/>
          </w:tcPr>
          <w:p w14:paraId="4B5B5799" w14:textId="77777777" w:rsidR="0061537A" w:rsidRPr="00732D50" w:rsidRDefault="0061537A" w:rsidP="00377F3A">
            <w:pPr>
              <w:pStyle w:val="TableText"/>
            </w:pPr>
            <w:r w:rsidRPr="00732D50">
              <w:t>Rodilon Pro Rodenticide</w:t>
            </w:r>
          </w:p>
        </w:tc>
        <w:tc>
          <w:tcPr>
            <w:tcW w:w="810" w:type="pct"/>
          </w:tcPr>
          <w:p w14:paraId="0A3C5B88" w14:textId="1D81E01A" w:rsidR="0061537A" w:rsidRPr="00732D50" w:rsidRDefault="0061537A" w:rsidP="00377F3A">
            <w:pPr>
              <w:pStyle w:val="TableText"/>
            </w:pPr>
            <w:r w:rsidRPr="00732D50">
              <w:t>0.025 g/kg difethialone</w:t>
            </w:r>
          </w:p>
        </w:tc>
        <w:tc>
          <w:tcPr>
            <w:tcW w:w="810" w:type="pct"/>
          </w:tcPr>
          <w:p w14:paraId="3FAC77C9" w14:textId="2E99E48C" w:rsidR="0061537A" w:rsidRPr="00732D50" w:rsidRDefault="0061537A" w:rsidP="00377F3A">
            <w:pPr>
              <w:pStyle w:val="TableText"/>
            </w:pPr>
            <w:r w:rsidRPr="00732D50">
              <w:t>Liphatech SAS</w:t>
            </w:r>
          </w:p>
        </w:tc>
        <w:tc>
          <w:tcPr>
            <w:tcW w:w="1543" w:type="pct"/>
          </w:tcPr>
          <w:p w14:paraId="489026CE" w14:textId="59869CE4" w:rsidR="0061537A" w:rsidRPr="00732D50" w:rsidRDefault="0061537A" w:rsidP="00377F3A">
            <w:pPr>
              <w:pStyle w:val="TableText"/>
            </w:pPr>
            <w:r w:rsidRPr="00732D50">
              <w:t xml:space="preserve">Vary formulation type to RB – </w:t>
            </w:r>
            <w:r w:rsidR="005F4C05">
              <w:t>ready-to-use bait</w:t>
            </w:r>
          </w:p>
        </w:tc>
      </w:tr>
      <w:tr w:rsidR="0061537A" w:rsidRPr="009C5CEC" w14:paraId="4D74EF24" w14:textId="77777777" w:rsidTr="00286653">
        <w:trPr>
          <w:trHeight w:val="288"/>
        </w:trPr>
        <w:tc>
          <w:tcPr>
            <w:tcW w:w="514" w:type="pct"/>
            <w:noWrap/>
          </w:tcPr>
          <w:p w14:paraId="7C325798" w14:textId="77777777" w:rsidR="0061537A" w:rsidRPr="00377F3A" w:rsidRDefault="0061537A" w:rsidP="00377F3A">
            <w:pPr>
              <w:pStyle w:val="TableText"/>
            </w:pPr>
            <w:r w:rsidRPr="00377F3A">
              <w:t>80381</w:t>
            </w:r>
          </w:p>
        </w:tc>
        <w:tc>
          <w:tcPr>
            <w:tcW w:w="1324" w:type="pct"/>
            <w:noWrap/>
          </w:tcPr>
          <w:p w14:paraId="32575695" w14:textId="77777777" w:rsidR="0061537A" w:rsidRPr="00377F3A" w:rsidRDefault="0061537A" w:rsidP="00377F3A">
            <w:pPr>
              <w:pStyle w:val="TableText"/>
            </w:pPr>
            <w:r w:rsidRPr="00377F3A">
              <w:t>Generation Blue Rodenticide Block</w:t>
            </w:r>
          </w:p>
        </w:tc>
        <w:tc>
          <w:tcPr>
            <w:tcW w:w="810" w:type="pct"/>
          </w:tcPr>
          <w:p w14:paraId="5BA16F6A" w14:textId="41667819" w:rsidR="0061537A" w:rsidRPr="00377F3A" w:rsidRDefault="0061537A" w:rsidP="00377F3A">
            <w:pPr>
              <w:pStyle w:val="TableText"/>
            </w:pPr>
            <w:r w:rsidRPr="00377F3A">
              <w:t xml:space="preserve">0.025 g/kg </w:t>
            </w:r>
            <w:r w:rsidRPr="00732D50">
              <w:t>difethialone</w:t>
            </w:r>
          </w:p>
        </w:tc>
        <w:tc>
          <w:tcPr>
            <w:tcW w:w="810" w:type="pct"/>
          </w:tcPr>
          <w:p w14:paraId="76FDC3A8" w14:textId="60E18F39" w:rsidR="0061537A" w:rsidRPr="00377F3A" w:rsidRDefault="0061537A" w:rsidP="00377F3A">
            <w:pPr>
              <w:pStyle w:val="TableText"/>
            </w:pPr>
            <w:r w:rsidRPr="00377F3A">
              <w:t>Liphatech SAS</w:t>
            </w:r>
          </w:p>
        </w:tc>
        <w:tc>
          <w:tcPr>
            <w:tcW w:w="1543" w:type="pct"/>
          </w:tcPr>
          <w:p w14:paraId="5B3C14D1" w14:textId="7099BE7E" w:rsidR="0061537A" w:rsidRPr="00377F3A" w:rsidRDefault="0061537A" w:rsidP="00377F3A">
            <w:pPr>
              <w:pStyle w:val="TableText"/>
            </w:pPr>
            <w:r w:rsidRPr="00732D50">
              <w:t xml:space="preserve">Vary formulation type to RB – </w:t>
            </w:r>
            <w:r w:rsidR="005F4C05">
              <w:t>ready-to-use bait</w:t>
            </w:r>
          </w:p>
        </w:tc>
      </w:tr>
      <w:tr w:rsidR="0061537A" w:rsidRPr="009C5CEC" w14:paraId="36F7CC18" w14:textId="77777777" w:rsidTr="00286653">
        <w:trPr>
          <w:trHeight w:val="288"/>
        </w:trPr>
        <w:tc>
          <w:tcPr>
            <w:tcW w:w="514" w:type="pct"/>
            <w:noWrap/>
          </w:tcPr>
          <w:p w14:paraId="1A070F5F" w14:textId="77777777" w:rsidR="0061537A" w:rsidRPr="00377F3A" w:rsidRDefault="0061537A" w:rsidP="00377F3A">
            <w:pPr>
              <w:pStyle w:val="TableText"/>
            </w:pPr>
            <w:r w:rsidRPr="00377F3A">
              <w:t>80382</w:t>
            </w:r>
          </w:p>
        </w:tc>
        <w:tc>
          <w:tcPr>
            <w:tcW w:w="1324" w:type="pct"/>
            <w:noWrap/>
          </w:tcPr>
          <w:p w14:paraId="1BE57A71" w14:textId="77777777" w:rsidR="0061537A" w:rsidRPr="00377F3A" w:rsidRDefault="0061537A" w:rsidP="00377F3A">
            <w:pPr>
              <w:pStyle w:val="TableText"/>
            </w:pPr>
            <w:r w:rsidRPr="00377F3A">
              <w:t>Generation Blue Rodenticide Pellet</w:t>
            </w:r>
          </w:p>
        </w:tc>
        <w:tc>
          <w:tcPr>
            <w:tcW w:w="810" w:type="pct"/>
          </w:tcPr>
          <w:p w14:paraId="4D970D1A" w14:textId="6E3B4642" w:rsidR="0061537A" w:rsidRPr="00377F3A" w:rsidRDefault="0061537A" w:rsidP="00377F3A">
            <w:pPr>
              <w:pStyle w:val="TableText"/>
            </w:pPr>
            <w:r w:rsidRPr="00377F3A">
              <w:t xml:space="preserve">0.025 g/kg </w:t>
            </w:r>
            <w:r w:rsidRPr="00732D50">
              <w:t>difethialone</w:t>
            </w:r>
          </w:p>
        </w:tc>
        <w:tc>
          <w:tcPr>
            <w:tcW w:w="810" w:type="pct"/>
          </w:tcPr>
          <w:p w14:paraId="6741733F" w14:textId="484058AB" w:rsidR="0061537A" w:rsidRPr="00377F3A" w:rsidRDefault="0061537A" w:rsidP="00377F3A">
            <w:pPr>
              <w:pStyle w:val="TableText"/>
            </w:pPr>
            <w:r w:rsidRPr="00377F3A">
              <w:t>Liphatech SAS</w:t>
            </w:r>
          </w:p>
        </w:tc>
        <w:tc>
          <w:tcPr>
            <w:tcW w:w="1543" w:type="pct"/>
          </w:tcPr>
          <w:p w14:paraId="36DE864C" w14:textId="4E0A4649" w:rsidR="0061537A" w:rsidRPr="00377F3A" w:rsidRDefault="0061537A" w:rsidP="00377F3A">
            <w:pPr>
              <w:pStyle w:val="TableText"/>
            </w:pPr>
            <w:r w:rsidRPr="00732D50">
              <w:t xml:space="preserve">Vary formulation type to RB – </w:t>
            </w:r>
            <w:r w:rsidR="005F4C05">
              <w:t>ready-to-use bait</w:t>
            </w:r>
          </w:p>
        </w:tc>
      </w:tr>
      <w:tr w:rsidR="0061537A" w:rsidRPr="009C5CEC" w14:paraId="5EA1ADFF" w14:textId="77777777" w:rsidTr="00286653">
        <w:trPr>
          <w:trHeight w:val="630"/>
        </w:trPr>
        <w:tc>
          <w:tcPr>
            <w:tcW w:w="514" w:type="pct"/>
            <w:noWrap/>
          </w:tcPr>
          <w:p w14:paraId="5B5D7442" w14:textId="77777777" w:rsidR="0061537A" w:rsidRPr="00732D50" w:rsidRDefault="0061537A" w:rsidP="00377F3A">
            <w:pPr>
              <w:pStyle w:val="TableText"/>
            </w:pPr>
            <w:r w:rsidRPr="00732D50">
              <w:t>80386</w:t>
            </w:r>
          </w:p>
        </w:tc>
        <w:tc>
          <w:tcPr>
            <w:tcW w:w="1324" w:type="pct"/>
            <w:noWrap/>
          </w:tcPr>
          <w:p w14:paraId="2B41E304" w14:textId="77777777" w:rsidR="0061537A" w:rsidRPr="00732D50" w:rsidRDefault="0061537A" w:rsidP="00377F3A">
            <w:pPr>
              <w:pStyle w:val="TableText"/>
            </w:pPr>
            <w:r w:rsidRPr="00732D50">
              <w:t>Generation Blue Rodenticide Soft Bait</w:t>
            </w:r>
          </w:p>
        </w:tc>
        <w:tc>
          <w:tcPr>
            <w:tcW w:w="810" w:type="pct"/>
          </w:tcPr>
          <w:p w14:paraId="19AEDE88" w14:textId="385CC040" w:rsidR="0061537A" w:rsidRPr="00732D50" w:rsidRDefault="0061537A" w:rsidP="00377F3A">
            <w:pPr>
              <w:pStyle w:val="TableText"/>
            </w:pPr>
            <w:r w:rsidRPr="00732D50">
              <w:t>0.025 g/kg difethialone</w:t>
            </w:r>
          </w:p>
        </w:tc>
        <w:tc>
          <w:tcPr>
            <w:tcW w:w="810" w:type="pct"/>
          </w:tcPr>
          <w:p w14:paraId="762E2298" w14:textId="67968597" w:rsidR="0061537A" w:rsidRPr="00732D50" w:rsidRDefault="0061537A" w:rsidP="00377F3A">
            <w:pPr>
              <w:pStyle w:val="TableText"/>
            </w:pPr>
            <w:r w:rsidRPr="00732D50">
              <w:t>Liphatech SAS</w:t>
            </w:r>
          </w:p>
        </w:tc>
        <w:tc>
          <w:tcPr>
            <w:tcW w:w="1543" w:type="pct"/>
          </w:tcPr>
          <w:p w14:paraId="649BC538" w14:textId="7B374C70" w:rsidR="0061537A" w:rsidRPr="00732D50" w:rsidRDefault="0061537A" w:rsidP="00377F3A">
            <w:pPr>
              <w:pStyle w:val="TableText"/>
            </w:pPr>
            <w:r w:rsidRPr="00732D50">
              <w:t xml:space="preserve">Vary formulation type to RB – </w:t>
            </w:r>
            <w:r w:rsidR="005F4C05">
              <w:t>ready-to-use bait</w:t>
            </w:r>
          </w:p>
        </w:tc>
      </w:tr>
    </w:tbl>
    <w:p w14:paraId="133D3CCF" w14:textId="2518D38F" w:rsidR="00996CF3" w:rsidRDefault="00996CF3" w:rsidP="00996CF3">
      <w:pPr>
        <w:pStyle w:val="NormalText"/>
      </w:pPr>
      <w:r>
        <w:t>The current registrations for difethialone</w:t>
      </w:r>
      <w:r w:rsidRPr="009A1704">
        <w:t xml:space="preserve"> </w:t>
      </w:r>
      <w:r>
        <w:t xml:space="preserve">chemical products listed in </w:t>
      </w:r>
      <w:r>
        <w:fldChar w:fldCharType="begin"/>
      </w:r>
      <w:r>
        <w:instrText xml:space="preserve"> REF _Ref213155597 \h </w:instrText>
      </w:r>
      <w:r>
        <w:fldChar w:fldCharType="separate"/>
      </w:r>
      <w:r w:rsidR="003861AC">
        <w:t xml:space="preserve">Table </w:t>
      </w:r>
      <w:r w:rsidR="003861AC">
        <w:rPr>
          <w:noProof/>
        </w:rPr>
        <w:t>42</w:t>
      </w:r>
      <w:r>
        <w:fldChar w:fldCharType="end"/>
      </w:r>
      <w:r>
        <w:t xml:space="preserve"> are supported in this chemistry and manufacture risk assessment, subject to:</w:t>
      </w:r>
    </w:p>
    <w:p w14:paraId="4D820152" w14:textId="3DAF5078" w:rsidR="00B124E3" w:rsidRDefault="00B124E3" w:rsidP="00286653">
      <w:pPr>
        <w:pStyle w:val="Bullet1"/>
      </w:pPr>
      <w:r>
        <w:t xml:space="preserve">Update of the formulation type </w:t>
      </w:r>
      <w:r w:rsidR="00996CF3">
        <w:t>recorded for in the APVMA Register to the contemporary designation of ‘ready-to-use bait (RB)’, in place of the more common currently used ‘bait (BA)’.</w:t>
      </w:r>
    </w:p>
    <w:p w14:paraId="023E723B" w14:textId="3F11CC3D" w:rsidR="00B124E3" w:rsidRDefault="00B124E3" w:rsidP="00377F3A">
      <w:pPr>
        <w:pStyle w:val="Heading3"/>
      </w:pPr>
      <w:bookmarkStart w:id="535" w:name="_Toc213153592"/>
      <w:bookmarkStart w:id="536" w:name="_Toc213334751"/>
      <w:bookmarkStart w:id="537" w:name="_Toc213771545"/>
      <w:bookmarkStart w:id="538" w:name="_Toc213943303"/>
      <w:bookmarkStart w:id="539" w:name="_Toc213945083"/>
      <w:bookmarkStart w:id="540" w:name="_Toc213153593"/>
      <w:bookmarkStart w:id="541" w:name="_Toc213334752"/>
      <w:bookmarkStart w:id="542" w:name="_Toc213771546"/>
      <w:bookmarkStart w:id="543" w:name="_Toc213943304"/>
      <w:bookmarkStart w:id="544" w:name="_Toc213945084"/>
      <w:bookmarkStart w:id="545" w:name="_Toc213334753"/>
      <w:bookmarkStart w:id="546" w:name="_Toc213771547"/>
      <w:bookmarkStart w:id="547" w:name="_Toc213943305"/>
      <w:bookmarkStart w:id="548" w:name="_Toc213945085"/>
      <w:bookmarkStart w:id="549" w:name="_Toc213334754"/>
      <w:bookmarkStart w:id="550" w:name="_Toc213771548"/>
      <w:bookmarkStart w:id="551" w:name="_Toc213943306"/>
      <w:bookmarkStart w:id="552" w:name="_Toc213945086"/>
      <w:bookmarkStart w:id="553" w:name="_Toc213334755"/>
      <w:bookmarkStart w:id="554" w:name="_Toc213771549"/>
      <w:bookmarkStart w:id="555" w:name="_Toc213943307"/>
      <w:bookmarkStart w:id="556" w:name="_Toc213945087"/>
      <w:bookmarkStart w:id="557" w:name="_Toc213334784"/>
      <w:bookmarkStart w:id="558" w:name="_Toc213771578"/>
      <w:bookmarkStart w:id="559" w:name="_Toc213943336"/>
      <w:bookmarkStart w:id="560" w:name="_Toc213945116"/>
      <w:bookmarkStart w:id="561" w:name="_Toc213334838"/>
      <w:bookmarkStart w:id="562" w:name="_Toc213771632"/>
      <w:bookmarkStart w:id="563" w:name="_Toc213943390"/>
      <w:bookmarkStart w:id="564" w:name="_Toc213945170"/>
      <w:bookmarkStart w:id="565" w:name="_Toc213334839"/>
      <w:bookmarkStart w:id="566" w:name="_Toc213771633"/>
      <w:bookmarkStart w:id="567" w:name="_Toc213943391"/>
      <w:bookmarkStart w:id="568" w:name="_Toc213945171"/>
      <w:bookmarkStart w:id="569" w:name="_Toc213334840"/>
      <w:bookmarkStart w:id="570" w:name="_Toc213771634"/>
      <w:bookmarkStart w:id="571" w:name="_Toc213943392"/>
      <w:bookmarkStart w:id="572" w:name="_Toc213945172"/>
      <w:bookmarkStart w:id="573" w:name="_Toc213334841"/>
      <w:bookmarkStart w:id="574" w:name="_Toc213771635"/>
      <w:bookmarkStart w:id="575" w:name="_Toc213943393"/>
      <w:bookmarkStart w:id="576" w:name="_Toc213945173"/>
      <w:bookmarkStart w:id="577" w:name="_Toc213334852"/>
      <w:bookmarkStart w:id="578" w:name="_Toc213771646"/>
      <w:bookmarkStart w:id="579" w:name="_Toc213943404"/>
      <w:bookmarkStart w:id="580" w:name="_Toc213945184"/>
      <w:bookmarkStart w:id="581" w:name="_Toc213334853"/>
      <w:bookmarkStart w:id="582" w:name="_Toc213771647"/>
      <w:bookmarkStart w:id="583" w:name="_Toc213943405"/>
      <w:bookmarkStart w:id="584" w:name="_Toc213945185"/>
      <w:bookmarkStart w:id="585" w:name="_Toc213334854"/>
      <w:bookmarkStart w:id="586" w:name="_Toc213771648"/>
      <w:bookmarkStart w:id="587" w:name="_Toc213943406"/>
      <w:bookmarkStart w:id="588" w:name="_Toc213945186"/>
      <w:bookmarkStart w:id="589" w:name="_Toc213334863"/>
      <w:bookmarkStart w:id="590" w:name="_Toc213771657"/>
      <w:bookmarkStart w:id="591" w:name="_Toc213943415"/>
      <w:bookmarkStart w:id="592" w:name="_Toc213945195"/>
      <w:bookmarkStart w:id="593" w:name="_Toc213334864"/>
      <w:bookmarkStart w:id="594" w:name="_Toc213771658"/>
      <w:bookmarkStart w:id="595" w:name="_Toc213943416"/>
      <w:bookmarkStart w:id="596" w:name="_Toc213945196"/>
      <w:bookmarkStart w:id="597" w:name="_Toc213334865"/>
      <w:bookmarkStart w:id="598" w:name="_Toc213771659"/>
      <w:bookmarkStart w:id="599" w:name="_Toc213943417"/>
      <w:bookmarkStart w:id="600" w:name="_Toc213945197"/>
      <w:bookmarkStart w:id="601" w:name="_Toc213334866"/>
      <w:bookmarkStart w:id="602" w:name="_Toc213771660"/>
      <w:bookmarkStart w:id="603" w:name="_Toc213943418"/>
      <w:bookmarkStart w:id="604" w:name="_Toc213945198"/>
      <w:bookmarkStart w:id="605" w:name="_Toc213334867"/>
      <w:bookmarkStart w:id="606" w:name="_Toc213771661"/>
      <w:bookmarkStart w:id="607" w:name="_Toc213943419"/>
      <w:bookmarkStart w:id="608" w:name="_Toc213945199"/>
      <w:bookmarkStart w:id="609" w:name="_Toc213334868"/>
      <w:bookmarkStart w:id="610" w:name="_Toc213771662"/>
      <w:bookmarkStart w:id="611" w:name="_Toc213943420"/>
      <w:bookmarkStart w:id="612" w:name="_Toc213945200"/>
      <w:bookmarkStart w:id="613" w:name="_Toc214025474"/>
      <w:bookmarkStart w:id="614" w:name="_Toc216695558"/>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t>Formulated products - Diphacinone</w:t>
      </w:r>
      <w:bookmarkEnd w:id="613"/>
      <w:bookmarkEnd w:id="614"/>
    </w:p>
    <w:p w14:paraId="48AC0BED" w14:textId="73924735" w:rsidR="00475444" w:rsidRDefault="00996CF3" w:rsidP="00B124E3">
      <w:pPr>
        <w:pStyle w:val="NormalText"/>
      </w:pPr>
      <w:r w:rsidRPr="00BD2F8D">
        <w:t xml:space="preserve">A summary of the current </w:t>
      </w:r>
      <w:r>
        <w:t>registered chemical products</w:t>
      </w:r>
      <w:r w:rsidRPr="00BD2F8D">
        <w:t xml:space="preserve"> </w:t>
      </w:r>
      <w:r>
        <w:t>containing difethialone</w:t>
      </w:r>
      <w:r w:rsidRPr="009A1704">
        <w:t xml:space="preserve"> </w:t>
      </w:r>
      <w:r w:rsidRPr="00BD2F8D">
        <w:t xml:space="preserve">and recommendations based on review of the information entered in the APVMA’s </w:t>
      </w:r>
      <w:r>
        <w:t xml:space="preserve">Register </w:t>
      </w:r>
      <w:r w:rsidRPr="00BD2F8D">
        <w:t xml:space="preserve">is provided </w:t>
      </w:r>
      <w:r>
        <w:t xml:space="preserve">in </w:t>
      </w:r>
      <w:r>
        <w:fldChar w:fldCharType="begin"/>
      </w:r>
      <w:r>
        <w:instrText xml:space="preserve"> REF _Ref214975984 \h </w:instrText>
      </w:r>
      <w:r>
        <w:fldChar w:fldCharType="separate"/>
      </w:r>
      <w:r w:rsidR="003861AC">
        <w:t xml:space="preserve">Table </w:t>
      </w:r>
      <w:r w:rsidR="003861AC">
        <w:rPr>
          <w:noProof/>
        </w:rPr>
        <w:t>43</w:t>
      </w:r>
      <w:r>
        <w:fldChar w:fldCharType="end"/>
      </w:r>
      <w:r>
        <w:t xml:space="preserve">. </w:t>
      </w:r>
      <w:r w:rsidR="00B124E3">
        <w:t>The</w:t>
      </w:r>
      <w:r>
        <w:t>s</w:t>
      </w:r>
      <w:r w:rsidR="00DE1E2D">
        <w:t xml:space="preserve">e </w:t>
      </w:r>
      <w:r w:rsidR="00B124E3">
        <w:t xml:space="preserve">products are </w:t>
      </w:r>
      <w:r w:rsidR="005F4C05">
        <w:t xml:space="preserve">ready-to-use </w:t>
      </w:r>
      <w:r w:rsidR="00B124E3">
        <w:t>baits containing 0.05 g/kg diphacinone as the active constituent.</w:t>
      </w:r>
    </w:p>
    <w:p w14:paraId="30B10086" w14:textId="16C3A1D3" w:rsidR="00B124E3" w:rsidRDefault="00996CF3" w:rsidP="00B124E3">
      <w:pPr>
        <w:pStyle w:val="NormalText"/>
      </w:pPr>
      <w:r>
        <w:lastRenderedPageBreak/>
        <w:t xml:space="preserve">It is noted that the human health and environment risk assessments recommend that inclusion of a distinctive dye and bittering agent in the formulated bait is necessary to mitigate risks to people and non-target animals (see sections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t xml:space="preserve"> and </w:t>
      </w:r>
      <w:r w:rsidRPr="002629BC">
        <w:rPr>
          <w:b/>
          <w:bCs/>
        </w:rPr>
        <w:fldChar w:fldCharType="begin"/>
      </w:r>
      <w:r w:rsidRPr="002629BC">
        <w:rPr>
          <w:b/>
          <w:bCs/>
        </w:rPr>
        <w:instrText xml:space="preserve"> REF _Ref214837015 \w \h </w:instrText>
      </w:r>
      <w:r>
        <w:rPr>
          <w:b/>
          <w:bCs/>
        </w:rPr>
        <w:instrText xml:space="preserve"> \* MERGEFORMAT </w:instrText>
      </w:r>
      <w:r w:rsidRPr="002629BC">
        <w:rPr>
          <w:b/>
          <w:bCs/>
        </w:rPr>
      </w:r>
      <w:r w:rsidRPr="002629BC">
        <w:rPr>
          <w:b/>
          <w:bCs/>
        </w:rPr>
        <w:fldChar w:fldCharType="separate"/>
      </w:r>
      <w:r w:rsidR="003861AC">
        <w:rPr>
          <w:b/>
          <w:bCs/>
        </w:rPr>
        <w:t>4.9.4</w:t>
      </w:r>
      <w:r w:rsidRPr="002629BC">
        <w:rPr>
          <w:b/>
          <w:bCs/>
        </w:rPr>
        <w:fldChar w:fldCharType="end"/>
      </w:r>
      <w:r w:rsidRPr="002629BC">
        <w:rPr>
          <w:b/>
          <w:bCs/>
        </w:rPr>
        <w:t xml:space="preserve"> Formulation recommendations</w:t>
      </w:r>
      <w:r>
        <w:t xml:space="preserve"> below).</w:t>
      </w:r>
    </w:p>
    <w:p w14:paraId="410E10DF" w14:textId="334E1368" w:rsidR="00B124E3" w:rsidRDefault="00B124E3" w:rsidP="00377F3A">
      <w:pPr>
        <w:pStyle w:val="Caption"/>
      </w:pPr>
      <w:bookmarkStart w:id="615" w:name="_Ref214975984"/>
      <w:bookmarkStart w:id="616" w:name="_Toc213946019"/>
      <w:bookmarkStart w:id="617" w:name="_Toc216695705"/>
      <w:r>
        <w:t xml:space="preserve">Table </w:t>
      </w:r>
      <w:r>
        <w:fldChar w:fldCharType="begin"/>
      </w:r>
      <w:r>
        <w:instrText xml:space="preserve"> SEQ Table \* ARABIC </w:instrText>
      </w:r>
      <w:r>
        <w:fldChar w:fldCharType="separate"/>
      </w:r>
      <w:r w:rsidR="003861AC">
        <w:rPr>
          <w:noProof/>
        </w:rPr>
        <w:t>43</w:t>
      </w:r>
      <w:r>
        <w:rPr>
          <w:noProof/>
        </w:rPr>
        <w:fldChar w:fldCharType="end"/>
      </w:r>
      <w:bookmarkEnd w:id="615"/>
      <w:r w:rsidR="00DE1E2D">
        <w:rPr>
          <w:noProof/>
        </w:rPr>
        <w:t>:</w:t>
      </w:r>
      <w:r>
        <w:t xml:space="preserve"> Current registered products containing diphacinone</w:t>
      </w:r>
      <w:bookmarkEnd w:id="616"/>
      <w:bookmarkEnd w:id="617"/>
    </w:p>
    <w:tbl>
      <w:tblPr>
        <w:tblStyle w:val="TableGrid"/>
        <w:tblW w:w="4856"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7"/>
        <w:gridCol w:w="1846"/>
        <w:gridCol w:w="1419"/>
        <w:gridCol w:w="1986"/>
        <w:gridCol w:w="2552"/>
      </w:tblGrid>
      <w:tr w:rsidR="00DE1E2D" w:rsidRPr="009C5CEC" w14:paraId="55946F9A" w14:textId="77777777" w:rsidTr="0017134F">
        <w:trPr>
          <w:trHeight w:val="288"/>
        </w:trPr>
        <w:tc>
          <w:tcPr>
            <w:tcW w:w="832" w:type="pct"/>
            <w:shd w:val="clear" w:color="auto" w:fill="53284F"/>
            <w:noWrap/>
            <w:hideMark/>
          </w:tcPr>
          <w:p w14:paraId="53AA13E0" w14:textId="77777777" w:rsidR="00DE1E2D" w:rsidRPr="00DE1E2D" w:rsidRDefault="00DE1E2D" w:rsidP="00377F3A">
            <w:pPr>
              <w:pStyle w:val="TableHead"/>
            </w:pPr>
            <w:r w:rsidRPr="00DE1E2D">
              <w:t>Product number</w:t>
            </w:r>
          </w:p>
        </w:tc>
        <w:tc>
          <w:tcPr>
            <w:tcW w:w="986" w:type="pct"/>
            <w:shd w:val="clear" w:color="auto" w:fill="53284F"/>
            <w:noWrap/>
            <w:hideMark/>
          </w:tcPr>
          <w:p w14:paraId="3EC9628C" w14:textId="77777777" w:rsidR="00DE1E2D" w:rsidRPr="00DE1E2D" w:rsidRDefault="00DE1E2D" w:rsidP="00377F3A">
            <w:pPr>
              <w:pStyle w:val="TableHead"/>
            </w:pPr>
            <w:r w:rsidRPr="00DE1E2D">
              <w:t>Product name</w:t>
            </w:r>
          </w:p>
        </w:tc>
        <w:tc>
          <w:tcPr>
            <w:tcW w:w="758" w:type="pct"/>
            <w:shd w:val="clear" w:color="auto" w:fill="53284F"/>
          </w:tcPr>
          <w:p w14:paraId="4ED67D75" w14:textId="77777777" w:rsidR="00DE1E2D" w:rsidRPr="00DE1E2D" w:rsidRDefault="00DE1E2D" w:rsidP="00377F3A">
            <w:pPr>
              <w:pStyle w:val="TableHead"/>
            </w:pPr>
            <w:r w:rsidRPr="00DE1E2D">
              <w:t>Active content</w:t>
            </w:r>
          </w:p>
        </w:tc>
        <w:tc>
          <w:tcPr>
            <w:tcW w:w="1061" w:type="pct"/>
            <w:shd w:val="clear" w:color="auto" w:fill="53284F"/>
          </w:tcPr>
          <w:p w14:paraId="34BACFBF" w14:textId="190ADF19" w:rsidR="00DE1E2D" w:rsidRPr="00DE1E2D" w:rsidDel="00DE1E2D" w:rsidRDefault="00DE1E2D" w:rsidP="00377F3A">
            <w:pPr>
              <w:pStyle w:val="TableHead"/>
            </w:pPr>
            <w:r w:rsidRPr="00DE1E2D">
              <w:t>Holder</w:t>
            </w:r>
          </w:p>
        </w:tc>
        <w:tc>
          <w:tcPr>
            <w:tcW w:w="1364" w:type="pct"/>
            <w:shd w:val="clear" w:color="auto" w:fill="53284F"/>
          </w:tcPr>
          <w:p w14:paraId="1597E13A" w14:textId="4F661C1E" w:rsidR="00DE1E2D" w:rsidRPr="00DE1E2D" w:rsidRDefault="00DE1E2D" w:rsidP="00377F3A">
            <w:pPr>
              <w:pStyle w:val="TableHead"/>
            </w:pPr>
            <w:r w:rsidRPr="00DE1E2D">
              <w:t>Recommendation</w:t>
            </w:r>
          </w:p>
        </w:tc>
      </w:tr>
      <w:tr w:rsidR="00DE1E2D" w:rsidRPr="009C5CEC" w14:paraId="73CB6CA5" w14:textId="77777777" w:rsidTr="00996CF3">
        <w:trPr>
          <w:trHeight w:val="288"/>
        </w:trPr>
        <w:tc>
          <w:tcPr>
            <w:tcW w:w="832" w:type="pct"/>
            <w:noWrap/>
          </w:tcPr>
          <w:p w14:paraId="3A8A4129" w14:textId="77777777" w:rsidR="00DE1E2D" w:rsidRPr="00732D50" w:rsidRDefault="00DE1E2D" w:rsidP="00377F3A">
            <w:pPr>
              <w:pStyle w:val="TableText"/>
            </w:pPr>
            <w:r w:rsidRPr="00732D50">
              <w:t>54756</w:t>
            </w:r>
          </w:p>
        </w:tc>
        <w:tc>
          <w:tcPr>
            <w:tcW w:w="986" w:type="pct"/>
            <w:noWrap/>
          </w:tcPr>
          <w:p w14:paraId="64F2900B" w14:textId="77777777" w:rsidR="00DE1E2D" w:rsidRPr="00732D50" w:rsidRDefault="00DE1E2D" w:rsidP="00377F3A">
            <w:pPr>
              <w:pStyle w:val="TableText"/>
            </w:pPr>
            <w:r w:rsidRPr="00732D50">
              <w:t>Ramik Green Bait Bits Rodenticide</w:t>
            </w:r>
          </w:p>
        </w:tc>
        <w:tc>
          <w:tcPr>
            <w:tcW w:w="758" w:type="pct"/>
          </w:tcPr>
          <w:p w14:paraId="488CE125" w14:textId="1B51814B" w:rsidR="00DE1E2D" w:rsidRPr="00732D50" w:rsidRDefault="00DE1E2D" w:rsidP="00377F3A">
            <w:pPr>
              <w:pStyle w:val="TableText"/>
            </w:pPr>
            <w:r w:rsidRPr="00732D50">
              <w:t>0.05 g/kg diphacinone</w:t>
            </w:r>
          </w:p>
        </w:tc>
        <w:tc>
          <w:tcPr>
            <w:tcW w:w="1061" w:type="pct"/>
          </w:tcPr>
          <w:p w14:paraId="61E71266" w14:textId="5A3A306E" w:rsidR="00DE1E2D" w:rsidRPr="00732D50" w:rsidRDefault="00DE1E2D" w:rsidP="00377F3A">
            <w:pPr>
              <w:pStyle w:val="TableText"/>
            </w:pPr>
            <w:r w:rsidRPr="00732D50">
              <w:t>Neogen Australasia Pty Ltd</w:t>
            </w:r>
          </w:p>
        </w:tc>
        <w:tc>
          <w:tcPr>
            <w:tcW w:w="1364" w:type="pct"/>
          </w:tcPr>
          <w:p w14:paraId="5FA6188A" w14:textId="20D9DE49" w:rsidR="00DE1E2D" w:rsidRPr="00732D50" w:rsidRDefault="00DE1E2D" w:rsidP="00377F3A">
            <w:pPr>
              <w:pStyle w:val="TableText"/>
            </w:pPr>
            <w:r w:rsidRPr="00732D50">
              <w:t>Cancel – does not contain bittering agent</w:t>
            </w:r>
          </w:p>
        </w:tc>
      </w:tr>
      <w:tr w:rsidR="00DE1E2D" w:rsidRPr="009C5CEC" w14:paraId="3D2A38D3" w14:textId="77777777" w:rsidTr="00996CF3">
        <w:trPr>
          <w:trHeight w:val="288"/>
        </w:trPr>
        <w:tc>
          <w:tcPr>
            <w:tcW w:w="832" w:type="pct"/>
            <w:noWrap/>
          </w:tcPr>
          <w:p w14:paraId="5E13FC83" w14:textId="77777777" w:rsidR="00DE1E2D" w:rsidRPr="00732D50" w:rsidRDefault="00DE1E2D" w:rsidP="00377F3A">
            <w:pPr>
              <w:pStyle w:val="TableText"/>
            </w:pPr>
            <w:r w:rsidRPr="00732D50">
              <w:t>89433</w:t>
            </w:r>
          </w:p>
        </w:tc>
        <w:tc>
          <w:tcPr>
            <w:tcW w:w="986" w:type="pct"/>
            <w:noWrap/>
          </w:tcPr>
          <w:p w14:paraId="3FCB101F" w14:textId="77777777" w:rsidR="00DE1E2D" w:rsidRPr="00732D50" w:rsidRDefault="00DE1E2D" w:rsidP="00377F3A">
            <w:pPr>
              <w:pStyle w:val="TableText"/>
            </w:pPr>
            <w:r w:rsidRPr="00732D50">
              <w:t>Ramik Bars Rodenticide</w:t>
            </w:r>
          </w:p>
        </w:tc>
        <w:tc>
          <w:tcPr>
            <w:tcW w:w="758" w:type="pct"/>
          </w:tcPr>
          <w:p w14:paraId="6C3649A1" w14:textId="6131474C" w:rsidR="00DE1E2D" w:rsidRPr="00732D50" w:rsidRDefault="00DE1E2D" w:rsidP="00377F3A">
            <w:pPr>
              <w:pStyle w:val="TableText"/>
            </w:pPr>
            <w:r w:rsidRPr="00732D50">
              <w:t>0.05 g/kg diphacinone</w:t>
            </w:r>
            <w:r w:rsidRPr="00732D50" w:rsidDel="00DE1E2D">
              <w:t xml:space="preserve"> </w:t>
            </w:r>
          </w:p>
        </w:tc>
        <w:tc>
          <w:tcPr>
            <w:tcW w:w="1061" w:type="pct"/>
          </w:tcPr>
          <w:p w14:paraId="080209A8" w14:textId="0560D457" w:rsidR="00DE1E2D" w:rsidRPr="00732D50" w:rsidRDefault="00DE1E2D" w:rsidP="00377F3A">
            <w:pPr>
              <w:pStyle w:val="TableText"/>
            </w:pPr>
            <w:r w:rsidRPr="00732D50">
              <w:t>Neogen Australasia Pty Ltd</w:t>
            </w:r>
          </w:p>
        </w:tc>
        <w:tc>
          <w:tcPr>
            <w:tcW w:w="1364" w:type="pct"/>
          </w:tcPr>
          <w:p w14:paraId="79B3938E" w14:textId="48AFA211" w:rsidR="00DE1E2D" w:rsidRPr="00732D50" w:rsidRDefault="00DE1E2D" w:rsidP="00286653">
            <w:pPr>
              <w:pStyle w:val="TableText"/>
            </w:pPr>
            <w:r w:rsidRPr="00732D50">
              <w:t xml:space="preserve">Vary formulation type to RB – </w:t>
            </w:r>
            <w:r w:rsidR="005F4C05">
              <w:t>ready-to-use bait</w:t>
            </w:r>
          </w:p>
        </w:tc>
      </w:tr>
    </w:tbl>
    <w:p w14:paraId="3FAECA5E" w14:textId="4AE44E88" w:rsidR="00996CF3" w:rsidRDefault="00996CF3" w:rsidP="00996CF3">
      <w:pPr>
        <w:pStyle w:val="NormalText"/>
      </w:pPr>
      <w:r>
        <w:t xml:space="preserve">The current registrations for diphacinone chemical products listed in </w:t>
      </w:r>
      <w:r>
        <w:fldChar w:fldCharType="begin"/>
      </w:r>
      <w:r>
        <w:instrText xml:space="preserve"> REF _Ref214975984 \h </w:instrText>
      </w:r>
      <w:r>
        <w:fldChar w:fldCharType="separate"/>
      </w:r>
      <w:r w:rsidR="003861AC">
        <w:t xml:space="preserve">Table </w:t>
      </w:r>
      <w:r w:rsidR="003861AC">
        <w:rPr>
          <w:noProof/>
        </w:rPr>
        <w:t>43</w:t>
      </w:r>
      <w:r>
        <w:fldChar w:fldCharType="end"/>
      </w:r>
      <w:r>
        <w:t>:</w:t>
      </w:r>
    </w:p>
    <w:p w14:paraId="2F96597B" w14:textId="77777777" w:rsidR="00996CF3" w:rsidRDefault="00996CF3" w:rsidP="00996CF3">
      <w:pPr>
        <w:pStyle w:val="Bullet1"/>
      </w:pPr>
      <w:r>
        <w:t xml:space="preserve">Are </w:t>
      </w:r>
      <w:r w:rsidRPr="002629BC">
        <w:rPr>
          <w:b/>
          <w:bCs/>
        </w:rPr>
        <w:t>not supported</w:t>
      </w:r>
      <w:r>
        <w:t xml:space="preserve"> if the formulation in the APVMA Register does not contain the requisite bittering agent and/or dye as constituents.</w:t>
      </w:r>
    </w:p>
    <w:p w14:paraId="35F39BA6" w14:textId="14E93C0C" w:rsidR="00996CF3" w:rsidRDefault="00996CF3" w:rsidP="00996CF3">
      <w:pPr>
        <w:pStyle w:val="Bullet1"/>
      </w:pPr>
      <w:r>
        <w:t>Are supported in this chemistry and manufacture risk assessment in all other instances, subject to:</w:t>
      </w:r>
    </w:p>
    <w:p w14:paraId="5DA71295" w14:textId="77777777" w:rsidR="00996CF3" w:rsidRDefault="00996CF3" w:rsidP="00286653">
      <w:pPr>
        <w:pStyle w:val="Bullet2"/>
      </w:pPr>
      <w:r>
        <w:t>Update of the formulation types recorded for in the APVMA Register to the contemporary designation of ‘ready-to-use bait (RB)’, in place of the more common currently used ‘bait (BA)’;</w:t>
      </w:r>
    </w:p>
    <w:p w14:paraId="0EC245FD" w14:textId="77777777" w:rsidR="00B124E3" w:rsidRDefault="00B124E3" w:rsidP="00377F3A">
      <w:pPr>
        <w:pStyle w:val="Heading3"/>
      </w:pPr>
      <w:bookmarkStart w:id="618" w:name="_Toc215150638"/>
      <w:bookmarkStart w:id="619" w:name="_Toc215150639"/>
      <w:bookmarkStart w:id="620" w:name="_Toc215150640"/>
      <w:bookmarkStart w:id="621" w:name="_Toc213334870"/>
      <w:bookmarkStart w:id="622" w:name="_Toc213771664"/>
      <w:bookmarkStart w:id="623" w:name="_Toc213943422"/>
      <w:bookmarkStart w:id="624" w:name="_Toc213945202"/>
      <w:bookmarkStart w:id="625" w:name="_Toc213334871"/>
      <w:bookmarkStart w:id="626" w:name="_Toc213771665"/>
      <w:bookmarkStart w:id="627" w:name="_Toc213943423"/>
      <w:bookmarkStart w:id="628" w:name="_Toc213945203"/>
      <w:bookmarkStart w:id="629" w:name="_Toc213334872"/>
      <w:bookmarkStart w:id="630" w:name="_Toc213771666"/>
      <w:bookmarkStart w:id="631" w:name="_Toc213943424"/>
      <w:bookmarkStart w:id="632" w:name="_Toc213945204"/>
      <w:bookmarkStart w:id="633" w:name="_Toc213334901"/>
      <w:bookmarkStart w:id="634" w:name="_Toc213771695"/>
      <w:bookmarkStart w:id="635" w:name="_Toc213943453"/>
      <w:bookmarkStart w:id="636" w:name="_Toc213945233"/>
      <w:bookmarkStart w:id="637" w:name="_Toc213334966"/>
      <w:bookmarkStart w:id="638" w:name="_Toc213771760"/>
      <w:bookmarkStart w:id="639" w:name="_Toc213943518"/>
      <w:bookmarkStart w:id="640" w:name="_Toc213945298"/>
      <w:bookmarkStart w:id="641" w:name="_Toc213334967"/>
      <w:bookmarkStart w:id="642" w:name="_Toc213771761"/>
      <w:bookmarkStart w:id="643" w:name="_Toc213943519"/>
      <w:bookmarkStart w:id="644" w:name="_Toc213945299"/>
      <w:bookmarkStart w:id="645" w:name="_Toc213334968"/>
      <w:bookmarkStart w:id="646" w:name="_Toc213771762"/>
      <w:bookmarkStart w:id="647" w:name="_Toc213943520"/>
      <w:bookmarkStart w:id="648" w:name="_Toc213945300"/>
      <w:bookmarkStart w:id="649" w:name="_Toc213334969"/>
      <w:bookmarkStart w:id="650" w:name="_Toc213771763"/>
      <w:bookmarkStart w:id="651" w:name="_Toc213943521"/>
      <w:bookmarkStart w:id="652" w:name="_Toc213945301"/>
      <w:bookmarkStart w:id="653" w:name="_Toc213334991"/>
      <w:bookmarkStart w:id="654" w:name="_Toc213771785"/>
      <w:bookmarkStart w:id="655" w:name="_Toc213943543"/>
      <w:bookmarkStart w:id="656" w:name="_Toc213945323"/>
      <w:bookmarkStart w:id="657" w:name="_Toc213334992"/>
      <w:bookmarkStart w:id="658" w:name="_Toc213771786"/>
      <w:bookmarkStart w:id="659" w:name="_Toc213943544"/>
      <w:bookmarkStart w:id="660" w:name="_Toc213945324"/>
      <w:bookmarkStart w:id="661" w:name="_Toc213334993"/>
      <w:bookmarkStart w:id="662" w:name="_Toc213771787"/>
      <w:bookmarkStart w:id="663" w:name="_Toc213943545"/>
      <w:bookmarkStart w:id="664" w:name="_Toc213945325"/>
      <w:bookmarkStart w:id="665" w:name="_Toc213335002"/>
      <w:bookmarkStart w:id="666" w:name="_Toc213771796"/>
      <w:bookmarkStart w:id="667" w:name="_Toc213943554"/>
      <w:bookmarkStart w:id="668" w:name="_Toc213945334"/>
      <w:bookmarkStart w:id="669" w:name="_Toc213335003"/>
      <w:bookmarkStart w:id="670" w:name="_Toc213771797"/>
      <w:bookmarkStart w:id="671" w:name="_Toc213943555"/>
      <w:bookmarkStart w:id="672" w:name="_Toc213945335"/>
      <w:bookmarkStart w:id="673" w:name="_Toc213335004"/>
      <w:bookmarkStart w:id="674" w:name="_Toc213771798"/>
      <w:bookmarkStart w:id="675" w:name="_Toc213943556"/>
      <w:bookmarkStart w:id="676" w:name="_Toc213945336"/>
      <w:bookmarkStart w:id="677" w:name="_Toc213335005"/>
      <w:bookmarkStart w:id="678" w:name="_Toc213771799"/>
      <w:bookmarkStart w:id="679" w:name="_Toc213943557"/>
      <w:bookmarkStart w:id="680" w:name="_Toc213945337"/>
      <w:bookmarkStart w:id="681" w:name="_Toc213335006"/>
      <w:bookmarkStart w:id="682" w:name="_Toc213771800"/>
      <w:bookmarkStart w:id="683" w:name="_Toc213943558"/>
      <w:bookmarkStart w:id="684" w:name="_Toc213945338"/>
      <w:bookmarkStart w:id="685" w:name="_Toc213335007"/>
      <w:bookmarkStart w:id="686" w:name="_Toc213771801"/>
      <w:bookmarkStart w:id="687" w:name="_Toc213943559"/>
      <w:bookmarkStart w:id="688" w:name="_Toc213945339"/>
      <w:bookmarkStart w:id="689" w:name="_Toc213153597"/>
      <w:bookmarkStart w:id="690" w:name="_Toc213335008"/>
      <w:bookmarkStart w:id="691" w:name="_Toc213771802"/>
      <w:bookmarkStart w:id="692" w:name="_Toc213943560"/>
      <w:bookmarkStart w:id="693" w:name="_Toc213945340"/>
      <w:bookmarkStart w:id="694" w:name="_Toc213153598"/>
      <w:bookmarkStart w:id="695" w:name="_Toc213335009"/>
      <w:bookmarkStart w:id="696" w:name="_Toc213771803"/>
      <w:bookmarkStart w:id="697" w:name="_Toc213943561"/>
      <w:bookmarkStart w:id="698" w:name="_Toc213945341"/>
      <w:bookmarkStart w:id="699" w:name="_Toc213153599"/>
      <w:bookmarkStart w:id="700" w:name="_Toc213335010"/>
      <w:bookmarkStart w:id="701" w:name="_Toc213771804"/>
      <w:bookmarkStart w:id="702" w:name="_Toc213943562"/>
      <w:bookmarkStart w:id="703" w:name="_Toc213945342"/>
      <w:bookmarkStart w:id="704" w:name="_Toc213153600"/>
      <w:bookmarkStart w:id="705" w:name="_Toc213335011"/>
      <w:bookmarkStart w:id="706" w:name="_Toc213771805"/>
      <w:bookmarkStart w:id="707" w:name="_Toc213943563"/>
      <w:bookmarkStart w:id="708" w:name="_Toc213945343"/>
      <w:bookmarkStart w:id="709" w:name="_Toc214025475"/>
      <w:bookmarkStart w:id="710" w:name="_Toc216695559"/>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t>Formulated products - Flocoumafen</w:t>
      </w:r>
      <w:bookmarkEnd w:id="709"/>
      <w:bookmarkEnd w:id="710"/>
    </w:p>
    <w:p w14:paraId="52B9C3D5" w14:textId="57151415" w:rsidR="00FC2A4E" w:rsidRDefault="00996CF3" w:rsidP="00377F3A">
      <w:pPr>
        <w:pStyle w:val="NormalText"/>
        <w:rPr>
          <w:rStyle w:val="NormalTextChar"/>
        </w:rPr>
      </w:pPr>
      <w:r w:rsidRPr="00BD2F8D">
        <w:t xml:space="preserve">A summary of the current </w:t>
      </w:r>
      <w:r>
        <w:t>registered chemical products</w:t>
      </w:r>
      <w:r w:rsidRPr="00BD2F8D">
        <w:t xml:space="preserve"> </w:t>
      </w:r>
      <w:r>
        <w:t>containing flocoumafen</w:t>
      </w:r>
      <w:r w:rsidRPr="009A1704">
        <w:t xml:space="preserve"> </w:t>
      </w:r>
      <w:r w:rsidRPr="00BD2F8D">
        <w:t xml:space="preserve">and recommendations based on review of the information entered in the APVMA’s </w:t>
      </w:r>
      <w:r>
        <w:t xml:space="preserve">Register </w:t>
      </w:r>
      <w:r w:rsidRPr="00BD2F8D">
        <w:t xml:space="preserve">is provided </w:t>
      </w:r>
      <w:r>
        <w:t xml:space="preserve">in </w:t>
      </w:r>
      <w:r>
        <w:fldChar w:fldCharType="begin"/>
      </w:r>
      <w:r>
        <w:instrText xml:space="preserve"> REF _Ref213101920 \h </w:instrText>
      </w:r>
      <w:r>
        <w:fldChar w:fldCharType="separate"/>
      </w:r>
      <w:r w:rsidR="003861AC">
        <w:t xml:space="preserve">Table </w:t>
      </w:r>
      <w:r w:rsidR="003861AC">
        <w:rPr>
          <w:noProof/>
        </w:rPr>
        <w:t>44</w:t>
      </w:r>
      <w:r>
        <w:fldChar w:fldCharType="end"/>
      </w:r>
      <w:r>
        <w:t xml:space="preserve">. </w:t>
      </w:r>
      <w:r w:rsidR="00B124E3">
        <w:t>All products are ready</w:t>
      </w:r>
      <w:r w:rsidR="005F4C05">
        <w:t>-</w:t>
      </w:r>
      <w:r w:rsidR="00B124E3">
        <w:t>to</w:t>
      </w:r>
      <w:r w:rsidR="005F4C05">
        <w:t>-</w:t>
      </w:r>
      <w:r w:rsidR="00B124E3">
        <w:t xml:space="preserve">use baits </w:t>
      </w:r>
      <w:r w:rsidR="00B124E3" w:rsidRPr="00377F3A">
        <w:rPr>
          <w:rStyle w:val="NormalTextChar"/>
        </w:rPr>
        <w:t>containing 0.05 g/kg flocoumafen.</w:t>
      </w:r>
    </w:p>
    <w:p w14:paraId="41C73032" w14:textId="7DCA6BEE" w:rsidR="00B124E3" w:rsidRDefault="00B124E3" w:rsidP="00377F3A">
      <w:pPr>
        <w:pStyle w:val="Caption"/>
      </w:pPr>
      <w:bookmarkStart w:id="711" w:name="_Ref213101920"/>
      <w:bookmarkStart w:id="712" w:name="_Toc213946020"/>
      <w:bookmarkStart w:id="713" w:name="_Toc216695706"/>
      <w:r>
        <w:t xml:space="preserve">Table </w:t>
      </w:r>
      <w:r>
        <w:fldChar w:fldCharType="begin"/>
      </w:r>
      <w:r>
        <w:instrText xml:space="preserve"> SEQ Table \* ARABIC </w:instrText>
      </w:r>
      <w:r>
        <w:fldChar w:fldCharType="separate"/>
      </w:r>
      <w:r w:rsidR="003861AC">
        <w:rPr>
          <w:noProof/>
        </w:rPr>
        <w:t>44</w:t>
      </w:r>
      <w:r>
        <w:rPr>
          <w:noProof/>
        </w:rPr>
        <w:fldChar w:fldCharType="end"/>
      </w:r>
      <w:bookmarkEnd w:id="711"/>
      <w:r w:rsidR="00E452B4">
        <w:rPr>
          <w:noProof/>
        </w:rPr>
        <w:t>:</w:t>
      </w:r>
      <w:r>
        <w:t xml:space="preserve"> Current registered products containing flocoumafen</w:t>
      </w:r>
      <w:bookmarkEnd w:id="712"/>
      <w:bookmarkEnd w:id="713"/>
    </w:p>
    <w:tbl>
      <w:tblPr>
        <w:tblStyle w:val="TableGrid"/>
        <w:tblW w:w="4856"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08"/>
        <w:gridCol w:w="1936"/>
        <w:gridCol w:w="1561"/>
        <w:gridCol w:w="1561"/>
        <w:gridCol w:w="2694"/>
      </w:tblGrid>
      <w:tr w:rsidR="00A57686" w:rsidRPr="009C5CEC" w14:paraId="68BA3FB3" w14:textId="77777777" w:rsidTr="00996CF3">
        <w:trPr>
          <w:trHeight w:val="288"/>
        </w:trPr>
        <w:tc>
          <w:tcPr>
            <w:tcW w:w="859" w:type="pct"/>
            <w:shd w:val="clear" w:color="auto" w:fill="53284F"/>
            <w:noWrap/>
            <w:hideMark/>
          </w:tcPr>
          <w:p w14:paraId="1190D318" w14:textId="77777777" w:rsidR="00A57686" w:rsidRPr="009C5CEC" w:rsidRDefault="00A57686" w:rsidP="00377F3A">
            <w:pPr>
              <w:pStyle w:val="TableHead"/>
            </w:pPr>
            <w:r w:rsidRPr="009C5CEC">
              <w:t>Product number</w:t>
            </w:r>
          </w:p>
        </w:tc>
        <w:tc>
          <w:tcPr>
            <w:tcW w:w="1034" w:type="pct"/>
            <w:shd w:val="clear" w:color="auto" w:fill="53284F"/>
            <w:noWrap/>
            <w:hideMark/>
          </w:tcPr>
          <w:p w14:paraId="7BFF0CE4" w14:textId="77777777" w:rsidR="00A57686" w:rsidRPr="009C5CEC" w:rsidRDefault="00A57686" w:rsidP="00377F3A">
            <w:pPr>
              <w:pStyle w:val="TableHead"/>
            </w:pPr>
            <w:r w:rsidRPr="009C5CEC">
              <w:t>Product name</w:t>
            </w:r>
          </w:p>
        </w:tc>
        <w:tc>
          <w:tcPr>
            <w:tcW w:w="834" w:type="pct"/>
            <w:shd w:val="clear" w:color="auto" w:fill="53284F"/>
          </w:tcPr>
          <w:p w14:paraId="029E8A7B" w14:textId="77777777" w:rsidR="00A57686" w:rsidRPr="009C5CEC" w:rsidRDefault="00A57686" w:rsidP="00377F3A">
            <w:pPr>
              <w:pStyle w:val="TableHead"/>
            </w:pPr>
            <w:r>
              <w:t>Active content</w:t>
            </w:r>
          </w:p>
        </w:tc>
        <w:tc>
          <w:tcPr>
            <w:tcW w:w="834" w:type="pct"/>
            <w:shd w:val="clear" w:color="auto" w:fill="53284F"/>
          </w:tcPr>
          <w:p w14:paraId="18927A2B" w14:textId="4567EA1D" w:rsidR="00A57686" w:rsidDel="00E452B4" w:rsidRDefault="00A57686" w:rsidP="00BA7F4F">
            <w:pPr>
              <w:pStyle w:val="TableHead"/>
            </w:pPr>
            <w:r>
              <w:t>Holder</w:t>
            </w:r>
          </w:p>
        </w:tc>
        <w:tc>
          <w:tcPr>
            <w:tcW w:w="1439" w:type="pct"/>
            <w:shd w:val="clear" w:color="auto" w:fill="53284F"/>
          </w:tcPr>
          <w:p w14:paraId="173349B5" w14:textId="587D896F" w:rsidR="00A57686" w:rsidRPr="009C5CEC" w:rsidRDefault="00A57686" w:rsidP="00377F3A">
            <w:pPr>
              <w:pStyle w:val="TableHead"/>
            </w:pPr>
            <w:r>
              <w:t>Recommendation</w:t>
            </w:r>
          </w:p>
        </w:tc>
      </w:tr>
      <w:tr w:rsidR="00A57686" w:rsidRPr="009C5CEC" w14:paraId="59093932" w14:textId="77777777" w:rsidTr="00996CF3">
        <w:trPr>
          <w:trHeight w:val="288"/>
        </w:trPr>
        <w:tc>
          <w:tcPr>
            <w:tcW w:w="859" w:type="pct"/>
            <w:noWrap/>
          </w:tcPr>
          <w:p w14:paraId="4C2AB0FC" w14:textId="77777777" w:rsidR="00A57686" w:rsidRPr="00EA7802" w:rsidRDefault="00A57686" w:rsidP="00377F3A">
            <w:pPr>
              <w:pStyle w:val="TableText"/>
            </w:pPr>
            <w:r w:rsidRPr="00EA7802">
              <w:t>47768</w:t>
            </w:r>
          </w:p>
        </w:tc>
        <w:tc>
          <w:tcPr>
            <w:tcW w:w="1034" w:type="pct"/>
            <w:noWrap/>
          </w:tcPr>
          <w:p w14:paraId="1CD49029" w14:textId="77777777" w:rsidR="00A57686" w:rsidRPr="00EA7802" w:rsidRDefault="00A57686" w:rsidP="00377F3A">
            <w:pPr>
              <w:pStyle w:val="TableText"/>
            </w:pPr>
            <w:r w:rsidRPr="00EA7802">
              <w:t>Storm Wax Block Rodenticide</w:t>
            </w:r>
          </w:p>
        </w:tc>
        <w:tc>
          <w:tcPr>
            <w:tcW w:w="834" w:type="pct"/>
          </w:tcPr>
          <w:p w14:paraId="21AB3BDB" w14:textId="183FD715" w:rsidR="00A57686" w:rsidRPr="00EA7802" w:rsidRDefault="00A57686" w:rsidP="00377F3A">
            <w:pPr>
              <w:pStyle w:val="TableText"/>
            </w:pPr>
            <w:r w:rsidRPr="00EA7802">
              <w:t>0.05 g/kg flocoumafen</w:t>
            </w:r>
          </w:p>
        </w:tc>
        <w:tc>
          <w:tcPr>
            <w:tcW w:w="834" w:type="pct"/>
          </w:tcPr>
          <w:p w14:paraId="3E548338" w14:textId="5832B020" w:rsidR="00A57686" w:rsidRPr="00EA7802" w:rsidRDefault="00A57686" w:rsidP="00377F3A">
            <w:pPr>
              <w:pStyle w:val="TableText"/>
            </w:pPr>
            <w:r w:rsidRPr="00EA7802">
              <w:t>BASF Australia Ltd</w:t>
            </w:r>
          </w:p>
        </w:tc>
        <w:tc>
          <w:tcPr>
            <w:tcW w:w="1439" w:type="pct"/>
          </w:tcPr>
          <w:p w14:paraId="4123F48F" w14:textId="11158F5E" w:rsidR="00A57686" w:rsidRPr="00EA7802" w:rsidRDefault="00A57686" w:rsidP="00377F3A">
            <w:pPr>
              <w:pStyle w:val="TableText"/>
            </w:pPr>
            <w:r w:rsidRPr="00EA7802">
              <w:t xml:space="preserve">Vary formulation type to RB – </w:t>
            </w:r>
            <w:r w:rsidR="005F4C05">
              <w:t>ready-to-use bait</w:t>
            </w:r>
          </w:p>
        </w:tc>
      </w:tr>
      <w:tr w:rsidR="00A57686" w:rsidRPr="009C5CEC" w14:paraId="03F84D11" w14:textId="77777777" w:rsidTr="00996CF3">
        <w:trPr>
          <w:trHeight w:val="288"/>
        </w:trPr>
        <w:tc>
          <w:tcPr>
            <w:tcW w:w="859" w:type="pct"/>
            <w:noWrap/>
          </w:tcPr>
          <w:p w14:paraId="51E40CA1" w14:textId="77777777" w:rsidR="00A57686" w:rsidRPr="00377F3A" w:rsidRDefault="00A57686" w:rsidP="00377F3A">
            <w:pPr>
              <w:pStyle w:val="TableText"/>
            </w:pPr>
            <w:r w:rsidRPr="00377F3A">
              <w:t>54191</w:t>
            </w:r>
          </w:p>
        </w:tc>
        <w:tc>
          <w:tcPr>
            <w:tcW w:w="1034" w:type="pct"/>
            <w:noWrap/>
          </w:tcPr>
          <w:p w14:paraId="34C551AF" w14:textId="77777777" w:rsidR="00A57686" w:rsidRPr="00377F3A" w:rsidRDefault="00A57686" w:rsidP="00377F3A">
            <w:pPr>
              <w:pStyle w:val="TableText"/>
            </w:pPr>
            <w:r w:rsidRPr="00377F3A">
              <w:t>Storm Secure Wax Block Rodenticide</w:t>
            </w:r>
          </w:p>
        </w:tc>
        <w:tc>
          <w:tcPr>
            <w:tcW w:w="834" w:type="pct"/>
          </w:tcPr>
          <w:p w14:paraId="10DB6E35" w14:textId="38AC8E7A" w:rsidR="00A57686" w:rsidRPr="00377F3A" w:rsidRDefault="00A57686" w:rsidP="00377F3A">
            <w:pPr>
              <w:pStyle w:val="TableText"/>
            </w:pPr>
            <w:r w:rsidRPr="00EA7802">
              <w:t>0.05 g/kg flocoumafen</w:t>
            </w:r>
          </w:p>
        </w:tc>
        <w:tc>
          <w:tcPr>
            <w:tcW w:w="834" w:type="pct"/>
          </w:tcPr>
          <w:p w14:paraId="2A7BC479" w14:textId="2B9BB23D" w:rsidR="00A57686" w:rsidRPr="00377F3A" w:rsidRDefault="00A57686" w:rsidP="00377F3A">
            <w:pPr>
              <w:pStyle w:val="TableText"/>
            </w:pPr>
            <w:r w:rsidRPr="00377F3A">
              <w:t>BASF Australia Ltd</w:t>
            </w:r>
          </w:p>
        </w:tc>
        <w:tc>
          <w:tcPr>
            <w:tcW w:w="1439" w:type="pct"/>
          </w:tcPr>
          <w:p w14:paraId="4D1FB39B" w14:textId="796B0A05" w:rsidR="00A57686" w:rsidRPr="00377F3A" w:rsidRDefault="00A57686" w:rsidP="00377F3A">
            <w:pPr>
              <w:pStyle w:val="TableText"/>
            </w:pPr>
            <w:r w:rsidRPr="00EA7802">
              <w:t xml:space="preserve">Vary formulation type to RB – </w:t>
            </w:r>
            <w:r w:rsidR="005F4C05">
              <w:t>ready-to-use bait</w:t>
            </w:r>
          </w:p>
        </w:tc>
      </w:tr>
      <w:tr w:rsidR="00A57686" w:rsidRPr="009C5CEC" w14:paraId="6B4EBF9F" w14:textId="77777777" w:rsidTr="00996CF3">
        <w:trPr>
          <w:trHeight w:val="288"/>
        </w:trPr>
        <w:tc>
          <w:tcPr>
            <w:tcW w:w="859" w:type="pct"/>
            <w:noWrap/>
          </w:tcPr>
          <w:p w14:paraId="67B147C9" w14:textId="77777777" w:rsidR="00A57686" w:rsidRPr="00EA7802" w:rsidRDefault="00A57686" w:rsidP="00377F3A">
            <w:pPr>
              <w:pStyle w:val="TableText"/>
            </w:pPr>
            <w:r w:rsidRPr="00EA7802">
              <w:t>80663</w:t>
            </w:r>
          </w:p>
        </w:tc>
        <w:tc>
          <w:tcPr>
            <w:tcW w:w="1034" w:type="pct"/>
            <w:noWrap/>
          </w:tcPr>
          <w:p w14:paraId="171BD638" w14:textId="77777777" w:rsidR="00A57686" w:rsidRPr="00EA7802" w:rsidRDefault="00A57686" w:rsidP="00377F3A">
            <w:pPr>
              <w:pStyle w:val="TableText"/>
            </w:pPr>
            <w:r w:rsidRPr="00EA7802">
              <w:t>Storm Soft Bait Rodenticide</w:t>
            </w:r>
          </w:p>
        </w:tc>
        <w:tc>
          <w:tcPr>
            <w:tcW w:w="834" w:type="pct"/>
          </w:tcPr>
          <w:p w14:paraId="21F5E0E9" w14:textId="6A24958C" w:rsidR="00A57686" w:rsidRPr="00EA7802" w:rsidRDefault="00A57686" w:rsidP="00377F3A">
            <w:pPr>
              <w:pStyle w:val="TableText"/>
            </w:pPr>
            <w:r w:rsidRPr="00EA7802">
              <w:t>0.05 g/kg flocoumafen</w:t>
            </w:r>
          </w:p>
        </w:tc>
        <w:tc>
          <w:tcPr>
            <w:tcW w:w="834" w:type="pct"/>
          </w:tcPr>
          <w:p w14:paraId="031CD2FA" w14:textId="0F11963F" w:rsidR="00A57686" w:rsidRPr="00EA7802" w:rsidRDefault="00A57686" w:rsidP="00377F3A">
            <w:pPr>
              <w:pStyle w:val="TableText"/>
            </w:pPr>
            <w:r w:rsidRPr="00EA7802">
              <w:t>BASF Australia Ltd</w:t>
            </w:r>
          </w:p>
        </w:tc>
        <w:tc>
          <w:tcPr>
            <w:tcW w:w="1439" w:type="pct"/>
          </w:tcPr>
          <w:p w14:paraId="70C217D1" w14:textId="1A6C5343" w:rsidR="00A57686" w:rsidRPr="00EA7802" w:rsidRDefault="00A57686" w:rsidP="00377F3A">
            <w:pPr>
              <w:pStyle w:val="TableText"/>
            </w:pPr>
            <w:r w:rsidRPr="00EA7802">
              <w:t xml:space="preserve">Vary formulation type to RB – </w:t>
            </w:r>
            <w:r w:rsidR="005F4C05">
              <w:t>ready-to-use bait</w:t>
            </w:r>
          </w:p>
        </w:tc>
      </w:tr>
      <w:tr w:rsidR="00A57686" w:rsidRPr="009C5CEC" w14:paraId="20A9C641" w14:textId="77777777" w:rsidTr="00996CF3">
        <w:trPr>
          <w:trHeight w:val="288"/>
        </w:trPr>
        <w:tc>
          <w:tcPr>
            <w:tcW w:w="859" w:type="pct"/>
            <w:noWrap/>
          </w:tcPr>
          <w:p w14:paraId="471A3876" w14:textId="77777777" w:rsidR="00A57686" w:rsidRPr="00EA7802" w:rsidRDefault="00A57686" w:rsidP="00377F3A">
            <w:pPr>
              <w:pStyle w:val="TableText"/>
            </w:pPr>
            <w:r w:rsidRPr="00EA7802">
              <w:t>90839</w:t>
            </w:r>
          </w:p>
        </w:tc>
        <w:tc>
          <w:tcPr>
            <w:tcW w:w="1034" w:type="pct"/>
            <w:noWrap/>
          </w:tcPr>
          <w:p w14:paraId="53F4F0E4" w14:textId="77777777" w:rsidR="00A57686" w:rsidRPr="00EA7802" w:rsidRDefault="00A57686" w:rsidP="00377F3A">
            <w:pPr>
              <w:pStyle w:val="TableText"/>
            </w:pPr>
            <w:r w:rsidRPr="00EA7802">
              <w:t>Stratagem Soft Bait Rodenticide</w:t>
            </w:r>
          </w:p>
        </w:tc>
        <w:tc>
          <w:tcPr>
            <w:tcW w:w="834" w:type="pct"/>
          </w:tcPr>
          <w:p w14:paraId="76CA357D" w14:textId="042CF175" w:rsidR="00A57686" w:rsidRPr="00EA7802" w:rsidRDefault="00A57686" w:rsidP="00377F3A">
            <w:pPr>
              <w:pStyle w:val="TableText"/>
            </w:pPr>
            <w:r w:rsidRPr="00EA7802">
              <w:t>0.05 g/kg flocoumafen</w:t>
            </w:r>
          </w:p>
        </w:tc>
        <w:tc>
          <w:tcPr>
            <w:tcW w:w="834" w:type="pct"/>
          </w:tcPr>
          <w:p w14:paraId="578E3E62" w14:textId="30BD9853" w:rsidR="00A57686" w:rsidRPr="00EA7802" w:rsidRDefault="00A57686" w:rsidP="00377F3A">
            <w:pPr>
              <w:pStyle w:val="TableText"/>
            </w:pPr>
            <w:r w:rsidRPr="00EA7802">
              <w:t>BASF Australia Ltd</w:t>
            </w:r>
          </w:p>
        </w:tc>
        <w:tc>
          <w:tcPr>
            <w:tcW w:w="1439" w:type="pct"/>
          </w:tcPr>
          <w:p w14:paraId="4672F45F" w14:textId="48C2E51D" w:rsidR="00A57686" w:rsidRPr="00EA7802" w:rsidRDefault="00A57686" w:rsidP="00377F3A">
            <w:pPr>
              <w:pStyle w:val="TableText"/>
            </w:pPr>
            <w:r w:rsidRPr="00EA7802">
              <w:t xml:space="preserve">Vary formulation type to RB – </w:t>
            </w:r>
            <w:r w:rsidR="005F4C05">
              <w:t>ready-to-use bait</w:t>
            </w:r>
          </w:p>
        </w:tc>
      </w:tr>
      <w:tr w:rsidR="00A57686" w:rsidRPr="009C5CEC" w14:paraId="2A0A7877" w14:textId="77777777" w:rsidTr="00996CF3">
        <w:trPr>
          <w:trHeight w:val="288"/>
        </w:trPr>
        <w:tc>
          <w:tcPr>
            <w:tcW w:w="859" w:type="pct"/>
            <w:noWrap/>
          </w:tcPr>
          <w:p w14:paraId="2C277B7D" w14:textId="77777777" w:rsidR="00A57686" w:rsidRPr="00EA7802" w:rsidRDefault="00A57686" w:rsidP="00377F3A">
            <w:pPr>
              <w:pStyle w:val="TableText"/>
            </w:pPr>
            <w:r w:rsidRPr="00EA7802">
              <w:t>90840</w:t>
            </w:r>
          </w:p>
        </w:tc>
        <w:tc>
          <w:tcPr>
            <w:tcW w:w="1034" w:type="pct"/>
            <w:noWrap/>
          </w:tcPr>
          <w:p w14:paraId="01B93604" w14:textId="77777777" w:rsidR="00A57686" w:rsidRPr="00EA7802" w:rsidRDefault="00A57686" w:rsidP="00377F3A">
            <w:pPr>
              <w:pStyle w:val="TableText"/>
            </w:pPr>
            <w:r w:rsidRPr="00EA7802">
              <w:t>Stratagem Wax Block Rodenticide</w:t>
            </w:r>
          </w:p>
        </w:tc>
        <w:tc>
          <w:tcPr>
            <w:tcW w:w="834" w:type="pct"/>
          </w:tcPr>
          <w:p w14:paraId="3959F57F" w14:textId="33CA7204" w:rsidR="00A57686" w:rsidRPr="00EA7802" w:rsidRDefault="00A57686" w:rsidP="00377F3A">
            <w:pPr>
              <w:pStyle w:val="TableText"/>
            </w:pPr>
            <w:r w:rsidRPr="00EA7802">
              <w:t>0.05 g/kg flocoumafen</w:t>
            </w:r>
          </w:p>
        </w:tc>
        <w:tc>
          <w:tcPr>
            <w:tcW w:w="834" w:type="pct"/>
          </w:tcPr>
          <w:p w14:paraId="1050278C" w14:textId="74896CC9" w:rsidR="00A57686" w:rsidRPr="00EA7802" w:rsidRDefault="00A57686" w:rsidP="00377F3A">
            <w:pPr>
              <w:pStyle w:val="TableText"/>
            </w:pPr>
            <w:r w:rsidRPr="00EA7802">
              <w:t>BASF Australia Ltd</w:t>
            </w:r>
          </w:p>
        </w:tc>
        <w:tc>
          <w:tcPr>
            <w:tcW w:w="1439" w:type="pct"/>
          </w:tcPr>
          <w:p w14:paraId="4B2BCBE6" w14:textId="0AE8FC9E" w:rsidR="00A57686" w:rsidRPr="00EA7802" w:rsidRDefault="00A57686" w:rsidP="00377F3A">
            <w:pPr>
              <w:pStyle w:val="TableText"/>
            </w:pPr>
            <w:r w:rsidRPr="00EA7802">
              <w:t xml:space="preserve">Vary formulation type to RB – </w:t>
            </w:r>
            <w:r w:rsidR="005F4C05">
              <w:t>ready-to-use bait</w:t>
            </w:r>
          </w:p>
        </w:tc>
      </w:tr>
    </w:tbl>
    <w:p w14:paraId="0ECCB7E2" w14:textId="16B49607" w:rsidR="00996CF3" w:rsidRDefault="00996CF3" w:rsidP="00996CF3">
      <w:pPr>
        <w:pStyle w:val="NormalText"/>
      </w:pPr>
      <w:r>
        <w:t>The current registrations for flocoumafen</w:t>
      </w:r>
      <w:r w:rsidRPr="009A1704">
        <w:t xml:space="preserve"> </w:t>
      </w:r>
      <w:r>
        <w:t xml:space="preserve">chemical products listed in </w:t>
      </w:r>
      <w:r w:rsidR="0049283E">
        <w:fldChar w:fldCharType="begin"/>
      </w:r>
      <w:r w:rsidR="0049283E">
        <w:instrText xml:space="preserve"> REF _Ref213101920 \h </w:instrText>
      </w:r>
      <w:r w:rsidR="0049283E">
        <w:fldChar w:fldCharType="separate"/>
      </w:r>
      <w:r w:rsidR="003861AC">
        <w:t xml:space="preserve">Table </w:t>
      </w:r>
      <w:r w:rsidR="003861AC">
        <w:rPr>
          <w:noProof/>
        </w:rPr>
        <w:t>44</w:t>
      </w:r>
      <w:r w:rsidR="0049283E">
        <w:fldChar w:fldCharType="end"/>
      </w:r>
      <w:r>
        <w:t>are supported in this chemistry and manufacture risk assessment, subject to:</w:t>
      </w:r>
    </w:p>
    <w:p w14:paraId="5EB723F4" w14:textId="77777777" w:rsidR="00996CF3" w:rsidRDefault="00996CF3">
      <w:pPr>
        <w:pStyle w:val="NormalText"/>
        <w:numPr>
          <w:ilvl w:val="0"/>
          <w:numId w:val="12"/>
        </w:numPr>
      </w:pPr>
      <w:r>
        <w:lastRenderedPageBreak/>
        <w:t>Update of the formulation type recorded for in the APVMA Register to the contemporary designation of ‘ready-to-use bait (RB)’, in place of the more common currently used ‘bait (BA)’.</w:t>
      </w:r>
    </w:p>
    <w:p w14:paraId="7F4A2D7D" w14:textId="105AD9F8" w:rsidR="00B124E3" w:rsidRDefault="00B124E3" w:rsidP="00377F3A">
      <w:pPr>
        <w:pStyle w:val="Heading3"/>
      </w:pPr>
      <w:bookmarkStart w:id="714" w:name="_Toc215150642"/>
      <w:bookmarkStart w:id="715" w:name="_Toc213153602"/>
      <w:bookmarkStart w:id="716" w:name="_Toc213335013"/>
      <w:bookmarkStart w:id="717" w:name="_Toc213771807"/>
      <w:bookmarkStart w:id="718" w:name="_Toc213943565"/>
      <w:bookmarkStart w:id="719" w:name="_Toc213945345"/>
      <w:bookmarkStart w:id="720" w:name="_Toc213153603"/>
      <w:bookmarkStart w:id="721" w:name="_Toc213335014"/>
      <w:bookmarkStart w:id="722" w:name="_Toc213771808"/>
      <w:bookmarkStart w:id="723" w:name="_Toc213943566"/>
      <w:bookmarkStart w:id="724" w:name="_Toc213945346"/>
      <w:bookmarkStart w:id="725" w:name="_Toc213153604"/>
      <w:bookmarkStart w:id="726" w:name="_Toc213335015"/>
      <w:bookmarkStart w:id="727" w:name="_Toc213771809"/>
      <w:bookmarkStart w:id="728" w:name="_Toc213943567"/>
      <w:bookmarkStart w:id="729" w:name="_Toc213945347"/>
      <w:bookmarkStart w:id="730" w:name="_Toc213335016"/>
      <w:bookmarkStart w:id="731" w:name="_Toc213771810"/>
      <w:bookmarkStart w:id="732" w:name="_Toc213943568"/>
      <w:bookmarkStart w:id="733" w:name="_Toc213945348"/>
      <w:bookmarkStart w:id="734" w:name="_Toc213335017"/>
      <w:bookmarkStart w:id="735" w:name="_Toc213771811"/>
      <w:bookmarkStart w:id="736" w:name="_Toc213943569"/>
      <w:bookmarkStart w:id="737" w:name="_Toc213945349"/>
      <w:bookmarkStart w:id="738" w:name="_Toc213335018"/>
      <w:bookmarkStart w:id="739" w:name="_Toc213771812"/>
      <w:bookmarkStart w:id="740" w:name="_Toc213943570"/>
      <w:bookmarkStart w:id="741" w:name="_Toc213945350"/>
      <w:bookmarkStart w:id="742" w:name="_Toc213335019"/>
      <w:bookmarkStart w:id="743" w:name="_Toc213771813"/>
      <w:bookmarkStart w:id="744" w:name="_Toc213943571"/>
      <w:bookmarkStart w:id="745" w:name="_Toc213945351"/>
      <w:bookmarkStart w:id="746" w:name="_Toc213335020"/>
      <w:bookmarkStart w:id="747" w:name="_Toc213771814"/>
      <w:bookmarkStart w:id="748" w:name="_Toc213943572"/>
      <w:bookmarkStart w:id="749" w:name="_Toc213945352"/>
      <w:bookmarkStart w:id="750" w:name="_Toc213335022"/>
      <w:bookmarkStart w:id="751" w:name="_Toc213771816"/>
      <w:bookmarkStart w:id="752" w:name="_Toc213943574"/>
      <w:bookmarkStart w:id="753" w:name="_Toc213945354"/>
      <w:bookmarkStart w:id="754" w:name="_Toc213335023"/>
      <w:bookmarkStart w:id="755" w:name="_Toc213771817"/>
      <w:bookmarkStart w:id="756" w:name="_Toc213943575"/>
      <w:bookmarkStart w:id="757" w:name="_Toc213945355"/>
      <w:bookmarkStart w:id="758" w:name="_Toc213335025"/>
      <w:bookmarkStart w:id="759" w:name="_Toc213771819"/>
      <w:bookmarkStart w:id="760" w:name="_Toc213943577"/>
      <w:bookmarkStart w:id="761" w:name="_Toc213945357"/>
      <w:bookmarkStart w:id="762" w:name="_Toc213335026"/>
      <w:bookmarkStart w:id="763" w:name="_Toc213771820"/>
      <w:bookmarkStart w:id="764" w:name="_Toc213943578"/>
      <w:bookmarkStart w:id="765" w:name="_Toc213945358"/>
      <w:bookmarkStart w:id="766" w:name="_Toc213335028"/>
      <w:bookmarkStart w:id="767" w:name="_Toc213771822"/>
      <w:bookmarkStart w:id="768" w:name="_Toc213943580"/>
      <w:bookmarkStart w:id="769" w:name="_Toc213945360"/>
      <w:bookmarkStart w:id="770" w:name="_Toc213335029"/>
      <w:bookmarkStart w:id="771" w:name="_Toc213771823"/>
      <w:bookmarkStart w:id="772" w:name="_Toc213943581"/>
      <w:bookmarkStart w:id="773" w:name="_Toc213945361"/>
      <w:bookmarkStart w:id="774" w:name="_Toc213335031"/>
      <w:bookmarkStart w:id="775" w:name="_Toc213771825"/>
      <w:bookmarkStart w:id="776" w:name="_Toc213943583"/>
      <w:bookmarkStart w:id="777" w:name="_Toc213945363"/>
      <w:bookmarkStart w:id="778" w:name="_Toc213335032"/>
      <w:bookmarkStart w:id="779" w:name="_Toc213771826"/>
      <w:bookmarkStart w:id="780" w:name="_Toc213943584"/>
      <w:bookmarkStart w:id="781" w:name="_Toc213945364"/>
      <w:bookmarkStart w:id="782" w:name="_Toc213335034"/>
      <w:bookmarkStart w:id="783" w:name="_Toc213771828"/>
      <w:bookmarkStart w:id="784" w:name="_Toc213943586"/>
      <w:bookmarkStart w:id="785" w:name="_Toc213945366"/>
      <w:bookmarkStart w:id="786" w:name="_Toc213335035"/>
      <w:bookmarkStart w:id="787" w:name="_Toc213771829"/>
      <w:bookmarkStart w:id="788" w:name="_Toc213943587"/>
      <w:bookmarkStart w:id="789" w:name="_Toc213945367"/>
      <w:bookmarkStart w:id="790" w:name="_Toc213335037"/>
      <w:bookmarkStart w:id="791" w:name="_Toc213771831"/>
      <w:bookmarkStart w:id="792" w:name="_Toc213943589"/>
      <w:bookmarkStart w:id="793" w:name="_Toc213945369"/>
      <w:bookmarkStart w:id="794" w:name="_Toc213335038"/>
      <w:bookmarkStart w:id="795" w:name="_Toc213771832"/>
      <w:bookmarkStart w:id="796" w:name="_Toc213943590"/>
      <w:bookmarkStart w:id="797" w:name="_Toc213945370"/>
      <w:bookmarkStart w:id="798" w:name="_Toc213335040"/>
      <w:bookmarkStart w:id="799" w:name="_Toc213771834"/>
      <w:bookmarkStart w:id="800" w:name="_Toc213943592"/>
      <w:bookmarkStart w:id="801" w:name="_Toc213945372"/>
      <w:bookmarkStart w:id="802" w:name="_Toc213335041"/>
      <w:bookmarkStart w:id="803" w:name="_Toc213771835"/>
      <w:bookmarkStart w:id="804" w:name="_Toc213943593"/>
      <w:bookmarkStart w:id="805" w:name="_Toc213945373"/>
      <w:bookmarkStart w:id="806" w:name="_Toc213335042"/>
      <w:bookmarkStart w:id="807" w:name="_Toc213771836"/>
      <w:bookmarkStart w:id="808" w:name="_Toc213943594"/>
      <w:bookmarkStart w:id="809" w:name="_Toc213945374"/>
      <w:bookmarkStart w:id="810" w:name="_Toc213335044"/>
      <w:bookmarkStart w:id="811" w:name="_Toc213771838"/>
      <w:bookmarkStart w:id="812" w:name="_Toc213943596"/>
      <w:bookmarkStart w:id="813" w:name="_Toc213945376"/>
      <w:bookmarkStart w:id="814" w:name="_Toc213335045"/>
      <w:bookmarkStart w:id="815" w:name="_Toc213771839"/>
      <w:bookmarkStart w:id="816" w:name="_Toc213943597"/>
      <w:bookmarkStart w:id="817" w:name="_Toc213945377"/>
      <w:bookmarkStart w:id="818" w:name="_Toc213335047"/>
      <w:bookmarkStart w:id="819" w:name="_Toc213771841"/>
      <w:bookmarkStart w:id="820" w:name="_Toc213943599"/>
      <w:bookmarkStart w:id="821" w:name="_Toc213945379"/>
      <w:bookmarkStart w:id="822" w:name="_Toc213335048"/>
      <w:bookmarkStart w:id="823" w:name="_Toc213771842"/>
      <w:bookmarkStart w:id="824" w:name="_Toc213943600"/>
      <w:bookmarkStart w:id="825" w:name="_Toc213945380"/>
      <w:bookmarkStart w:id="826" w:name="_Toc213335049"/>
      <w:bookmarkStart w:id="827" w:name="_Toc213771843"/>
      <w:bookmarkStart w:id="828" w:name="_Toc213943601"/>
      <w:bookmarkStart w:id="829" w:name="_Toc213945381"/>
      <w:bookmarkStart w:id="830" w:name="_Toc213335050"/>
      <w:bookmarkStart w:id="831" w:name="_Toc213771844"/>
      <w:bookmarkStart w:id="832" w:name="_Toc213943602"/>
      <w:bookmarkStart w:id="833" w:name="_Toc213945382"/>
      <w:bookmarkStart w:id="834" w:name="_Toc213335052"/>
      <w:bookmarkStart w:id="835" w:name="_Toc213771846"/>
      <w:bookmarkStart w:id="836" w:name="_Toc213943604"/>
      <w:bookmarkStart w:id="837" w:name="_Toc213945384"/>
      <w:bookmarkStart w:id="838" w:name="_Toc213335053"/>
      <w:bookmarkStart w:id="839" w:name="_Toc213771847"/>
      <w:bookmarkStart w:id="840" w:name="_Toc213943605"/>
      <w:bookmarkStart w:id="841" w:name="_Toc213945385"/>
      <w:bookmarkStart w:id="842" w:name="_Toc213335054"/>
      <w:bookmarkStart w:id="843" w:name="_Toc213771848"/>
      <w:bookmarkStart w:id="844" w:name="_Toc213943606"/>
      <w:bookmarkStart w:id="845" w:name="_Toc213945386"/>
      <w:bookmarkStart w:id="846" w:name="_Toc213335056"/>
      <w:bookmarkStart w:id="847" w:name="_Toc213771850"/>
      <w:bookmarkStart w:id="848" w:name="_Toc213943608"/>
      <w:bookmarkStart w:id="849" w:name="_Toc213945388"/>
      <w:bookmarkStart w:id="850" w:name="_Toc213335057"/>
      <w:bookmarkStart w:id="851" w:name="_Toc213771851"/>
      <w:bookmarkStart w:id="852" w:name="_Toc213943609"/>
      <w:bookmarkStart w:id="853" w:name="_Toc213945389"/>
      <w:bookmarkStart w:id="854" w:name="_Toc213335059"/>
      <w:bookmarkStart w:id="855" w:name="_Toc213771853"/>
      <w:bookmarkStart w:id="856" w:name="_Toc213943611"/>
      <w:bookmarkStart w:id="857" w:name="_Toc213945391"/>
      <w:bookmarkStart w:id="858" w:name="_Toc213335060"/>
      <w:bookmarkStart w:id="859" w:name="_Toc213771854"/>
      <w:bookmarkStart w:id="860" w:name="_Toc213943612"/>
      <w:bookmarkStart w:id="861" w:name="_Toc213945392"/>
      <w:bookmarkStart w:id="862" w:name="_Toc213335061"/>
      <w:bookmarkStart w:id="863" w:name="_Toc213771855"/>
      <w:bookmarkStart w:id="864" w:name="_Toc213943613"/>
      <w:bookmarkStart w:id="865" w:name="_Toc213945393"/>
      <w:bookmarkStart w:id="866" w:name="_Toc213335063"/>
      <w:bookmarkStart w:id="867" w:name="_Toc213771857"/>
      <w:bookmarkStart w:id="868" w:name="_Toc213943615"/>
      <w:bookmarkStart w:id="869" w:name="_Toc213945395"/>
      <w:bookmarkStart w:id="870" w:name="_Toc213335064"/>
      <w:bookmarkStart w:id="871" w:name="_Toc213771858"/>
      <w:bookmarkStart w:id="872" w:name="_Toc213943616"/>
      <w:bookmarkStart w:id="873" w:name="_Toc213945396"/>
      <w:bookmarkStart w:id="874" w:name="_Toc213335066"/>
      <w:bookmarkStart w:id="875" w:name="_Toc213771860"/>
      <w:bookmarkStart w:id="876" w:name="_Toc213943618"/>
      <w:bookmarkStart w:id="877" w:name="_Toc213945398"/>
      <w:bookmarkStart w:id="878" w:name="_Toc213335067"/>
      <w:bookmarkStart w:id="879" w:name="_Toc213771861"/>
      <w:bookmarkStart w:id="880" w:name="_Toc213943619"/>
      <w:bookmarkStart w:id="881" w:name="_Toc213945399"/>
      <w:bookmarkStart w:id="882" w:name="_Toc213335068"/>
      <w:bookmarkStart w:id="883" w:name="_Toc213771862"/>
      <w:bookmarkStart w:id="884" w:name="_Toc213943620"/>
      <w:bookmarkStart w:id="885" w:name="_Toc213945400"/>
      <w:bookmarkStart w:id="886" w:name="_Toc213335070"/>
      <w:bookmarkStart w:id="887" w:name="_Toc213771864"/>
      <w:bookmarkStart w:id="888" w:name="_Toc213943622"/>
      <w:bookmarkStart w:id="889" w:name="_Toc213945402"/>
      <w:bookmarkStart w:id="890" w:name="_Toc213335071"/>
      <w:bookmarkStart w:id="891" w:name="_Toc213771865"/>
      <w:bookmarkStart w:id="892" w:name="_Toc213943623"/>
      <w:bookmarkStart w:id="893" w:name="_Toc213945403"/>
      <w:bookmarkStart w:id="894" w:name="_Toc213335072"/>
      <w:bookmarkStart w:id="895" w:name="_Toc213771866"/>
      <w:bookmarkStart w:id="896" w:name="_Toc213943624"/>
      <w:bookmarkStart w:id="897" w:name="_Toc213945404"/>
      <w:bookmarkStart w:id="898" w:name="_Toc213335074"/>
      <w:bookmarkStart w:id="899" w:name="_Toc213771868"/>
      <w:bookmarkStart w:id="900" w:name="_Toc213943626"/>
      <w:bookmarkStart w:id="901" w:name="_Toc213945406"/>
      <w:bookmarkStart w:id="902" w:name="_Toc213335075"/>
      <w:bookmarkStart w:id="903" w:name="_Toc213771869"/>
      <w:bookmarkStart w:id="904" w:name="_Toc213943627"/>
      <w:bookmarkStart w:id="905" w:name="_Toc213945407"/>
      <w:bookmarkStart w:id="906" w:name="_Toc213335076"/>
      <w:bookmarkStart w:id="907" w:name="_Toc213771870"/>
      <w:bookmarkStart w:id="908" w:name="_Toc213943628"/>
      <w:bookmarkStart w:id="909" w:name="_Toc213945408"/>
      <w:bookmarkStart w:id="910" w:name="_Toc213335077"/>
      <w:bookmarkStart w:id="911" w:name="_Toc213771871"/>
      <w:bookmarkStart w:id="912" w:name="_Toc213943629"/>
      <w:bookmarkStart w:id="913" w:name="_Toc213945409"/>
      <w:bookmarkStart w:id="914" w:name="_Toc213335078"/>
      <w:bookmarkStart w:id="915" w:name="_Toc213771872"/>
      <w:bookmarkStart w:id="916" w:name="_Toc213943630"/>
      <w:bookmarkStart w:id="917" w:name="_Toc213945410"/>
      <w:bookmarkStart w:id="918" w:name="_Toc213335079"/>
      <w:bookmarkStart w:id="919" w:name="_Toc213771873"/>
      <w:bookmarkStart w:id="920" w:name="_Toc213943631"/>
      <w:bookmarkStart w:id="921" w:name="_Toc213945411"/>
      <w:bookmarkStart w:id="922" w:name="_Toc213335080"/>
      <w:bookmarkStart w:id="923" w:name="_Toc213771874"/>
      <w:bookmarkStart w:id="924" w:name="_Toc213943632"/>
      <w:bookmarkStart w:id="925" w:name="_Toc213945412"/>
      <w:bookmarkStart w:id="926" w:name="_Toc213335082"/>
      <w:bookmarkStart w:id="927" w:name="_Toc213771876"/>
      <w:bookmarkStart w:id="928" w:name="_Toc213943634"/>
      <w:bookmarkStart w:id="929" w:name="_Toc213945414"/>
      <w:bookmarkStart w:id="930" w:name="_Toc213335083"/>
      <w:bookmarkStart w:id="931" w:name="_Toc213771877"/>
      <w:bookmarkStart w:id="932" w:name="_Toc213943635"/>
      <w:bookmarkStart w:id="933" w:name="_Toc213945415"/>
      <w:bookmarkStart w:id="934" w:name="_Toc213335084"/>
      <w:bookmarkStart w:id="935" w:name="_Toc213771878"/>
      <w:bookmarkStart w:id="936" w:name="_Toc213943636"/>
      <w:bookmarkStart w:id="937" w:name="_Toc213945416"/>
      <w:bookmarkStart w:id="938" w:name="_Toc213335086"/>
      <w:bookmarkStart w:id="939" w:name="_Toc213771880"/>
      <w:bookmarkStart w:id="940" w:name="_Toc213943638"/>
      <w:bookmarkStart w:id="941" w:name="_Toc213945418"/>
      <w:bookmarkStart w:id="942" w:name="_Toc213335087"/>
      <w:bookmarkStart w:id="943" w:name="_Toc213771881"/>
      <w:bookmarkStart w:id="944" w:name="_Toc213943639"/>
      <w:bookmarkStart w:id="945" w:name="_Toc213945419"/>
      <w:bookmarkStart w:id="946" w:name="_Toc213335088"/>
      <w:bookmarkStart w:id="947" w:name="_Toc213771882"/>
      <w:bookmarkStart w:id="948" w:name="_Toc213943640"/>
      <w:bookmarkStart w:id="949" w:name="_Toc213945420"/>
      <w:bookmarkStart w:id="950" w:name="_Toc213335089"/>
      <w:bookmarkStart w:id="951" w:name="_Toc213771883"/>
      <w:bookmarkStart w:id="952" w:name="_Toc213943641"/>
      <w:bookmarkStart w:id="953" w:name="_Toc213945421"/>
      <w:bookmarkStart w:id="954" w:name="_Toc213335090"/>
      <w:bookmarkStart w:id="955" w:name="_Toc213771884"/>
      <w:bookmarkStart w:id="956" w:name="_Toc213943642"/>
      <w:bookmarkStart w:id="957" w:name="_Toc213945422"/>
      <w:bookmarkStart w:id="958" w:name="_Toc213335091"/>
      <w:bookmarkStart w:id="959" w:name="_Toc213771885"/>
      <w:bookmarkStart w:id="960" w:name="_Toc213943643"/>
      <w:bookmarkStart w:id="961" w:name="_Toc213945423"/>
      <w:bookmarkStart w:id="962" w:name="_Toc213335092"/>
      <w:bookmarkStart w:id="963" w:name="_Toc213771886"/>
      <w:bookmarkStart w:id="964" w:name="_Toc213943644"/>
      <w:bookmarkStart w:id="965" w:name="_Toc213945424"/>
      <w:bookmarkStart w:id="966" w:name="_Toc213335093"/>
      <w:bookmarkStart w:id="967" w:name="_Toc213771887"/>
      <w:bookmarkStart w:id="968" w:name="_Toc213943645"/>
      <w:bookmarkStart w:id="969" w:name="_Toc213945425"/>
      <w:bookmarkStart w:id="970" w:name="_Toc213335094"/>
      <w:bookmarkStart w:id="971" w:name="_Toc213771888"/>
      <w:bookmarkStart w:id="972" w:name="_Toc213943646"/>
      <w:bookmarkStart w:id="973" w:name="_Toc213945426"/>
      <w:bookmarkStart w:id="974" w:name="_Toc213335096"/>
      <w:bookmarkStart w:id="975" w:name="_Toc213771890"/>
      <w:bookmarkStart w:id="976" w:name="_Toc213943648"/>
      <w:bookmarkStart w:id="977" w:name="_Toc213945428"/>
      <w:bookmarkStart w:id="978" w:name="_Toc213335097"/>
      <w:bookmarkStart w:id="979" w:name="_Toc213771891"/>
      <w:bookmarkStart w:id="980" w:name="_Toc213943649"/>
      <w:bookmarkStart w:id="981" w:name="_Toc213945429"/>
      <w:bookmarkStart w:id="982" w:name="_Toc213335098"/>
      <w:bookmarkStart w:id="983" w:name="_Toc213771892"/>
      <w:bookmarkStart w:id="984" w:name="_Toc213943650"/>
      <w:bookmarkStart w:id="985" w:name="_Toc213945430"/>
      <w:bookmarkStart w:id="986" w:name="_Toc213335099"/>
      <w:bookmarkStart w:id="987" w:name="_Toc213771893"/>
      <w:bookmarkStart w:id="988" w:name="_Toc213943651"/>
      <w:bookmarkStart w:id="989" w:name="_Toc213945431"/>
      <w:bookmarkStart w:id="990" w:name="_Toc213335101"/>
      <w:bookmarkStart w:id="991" w:name="_Toc213771895"/>
      <w:bookmarkStart w:id="992" w:name="_Toc213943653"/>
      <w:bookmarkStart w:id="993" w:name="_Toc213945433"/>
      <w:bookmarkStart w:id="994" w:name="_Toc213335102"/>
      <w:bookmarkStart w:id="995" w:name="_Toc213771896"/>
      <w:bookmarkStart w:id="996" w:name="_Toc213943654"/>
      <w:bookmarkStart w:id="997" w:name="_Toc213945434"/>
      <w:bookmarkStart w:id="998" w:name="_Toc213335103"/>
      <w:bookmarkStart w:id="999" w:name="_Toc213771897"/>
      <w:bookmarkStart w:id="1000" w:name="_Toc213943655"/>
      <w:bookmarkStart w:id="1001" w:name="_Toc213945435"/>
      <w:bookmarkStart w:id="1002" w:name="_Toc213335104"/>
      <w:bookmarkStart w:id="1003" w:name="_Toc213771898"/>
      <w:bookmarkStart w:id="1004" w:name="_Toc213943656"/>
      <w:bookmarkStart w:id="1005" w:name="_Toc213945436"/>
      <w:bookmarkStart w:id="1006" w:name="_Toc213335105"/>
      <w:bookmarkStart w:id="1007" w:name="_Toc213771899"/>
      <w:bookmarkStart w:id="1008" w:name="_Toc213943657"/>
      <w:bookmarkStart w:id="1009" w:name="_Toc213945437"/>
      <w:bookmarkStart w:id="1010" w:name="_Toc213335107"/>
      <w:bookmarkStart w:id="1011" w:name="_Toc213771901"/>
      <w:bookmarkStart w:id="1012" w:name="_Toc213943659"/>
      <w:bookmarkStart w:id="1013" w:name="_Toc213945439"/>
      <w:bookmarkStart w:id="1014" w:name="_Toc213335108"/>
      <w:bookmarkStart w:id="1015" w:name="_Toc213771902"/>
      <w:bookmarkStart w:id="1016" w:name="_Toc213943660"/>
      <w:bookmarkStart w:id="1017" w:name="_Toc213945440"/>
      <w:bookmarkStart w:id="1018" w:name="_Toc213335109"/>
      <w:bookmarkStart w:id="1019" w:name="_Toc213771903"/>
      <w:bookmarkStart w:id="1020" w:name="_Toc213943661"/>
      <w:bookmarkStart w:id="1021" w:name="_Toc213945441"/>
      <w:bookmarkStart w:id="1022" w:name="_Toc213335110"/>
      <w:bookmarkStart w:id="1023" w:name="_Toc213771904"/>
      <w:bookmarkStart w:id="1024" w:name="_Toc213943662"/>
      <w:bookmarkStart w:id="1025" w:name="_Toc213945442"/>
      <w:bookmarkStart w:id="1026" w:name="_Toc213335112"/>
      <w:bookmarkStart w:id="1027" w:name="_Toc213771906"/>
      <w:bookmarkStart w:id="1028" w:name="_Toc213943664"/>
      <w:bookmarkStart w:id="1029" w:name="_Toc213945444"/>
      <w:bookmarkStart w:id="1030" w:name="_Toc213335113"/>
      <w:bookmarkStart w:id="1031" w:name="_Toc213771907"/>
      <w:bookmarkStart w:id="1032" w:name="_Toc213943665"/>
      <w:bookmarkStart w:id="1033" w:name="_Toc213945445"/>
      <w:bookmarkStart w:id="1034" w:name="_Toc213335114"/>
      <w:bookmarkStart w:id="1035" w:name="_Toc213771908"/>
      <w:bookmarkStart w:id="1036" w:name="_Toc213943666"/>
      <w:bookmarkStart w:id="1037" w:name="_Toc213945446"/>
      <w:bookmarkStart w:id="1038" w:name="_Toc213335115"/>
      <w:bookmarkStart w:id="1039" w:name="_Toc213771909"/>
      <w:bookmarkStart w:id="1040" w:name="_Toc213943667"/>
      <w:bookmarkStart w:id="1041" w:name="_Toc213945447"/>
      <w:bookmarkStart w:id="1042" w:name="_Toc213335116"/>
      <w:bookmarkStart w:id="1043" w:name="_Toc213771910"/>
      <w:bookmarkStart w:id="1044" w:name="_Toc213943668"/>
      <w:bookmarkStart w:id="1045" w:name="_Toc213945448"/>
      <w:bookmarkStart w:id="1046" w:name="_Toc213335117"/>
      <w:bookmarkStart w:id="1047" w:name="_Toc213771911"/>
      <w:bookmarkStart w:id="1048" w:name="_Toc213943669"/>
      <w:bookmarkStart w:id="1049" w:name="_Toc213945449"/>
      <w:bookmarkStart w:id="1050" w:name="_Toc214025476"/>
      <w:bookmarkStart w:id="1051" w:name="_Toc216695560"/>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r>
        <w:t>Formulated products - Warfarin</w:t>
      </w:r>
      <w:bookmarkEnd w:id="1050"/>
      <w:bookmarkEnd w:id="1051"/>
    </w:p>
    <w:p w14:paraId="308C26AF" w14:textId="0DBECEBA" w:rsidR="00825A3F" w:rsidRDefault="00996CF3" w:rsidP="00B124E3">
      <w:pPr>
        <w:pStyle w:val="NormalText"/>
      </w:pPr>
      <w:r w:rsidRPr="00BD2F8D">
        <w:t xml:space="preserve">A summary of the current </w:t>
      </w:r>
      <w:r>
        <w:t>registered chemical products</w:t>
      </w:r>
      <w:r w:rsidRPr="00BD2F8D">
        <w:t xml:space="preserve"> </w:t>
      </w:r>
      <w:r>
        <w:t>containing warfarin</w:t>
      </w:r>
      <w:r w:rsidRPr="009A1704">
        <w:t xml:space="preserve"> </w:t>
      </w:r>
      <w:r w:rsidRPr="00BD2F8D">
        <w:t xml:space="preserve">and recommendations based on review of the information entered in the APVMA’s </w:t>
      </w:r>
      <w:r>
        <w:t xml:space="preserve">Register </w:t>
      </w:r>
      <w:r w:rsidRPr="00BD2F8D">
        <w:t xml:space="preserve">is provided </w:t>
      </w:r>
      <w:r>
        <w:t xml:space="preserve">in </w:t>
      </w:r>
      <w:r>
        <w:fldChar w:fldCharType="begin"/>
      </w:r>
      <w:r>
        <w:instrText xml:space="preserve"> REF _Ref213102687 \h </w:instrText>
      </w:r>
      <w:r>
        <w:fldChar w:fldCharType="separate"/>
      </w:r>
      <w:r w:rsidR="003861AC">
        <w:t xml:space="preserve">Table </w:t>
      </w:r>
      <w:r w:rsidR="003861AC">
        <w:rPr>
          <w:noProof/>
        </w:rPr>
        <w:t>45</w:t>
      </w:r>
      <w:r>
        <w:fldChar w:fldCharType="end"/>
      </w:r>
      <w:r w:rsidR="00B124E3">
        <w:t xml:space="preserve">. All products are </w:t>
      </w:r>
      <w:r w:rsidR="005F4C05">
        <w:t xml:space="preserve">ready-to-use </w:t>
      </w:r>
      <w:r w:rsidR="00B124E3">
        <w:t>baits containing 0.25 or 0.5 g/kg of warfarin.</w:t>
      </w:r>
    </w:p>
    <w:p w14:paraId="422D5FF5" w14:textId="13EC4836" w:rsidR="00825A3F" w:rsidRDefault="00996CF3" w:rsidP="00B124E3">
      <w:pPr>
        <w:pStyle w:val="NormalText"/>
      </w:pPr>
      <w:r>
        <w:t xml:space="preserve">It is noted that the human health and environment risk assessments recommend that inclusion of a distinctive dye and bittering agent in the formulated bait is necessary to mitigate risks to people and non-target animals (see sections </w:t>
      </w:r>
      <w:r w:rsidRPr="002629BC">
        <w:rPr>
          <w:b/>
          <w:bCs/>
        </w:rPr>
        <w:fldChar w:fldCharType="begin"/>
      </w:r>
      <w:r w:rsidRPr="002629BC">
        <w:rPr>
          <w:b/>
          <w:bCs/>
        </w:rPr>
        <w:instrText xml:space="preserve"> REF _Ref213159569 \w \h </w:instrText>
      </w:r>
      <w:r>
        <w:rPr>
          <w:b/>
          <w:bCs/>
        </w:rPr>
        <w:instrText xml:space="preserve"> \* MERGEFORMAT </w:instrText>
      </w:r>
      <w:r w:rsidRPr="002629BC">
        <w:rPr>
          <w:b/>
          <w:bCs/>
        </w:rPr>
      </w:r>
      <w:r w:rsidRPr="002629BC">
        <w:rPr>
          <w:b/>
          <w:bCs/>
        </w:rPr>
        <w:fldChar w:fldCharType="separate"/>
      </w:r>
      <w:r w:rsidR="003861AC">
        <w:rPr>
          <w:b/>
          <w:bCs/>
        </w:rPr>
        <w:t>3.4.1</w:t>
      </w:r>
      <w:r w:rsidRPr="002629BC">
        <w:rPr>
          <w:b/>
          <w:bCs/>
        </w:rPr>
        <w:fldChar w:fldCharType="end"/>
      </w:r>
      <w:r w:rsidRPr="002629BC">
        <w:rPr>
          <w:b/>
          <w:bCs/>
        </w:rPr>
        <w:t xml:space="preserve"> Products and uses not supported</w:t>
      </w:r>
      <w:r>
        <w:t xml:space="preserve"> and </w:t>
      </w:r>
      <w:r w:rsidRPr="002629BC">
        <w:rPr>
          <w:b/>
          <w:bCs/>
        </w:rPr>
        <w:fldChar w:fldCharType="begin"/>
      </w:r>
      <w:r w:rsidRPr="002629BC">
        <w:rPr>
          <w:b/>
          <w:bCs/>
        </w:rPr>
        <w:instrText xml:space="preserve"> REF _Ref214837015 \w \h </w:instrText>
      </w:r>
      <w:r>
        <w:rPr>
          <w:b/>
          <w:bCs/>
        </w:rPr>
        <w:instrText xml:space="preserve"> \* MERGEFORMAT </w:instrText>
      </w:r>
      <w:r w:rsidRPr="002629BC">
        <w:rPr>
          <w:b/>
          <w:bCs/>
        </w:rPr>
      </w:r>
      <w:r w:rsidRPr="002629BC">
        <w:rPr>
          <w:b/>
          <w:bCs/>
        </w:rPr>
        <w:fldChar w:fldCharType="separate"/>
      </w:r>
      <w:r w:rsidR="003861AC">
        <w:rPr>
          <w:b/>
          <w:bCs/>
        </w:rPr>
        <w:t>4.9.4</w:t>
      </w:r>
      <w:r w:rsidRPr="002629BC">
        <w:rPr>
          <w:b/>
          <w:bCs/>
        </w:rPr>
        <w:fldChar w:fldCharType="end"/>
      </w:r>
      <w:r w:rsidRPr="002629BC">
        <w:rPr>
          <w:b/>
          <w:bCs/>
        </w:rPr>
        <w:t xml:space="preserve"> Formulation recommendations</w:t>
      </w:r>
      <w:r>
        <w:t xml:space="preserve"> below).</w:t>
      </w:r>
    </w:p>
    <w:p w14:paraId="6FCA4079" w14:textId="548095AE" w:rsidR="00B124E3" w:rsidRDefault="00B124E3" w:rsidP="00B124E3">
      <w:pPr>
        <w:pStyle w:val="Caption"/>
      </w:pPr>
      <w:bookmarkStart w:id="1052" w:name="_Ref213102687"/>
      <w:bookmarkStart w:id="1053" w:name="_Toc213946021"/>
      <w:bookmarkStart w:id="1054" w:name="_Toc216695707"/>
      <w:r>
        <w:t xml:space="preserve">Table </w:t>
      </w:r>
      <w:r>
        <w:fldChar w:fldCharType="begin"/>
      </w:r>
      <w:r>
        <w:instrText xml:space="preserve"> SEQ Table \* ARABIC </w:instrText>
      </w:r>
      <w:r>
        <w:fldChar w:fldCharType="separate"/>
      </w:r>
      <w:r w:rsidR="003861AC">
        <w:rPr>
          <w:noProof/>
        </w:rPr>
        <w:t>45</w:t>
      </w:r>
      <w:r>
        <w:rPr>
          <w:noProof/>
        </w:rPr>
        <w:fldChar w:fldCharType="end"/>
      </w:r>
      <w:bookmarkEnd w:id="1052"/>
      <w:r>
        <w:t xml:space="preserve"> Current registered products containing warfarin</w:t>
      </w:r>
      <w:bookmarkEnd w:id="1053"/>
      <w:bookmarkEnd w:id="1054"/>
    </w:p>
    <w:tbl>
      <w:tblPr>
        <w:tblStyle w:val="TableGrid"/>
        <w:tblW w:w="4782"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9"/>
        <w:gridCol w:w="1702"/>
        <w:gridCol w:w="1418"/>
        <w:gridCol w:w="1984"/>
        <w:gridCol w:w="2555"/>
      </w:tblGrid>
      <w:tr w:rsidR="00B43554" w:rsidRPr="009C5CEC" w14:paraId="3A32903B" w14:textId="77777777" w:rsidTr="0017134F">
        <w:trPr>
          <w:trHeight w:val="288"/>
        </w:trPr>
        <w:tc>
          <w:tcPr>
            <w:tcW w:w="846" w:type="pct"/>
            <w:shd w:val="clear" w:color="auto" w:fill="53284F"/>
            <w:noWrap/>
            <w:hideMark/>
          </w:tcPr>
          <w:p w14:paraId="6A6F3CBE" w14:textId="77777777" w:rsidR="00B43554" w:rsidRPr="009C5CEC" w:rsidRDefault="00B43554" w:rsidP="00377F3A">
            <w:pPr>
              <w:pStyle w:val="TableHead"/>
            </w:pPr>
            <w:r w:rsidRPr="009C5CEC">
              <w:t>Product number</w:t>
            </w:r>
          </w:p>
        </w:tc>
        <w:tc>
          <w:tcPr>
            <w:tcW w:w="923" w:type="pct"/>
            <w:shd w:val="clear" w:color="auto" w:fill="53284F"/>
            <w:noWrap/>
            <w:hideMark/>
          </w:tcPr>
          <w:p w14:paraId="487A2BFA" w14:textId="77777777" w:rsidR="00B43554" w:rsidRPr="009C5CEC" w:rsidRDefault="00B43554" w:rsidP="00377F3A">
            <w:pPr>
              <w:pStyle w:val="TableHead"/>
            </w:pPr>
            <w:r w:rsidRPr="009C5CEC">
              <w:t>Product name</w:t>
            </w:r>
          </w:p>
        </w:tc>
        <w:tc>
          <w:tcPr>
            <w:tcW w:w="769" w:type="pct"/>
            <w:shd w:val="clear" w:color="auto" w:fill="53284F"/>
          </w:tcPr>
          <w:p w14:paraId="11F5DF54" w14:textId="77777777" w:rsidR="00B43554" w:rsidRPr="009C5CEC" w:rsidRDefault="00B43554" w:rsidP="00377F3A">
            <w:pPr>
              <w:pStyle w:val="TableHead"/>
            </w:pPr>
            <w:r>
              <w:t>Active content</w:t>
            </w:r>
          </w:p>
        </w:tc>
        <w:tc>
          <w:tcPr>
            <w:tcW w:w="1076" w:type="pct"/>
            <w:shd w:val="clear" w:color="auto" w:fill="53284F"/>
          </w:tcPr>
          <w:p w14:paraId="6D3C1902" w14:textId="75D3AD0D" w:rsidR="00B43554" w:rsidDel="00B43554" w:rsidRDefault="00B43554" w:rsidP="00377F3A">
            <w:pPr>
              <w:pStyle w:val="TableHead"/>
            </w:pPr>
            <w:r w:rsidRPr="009C5CEC">
              <w:t>Registrant</w:t>
            </w:r>
          </w:p>
        </w:tc>
        <w:tc>
          <w:tcPr>
            <w:tcW w:w="1386" w:type="pct"/>
            <w:shd w:val="clear" w:color="auto" w:fill="53284F"/>
          </w:tcPr>
          <w:p w14:paraId="20855443" w14:textId="68545FC0" w:rsidR="00B43554" w:rsidRPr="009C5CEC" w:rsidRDefault="00B43554" w:rsidP="00377F3A">
            <w:pPr>
              <w:pStyle w:val="TableHead"/>
            </w:pPr>
            <w:r>
              <w:t>Recommendation</w:t>
            </w:r>
          </w:p>
        </w:tc>
      </w:tr>
      <w:tr w:rsidR="00B43554" w:rsidRPr="009C5CEC" w14:paraId="59BE72C4" w14:textId="77777777" w:rsidTr="00377F3A">
        <w:trPr>
          <w:trHeight w:val="288"/>
        </w:trPr>
        <w:tc>
          <w:tcPr>
            <w:tcW w:w="846" w:type="pct"/>
            <w:noWrap/>
          </w:tcPr>
          <w:p w14:paraId="40D3F6EF" w14:textId="77777777" w:rsidR="00B43554" w:rsidRPr="009C5CEC" w:rsidRDefault="00B43554" w:rsidP="00BA7F4F">
            <w:pPr>
              <w:pStyle w:val="TableText"/>
            </w:pPr>
            <w:r w:rsidRPr="00EA7802">
              <w:t>33942</w:t>
            </w:r>
          </w:p>
        </w:tc>
        <w:tc>
          <w:tcPr>
            <w:tcW w:w="923" w:type="pct"/>
            <w:noWrap/>
          </w:tcPr>
          <w:p w14:paraId="1EB4FDF3" w14:textId="77777777" w:rsidR="00B43554" w:rsidRPr="00EA7802" w:rsidRDefault="00B43554" w:rsidP="00BA7F4F">
            <w:pPr>
              <w:pStyle w:val="TableText"/>
            </w:pPr>
            <w:r w:rsidRPr="00EA7802">
              <w:t>David Grays Rat ‘N’ Mouse Killer</w:t>
            </w:r>
          </w:p>
        </w:tc>
        <w:tc>
          <w:tcPr>
            <w:tcW w:w="769" w:type="pct"/>
          </w:tcPr>
          <w:p w14:paraId="207F25ED" w14:textId="341DDAF0" w:rsidR="00B43554" w:rsidRPr="00EA7802" w:rsidRDefault="00B43554" w:rsidP="00BA7F4F">
            <w:pPr>
              <w:pStyle w:val="TableText"/>
            </w:pPr>
            <w:r w:rsidRPr="00EA7802">
              <w:t>0.25 g/kg warfarin</w:t>
            </w:r>
          </w:p>
        </w:tc>
        <w:tc>
          <w:tcPr>
            <w:tcW w:w="1076" w:type="pct"/>
          </w:tcPr>
          <w:p w14:paraId="3028ADB2" w14:textId="54A2D18B" w:rsidR="00B43554" w:rsidRPr="00EA7802" w:rsidRDefault="00B43554" w:rsidP="00BA7F4F">
            <w:pPr>
              <w:pStyle w:val="TableText"/>
            </w:pPr>
            <w:r w:rsidRPr="00EA7802">
              <w:t>David Gray &amp; Co Pty Ltd</w:t>
            </w:r>
          </w:p>
        </w:tc>
        <w:tc>
          <w:tcPr>
            <w:tcW w:w="1386" w:type="pct"/>
          </w:tcPr>
          <w:p w14:paraId="48DEB5FC" w14:textId="07EA3999" w:rsidR="00B43554" w:rsidRPr="00EA7802" w:rsidRDefault="00B43554" w:rsidP="00BA7F4F">
            <w:pPr>
              <w:pStyle w:val="TableText"/>
            </w:pPr>
            <w:r w:rsidRPr="00EA7802">
              <w:t>Cancel – does not contain dye or bittering agent</w:t>
            </w:r>
          </w:p>
        </w:tc>
      </w:tr>
      <w:tr w:rsidR="00B43554" w:rsidRPr="009C5CEC" w14:paraId="35CA0BC0" w14:textId="77777777" w:rsidTr="00377F3A">
        <w:trPr>
          <w:trHeight w:val="288"/>
        </w:trPr>
        <w:tc>
          <w:tcPr>
            <w:tcW w:w="846" w:type="pct"/>
            <w:noWrap/>
          </w:tcPr>
          <w:p w14:paraId="7A45AAC2" w14:textId="77777777" w:rsidR="00B43554" w:rsidRPr="00EA7802" w:rsidRDefault="00B43554" w:rsidP="00BA7F4F">
            <w:pPr>
              <w:pStyle w:val="TableText"/>
            </w:pPr>
            <w:r w:rsidRPr="00EA7802">
              <w:t>33945</w:t>
            </w:r>
          </w:p>
        </w:tc>
        <w:tc>
          <w:tcPr>
            <w:tcW w:w="923" w:type="pct"/>
            <w:noWrap/>
          </w:tcPr>
          <w:p w14:paraId="5DB4C159" w14:textId="77777777" w:rsidR="00B43554" w:rsidRPr="00EA7802" w:rsidRDefault="00B43554" w:rsidP="00BA7F4F">
            <w:pPr>
              <w:pStyle w:val="TableText"/>
            </w:pPr>
            <w:r w:rsidRPr="00EA7802">
              <w:t>RCI Ratblitz Bait</w:t>
            </w:r>
          </w:p>
        </w:tc>
        <w:tc>
          <w:tcPr>
            <w:tcW w:w="769" w:type="pct"/>
          </w:tcPr>
          <w:p w14:paraId="7A6A4A52" w14:textId="645DFCDE" w:rsidR="00B43554" w:rsidRPr="00EA7802" w:rsidRDefault="00B43554" w:rsidP="00BA7F4F">
            <w:pPr>
              <w:pStyle w:val="TableText"/>
            </w:pPr>
            <w:r w:rsidRPr="00EA7802">
              <w:t>0.25 g/kg warfarin</w:t>
            </w:r>
          </w:p>
        </w:tc>
        <w:tc>
          <w:tcPr>
            <w:tcW w:w="1076" w:type="pct"/>
          </w:tcPr>
          <w:p w14:paraId="416D4502" w14:textId="054DAB39" w:rsidR="00B43554" w:rsidRPr="00EA7802" w:rsidRDefault="00B43554" w:rsidP="00BA7F4F">
            <w:pPr>
              <w:pStyle w:val="TableText"/>
            </w:pPr>
            <w:r w:rsidRPr="00EA7802">
              <w:t>Ruth Consolidated Industries Pty Ltd</w:t>
            </w:r>
          </w:p>
        </w:tc>
        <w:tc>
          <w:tcPr>
            <w:tcW w:w="1386" w:type="pct"/>
          </w:tcPr>
          <w:p w14:paraId="5AB22792" w14:textId="3FB044D3" w:rsidR="00B43554" w:rsidRPr="00EA7802" w:rsidRDefault="00B43554" w:rsidP="00BA7F4F">
            <w:pPr>
              <w:pStyle w:val="TableText"/>
            </w:pPr>
            <w:r w:rsidRPr="00EA7802">
              <w:t>Cancel – does not contain dye or bittering agent</w:t>
            </w:r>
          </w:p>
        </w:tc>
      </w:tr>
      <w:tr w:rsidR="00B43554" w:rsidRPr="009C5CEC" w14:paraId="111423DD" w14:textId="77777777" w:rsidTr="00377F3A">
        <w:trPr>
          <w:trHeight w:val="288"/>
        </w:trPr>
        <w:tc>
          <w:tcPr>
            <w:tcW w:w="846" w:type="pct"/>
            <w:noWrap/>
          </w:tcPr>
          <w:p w14:paraId="2331881D" w14:textId="77777777" w:rsidR="00B43554" w:rsidRPr="00377F3A" w:rsidRDefault="00B43554" w:rsidP="00BA7F4F">
            <w:pPr>
              <w:pStyle w:val="TableText"/>
            </w:pPr>
            <w:r w:rsidRPr="00377F3A">
              <w:t>42368</w:t>
            </w:r>
          </w:p>
        </w:tc>
        <w:tc>
          <w:tcPr>
            <w:tcW w:w="923" w:type="pct"/>
            <w:noWrap/>
          </w:tcPr>
          <w:p w14:paraId="3E3F7F53" w14:textId="77777777" w:rsidR="00B43554" w:rsidRPr="00377F3A" w:rsidRDefault="00B43554" w:rsidP="00BA7F4F">
            <w:pPr>
              <w:pStyle w:val="TableText"/>
            </w:pPr>
            <w:r w:rsidRPr="00377F3A">
              <w:t>Rat Kill</w:t>
            </w:r>
          </w:p>
        </w:tc>
        <w:tc>
          <w:tcPr>
            <w:tcW w:w="769" w:type="pct"/>
          </w:tcPr>
          <w:p w14:paraId="2504753C" w14:textId="684D2CDD" w:rsidR="00B43554" w:rsidRPr="00377F3A" w:rsidRDefault="00B43554" w:rsidP="00BA7F4F">
            <w:pPr>
              <w:pStyle w:val="TableText"/>
            </w:pPr>
            <w:r w:rsidRPr="00377F3A">
              <w:t xml:space="preserve">0.25 g/kg </w:t>
            </w:r>
            <w:r w:rsidRPr="00EA7802">
              <w:t>warfarin</w:t>
            </w:r>
          </w:p>
        </w:tc>
        <w:tc>
          <w:tcPr>
            <w:tcW w:w="1076" w:type="pct"/>
          </w:tcPr>
          <w:p w14:paraId="6999D837" w14:textId="0FAE6880" w:rsidR="00B43554" w:rsidRPr="00377F3A" w:rsidRDefault="00B43554" w:rsidP="00BA7F4F">
            <w:pPr>
              <w:pStyle w:val="TableText"/>
            </w:pPr>
            <w:r w:rsidRPr="00377F3A">
              <w:t>Omega Pest Control Pty Ltd</w:t>
            </w:r>
          </w:p>
        </w:tc>
        <w:tc>
          <w:tcPr>
            <w:tcW w:w="1386" w:type="pct"/>
          </w:tcPr>
          <w:p w14:paraId="37124FB8" w14:textId="73BF0ECC" w:rsidR="00B43554" w:rsidRPr="00377F3A" w:rsidRDefault="00B43554" w:rsidP="00BA7F4F">
            <w:pPr>
              <w:pStyle w:val="TableText"/>
            </w:pPr>
            <w:r w:rsidRPr="00EA7802">
              <w:t>Cancel – does not contain dye or bittering agent</w:t>
            </w:r>
          </w:p>
        </w:tc>
      </w:tr>
      <w:tr w:rsidR="00B43554" w:rsidRPr="009C5CEC" w14:paraId="4C4F3DA5" w14:textId="77777777" w:rsidTr="00377F3A">
        <w:trPr>
          <w:trHeight w:val="288"/>
        </w:trPr>
        <w:tc>
          <w:tcPr>
            <w:tcW w:w="846" w:type="pct"/>
            <w:noWrap/>
          </w:tcPr>
          <w:p w14:paraId="4CB09E0A" w14:textId="77777777" w:rsidR="00B43554" w:rsidRPr="00EA7802" w:rsidRDefault="00B43554" w:rsidP="00BA7F4F">
            <w:pPr>
              <w:pStyle w:val="TableText"/>
            </w:pPr>
            <w:r w:rsidRPr="00EA7802">
              <w:t>60285</w:t>
            </w:r>
          </w:p>
        </w:tc>
        <w:tc>
          <w:tcPr>
            <w:tcW w:w="923" w:type="pct"/>
            <w:noWrap/>
          </w:tcPr>
          <w:p w14:paraId="2EABCDC9" w14:textId="77777777" w:rsidR="00B43554" w:rsidRPr="00EA7802" w:rsidRDefault="00B43554" w:rsidP="00BA7F4F">
            <w:pPr>
              <w:pStyle w:val="TableText"/>
            </w:pPr>
            <w:r w:rsidRPr="00EA7802">
              <w:t>Double Strength Ratsak Kills Rats &amp; Mice</w:t>
            </w:r>
          </w:p>
        </w:tc>
        <w:tc>
          <w:tcPr>
            <w:tcW w:w="769" w:type="pct"/>
          </w:tcPr>
          <w:p w14:paraId="10025DEE" w14:textId="76D4C05E" w:rsidR="00B43554" w:rsidRPr="00EA7802" w:rsidRDefault="00B43554" w:rsidP="00BA7F4F">
            <w:pPr>
              <w:pStyle w:val="TableText"/>
            </w:pPr>
            <w:r w:rsidRPr="00EA7802">
              <w:t>0.5 g/kg warfarin</w:t>
            </w:r>
          </w:p>
        </w:tc>
        <w:tc>
          <w:tcPr>
            <w:tcW w:w="1076" w:type="pct"/>
          </w:tcPr>
          <w:p w14:paraId="3BEC4128" w14:textId="30EBB238" w:rsidR="00B43554" w:rsidRPr="00EA7802" w:rsidRDefault="00B43554" w:rsidP="00BA7F4F">
            <w:pPr>
              <w:pStyle w:val="TableText"/>
            </w:pPr>
            <w:r w:rsidRPr="00EA7802">
              <w:t>Duluxgroup (Australia) Ltd</w:t>
            </w:r>
          </w:p>
        </w:tc>
        <w:tc>
          <w:tcPr>
            <w:tcW w:w="1386" w:type="pct"/>
          </w:tcPr>
          <w:p w14:paraId="45DA38FF" w14:textId="03A79343" w:rsidR="00B43554" w:rsidRPr="00EA7802" w:rsidRDefault="00B43554" w:rsidP="00BA7F4F">
            <w:pPr>
              <w:pStyle w:val="TableText"/>
            </w:pPr>
            <w:r w:rsidRPr="00EA7802">
              <w:t>Cancel – does not contain bittering agent</w:t>
            </w:r>
          </w:p>
        </w:tc>
      </w:tr>
    </w:tbl>
    <w:p w14:paraId="18C5B06B" w14:textId="4F9DB38B" w:rsidR="00286653" w:rsidRDefault="00996CF3" w:rsidP="00BD2F8D">
      <w:pPr>
        <w:pStyle w:val="NormalText"/>
        <w:sectPr w:rsidR="00286653">
          <w:headerReference w:type="even" r:id="rId36"/>
          <w:pgSz w:w="11906" w:h="16838" w:code="9"/>
          <w:pgMar w:top="2835" w:right="1134" w:bottom="1134" w:left="1134" w:header="1701" w:footer="680" w:gutter="0"/>
          <w:cols w:space="708"/>
          <w:docGrid w:linePitch="360"/>
        </w:sectPr>
      </w:pPr>
      <w:r>
        <w:t>The current registrations for warfarin</w:t>
      </w:r>
      <w:r w:rsidRPr="009A1704">
        <w:t xml:space="preserve"> </w:t>
      </w:r>
      <w:r>
        <w:t xml:space="preserve">chemical products listed in </w:t>
      </w:r>
      <w:r>
        <w:fldChar w:fldCharType="begin"/>
      </w:r>
      <w:r>
        <w:instrText xml:space="preserve"> REF _Ref213102687 \h </w:instrText>
      </w:r>
      <w:r>
        <w:fldChar w:fldCharType="separate"/>
      </w:r>
      <w:r w:rsidR="003861AC">
        <w:t xml:space="preserve">Table </w:t>
      </w:r>
      <w:r w:rsidR="003861AC">
        <w:rPr>
          <w:noProof/>
        </w:rPr>
        <w:t>45</w:t>
      </w:r>
      <w:r>
        <w:fldChar w:fldCharType="end"/>
      </w:r>
      <w:r>
        <w:t xml:space="preserve"> are</w:t>
      </w:r>
      <w:r w:rsidRPr="00996CF3">
        <w:rPr>
          <w:b/>
          <w:bCs/>
        </w:rPr>
        <w:t xml:space="preserve"> </w:t>
      </w:r>
      <w:r w:rsidRPr="002629BC">
        <w:rPr>
          <w:b/>
          <w:bCs/>
        </w:rPr>
        <w:t>not supported</w:t>
      </w:r>
      <w:r>
        <w:rPr>
          <w:b/>
          <w:bCs/>
        </w:rPr>
        <w:t xml:space="preserve"> as</w:t>
      </w:r>
      <w:r>
        <w:t xml:space="preserve"> the formulation in the APVMA Register does not contain the requisite bittering agent and/or dye as constituents.</w:t>
      </w:r>
    </w:p>
    <w:p w14:paraId="51DB1336" w14:textId="77777777" w:rsidR="00FD32F4" w:rsidRDefault="00FD32F4" w:rsidP="00FD32F4">
      <w:pPr>
        <w:pStyle w:val="Heading1"/>
      </w:pPr>
      <w:bookmarkStart w:id="1055" w:name="_Toc192323403"/>
      <w:bookmarkStart w:id="1056" w:name="_Toc214025477"/>
      <w:bookmarkStart w:id="1057" w:name="_Toc216695561"/>
      <w:r>
        <w:lastRenderedPageBreak/>
        <w:t>Environment</w:t>
      </w:r>
      <w:bookmarkEnd w:id="1055"/>
      <w:bookmarkEnd w:id="1056"/>
      <w:bookmarkEnd w:id="1057"/>
    </w:p>
    <w:p w14:paraId="5C7CDD1A" w14:textId="77777777" w:rsidR="00FD32F4" w:rsidRPr="004F075B" w:rsidRDefault="00FD32F4" w:rsidP="00FD32F4">
      <w:pPr>
        <w:pStyle w:val="Heading2"/>
      </w:pPr>
      <w:bookmarkStart w:id="1058" w:name="_Toc192323404"/>
      <w:bookmarkStart w:id="1059" w:name="_Toc214025478"/>
      <w:bookmarkStart w:id="1060" w:name="_Toc216695562"/>
      <w:r w:rsidRPr="004F075B">
        <w:t>Fate and behaviour in the environment</w:t>
      </w:r>
      <w:bookmarkEnd w:id="1058"/>
      <w:bookmarkEnd w:id="1059"/>
      <w:bookmarkEnd w:id="1060"/>
    </w:p>
    <w:p w14:paraId="3EC74191" w14:textId="6F04B4C0" w:rsidR="001F742A" w:rsidRDefault="001F742A" w:rsidP="00EB460A">
      <w:pPr>
        <w:pStyle w:val="Heading3"/>
        <w:tabs>
          <w:tab w:val="num" w:pos="907"/>
        </w:tabs>
      </w:pPr>
      <w:bookmarkStart w:id="1061" w:name="_Toc214025479"/>
      <w:bookmarkStart w:id="1062" w:name="_Toc216695563"/>
      <w:r>
        <w:t>Fate and behaviour in air, soil and water</w:t>
      </w:r>
      <w:bookmarkEnd w:id="1061"/>
      <w:bookmarkEnd w:id="1062"/>
    </w:p>
    <w:p w14:paraId="72207461" w14:textId="55E409C8" w:rsidR="00904438" w:rsidRDefault="00904438" w:rsidP="00377F3A">
      <w:pPr>
        <w:pStyle w:val="NormalText"/>
      </w:pPr>
      <w:r>
        <w:t xml:space="preserve">A precis of the relevant findings </w:t>
      </w:r>
      <w:r w:rsidRPr="00E078CC">
        <w:t>on the fate and behaviour of each chemical in environmental media</w:t>
      </w:r>
      <w:r>
        <w:t xml:space="preserve"> for each of the chemicals under reconsideration is presented below. </w:t>
      </w:r>
      <w:r w:rsidRPr="005B0112">
        <w:t xml:space="preserve">A </w:t>
      </w:r>
      <w:r>
        <w:t xml:space="preserve">full </w:t>
      </w:r>
      <w:r w:rsidRPr="005B0112">
        <w:t>list of available data</w:t>
      </w:r>
      <w:r>
        <w:t xml:space="preserve"> </w:t>
      </w:r>
      <w:r w:rsidRPr="00E078CC">
        <w:t>on the fate and behaviour of each chemical in environmental media</w:t>
      </w:r>
      <w:r>
        <w:t>, including relevant references,</w:t>
      </w:r>
      <w:r w:rsidRPr="005B0112">
        <w:t xml:space="preserve"> is tabulated in Appendix</w:t>
      </w:r>
      <w:r w:rsidR="00FA4E31">
        <w:t xml:space="preserve"> A</w:t>
      </w:r>
      <w:r w:rsidR="004D31E0">
        <w:t>.</w:t>
      </w:r>
    </w:p>
    <w:p w14:paraId="7D2B3C87" w14:textId="3FE8B3B1" w:rsidR="001F742A" w:rsidRDefault="001F742A" w:rsidP="00377F3A">
      <w:pPr>
        <w:pStyle w:val="NormalText"/>
      </w:pPr>
      <w:r>
        <w:t>Coumatetralyl is not expected to volatilise into the air based on its low vapour pressure (</w:t>
      </w:r>
      <w:r w:rsidRPr="00F17478">
        <w:t>&lt;1.0 × 10</w:t>
      </w:r>
      <w:r w:rsidRPr="00F17478">
        <w:rPr>
          <w:vertAlign w:val="superscript"/>
        </w:rPr>
        <w:t>-3</w:t>
      </w:r>
      <w:r w:rsidRPr="00F17478">
        <w:t xml:space="preserve"> Pa</w:t>
      </w:r>
      <w:r>
        <w:t xml:space="preserve"> at 20°C) and Henry’s law constant (</w:t>
      </w:r>
      <w:r w:rsidRPr="00F17478">
        <w:t>&lt;6.6 × 10</w:t>
      </w:r>
      <w:r w:rsidRPr="00F17478">
        <w:rPr>
          <w:vertAlign w:val="superscript"/>
        </w:rPr>
        <w:t>-2</w:t>
      </w:r>
      <w:r w:rsidRPr="00F17478">
        <w:t xml:space="preserve"> Pa m</w:t>
      </w:r>
      <w:r w:rsidRPr="00F17478">
        <w:rPr>
          <w:vertAlign w:val="superscript"/>
        </w:rPr>
        <w:t>3</w:t>
      </w:r>
      <w:r w:rsidRPr="00F17478">
        <w:t xml:space="preserve"> mol</w:t>
      </w:r>
      <w:r w:rsidRPr="00F17478">
        <w:rPr>
          <w:vertAlign w:val="superscript"/>
        </w:rPr>
        <w:t>-1</w:t>
      </w:r>
      <w:r>
        <w:t xml:space="preserve">). </w:t>
      </w:r>
      <w:r w:rsidRPr="00F17478">
        <w:t xml:space="preserve">The pKa of coumatetralyl is </w:t>
      </w:r>
      <w:r>
        <w:t>3.9</w:t>
      </w:r>
      <w:r w:rsidRPr="00F17478">
        <w:t xml:space="preserve">, indicating that </w:t>
      </w:r>
      <w:r>
        <w:t>it</w:t>
      </w:r>
      <w:r w:rsidRPr="00F17478">
        <w:t xml:space="preserve"> will partially exist in anion form in the environment</w:t>
      </w:r>
      <w:r>
        <w:t>;</w:t>
      </w:r>
      <w:r w:rsidRPr="00F17478">
        <w:t xml:space="preserve"> anions generally do not adsorb more strongly to soils containing organic carbon and clay than their neutral counterparts.</w:t>
      </w:r>
      <w:r>
        <w:t xml:space="preserve"> At neutral pH, coumatetralyl has moderate solubility in water and based on its log P</w:t>
      </w:r>
      <w:r w:rsidRPr="00B77367">
        <w:rPr>
          <w:vertAlign w:val="subscript"/>
        </w:rPr>
        <w:t>OW</w:t>
      </w:r>
      <w:r>
        <w:t xml:space="preserve"> 1.5, has low potential for bioaccumulation. </w:t>
      </w:r>
      <w:r w:rsidRPr="000022BE">
        <w:t>Coumatetralyl contains chromophores that absorb at wavelengths &gt;290 nm and, therefore, may be susceptible to direct photolysis by sunlight.</w:t>
      </w:r>
      <w:r>
        <w:t xml:space="preserve"> Coumatetralyl is non-persistent in soil under aerobic conditions (geomean DT</w:t>
      </w:r>
      <w:r w:rsidRPr="00044162">
        <w:rPr>
          <w:vertAlign w:val="subscript"/>
        </w:rPr>
        <w:t>50</w:t>
      </w:r>
      <w:r>
        <w:t xml:space="preserve"> 7.5 days), but no degradation is observed under anaerobic conditions. It is moderately mobile with </w:t>
      </w:r>
      <w:r w:rsidR="00437A14">
        <w:t xml:space="preserve">lower </w:t>
      </w:r>
      <w:r>
        <w:t xml:space="preserve">sorption to soils observed at neutral pH (mean Koc 125 mL/g at pH </w:t>
      </w:r>
      <w:r>
        <w:rPr>
          <w:rFonts w:ascii="Calibri" w:hAnsi="Calibri" w:cs="Calibri"/>
        </w:rPr>
        <w:t>≥</w:t>
      </w:r>
      <w:r>
        <w:t>6.5) than to more acidic soils (mean Koc 404 mL/g at pH &lt;6.5). Coumatetralyl is stable to hydrolysis but is susceptible to aqueous photolysis. It is not readily or inherently biodegradable. Long-range transport of coumatetralyl through the air is not expected based on low volatility, susceptibility to direct photolysis by sunlight, and predicted rapid reaction with hydroxyl radicals and ozone.</w:t>
      </w:r>
    </w:p>
    <w:p w14:paraId="7EBDF39C" w14:textId="77777777" w:rsidR="001F742A" w:rsidRDefault="001F742A" w:rsidP="00377F3A">
      <w:pPr>
        <w:pStyle w:val="NormalText"/>
      </w:pPr>
      <w:r>
        <w:t>Diphacinone is not expected to volatilise into the air based on its low vapour pressure (</w:t>
      </w:r>
      <w:r w:rsidRPr="00F17478">
        <w:t>1.5 × 10</w:t>
      </w:r>
      <w:r w:rsidRPr="00F17478">
        <w:rPr>
          <w:vertAlign w:val="superscript"/>
        </w:rPr>
        <w:t>-5</w:t>
      </w:r>
      <w:r w:rsidRPr="00F17478">
        <w:t xml:space="preserve"> Pa</w:t>
      </w:r>
      <w:r w:rsidRPr="00A6651C">
        <w:t xml:space="preserve"> </w:t>
      </w:r>
      <w:r>
        <w:t>at 20°C) and Henry’s law constant (</w:t>
      </w:r>
      <w:r w:rsidRPr="00F17478">
        <w:t>2.6 × 10</w:t>
      </w:r>
      <w:r w:rsidRPr="007F6017">
        <w:rPr>
          <w:vertAlign w:val="superscript"/>
        </w:rPr>
        <w:t>-9</w:t>
      </w:r>
      <w:r w:rsidRPr="00F17478">
        <w:t xml:space="preserve"> Pa m</w:t>
      </w:r>
      <w:r w:rsidRPr="00F17478">
        <w:rPr>
          <w:vertAlign w:val="superscript"/>
        </w:rPr>
        <w:t>3</w:t>
      </w:r>
      <w:r w:rsidRPr="00F17478">
        <w:t xml:space="preserve"> mol</w:t>
      </w:r>
      <w:r w:rsidRPr="00F17478">
        <w:rPr>
          <w:vertAlign w:val="superscript"/>
        </w:rPr>
        <w:t>-1</w:t>
      </w:r>
      <w:r>
        <w:t xml:space="preserve">). </w:t>
      </w:r>
      <w:r w:rsidRPr="00F17478">
        <w:t xml:space="preserve">The pKa of </w:t>
      </w:r>
      <w:r>
        <w:t>diphacinone</w:t>
      </w:r>
      <w:r w:rsidRPr="00F17478">
        <w:t xml:space="preserve"> is </w:t>
      </w:r>
      <w:r>
        <w:t>2.7</w:t>
      </w:r>
      <w:r w:rsidRPr="00F17478">
        <w:t xml:space="preserve">, indicating that </w:t>
      </w:r>
      <w:r>
        <w:t>it</w:t>
      </w:r>
      <w:r w:rsidRPr="00F17478">
        <w:t xml:space="preserve"> will partially exist in anion form in the environment</w:t>
      </w:r>
      <w:r>
        <w:t>;</w:t>
      </w:r>
      <w:r w:rsidRPr="00F17478">
        <w:t xml:space="preserve"> anions generally do not adsorb more strongly to soils containing organic carbon and clay than their neutral counterparts.</w:t>
      </w:r>
      <w:r>
        <w:t xml:space="preserve"> Diphacinone has low solubility in water and based on its log P</w:t>
      </w:r>
      <w:r w:rsidRPr="00B77367">
        <w:rPr>
          <w:vertAlign w:val="subscript"/>
        </w:rPr>
        <w:t>OW</w:t>
      </w:r>
      <w:r>
        <w:t xml:space="preserve"> 1.4 at neutral pH, has low potential for bioaccumulation. The UV-VIS absorption maxima of diphacinone do not exceed 290 nm for a range of pH; however, this does not preclude the possibility of photodegradation. Diphacinone is moderately persistent in soil (DT</w:t>
      </w:r>
      <w:r w:rsidRPr="00585222">
        <w:rPr>
          <w:vertAlign w:val="subscript"/>
        </w:rPr>
        <w:t>50</w:t>
      </w:r>
      <w:r>
        <w:t xml:space="preserve"> 30 days) and is slightly mobile (mean Koc 2955 mL/g). No leaching of diphacinone was observed in four aged soils; negligible leaching was observed in an unaged sand soil. Diphacinone is stable to hydrolysis under neutral and alkaline conditions but may slowly hydrolyse under acidic conditions. Diphacinone entry into the air is expected to be negligible based on its low volatility. If </w:t>
      </w:r>
      <w:r w:rsidRPr="009817FF">
        <w:t>particulate phase</w:t>
      </w:r>
      <w:r>
        <w:t xml:space="preserve"> diphacinone occurs in the ambient atmosphere, it would be removed by wet or dry deposition. Therefore, long-range transport of diphacinone through the air is not expected.</w:t>
      </w:r>
    </w:p>
    <w:p w14:paraId="5837AF84" w14:textId="77777777" w:rsidR="001F742A" w:rsidRDefault="001F742A" w:rsidP="00377F3A">
      <w:pPr>
        <w:pStyle w:val="NormalText"/>
      </w:pPr>
      <w:r>
        <w:t>Warfarin is non-persistent in soils covered by turfgrass or other groundcover (geomean DT</w:t>
      </w:r>
      <w:r w:rsidRPr="004E516E">
        <w:rPr>
          <w:vertAlign w:val="subscript"/>
        </w:rPr>
        <w:t>50</w:t>
      </w:r>
      <w:r>
        <w:t xml:space="preserve"> 4.9 days). Warfarin is not readily biodegradable.</w:t>
      </w:r>
    </w:p>
    <w:p w14:paraId="6B5540EE" w14:textId="77777777" w:rsidR="001F742A" w:rsidRDefault="001F742A" w:rsidP="00377F3A">
      <w:pPr>
        <w:pStyle w:val="NormalText"/>
      </w:pPr>
      <w:r>
        <w:t>Brodifacoum is not expected to volatilise into the air based on its low vapour pressure (</w:t>
      </w:r>
      <w:r w:rsidRPr="00A6651C">
        <w:t>2.6 × 10</w:t>
      </w:r>
      <w:r w:rsidRPr="00A6651C">
        <w:rPr>
          <w:vertAlign w:val="superscript"/>
        </w:rPr>
        <w:t>-22</w:t>
      </w:r>
      <w:r w:rsidRPr="00A6651C">
        <w:t xml:space="preserve"> Pa </w:t>
      </w:r>
      <w:r>
        <w:t>at 20°C) and Henry’s law constant (</w:t>
      </w:r>
      <w:r w:rsidRPr="00A6651C">
        <w:t>2.4 × 10</w:t>
      </w:r>
      <w:r w:rsidRPr="00A6651C">
        <w:rPr>
          <w:vertAlign w:val="superscript"/>
        </w:rPr>
        <w:t>-18</w:t>
      </w:r>
      <w:r w:rsidRPr="00A6651C">
        <w:t xml:space="preserve"> Pa m</w:t>
      </w:r>
      <w:r w:rsidRPr="00A6651C">
        <w:rPr>
          <w:vertAlign w:val="superscript"/>
        </w:rPr>
        <w:t>3</w:t>
      </w:r>
      <w:r w:rsidRPr="00A6651C">
        <w:t xml:space="preserve"> mol</w:t>
      </w:r>
      <w:r w:rsidRPr="00A6651C">
        <w:rPr>
          <w:vertAlign w:val="superscript"/>
        </w:rPr>
        <w:t>-1</w:t>
      </w:r>
      <w:r>
        <w:t>). Brodifacoum has low solubility in water and based on its log P</w:t>
      </w:r>
      <w:r w:rsidRPr="00B77367">
        <w:rPr>
          <w:vertAlign w:val="subscript"/>
        </w:rPr>
        <w:t>OW</w:t>
      </w:r>
      <w:r>
        <w:t xml:space="preserve"> 4.9 at neutral pH, has high potential for bioaccumulation. The UV-VIS absorption spectra of brodifacoum have peaks</w:t>
      </w:r>
      <w:r w:rsidRPr="000022BE">
        <w:t xml:space="preserve"> &gt;290 nm</w:t>
      </w:r>
      <w:r>
        <w:t xml:space="preserve"> and</w:t>
      </w:r>
      <w:r w:rsidRPr="000022BE">
        <w:t xml:space="preserve">, therefore, </w:t>
      </w:r>
      <w:r>
        <w:t xml:space="preserve">it </w:t>
      </w:r>
      <w:r w:rsidRPr="000022BE">
        <w:t>may be susceptible to direct photolysis by sunlight.</w:t>
      </w:r>
      <w:r>
        <w:t xml:space="preserve"> Brodifacoum is moderately persistent in soil (geomean DT</w:t>
      </w:r>
      <w:r w:rsidRPr="00585222">
        <w:rPr>
          <w:vertAlign w:val="subscript"/>
        </w:rPr>
        <w:t>50</w:t>
      </w:r>
      <w:r>
        <w:t xml:space="preserve"> 95 days) and is slightly mobile (Koc 525 mL/g). No leaching of brodifacoum was observed in four aged soils. Brodifacoum is stable to hydrolysis but is susceptible to aqueous photolysis. It is not </w:t>
      </w:r>
      <w:r>
        <w:lastRenderedPageBreak/>
        <w:t>readily, inherently, or anaerobically biodegradable.</w:t>
      </w:r>
      <w:r w:rsidRPr="00D45F9D">
        <w:t xml:space="preserve"> </w:t>
      </w:r>
      <w:r>
        <w:t>Long-range transport of brodifacoum through the air is not expected based on low volatility, susceptibility to direct photolysis by sunlight, and predicted rapid reaction with hydroxyl radicals and ozone.</w:t>
      </w:r>
    </w:p>
    <w:p w14:paraId="40A8CC78" w14:textId="77777777" w:rsidR="001F742A" w:rsidRDefault="001F742A" w:rsidP="00377F3A">
      <w:pPr>
        <w:pStyle w:val="NormalText"/>
      </w:pPr>
      <w:r>
        <w:t>Bromadiolone is not expected to volatilise into the air based on its low vapour pressure (</w:t>
      </w:r>
      <w:r w:rsidRPr="00B32BC9">
        <w:t>&lt;0.05 × 10</w:t>
      </w:r>
      <w:r w:rsidRPr="00B32BC9">
        <w:rPr>
          <w:vertAlign w:val="superscript"/>
        </w:rPr>
        <w:t>-3</w:t>
      </w:r>
      <w:r w:rsidRPr="00B32BC9">
        <w:t xml:space="preserve"> Pa at 45°C</w:t>
      </w:r>
      <w:r>
        <w:t>) and Henry’s law constant (</w:t>
      </w:r>
      <w:r w:rsidRPr="00A51A67">
        <w:t>9.0 × 10</w:t>
      </w:r>
      <w:r w:rsidRPr="00B32BC9">
        <w:rPr>
          <w:vertAlign w:val="superscript"/>
        </w:rPr>
        <w:t>-7</w:t>
      </w:r>
      <w:r w:rsidRPr="00A51A67">
        <w:t xml:space="preserve"> Pa m</w:t>
      </w:r>
      <w:r w:rsidRPr="00B32BC9">
        <w:rPr>
          <w:vertAlign w:val="superscript"/>
        </w:rPr>
        <w:t>3</w:t>
      </w:r>
      <w:r w:rsidRPr="00A51A67">
        <w:t xml:space="preserve"> mol</w:t>
      </w:r>
      <w:r w:rsidRPr="00B32BC9">
        <w:rPr>
          <w:vertAlign w:val="superscript"/>
        </w:rPr>
        <w:t>-1</w:t>
      </w:r>
      <w:r>
        <w:t xml:space="preserve">). </w:t>
      </w:r>
      <w:r w:rsidRPr="00F17478">
        <w:t xml:space="preserve">The pKa </w:t>
      </w:r>
      <w:r>
        <w:t xml:space="preserve">values </w:t>
      </w:r>
      <w:r w:rsidRPr="00F17478">
        <w:t xml:space="preserve">of </w:t>
      </w:r>
      <w:r>
        <w:t>bromadiolone range 3.6 to 6.8</w:t>
      </w:r>
      <w:r w:rsidRPr="00F17478">
        <w:t xml:space="preserve">, indicating that </w:t>
      </w:r>
      <w:r>
        <w:t>it</w:t>
      </w:r>
      <w:r w:rsidRPr="00F17478">
        <w:t xml:space="preserve"> will partially exist in anion form in the environment</w:t>
      </w:r>
      <w:r>
        <w:t>;</w:t>
      </w:r>
      <w:r w:rsidRPr="00F17478">
        <w:t xml:space="preserve"> anions generally do not adsorb more strongly to soils containing organic carbon and clay than their neutral counterparts.</w:t>
      </w:r>
      <w:r>
        <w:t xml:space="preserve"> At neutral pH, bromadiolone has low solubility in water and, based on its log P</w:t>
      </w:r>
      <w:r w:rsidRPr="00B77367">
        <w:rPr>
          <w:vertAlign w:val="subscript"/>
        </w:rPr>
        <w:t>OW</w:t>
      </w:r>
      <w:r>
        <w:t xml:space="preserve"> ~4.0, high potential for bioaccumulation. The UV-VIS absorption spectra of bromadiolone have peaks</w:t>
      </w:r>
      <w:r w:rsidRPr="000022BE">
        <w:t xml:space="preserve"> &gt;290 nm</w:t>
      </w:r>
      <w:r>
        <w:t xml:space="preserve"> and</w:t>
      </w:r>
      <w:r w:rsidRPr="000022BE">
        <w:t xml:space="preserve">, therefore, </w:t>
      </w:r>
      <w:r>
        <w:t xml:space="preserve">it </w:t>
      </w:r>
      <w:r w:rsidRPr="000022BE">
        <w:t>may be susceptible to direct photolysis by sunlight.</w:t>
      </w:r>
      <w:r>
        <w:t xml:space="preserve"> Bromadiolone is non-persistent in soil (geomean DT</w:t>
      </w:r>
      <w:r w:rsidRPr="002176CB">
        <w:rPr>
          <w:vertAlign w:val="subscript"/>
        </w:rPr>
        <w:t>50</w:t>
      </w:r>
      <w:r>
        <w:t xml:space="preserve"> 14 days) and is immobile (mean Koc 14770 mL/g). Negligible leaching of bromadiolone was observed in aged and non-aged soil column studies.</w:t>
      </w:r>
      <w:r w:rsidRPr="00D45F9D">
        <w:t xml:space="preserve"> </w:t>
      </w:r>
      <w:r>
        <w:t>Bromadiolone is stable to hydrolysis but is susceptible to aqueous photolysis. It is not readily, inherently, or anaerobically biodegradable.</w:t>
      </w:r>
      <w:r w:rsidRPr="00D45F9D">
        <w:t xml:space="preserve"> </w:t>
      </w:r>
      <w:r>
        <w:t>Long-range transport of bromadiolone through the air is not expected based on low volatility, susceptibility to direct photolysis by sunlight, and predicted rapid reaction with hydroxyl radicals and ozone.</w:t>
      </w:r>
    </w:p>
    <w:p w14:paraId="26B8E18D" w14:textId="77777777" w:rsidR="001F742A" w:rsidRDefault="001F742A" w:rsidP="00377F3A">
      <w:pPr>
        <w:pStyle w:val="NormalText"/>
      </w:pPr>
      <w:r>
        <w:t>Difenacoum is not expected to volatilise into the air based on its low vapour pressure (</w:t>
      </w:r>
      <w:r w:rsidRPr="00B32BC9">
        <w:t>&lt;0.05 × 10</w:t>
      </w:r>
      <w:r w:rsidRPr="00B32BC9">
        <w:rPr>
          <w:vertAlign w:val="superscript"/>
        </w:rPr>
        <w:t>-3</w:t>
      </w:r>
      <w:r w:rsidRPr="00B32BC9">
        <w:t xml:space="preserve"> Pa at 45°C</w:t>
      </w:r>
      <w:r>
        <w:t>) and Henry’s law constant (</w:t>
      </w:r>
      <w:r w:rsidRPr="004F7CBE">
        <w:t>&lt;0.046 Pa m</w:t>
      </w:r>
      <w:r w:rsidRPr="004F7CBE">
        <w:rPr>
          <w:vertAlign w:val="superscript"/>
        </w:rPr>
        <w:t>3</w:t>
      </w:r>
      <w:r w:rsidRPr="004F7CBE">
        <w:t xml:space="preserve"> mol</w:t>
      </w:r>
      <w:r w:rsidRPr="004F7CBE">
        <w:rPr>
          <w:vertAlign w:val="superscript"/>
        </w:rPr>
        <w:t>-1</w:t>
      </w:r>
      <w:r>
        <w:t>). T</w:t>
      </w:r>
      <w:r w:rsidRPr="00F17478">
        <w:t xml:space="preserve">he pKa of </w:t>
      </w:r>
      <w:r>
        <w:t>difenacoum</w:t>
      </w:r>
      <w:r w:rsidRPr="00F17478">
        <w:t xml:space="preserve"> is </w:t>
      </w:r>
      <w:r>
        <w:t>4.5</w:t>
      </w:r>
      <w:r w:rsidRPr="00F17478">
        <w:t xml:space="preserve">, indicating that </w:t>
      </w:r>
      <w:r>
        <w:t>it</w:t>
      </w:r>
      <w:r w:rsidRPr="00F17478">
        <w:t xml:space="preserve"> will partially exist in anion form in the environment</w:t>
      </w:r>
      <w:r>
        <w:t>;</w:t>
      </w:r>
      <w:r w:rsidRPr="00F17478">
        <w:t xml:space="preserve"> anions generally do not adsorb more strongly to soils containing organic carbon and clay than their neutral counterparts.</w:t>
      </w:r>
      <w:r>
        <w:t xml:space="preserve"> Difenacoum has low solubility in water and based on its estimated log P</w:t>
      </w:r>
      <w:r w:rsidRPr="00B77367">
        <w:rPr>
          <w:vertAlign w:val="subscript"/>
        </w:rPr>
        <w:t>OW</w:t>
      </w:r>
      <w:r>
        <w:t xml:space="preserve"> 7.6, has high potential for bioaccumulation. The UV-VIS absorption spectra of difenacoum have peaks</w:t>
      </w:r>
      <w:r w:rsidRPr="000022BE">
        <w:t xml:space="preserve"> &gt;290 nm</w:t>
      </w:r>
      <w:r>
        <w:t xml:space="preserve"> and</w:t>
      </w:r>
      <w:r w:rsidRPr="000022BE">
        <w:t xml:space="preserve">, therefore, </w:t>
      </w:r>
      <w:r>
        <w:t xml:space="preserve">it </w:t>
      </w:r>
      <w:r w:rsidRPr="000022BE">
        <w:t>may be susceptible to direct photolysis by sunlight.</w:t>
      </w:r>
      <w:r>
        <w:t xml:space="preserve"> Difenacoum is classified as mobile in soil based on its Koc of 67 mL/g; however, no leaching of difenacoum was observed in three unaged soils.</w:t>
      </w:r>
      <w:r w:rsidRPr="00D45F9D">
        <w:t xml:space="preserve"> </w:t>
      </w:r>
      <w:r>
        <w:t>Difenacoum is stable to hydrolysis but is susceptible to aqueous photolysis. It is not readily, inherently, or anaerobically biodegradable.</w:t>
      </w:r>
    </w:p>
    <w:p w14:paraId="1DB19C6A" w14:textId="77777777" w:rsidR="001F742A" w:rsidRDefault="001F742A" w:rsidP="00377F3A">
      <w:pPr>
        <w:pStyle w:val="NormalText"/>
      </w:pPr>
      <w:r>
        <w:t>Difethialone is persistent in soil (geomean DT</w:t>
      </w:r>
      <w:r w:rsidRPr="002176CB">
        <w:rPr>
          <w:vertAlign w:val="subscript"/>
        </w:rPr>
        <w:t>50</w:t>
      </w:r>
      <w:r>
        <w:t xml:space="preserve"> 317 days) and is immobile (Koc </w:t>
      </w:r>
      <w:r>
        <w:rPr>
          <w:rFonts w:ascii="Calibri" w:hAnsi="Calibri" w:cs="Calibri"/>
        </w:rPr>
        <w:t>≥</w:t>
      </w:r>
      <w:r>
        <w:t xml:space="preserve">1.0 </w:t>
      </w:r>
      <w:r w:rsidRPr="002176CB">
        <w:t>×</w:t>
      </w:r>
      <w:r>
        <w:t xml:space="preserve"> </w:t>
      </w:r>
      <w:r w:rsidRPr="002176CB">
        <w:t>10</w:t>
      </w:r>
      <w:r>
        <w:rPr>
          <w:vertAlign w:val="superscript"/>
        </w:rPr>
        <w:t>8</w:t>
      </w:r>
      <w:r>
        <w:t xml:space="preserve"> mL/g). Difethialone is stable to hydrolysis under acidic conditions but may slowly hydrolyse under neutral and alkaline conditions. It is susceptible to aqueous photolysis but is not readily or anaerobically biodegradable. Long-range transport of difethialone through the air is not expected based on predicted rapid reaction with hydroxyl radicals and ozone.</w:t>
      </w:r>
    </w:p>
    <w:p w14:paraId="41CA5F35" w14:textId="77777777" w:rsidR="001F742A" w:rsidRDefault="001F742A" w:rsidP="0043717B">
      <w:pPr>
        <w:pStyle w:val="NormalText"/>
      </w:pPr>
      <w:r>
        <w:t>Flocoumafen is not expected to volatilise into the air based on its low vapour pressure (</w:t>
      </w:r>
      <w:r w:rsidRPr="007F6017">
        <w:t>&lt;2.7 × 10</w:t>
      </w:r>
      <w:r w:rsidRPr="007F6017">
        <w:rPr>
          <w:vertAlign w:val="superscript"/>
        </w:rPr>
        <w:t>-7</w:t>
      </w:r>
      <w:r w:rsidRPr="007F6017">
        <w:t xml:space="preserve"> Pa at 55-77°C</w:t>
      </w:r>
      <w:r>
        <w:t>). T</w:t>
      </w:r>
      <w:r w:rsidRPr="00F17478">
        <w:t xml:space="preserve">he pKa of </w:t>
      </w:r>
      <w:r>
        <w:t>flocoumafen</w:t>
      </w:r>
      <w:r w:rsidRPr="00F17478">
        <w:t xml:space="preserve"> is </w:t>
      </w:r>
      <w:r>
        <w:t>4.5</w:t>
      </w:r>
      <w:r w:rsidRPr="00F17478">
        <w:t xml:space="preserve">, indicating that </w:t>
      </w:r>
      <w:r>
        <w:t>it</w:t>
      </w:r>
      <w:r w:rsidRPr="00F17478">
        <w:t xml:space="preserve"> will partially exist in anion form in the environment</w:t>
      </w:r>
      <w:r>
        <w:t>;</w:t>
      </w:r>
      <w:r w:rsidRPr="00F17478">
        <w:t xml:space="preserve"> anions generally do not adsorb more strongly to soils containing organic carbon and clay than their neutral counterparts.</w:t>
      </w:r>
      <w:r>
        <w:t xml:space="preserve"> Flocoumafen has low solubility in water and based on its log P</w:t>
      </w:r>
      <w:r w:rsidRPr="00B77367">
        <w:rPr>
          <w:vertAlign w:val="subscript"/>
        </w:rPr>
        <w:t>OW</w:t>
      </w:r>
      <w:r>
        <w:t xml:space="preserve"> 6.1 at neutral pH, has high potential for bioaccumulation. The UV-VIS absorption spectra of flocoumafen have peaks</w:t>
      </w:r>
      <w:r w:rsidRPr="000022BE">
        <w:t xml:space="preserve"> &gt;290 nm</w:t>
      </w:r>
      <w:r>
        <w:t xml:space="preserve"> and</w:t>
      </w:r>
      <w:r w:rsidRPr="000022BE">
        <w:t xml:space="preserve">, therefore, </w:t>
      </w:r>
      <w:r>
        <w:t xml:space="preserve">it </w:t>
      </w:r>
      <w:r w:rsidRPr="000022BE">
        <w:t>may be susceptible to direct photolysis by sunlight.</w:t>
      </w:r>
      <w:r>
        <w:t xml:space="preserve"> Flocoumafen is persistent in soil (geomean DT</w:t>
      </w:r>
      <w:r w:rsidRPr="00797216">
        <w:rPr>
          <w:vertAlign w:val="subscript"/>
        </w:rPr>
        <w:t>50</w:t>
      </w:r>
      <w:r>
        <w:t xml:space="preserve"> 256 days) and is immobile (Koc </w:t>
      </w:r>
      <w:r w:rsidRPr="00B81B1D">
        <w:t>101684 mL/g</w:t>
      </w:r>
      <w:r>
        <w:t>). Negligible leaching of flocoumafen was observed in four unaged soils. Flocoumafen is stable to hydrolysis but is susceptible to aqueous photolysis. It is not readily or anaerobically biodegradable.</w:t>
      </w:r>
      <w:r w:rsidRPr="00D45F9D">
        <w:t xml:space="preserve"> </w:t>
      </w:r>
      <w:r>
        <w:t>Long-range transport of flocoumafen through the air is not expected based on low volatility, susceptibility to direct photolysis by sunlight, and predicted rapid reaction with hydroxyl radicals and ozone.</w:t>
      </w:r>
    </w:p>
    <w:p w14:paraId="0BB33FC9" w14:textId="1405DE30" w:rsidR="001F742A" w:rsidRPr="005B0112" w:rsidRDefault="001F742A" w:rsidP="00377F3A">
      <w:pPr>
        <w:pStyle w:val="NormalText"/>
      </w:pPr>
      <w:r>
        <w:t xml:space="preserve">Some monitoring studies have investigated the presence of anticoagulant rodenticides in aquatic systems. Based on the available fate information, any residues would be expected to be associated with particulate matter. One study had reported up to 7.6 µg/kg (bromadiolone) in the suspended particulate matter of German rivers, but no </w:t>
      </w:r>
      <w:r w:rsidRPr="005B0112">
        <w:t>other anticoagulant rodenticides were present in aquatic systems in quantifiable amounts</w:t>
      </w:r>
      <w:r w:rsidR="004D31E0">
        <w:t xml:space="preserve"> </w:t>
      </w:r>
      <w:r w:rsidR="003105DD">
        <w:t>(</w:t>
      </w:r>
      <w:r w:rsidR="003105DD" w:rsidRPr="003105DD">
        <w:t xml:space="preserve">Kotthoff </w:t>
      </w:r>
      <w:r w:rsidR="003105DD" w:rsidRPr="00B7183A">
        <w:rPr>
          <w:i/>
          <w:iCs/>
        </w:rPr>
        <w:t>et al</w:t>
      </w:r>
      <w:r w:rsidR="003105DD">
        <w:t xml:space="preserve">. </w:t>
      </w:r>
      <w:r w:rsidR="003105DD" w:rsidRPr="003105DD">
        <w:t>2019</w:t>
      </w:r>
      <w:r w:rsidR="003105DD">
        <w:t>)</w:t>
      </w:r>
      <w:r w:rsidRPr="005B0112">
        <w:t>.</w:t>
      </w:r>
    </w:p>
    <w:p w14:paraId="3D3B0A28" w14:textId="77777777" w:rsidR="00FD32F4" w:rsidRDefault="00FD32F4" w:rsidP="00EB460A">
      <w:pPr>
        <w:pStyle w:val="Heading3"/>
        <w:tabs>
          <w:tab w:val="num" w:pos="907"/>
        </w:tabs>
      </w:pPr>
      <w:bookmarkStart w:id="1063" w:name="_Ref213934031"/>
      <w:bookmarkStart w:id="1064" w:name="_Toc214025480"/>
      <w:bookmarkStart w:id="1065" w:name="_Toc216695564"/>
      <w:r>
        <w:lastRenderedPageBreak/>
        <w:t>Fate and behaviour in biota</w:t>
      </w:r>
      <w:bookmarkEnd w:id="1063"/>
      <w:bookmarkEnd w:id="1064"/>
      <w:bookmarkEnd w:id="1065"/>
    </w:p>
    <w:p w14:paraId="651C07F9" w14:textId="4CBA2B82" w:rsidR="00904438" w:rsidRDefault="00904438" w:rsidP="0043717B">
      <w:pPr>
        <w:pStyle w:val="NormalText"/>
      </w:pPr>
      <w:r>
        <w:t xml:space="preserve">A precis of the relevant findings </w:t>
      </w:r>
      <w:r w:rsidRPr="00E078CC">
        <w:t xml:space="preserve">on the fate and behaviour of each chemical in </w:t>
      </w:r>
      <w:r>
        <w:t>biota (i</w:t>
      </w:r>
      <w:r w:rsidR="005B6C99">
        <w:t>.</w:t>
      </w:r>
      <w:r>
        <w:t>e</w:t>
      </w:r>
      <w:r w:rsidR="005B6C99">
        <w:t>.,</w:t>
      </w:r>
      <w:r>
        <w:t xml:space="preserve"> living organisms including plants, animals and insects) for each of the chemicals under reconsideration is presented below. </w:t>
      </w:r>
      <w:r w:rsidRPr="005B0112">
        <w:t xml:space="preserve">A </w:t>
      </w:r>
      <w:r>
        <w:t xml:space="preserve">full </w:t>
      </w:r>
      <w:r w:rsidRPr="005B0112">
        <w:t xml:space="preserve">list </w:t>
      </w:r>
      <w:r>
        <w:t xml:space="preserve">of available data on the fate and behaviour of each chemical in biota (including </w:t>
      </w:r>
      <w:r w:rsidR="000B1B37">
        <w:t xml:space="preserve">additional </w:t>
      </w:r>
      <w:r>
        <w:t xml:space="preserve">relevant references) is tabulated in Appendix </w:t>
      </w:r>
      <w:r w:rsidR="00FA4E31">
        <w:t>A</w:t>
      </w:r>
      <w:r>
        <w:t>.</w:t>
      </w:r>
    </w:p>
    <w:p w14:paraId="1D0186F6" w14:textId="730DC093" w:rsidR="00FD32F4" w:rsidRDefault="00FD32F4" w:rsidP="00377F3A">
      <w:pPr>
        <w:pStyle w:val="NormalText"/>
      </w:pPr>
      <w:r>
        <w:t xml:space="preserve">Secondary oral exposure to anticoagulant rodenticides can occur via ingestion of animal tissues that contain residues; this exposure pathway is a particular concern for wildlife species that prey on rodents or scavenge the carcasses of poisoned animals. </w:t>
      </w:r>
      <w:r w:rsidRPr="004675FE">
        <w:t xml:space="preserve">Long half-lives of anticoagulant rodenticides in the liver suggest limited ability </w:t>
      </w:r>
      <w:r>
        <w:t xml:space="preserve">of </w:t>
      </w:r>
      <w:r w:rsidR="005B6C99">
        <w:t xml:space="preserve">non-target </w:t>
      </w:r>
      <w:r>
        <w:t xml:space="preserve">animals </w:t>
      </w:r>
      <w:r w:rsidRPr="004675FE">
        <w:t>to detoxify the poison.</w:t>
      </w:r>
    </w:p>
    <w:p w14:paraId="5EA34A75" w14:textId="123D654A" w:rsidR="00FD32F4" w:rsidRPr="00296052" w:rsidRDefault="00FD32F4" w:rsidP="00377F3A">
      <w:pPr>
        <w:pStyle w:val="NormalText"/>
      </w:pPr>
      <w:r>
        <w:t xml:space="preserve">Coumatetralyl is efficiently absorbed by rodents following oral exposure, with accumulation of residues in the liver. Residues are </w:t>
      </w:r>
      <w:r w:rsidRPr="00296052">
        <w:t>excreted slowly</w:t>
      </w:r>
      <w:r>
        <w:t xml:space="preserve">, primarily </w:t>
      </w:r>
      <w:r w:rsidRPr="00296052">
        <w:t>via the urine and to a smaller exten</w:t>
      </w:r>
      <w:r>
        <w:t>t</w:t>
      </w:r>
      <w:r w:rsidRPr="00296052">
        <w:t xml:space="preserve"> via faeces.</w:t>
      </w:r>
      <w:r>
        <w:t xml:space="preserve"> </w:t>
      </w:r>
      <w:r w:rsidRPr="00296052">
        <w:t xml:space="preserve">The half-lives of </w:t>
      </w:r>
      <w:r>
        <w:t>residues in the liver</w:t>
      </w:r>
      <w:r w:rsidRPr="00296052">
        <w:t xml:space="preserve"> </w:t>
      </w:r>
      <w:r>
        <w:t>of rodents ranged from 16-55 days. A similar rate of metabolism was observed in red deer (liver DT</w:t>
      </w:r>
      <w:r w:rsidRPr="00752437">
        <w:rPr>
          <w:vertAlign w:val="subscript"/>
        </w:rPr>
        <w:t>50</w:t>
      </w:r>
      <w:r>
        <w:t xml:space="preserve"> 19 days). </w:t>
      </w:r>
      <w:r w:rsidRPr="00623659">
        <w:t xml:space="preserve">Total residue </w:t>
      </w:r>
      <w:r w:rsidR="005B6C99">
        <w:t>Bioconcentration Factor</w:t>
      </w:r>
      <w:r w:rsidR="000A5DDA">
        <w:t xml:space="preserve"> (</w:t>
      </w:r>
      <w:r w:rsidRPr="00623659">
        <w:t>BCF</w:t>
      </w:r>
      <w:r w:rsidR="000A5DDA">
        <w:t>)</w:t>
      </w:r>
      <w:r w:rsidRPr="00623659">
        <w:t xml:space="preserve"> for coumatetralyl in whole fish was 11x</w:t>
      </w:r>
      <w:r>
        <w:t>. Residues are depurated quickly with a</w:t>
      </w:r>
      <w:r w:rsidRPr="00623659">
        <w:t xml:space="preserve"> half-life of approximately 15 hours (Grau 1992c).</w:t>
      </w:r>
    </w:p>
    <w:p w14:paraId="396C4219" w14:textId="77777777" w:rsidR="00FD32F4" w:rsidRDefault="00FD32F4" w:rsidP="00377F3A">
      <w:pPr>
        <w:pStyle w:val="NormalText"/>
      </w:pPr>
      <w:r>
        <w:t>Diphacinone is not readily absorbed by rodents following oral exposure with relatively rapid excretion of residues, primarily via the faeces and to a smaller extent via urine. The half-life of diphacinone in the liver of rats was 3.0 days. Slower metabolism was observed in other mammals with liver half-lives ranging from 6.0 days in red deer to &gt;90 days in cattle. Metabolism rates in birds varied with liver half-lives ranging 2.5 days in kestrels to 29 days in screech owls.</w:t>
      </w:r>
      <w:r w:rsidRPr="00634078">
        <w:t xml:space="preserve"> </w:t>
      </w:r>
      <w:r w:rsidRPr="00623659">
        <w:t xml:space="preserve">The BCF values of diphacinone </w:t>
      </w:r>
      <w:r>
        <w:t xml:space="preserve">in fish </w:t>
      </w:r>
      <w:r w:rsidRPr="00623659">
        <w:t>were 10x in the muscle and 80x in the viscera; some 70% of the muscle residues and 80% of the visceral residues were eliminated during 14 days of depuration (Ells 1976).</w:t>
      </w:r>
    </w:p>
    <w:p w14:paraId="09307986" w14:textId="71A1C115" w:rsidR="00FD32F4" w:rsidRDefault="00FD32F4" w:rsidP="00377F3A">
      <w:pPr>
        <w:pStyle w:val="NormalText"/>
      </w:pPr>
      <w:r>
        <w:t xml:space="preserve">Warfarin is efficiently absorbed by rodents following oral exposure with wide distribution of residues, the liver being the organ with greatest affinity. </w:t>
      </w:r>
      <w:r w:rsidRPr="00296052">
        <w:t xml:space="preserve">The half-lives of </w:t>
      </w:r>
      <w:r>
        <w:t>warfarin in the liver</w:t>
      </w:r>
      <w:r w:rsidRPr="00296052">
        <w:t xml:space="preserve"> </w:t>
      </w:r>
      <w:r>
        <w:t>of rodents ranged from 26-67 days. Metabolism rates in birds varied with</w:t>
      </w:r>
      <w:r w:rsidRPr="00232E85">
        <w:t xml:space="preserve"> owls ha</w:t>
      </w:r>
      <w:r>
        <w:t>ving</w:t>
      </w:r>
      <w:r w:rsidRPr="00232E85">
        <w:t xml:space="preserve"> the lowest</w:t>
      </w:r>
      <w:r>
        <w:t xml:space="preserve"> rates of </w:t>
      </w:r>
      <w:r w:rsidRPr="00232E85">
        <w:t xml:space="preserve">metabolism </w:t>
      </w:r>
      <w:r>
        <w:t>(</w:t>
      </w:r>
      <w:r w:rsidRPr="00232E85">
        <w:t>Wa</w:t>
      </w:r>
      <w:r>
        <w:t>tan</w:t>
      </w:r>
      <w:r w:rsidRPr="00232E85">
        <w:t xml:space="preserve">abe </w:t>
      </w:r>
      <w:r w:rsidR="00B7183A" w:rsidRPr="00B7183A">
        <w:rPr>
          <w:i/>
          <w:iCs/>
        </w:rPr>
        <w:t>et al</w:t>
      </w:r>
      <w:r w:rsidRPr="00232E85">
        <w:t>. 2010</w:t>
      </w:r>
      <w:r>
        <w:t>)</w:t>
      </w:r>
      <w:r w:rsidRPr="00232E85">
        <w:t>.</w:t>
      </w:r>
    </w:p>
    <w:p w14:paraId="23B2C540" w14:textId="77777777" w:rsidR="00FD32F4" w:rsidRDefault="00FD32F4" w:rsidP="00377F3A">
      <w:pPr>
        <w:pStyle w:val="NormalText"/>
      </w:pPr>
      <w:r>
        <w:t>Brodifacoum is efficiently absorbed by rodents following oral exposure with wide distribution of residues, the liver being the organ with greatest affinity. The half-lives of brodifacoum in the liver of rodents ranged from 114-307 days. Rates of metabolism were similarly long in other animals such as possums and sheep (liver DT</w:t>
      </w:r>
      <w:r w:rsidRPr="00752437">
        <w:rPr>
          <w:vertAlign w:val="subscript"/>
        </w:rPr>
        <w:t>50</w:t>
      </w:r>
      <w:r>
        <w:t xml:space="preserve"> &gt;250 days) and kestrels (liver DT</w:t>
      </w:r>
      <w:r w:rsidRPr="00752437">
        <w:rPr>
          <w:vertAlign w:val="subscript"/>
        </w:rPr>
        <w:t>50</w:t>
      </w:r>
      <w:r>
        <w:t xml:space="preserve"> &gt;50 days). Bait-eating slugs also accumulated brodifacoum residues which were rapidly eliminated post exposure (DT</w:t>
      </w:r>
      <w:r w:rsidRPr="00C959C7">
        <w:rPr>
          <w:vertAlign w:val="subscript"/>
        </w:rPr>
        <w:t>50</w:t>
      </w:r>
      <w:r>
        <w:t xml:space="preserve"> 2.5 days).</w:t>
      </w:r>
    </w:p>
    <w:p w14:paraId="1C45EB3D" w14:textId="77777777" w:rsidR="00FD32F4" w:rsidRDefault="00FD32F4" w:rsidP="00377F3A">
      <w:pPr>
        <w:pStyle w:val="NormalText"/>
      </w:pPr>
      <w:r>
        <w:t>Bromadiolone is efficiently absorbed by rodents following oral exposure with the potential for bioaccumulation in the liver. The half-lives of bromadiolone in the livers of rodents ranged from 28 days (mouse) to 318 days (rat). Rates of metabolism were similarly long in other animals such as sheep (liver DT</w:t>
      </w:r>
      <w:r w:rsidRPr="00752437">
        <w:rPr>
          <w:vertAlign w:val="subscript"/>
        </w:rPr>
        <w:t>50</w:t>
      </w:r>
      <w:r>
        <w:t xml:space="preserve"> 256 days). Bait-eating slugs also accumulated bromadiolone residues which were rapidly eliminated post exposure (DT</w:t>
      </w:r>
      <w:r w:rsidRPr="00C959C7">
        <w:rPr>
          <w:vertAlign w:val="subscript"/>
        </w:rPr>
        <w:t>50</w:t>
      </w:r>
      <w:r>
        <w:t xml:space="preserve"> 1.9 days). In a translocation study, plant uptake of bromadiolone from the soil was negligible (Askham 1986).</w:t>
      </w:r>
    </w:p>
    <w:p w14:paraId="415E4579" w14:textId="0CB25D93" w:rsidR="00FD32F4" w:rsidRDefault="00FD32F4" w:rsidP="00377F3A">
      <w:pPr>
        <w:pStyle w:val="NormalText"/>
      </w:pPr>
      <w:r>
        <w:t>Difenacoum is efficiently absorbed by rodents following oral exposure with wide distribution of residues, the liver being the organ with greatest affinity. The half-lives of difenacoum in the livers of rodents ranged from 62-120 days. T</w:t>
      </w:r>
      <w:r w:rsidRPr="00D96250">
        <w:t>he whole-carcass residue</w:t>
      </w:r>
      <w:r>
        <w:t xml:space="preserve"> concentrations of difenacoum in</w:t>
      </w:r>
      <w:r w:rsidRPr="00D96250">
        <w:t xml:space="preserve"> </w:t>
      </w:r>
      <w:r>
        <w:t xml:space="preserve">highly </w:t>
      </w:r>
      <w:r w:rsidRPr="00D96250">
        <w:t xml:space="preserve">resistant </w:t>
      </w:r>
      <w:r>
        <w:t xml:space="preserve">rats are not considerably higher than those in susceptible rats (Atterby </w:t>
      </w:r>
      <w:r w:rsidR="00B7183A" w:rsidRPr="00B7183A">
        <w:rPr>
          <w:i/>
          <w:iCs/>
        </w:rPr>
        <w:t>et al</w:t>
      </w:r>
      <w:r>
        <w:t xml:space="preserve">. 2005). </w:t>
      </w:r>
      <w:r w:rsidRPr="00623659">
        <w:t xml:space="preserve">The </w:t>
      </w:r>
      <w:r w:rsidR="000A5DDA">
        <w:t>q</w:t>
      </w:r>
      <w:r w:rsidR="000A5DDA" w:rsidRPr="000A5DDA">
        <w:t xml:space="preserve">uantitative structure–activity relationship </w:t>
      </w:r>
      <w:r w:rsidR="000A5DDA">
        <w:t>(</w:t>
      </w:r>
      <w:r w:rsidRPr="00623659">
        <w:t>QSAR</w:t>
      </w:r>
      <w:r w:rsidR="000A5DDA">
        <w:t>)</w:t>
      </w:r>
      <w:r w:rsidRPr="00623659">
        <w:t xml:space="preserve"> estimation of the fish BCF for difenacoum was 9010 L/kg based on the estimated log P</w:t>
      </w:r>
      <w:r w:rsidRPr="00623659">
        <w:rPr>
          <w:vertAlign w:val="subscript"/>
        </w:rPr>
        <w:t>ow</w:t>
      </w:r>
      <w:r w:rsidRPr="00623659">
        <w:t xml:space="preserve"> of 7.6 (Anon 2004). The experimentally derived growth corrected kinetic BCF of 1100 L/kg in fish was significantly lower than the QSAR </w:t>
      </w:r>
      <w:r w:rsidRPr="00623659">
        <w:lastRenderedPageBreak/>
        <w:t>estimated value (Sacker 2004).</w:t>
      </w:r>
      <w:r>
        <w:t xml:space="preserve"> The growth</w:t>
      </w:r>
      <w:r w:rsidR="00B60566">
        <w:t>-</w:t>
      </w:r>
      <w:r>
        <w:t xml:space="preserve">corrected elimination half-life was 5 days. The QSAR estimation of the BCF for difenacoum in earthworms was 477729 </w:t>
      </w:r>
      <w:r w:rsidR="0049283E" w:rsidRPr="00623659">
        <w:t xml:space="preserve">L/kg </w:t>
      </w:r>
      <w:r>
        <w:t>based on the estimated log P</w:t>
      </w:r>
      <w:r w:rsidRPr="00813CC4">
        <w:t>ow</w:t>
      </w:r>
      <w:r>
        <w:t xml:space="preserve"> of 7.6 (Anon 2004), which indicates a high potential for bioconcentration in soil macro-organisms.</w:t>
      </w:r>
    </w:p>
    <w:p w14:paraId="589C0347" w14:textId="77777777" w:rsidR="00FD32F4" w:rsidRDefault="00FD32F4" w:rsidP="00377F3A">
      <w:pPr>
        <w:pStyle w:val="NormalText"/>
      </w:pPr>
      <w:r>
        <w:t>The half-life of difethialone in the liver of the mouse was 29 days.</w:t>
      </w:r>
    </w:p>
    <w:p w14:paraId="7436B034" w14:textId="1EBD1B4B" w:rsidR="00FD32F4" w:rsidRDefault="00FD32F4" w:rsidP="0043717B">
      <w:pPr>
        <w:pStyle w:val="NormalText"/>
      </w:pPr>
      <w:r>
        <w:t>Flocoumafen is efficiently absorbed by rodents following oral exposure with wide distribution of residues, the liver being the organ with greatest affinity. The half-li</w:t>
      </w:r>
      <w:r w:rsidR="00B60566">
        <w:t>fe</w:t>
      </w:r>
      <w:r>
        <w:t xml:space="preserve"> of flocoumafen in the livers of rodents ranged from 94-220 days. Slower metabolism was observed in other animals with liver half-lives ranging &gt;100 days in quail to &gt;300 days in dogs.</w:t>
      </w:r>
      <w:r w:rsidRPr="00634078">
        <w:t xml:space="preserve"> </w:t>
      </w:r>
      <w:r w:rsidRPr="00822659">
        <w:t xml:space="preserve">The </w:t>
      </w:r>
      <w:r>
        <w:t xml:space="preserve">experimentally derived </w:t>
      </w:r>
      <w:r w:rsidRPr="00822659">
        <w:t>steady state BCF of flocoumafen in fish was 9000 L/kg, while the kinetic BCF was 24300 L/kg (Wenzel 2011).</w:t>
      </w:r>
      <w:r>
        <w:t xml:space="preserve"> The estimated depuration half-life was 38 days.</w:t>
      </w:r>
    </w:p>
    <w:p w14:paraId="7112ACEE" w14:textId="76BA4C87" w:rsidR="00FD32F4" w:rsidRPr="0049366B" w:rsidRDefault="00FD32F4" w:rsidP="00377F3A">
      <w:pPr>
        <w:pStyle w:val="NormalText"/>
      </w:pPr>
      <w:r w:rsidRPr="0049366B">
        <w:t>Monitoring data on anticoagulant rodenticide</w:t>
      </w:r>
      <w:r>
        <w:t xml:space="preserve"> residues</w:t>
      </w:r>
      <w:r w:rsidRPr="0049366B">
        <w:t xml:space="preserve"> are available </w:t>
      </w:r>
      <w:r>
        <w:t>from</w:t>
      </w:r>
      <w:r w:rsidRPr="0049366B">
        <w:t xml:space="preserve"> Australia and overseas, all of which have been considered in a weight-of-evidence assessment</w:t>
      </w:r>
      <w:r>
        <w:t xml:space="preserve"> (see Appendix </w:t>
      </w:r>
      <w:r w:rsidR="00FA4E31">
        <w:t>A</w:t>
      </w:r>
      <w:r>
        <w:t xml:space="preserve"> for a full listing of available data on each chemical)</w:t>
      </w:r>
      <w:r w:rsidRPr="0049366B">
        <w:t xml:space="preserve">. Use patterns and bait concentrations are </w:t>
      </w:r>
      <w:r w:rsidR="009C1998">
        <w:t xml:space="preserve">broadly </w:t>
      </w:r>
      <w:r w:rsidRPr="0049366B">
        <w:t xml:space="preserve">similar worldwide, and </w:t>
      </w:r>
      <w:r w:rsidR="009C1998">
        <w:t xml:space="preserve">several </w:t>
      </w:r>
      <w:r w:rsidRPr="0049366B">
        <w:t>overseas studies</w:t>
      </w:r>
      <w:r>
        <w:t xml:space="preserve"> have</w:t>
      </w:r>
      <w:r w:rsidRPr="0049366B">
        <w:t xml:space="preserve"> examined the </w:t>
      </w:r>
      <w:r w:rsidR="009C1998">
        <w:t>effectiveness of</w:t>
      </w:r>
      <w:r w:rsidRPr="0049366B">
        <w:t xml:space="preserve"> protective measures </w:t>
      </w:r>
      <w:r w:rsidR="009C1998">
        <w:t>designed to reduce</w:t>
      </w:r>
      <w:r w:rsidRPr="0049366B">
        <w:t xml:space="preserve"> exposure </w:t>
      </w:r>
      <w:r w:rsidR="009C1998">
        <w:t>in</w:t>
      </w:r>
      <w:r w:rsidRPr="0049366B">
        <w:t xml:space="preserve"> non-target species. </w:t>
      </w:r>
      <w:r w:rsidR="009C1998">
        <w:t>M</w:t>
      </w:r>
      <w:r w:rsidRPr="0049366B">
        <w:t xml:space="preserve">isuse of anticoagulant rodenticides </w:t>
      </w:r>
      <w:r w:rsidR="00B60566">
        <w:t>is</w:t>
      </w:r>
      <w:r w:rsidRPr="0049366B">
        <w:t xml:space="preserve"> commonly </w:t>
      </w:r>
      <w:r>
        <w:t>suspected</w:t>
      </w:r>
      <w:r w:rsidRPr="0049366B">
        <w:t xml:space="preserve"> (see consideration of adverse incidents </w:t>
      </w:r>
      <w:r>
        <w:t xml:space="preserve">in section </w:t>
      </w:r>
      <w:r w:rsidR="001643EF">
        <w:fldChar w:fldCharType="begin"/>
      </w:r>
      <w:r w:rsidR="001643EF">
        <w:instrText xml:space="preserve"> REF _Ref213159790 \w \h </w:instrText>
      </w:r>
      <w:r w:rsidR="00DD27CC">
        <w:instrText xml:space="preserve"> \* MERGEFORMAT </w:instrText>
      </w:r>
      <w:r w:rsidR="001643EF">
        <w:fldChar w:fldCharType="separate"/>
      </w:r>
      <w:r w:rsidR="003861AC">
        <w:t>3.2.1</w:t>
      </w:r>
      <w:r w:rsidR="001643EF">
        <w:fldChar w:fldCharType="end"/>
      </w:r>
      <w:r w:rsidRPr="0049366B">
        <w:t xml:space="preserve">), </w:t>
      </w:r>
      <w:r w:rsidR="009C1998">
        <w:t>making it difficult</w:t>
      </w:r>
      <w:r w:rsidRPr="0049366B">
        <w:t xml:space="preserve"> </w:t>
      </w:r>
      <w:r>
        <w:t xml:space="preserve">to determine whether </w:t>
      </w:r>
      <w:r w:rsidRPr="0049366B">
        <w:t xml:space="preserve">residues </w:t>
      </w:r>
      <w:r w:rsidR="009C1998">
        <w:t>detected</w:t>
      </w:r>
      <w:r w:rsidR="00B60566">
        <w:t xml:space="preserve"> in non-target species </w:t>
      </w:r>
      <w:r w:rsidR="009C1998">
        <w:t>arise</w:t>
      </w:r>
      <w:r w:rsidR="00B60566">
        <w:t xml:space="preserve"> from use in accordance with the approved label directions</w:t>
      </w:r>
      <w:r w:rsidR="009C1998">
        <w:t xml:space="preserve"> or otherwise</w:t>
      </w:r>
      <w:r w:rsidRPr="0049366B">
        <w:t xml:space="preserve">. </w:t>
      </w:r>
      <w:r w:rsidR="009C1998">
        <w:t>Nevertheless</w:t>
      </w:r>
      <w:r w:rsidRPr="0049366B">
        <w:t xml:space="preserve">, </w:t>
      </w:r>
      <w:r>
        <w:t xml:space="preserve">the frequent detection of residues in the wider environment </w:t>
      </w:r>
      <w:r w:rsidR="009C1998">
        <w:t xml:space="preserve">underscores </w:t>
      </w:r>
      <w:r>
        <w:t xml:space="preserve">the need </w:t>
      </w:r>
      <w:r w:rsidR="009C1998">
        <w:t>for stronger</w:t>
      </w:r>
      <w:r>
        <w:t xml:space="preserve"> control measures to </w:t>
      </w:r>
      <w:r w:rsidR="009C1998">
        <w:t>limit</w:t>
      </w:r>
      <w:r>
        <w:t xml:space="preserve"> wildlife</w:t>
      </w:r>
      <w:r w:rsidR="009C1998">
        <w:t xml:space="preserve"> exposure</w:t>
      </w:r>
      <w:r>
        <w:t>.</w:t>
      </w:r>
      <w:r w:rsidR="009C1998">
        <w:t xml:space="preserve"> Evidence suggests that restricting</w:t>
      </w:r>
      <w:r>
        <w:t xml:space="preserve"> user access to </w:t>
      </w:r>
      <w:r w:rsidR="009C1998">
        <w:t>one</w:t>
      </w:r>
      <w:r>
        <w:t xml:space="preserve"> SGAR </w:t>
      </w:r>
      <w:r w:rsidR="009C1998">
        <w:t>for</w:t>
      </w:r>
      <w:r>
        <w:t xml:space="preserve"> outdoor use </w:t>
      </w:r>
      <w:r w:rsidR="009C1998">
        <w:t>reduced wildlife exposure</w:t>
      </w:r>
      <w:r>
        <w:t>; however, these gains appeared to be negated by the availability of another SGAR chemical used for the same purpose (e.g.</w:t>
      </w:r>
      <w:r w:rsidR="00D63DEA">
        <w:t>,</w:t>
      </w:r>
      <w:r>
        <w:t xml:space="preserve"> Elliott </w:t>
      </w:r>
      <w:r w:rsidR="00B7183A" w:rsidRPr="00B7183A">
        <w:rPr>
          <w:i/>
          <w:iCs/>
        </w:rPr>
        <w:t>et</w:t>
      </w:r>
      <w:r w:rsidRPr="00F31EA6">
        <w:rPr>
          <w:i/>
        </w:rPr>
        <w:t xml:space="preserve"> al</w:t>
      </w:r>
      <w:r>
        <w:t>. 2022).</w:t>
      </w:r>
    </w:p>
    <w:p w14:paraId="748111FB" w14:textId="0F94D7C6" w:rsidR="00FD32F4" w:rsidRDefault="00FD32F4" w:rsidP="00377F3A">
      <w:pPr>
        <w:pStyle w:val="NormalText"/>
      </w:pPr>
      <w:r>
        <w:t>Few monitoring studies have investigated the presence of anticoagulant rodenticides in fish. Concentrations of FGAR liver residues in fish in bioaccumulation ponds of municipal wastewater treatment plants reached up to 1.6 µg/kg (coumatetralyl)</w:t>
      </w:r>
      <w:r w:rsidR="00907E26">
        <w:t xml:space="preserve"> (</w:t>
      </w:r>
      <w:r w:rsidR="00907E26" w:rsidRPr="00907E26">
        <w:t xml:space="preserve">Regnery </w:t>
      </w:r>
      <w:r w:rsidR="00907E26" w:rsidRPr="00F31EA6">
        <w:rPr>
          <w:i/>
          <w:iCs/>
        </w:rPr>
        <w:t>et al.</w:t>
      </w:r>
      <w:r w:rsidR="00907E26" w:rsidRPr="00907E26">
        <w:t xml:space="preserve"> 2019</w:t>
      </w:r>
      <w:r w:rsidR="00907E26">
        <w:t>)</w:t>
      </w:r>
      <w:r>
        <w:t>. SGAR exposure of fish reached the wider environment with residues detected in livers of fish at relatively high frequencies in receiving streams of municipal wastewater treatment plants with concentrations up to 30 µg/kg (brodifacoum)</w:t>
      </w:r>
      <w:r w:rsidR="00907E26">
        <w:t xml:space="preserve"> (</w:t>
      </w:r>
      <w:r w:rsidR="00907E26" w:rsidRPr="00907E26">
        <w:t xml:space="preserve">Regnery </w:t>
      </w:r>
      <w:r w:rsidR="00907E26" w:rsidRPr="00F31EA6">
        <w:rPr>
          <w:i/>
          <w:iCs/>
        </w:rPr>
        <w:t>et al.</w:t>
      </w:r>
      <w:r w:rsidR="00907E26" w:rsidRPr="00907E26">
        <w:t xml:space="preserve"> 2020</w:t>
      </w:r>
      <w:r w:rsidR="00907E26">
        <w:t>)</w:t>
      </w:r>
      <w:r>
        <w:t>.</w:t>
      </w:r>
    </w:p>
    <w:p w14:paraId="169BBD34" w14:textId="6579423B" w:rsidR="00FD32F4" w:rsidRDefault="00FD32F4" w:rsidP="00377F3A">
      <w:pPr>
        <w:pStyle w:val="NormalText"/>
      </w:pPr>
      <w:r>
        <w:t>Some studies have reported residues in terrestrial invertebrates (such as insects and slugs) collected from baited areas (up to 390 µg/kg diphacinone and 860 µg/kg brodifacoum). A relatively high frequency (17%) of amphibians collected from mortality events in</w:t>
      </w:r>
      <w:r w:rsidRPr="0077142E">
        <w:t xml:space="preserve"> the northeast coast of NSW and around the</w:t>
      </w:r>
      <w:r>
        <w:t xml:space="preserve"> </w:t>
      </w:r>
      <w:r w:rsidRPr="0077142E">
        <w:t>Sydney region</w:t>
      </w:r>
      <w:r>
        <w:t xml:space="preserve"> had detectable levels of brodifacoum, with liver concentrations reaching up to 1000 µg/kg (Rowley </w:t>
      </w:r>
      <w:r w:rsidR="00B7183A" w:rsidRPr="00B7183A">
        <w:rPr>
          <w:i/>
          <w:iCs/>
        </w:rPr>
        <w:t>et al</w:t>
      </w:r>
      <w:r>
        <w:t>. 2024). These observations support the conclusion that terrestrial invertebrates provide a viable secondary exposure pathway for terrestrial wildlife.</w:t>
      </w:r>
    </w:p>
    <w:p w14:paraId="6FB62078" w14:textId="25A99100" w:rsidR="00FD32F4" w:rsidRDefault="00FD32F4" w:rsidP="00377F3A">
      <w:pPr>
        <w:pStyle w:val="NormalText"/>
      </w:pPr>
      <w:r>
        <w:t xml:space="preserve">Residue burdens in rodents increase with the amount of anticoagulant eaten, and rodents with constant access to bait tend to consume an amount </w:t>
      </w:r>
      <w:r w:rsidR="000262C3">
        <w:t>greater than the</w:t>
      </w:r>
      <w:r>
        <w:t xml:space="preserve"> effective lethal dose (Fisher </w:t>
      </w:r>
      <w:r w:rsidR="00B7183A" w:rsidRPr="00B7183A">
        <w:rPr>
          <w:i/>
          <w:iCs/>
        </w:rPr>
        <w:t>et al</w:t>
      </w:r>
      <w:r>
        <w:t>. 2004). Concentrations of FGAR residues in rodents from baited areas (up to 640 µg/kg diphacinone) tended to be lower than SGAR residues (up to 4260 µg/kg bromadiolone).</w:t>
      </w:r>
    </w:p>
    <w:p w14:paraId="39089EB8" w14:textId="77EEB828" w:rsidR="00FD32F4" w:rsidRDefault="00FD32F4" w:rsidP="00377F3A">
      <w:pPr>
        <w:pStyle w:val="NormalText"/>
      </w:pPr>
      <w:r>
        <w:t>Among potential rodent-eating species in Australia, snakes, lizards, quolls, Tasmanian devils, and many raptors show evidence of secondary exposure to anticoagulant rodenticides in urban and agricultural areas. Detections of SGAR liver residues were relatively frequent with concentrations up to 655 µg/kg (brodifacoum) in quolls</w:t>
      </w:r>
      <w:r w:rsidR="000262C3">
        <w:t>;</w:t>
      </w:r>
      <w:r>
        <w:t xml:space="preserve"> 162 µg/kg (brodifacoum) in Tasmanian devils</w:t>
      </w:r>
      <w:r w:rsidR="000262C3">
        <w:t>;</w:t>
      </w:r>
      <w:r>
        <w:t xml:space="preserve"> 8114 µg/kg (bromadiolone) in raptors</w:t>
      </w:r>
      <w:r w:rsidR="000262C3">
        <w:t>;</w:t>
      </w:r>
      <w:r>
        <w:t xml:space="preserve"> and 700 µg/kg (bromadiolone) in reptiles. The proportion of animals containing anticoagulant residues </w:t>
      </w:r>
      <w:r w:rsidR="000262C3">
        <w:t>correlates positively</w:t>
      </w:r>
      <w:r>
        <w:t xml:space="preserve"> with usage (e.g.</w:t>
      </w:r>
      <w:r w:rsidR="00D63DEA">
        <w:t>,</w:t>
      </w:r>
      <w:r>
        <w:t xml:space="preserve"> Newton </w:t>
      </w:r>
      <w:r w:rsidR="00B7183A" w:rsidRPr="00B7183A">
        <w:rPr>
          <w:i/>
          <w:iCs/>
        </w:rPr>
        <w:lastRenderedPageBreak/>
        <w:t>et al</w:t>
      </w:r>
      <w:r>
        <w:t xml:space="preserve">. 1997). </w:t>
      </w:r>
      <w:r w:rsidR="00845BAE">
        <w:t>Given</w:t>
      </w:r>
      <w:r>
        <w:t xml:space="preserve"> these detections were from individuals collected </w:t>
      </w:r>
      <w:r w:rsidRPr="00710A72">
        <w:t>opportunistically</w:t>
      </w:r>
      <w:r>
        <w:t xml:space="preserve"> </w:t>
      </w:r>
      <w:r w:rsidR="000262C3">
        <w:t>(e.g.,</w:t>
      </w:r>
      <w:r>
        <w:t xml:space="preserve"> </w:t>
      </w:r>
      <w:r w:rsidRPr="00710A72">
        <w:t xml:space="preserve">as roadkill or </w:t>
      </w:r>
      <w:r>
        <w:t>in tissues donated by park rangers/wildlife care centres</w:t>
      </w:r>
      <w:r w:rsidR="000262C3">
        <w:t>)</w:t>
      </w:r>
      <w:r w:rsidR="00845BAE">
        <w:t>,</w:t>
      </w:r>
      <w:r w:rsidR="000262C3">
        <w:t xml:space="preserve"> it is evident that some</w:t>
      </w:r>
      <w:r>
        <w:t xml:space="preserve"> wildlife carry a residue burden of anticoagulant rodenticides</w:t>
      </w:r>
      <w:r w:rsidR="00845BAE">
        <w:t xml:space="preserve"> </w:t>
      </w:r>
      <w:r w:rsidR="000262C3">
        <w:t>that</w:t>
      </w:r>
      <w:r>
        <w:t xml:space="preserve"> </w:t>
      </w:r>
      <w:r w:rsidR="00845BAE">
        <w:t>could</w:t>
      </w:r>
      <w:r>
        <w:t xml:space="preserve"> accumulate </w:t>
      </w:r>
      <w:r w:rsidR="000262C3">
        <w:t>to</w:t>
      </w:r>
      <w:r>
        <w:t xml:space="preserve"> levels </w:t>
      </w:r>
      <w:r w:rsidR="000262C3">
        <w:t>sufficient</w:t>
      </w:r>
      <w:r>
        <w:t xml:space="preserve"> to cause </w:t>
      </w:r>
      <w:r w:rsidR="000262C3">
        <w:t>morbidity or directly contribute to mo</w:t>
      </w:r>
      <w:r w:rsidR="00845BAE">
        <w:t>r</w:t>
      </w:r>
      <w:r w:rsidR="000262C3">
        <w:t>tality, either alone or in combination with other factors.</w:t>
      </w:r>
    </w:p>
    <w:p w14:paraId="1ABDCDE4" w14:textId="67B9313B" w:rsidR="00FD32F4" w:rsidRDefault="00FD32F4" w:rsidP="0043717B">
      <w:pPr>
        <w:pStyle w:val="NormalText"/>
      </w:pPr>
      <w:r>
        <w:t>In Australia, primary exposure to SGAR baits is also evident in possums, with liver concentrations up to 186,038 µg/kg (bromadiolone), while FGARs have been infrequently detected in possums</w:t>
      </w:r>
      <w:r w:rsidR="00C27E3B">
        <w:t xml:space="preserve"> (</w:t>
      </w:r>
      <w:r w:rsidR="00C27E3B" w:rsidRPr="00C27E3B">
        <w:t xml:space="preserve">Scammell </w:t>
      </w:r>
      <w:r w:rsidR="00C27E3B" w:rsidRPr="00F31EA6">
        <w:rPr>
          <w:i/>
          <w:iCs/>
        </w:rPr>
        <w:t>et al.</w:t>
      </w:r>
      <w:r w:rsidR="00C27E3B" w:rsidRPr="00C27E3B">
        <w:t xml:space="preserve"> 2024</w:t>
      </w:r>
      <w:r w:rsidR="00C27E3B">
        <w:t>,</w:t>
      </w:r>
      <w:r w:rsidR="00C27E3B" w:rsidRPr="00C27E3B">
        <w:t xml:space="preserve"> WHA 2022</w:t>
      </w:r>
      <w:r w:rsidR="00C27E3B">
        <w:t>)</w:t>
      </w:r>
      <w:r>
        <w:t>. Scavenging birds such as ravens, crows and magpies, or bandicoots in sugarcane also show evidence of anticoagulant rodenticide exposure, however, the exposure pathways are not certain (may be primary or secondary pathways or a combination of these). There are a few confirmed cases of primary exposure of birds via approved use of anticoagulant rodenticides globally; however, these appear to be relatively infrequent incidents.</w:t>
      </w:r>
    </w:p>
    <w:p w14:paraId="6FDD05AD" w14:textId="77777777" w:rsidR="00FD32F4" w:rsidRPr="004F075B" w:rsidRDefault="00FD32F4" w:rsidP="00FD32F4">
      <w:pPr>
        <w:pStyle w:val="Heading2"/>
      </w:pPr>
      <w:bookmarkStart w:id="1066" w:name="_Toc214025481"/>
      <w:bookmarkStart w:id="1067" w:name="_Toc216695565"/>
      <w:r>
        <w:t>Effects on non-target species</w:t>
      </w:r>
      <w:bookmarkEnd w:id="1066"/>
      <w:bookmarkEnd w:id="1067"/>
    </w:p>
    <w:p w14:paraId="0D2FBD3B" w14:textId="77777777" w:rsidR="00FD32F4" w:rsidRDefault="00FD32F4" w:rsidP="00EB460A">
      <w:pPr>
        <w:pStyle w:val="Heading3"/>
        <w:tabs>
          <w:tab w:val="num" w:pos="907"/>
        </w:tabs>
      </w:pPr>
      <w:bookmarkStart w:id="1068" w:name="_Ref213159347"/>
      <w:bookmarkStart w:id="1069" w:name="_Ref213159790"/>
      <w:bookmarkStart w:id="1070" w:name="_Toc214025482"/>
      <w:bookmarkStart w:id="1071" w:name="_Toc216695566"/>
      <w:r>
        <w:t>Effects on terrestrial vertebrates</w:t>
      </w:r>
      <w:bookmarkEnd w:id="1068"/>
      <w:bookmarkEnd w:id="1069"/>
      <w:bookmarkEnd w:id="1070"/>
      <w:bookmarkEnd w:id="1071"/>
    </w:p>
    <w:p w14:paraId="7B7B2BD0" w14:textId="1C1BD7DC" w:rsidR="00FD32F4" w:rsidRDefault="00FD32F4" w:rsidP="00377F3A">
      <w:pPr>
        <w:pStyle w:val="NormalText"/>
      </w:pPr>
      <w:r w:rsidRPr="006F3632">
        <w:t xml:space="preserve">The use of rodenticides </w:t>
      </w:r>
      <w:r>
        <w:t>is</w:t>
      </w:r>
      <w:r w:rsidRPr="006F3632">
        <w:t xml:space="preserve"> a </w:t>
      </w:r>
      <w:r>
        <w:t xml:space="preserve">potential </w:t>
      </w:r>
      <w:r w:rsidRPr="006F3632">
        <w:t>general</w:t>
      </w:r>
      <w:r>
        <w:t xml:space="preserve"> </w:t>
      </w:r>
      <w:r w:rsidRPr="006F3632">
        <w:t xml:space="preserve">hazard to non-target mammals and birds. Since birds, mammals and other vertebrates </w:t>
      </w:r>
      <w:r>
        <w:t>(</w:t>
      </w:r>
      <w:r w:rsidR="00B7183A">
        <w:t>e.g.,</w:t>
      </w:r>
      <w:r>
        <w:t xml:space="preserve"> reptiles, amphibians and fish) </w:t>
      </w:r>
      <w:r w:rsidRPr="006F3632">
        <w:t>share the</w:t>
      </w:r>
      <w:r>
        <w:t xml:space="preserve"> </w:t>
      </w:r>
      <w:r w:rsidRPr="006F3632">
        <w:t>same blood clotting mechanism as rodents, they are all vulnerable to the toxic effects of</w:t>
      </w:r>
      <w:r>
        <w:t xml:space="preserve"> </w:t>
      </w:r>
      <w:r w:rsidRPr="006F3632">
        <w:t xml:space="preserve">anticoagulants (Smith </w:t>
      </w:r>
      <w:r>
        <w:t>&amp;</w:t>
      </w:r>
      <w:r w:rsidRPr="006F3632">
        <w:t xml:space="preserve"> Shore 2015).</w:t>
      </w:r>
    </w:p>
    <w:p w14:paraId="3F4CD149" w14:textId="053CABB6" w:rsidR="00FD32F4" w:rsidRDefault="00FD32F4" w:rsidP="00377F3A">
      <w:pPr>
        <w:pStyle w:val="NormalText"/>
      </w:pPr>
      <w:r>
        <w:t>Coumatetralyl has high toxicity to rodents by gavage administration (rat LD</w:t>
      </w:r>
      <w:r w:rsidRPr="00E4304D">
        <w:rPr>
          <w:vertAlign w:val="subscript"/>
        </w:rPr>
        <w:t>50</w:t>
      </w:r>
      <w:r>
        <w:t xml:space="preserve"> 15 mg/kg bw) and dietary exposure (lowest LDD</w:t>
      </w:r>
      <w:r w:rsidRPr="00E4304D">
        <w:rPr>
          <w:vertAlign w:val="subscript"/>
        </w:rPr>
        <w:t>50</w:t>
      </w:r>
      <w:r>
        <w:t xml:space="preserve"> 0.53 mg/kg bw/d). No behavioural avoidance was observed in the available studies. Secondary poisoning studies on rats, cats and ferrets suggest that mortality is possible if they consume prey with high body burdens. Coumatetralyl had low toxicity by gavage administration to birds at the highest tested doses (lowest LD</w:t>
      </w:r>
      <w:r w:rsidRPr="0055283D">
        <w:rPr>
          <w:vertAlign w:val="subscript"/>
        </w:rPr>
        <w:t>50</w:t>
      </w:r>
      <w:r>
        <w:t xml:space="preserve"> &gt;37 mg/kg bw in chickens and doves) but had high toxicity by dietary exposure to a passerine species (lowest LDD</w:t>
      </w:r>
      <w:r w:rsidRPr="0055283D">
        <w:rPr>
          <w:vertAlign w:val="subscript"/>
        </w:rPr>
        <w:t>50</w:t>
      </w:r>
      <w:r>
        <w:t xml:space="preserve"> 38 mg/kg bw/d in sparrows). A 0.375 g/kg paste formulation of coumatetralyl was not palatable to chickens and was avoided. Following long-term exposure to coumatetralyl in reproductive toxicity tests, parental mortality due to internal bleeding was observed in birds at dietary concentrations as low as 60 mg/kg feed (NOEC 20 mg/kg food in quail). Secondary poisoning studies on hawks, owls, and woodhens suggest that mortality is unlikely if they consume poisoned animals.</w:t>
      </w:r>
    </w:p>
    <w:p w14:paraId="0105A7C7" w14:textId="77777777" w:rsidR="00FD32F4" w:rsidRDefault="00FD32F4" w:rsidP="00377F3A">
      <w:pPr>
        <w:pStyle w:val="NormalText"/>
      </w:pPr>
      <w:r>
        <w:t>Diphacinone has high toxicity by gavage administration to rodents (rat LD</w:t>
      </w:r>
      <w:r w:rsidRPr="009C023A">
        <w:rPr>
          <w:vertAlign w:val="subscript"/>
        </w:rPr>
        <w:t>50</w:t>
      </w:r>
      <w:r>
        <w:t xml:space="preserve"> 1.9 mg/kg bw) and non-rodents (ferret LD</w:t>
      </w:r>
      <w:r w:rsidRPr="00C57E1E">
        <w:rPr>
          <w:vertAlign w:val="subscript"/>
        </w:rPr>
        <w:t>50</w:t>
      </w:r>
      <w:r>
        <w:t xml:space="preserve"> 11 mg/kg bw).</w:t>
      </w:r>
      <w:r w:rsidRPr="00634078">
        <w:t xml:space="preserve"> </w:t>
      </w:r>
      <w:r>
        <w:t>Diphacinone has low toxicity to birds by gavage administration (lowest LD</w:t>
      </w:r>
      <w:r w:rsidRPr="00C5088B">
        <w:rPr>
          <w:vertAlign w:val="subscript"/>
        </w:rPr>
        <w:t>50</w:t>
      </w:r>
      <w:r>
        <w:t xml:space="preserve"> 3158 mg/kg bw in mallard) and moderate toxicity by dietary administration (lowest LC</w:t>
      </w:r>
      <w:r w:rsidRPr="00C5088B">
        <w:rPr>
          <w:vertAlign w:val="subscript"/>
        </w:rPr>
        <w:t>50</w:t>
      </w:r>
      <w:r>
        <w:t xml:space="preserve"> 905 mg/kg food in mallard). A secondary poisoning study on owls suggests that mortality is unlikely if they consume poisoned animals.</w:t>
      </w:r>
    </w:p>
    <w:p w14:paraId="510230FE" w14:textId="192A1D79" w:rsidR="00FD32F4" w:rsidRDefault="00FD32F4" w:rsidP="00377F3A">
      <w:pPr>
        <w:pStyle w:val="NormalText"/>
      </w:pPr>
      <w:r>
        <w:t>Warfarin has high toxicity to rodents (lowest LD</w:t>
      </w:r>
      <w:r w:rsidRPr="00E4304D">
        <w:rPr>
          <w:vertAlign w:val="subscript"/>
        </w:rPr>
        <w:t>50</w:t>
      </w:r>
      <w:r>
        <w:t xml:space="preserve"> 3.0 mg/kg bw in rats) and moderate toxicity to non-rodents (lowest LD</w:t>
      </w:r>
      <w:r w:rsidRPr="00E4304D">
        <w:rPr>
          <w:vertAlign w:val="subscript"/>
        </w:rPr>
        <w:t>50</w:t>
      </w:r>
      <w:r>
        <w:t xml:space="preserve"> 200 mg/kg bw in dogs) by gavage administration. Warfarin had high toxicity to mink by dietary exposure (LC</w:t>
      </w:r>
      <w:r w:rsidRPr="009C023A">
        <w:rPr>
          <w:vertAlign w:val="subscript"/>
        </w:rPr>
        <w:t>50</w:t>
      </w:r>
      <w:r>
        <w:t xml:space="preserve"> 12 mg/kg food).</w:t>
      </w:r>
      <w:r w:rsidRPr="00EB3600">
        <w:t xml:space="preserve"> </w:t>
      </w:r>
      <w:r>
        <w:t>Secondary poisoning studies on minks and weasels suggest that mortality is possible if they consume animals with high body burdens.</w:t>
      </w:r>
      <w:r w:rsidRPr="00634078">
        <w:t xml:space="preserve"> </w:t>
      </w:r>
      <w:r>
        <w:t>Warfarin has low toxicity to birds by gavage administration (chicken LD</w:t>
      </w:r>
      <w:r w:rsidRPr="00C5088B">
        <w:rPr>
          <w:vertAlign w:val="subscript"/>
        </w:rPr>
        <w:t>50</w:t>
      </w:r>
      <w:r>
        <w:t xml:space="preserve"> &gt;1000 mg/kg bw). A secondary poisoning study on owls suggests that mortality is unlikely if they consume poisoned animals.</w:t>
      </w:r>
    </w:p>
    <w:p w14:paraId="5C1E66DA" w14:textId="07475743" w:rsidR="00FD32F4" w:rsidRDefault="00FD32F4" w:rsidP="00377F3A">
      <w:pPr>
        <w:pStyle w:val="NormalText"/>
      </w:pPr>
      <w:r>
        <w:t>Brodifacoum has high toxicity by gavage administration to rodents (rat LD</w:t>
      </w:r>
      <w:r w:rsidRPr="00C57E1E">
        <w:rPr>
          <w:vertAlign w:val="subscript"/>
        </w:rPr>
        <w:t>50</w:t>
      </w:r>
      <w:r>
        <w:t xml:space="preserve"> 0.27 mg/kg bw) and non-rodents (lowest LD</w:t>
      </w:r>
      <w:r w:rsidRPr="0045558B">
        <w:rPr>
          <w:vertAlign w:val="subscript"/>
        </w:rPr>
        <w:t>50</w:t>
      </w:r>
      <w:r>
        <w:t xml:space="preserve"> 0.20 mg/kg in rabbits).</w:t>
      </w:r>
      <w:r w:rsidRPr="00634078">
        <w:t xml:space="preserve"> </w:t>
      </w:r>
      <w:r>
        <w:t>Brodifacoum has high toxicity to birds by gavage administration (lowest LD</w:t>
      </w:r>
      <w:r w:rsidRPr="00C5088B">
        <w:rPr>
          <w:vertAlign w:val="subscript"/>
        </w:rPr>
        <w:t>50</w:t>
      </w:r>
      <w:r>
        <w:t xml:space="preserve"> 0.31 mg/kg bw in mallard) and by dietary exposure (lowest LC</w:t>
      </w:r>
      <w:r w:rsidRPr="00C5088B">
        <w:rPr>
          <w:vertAlign w:val="subscript"/>
        </w:rPr>
        <w:t>50</w:t>
      </w:r>
      <w:r>
        <w:t xml:space="preserve"> 1.6 mg/kg food in gulls). Brodifacoum can take a </w:t>
      </w:r>
      <w:r>
        <w:lastRenderedPageBreak/>
        <w:t xml:space="preserve">few days to cause death in birds (Godfrey 1986). Sequential exposures may increase the toxicity of subsequent anticoagulant exposures (Rattner </w:t>
      </w:r>
      <w:r w:rsidR="00B7183A" w:rsidRPr="00B7183A">
        <w:rPr>
          <w:i/>
          <w:iCs/>
        </w:rPr>
        <w:t>et al</w:t>
      </w:r>
      <w:r>
        <w:t>. 2020). Secondary poisoning studies on owls suggest that mortality is possible if they consume animals with high body burdens.</w:t>
      </w:r>
    </w:p>
    <w:p w14:paraId="155C91B0" w14:textId="77777777" w:rsidR="00FD32F4" w:rsidRDefault="00FD32F4" w:rsidP="00377F3A">
      <w:pPr>
        <w:pStyle w:val="NormalText"/>
      </w:pPr>
      <w:r>
        <w:t>Bromadiolone has high toxicity by gavage administration to rodents (rat LD</w:t>
      </w:r>
      <w:r w:rsidRPr="0045558B">
        <w:rPr>
          <w:vertAlign w:val="subscript"/>
        </w:rPr>
        <w:t>50</w:t>
      </w:r>
      <w:r>
        <w:t xml:space="preserve"> 1.3 mg/kg bw) and non-rodents (lowest dog LD</w:t>
      </w:r>
      <w:r w:rsidRPr="0045558B">
        <w:rPr>
          <w:vertAlign w:val="subscript"/>
        </w:rPr>
        <w:t>50</w:t>
      </w:r>
      <w:r>
        <w:t xml:space="preserve"> 8.1 mg/kg bw), and by dietary exposure of ferrets (LC</w:t>
      </w:r>
      <w:r w:rsidRPr="00087734">
        <w:rPr>
          <w:vertAlign w:val="subscript"/>
        </w:rPr>
        <w:t>50</w:t>
      </w:r>
      <w:r>
        <w:t xml:space="preserve"> 9.8 mg/kg food). Following oral administration of bromadiolone to rabbits for 21 days in a teratology study, maternal bleeding was recorded around body orifices in the lowest dose group of 2.0 µg/kg bw/d (Druga 2004). An earlier study noted metrorrhagia at 8.0 µg/kg bw/d following 12 days of oral administration but not at the lower dose (NOAEL 4.0 µg/kg bw/d, Virat 1981). Bromadiolone has moderate toxicity to birds by gavage administration (lowest LD</w:t>
      </w:r>
      <w:r w:rsidRPr="00F74C8A">
        <w:rPr>
          <w:vertAlign w:val="subscript"/>
        </w:rPr>
        <w:t>50</w:t>
      </w:r>
      <w:r>
        <w:t xml:space="preserve"> 134 mg/kg bw in quail), but it had high toxicity by dietary exposure (quail LDD</w:t>
      </w:r>
      <w:r w:rsidRPr="00F74C8A">
        <w:rPr>
          <w:vertAlign w:val="subscript"/>
        </w:rPr>
        <w:t>50</w:t>
      </w:r>
      <w:r>
        <w:t xml:space="preserve"> 8.3 mg/kg bw/d). Following long-term exposure to bromadiolone in reproductive toxicity tests, decreased numbers of 14-day-old surviving chicks was observed in birds at drinking water concentrations as low as 0.55 mg/L (NOEC 0.26 mg/L in quail). Secondary poisoning studies on owls suggest that mortality is possible if they consume animals with high body burdens.</w:t>
      </w:r>
    </w:p>
    <w:p w14:paraId="1B4DD446" w14:textId="77777777" w:rsidR="00FD32F4" w:rsidRDefault="00FD32F4" w:rsidP="00377F3A">
      <w:pPr>
        <w:pStyle w:val="NormalText"/>
      </w:pPr>
      <w:r>
        <w:t>Difenacoum has high toxicity by gavage administration to rodents (lowest LD</w:t>
      </w:r>
      <w:r w:rsidRPr="00087734">
        <w:rPr>
          <w:vertAlign w:val="subscript"/>
        </w:rPr>
        <w:t>50</w:t>
      </w:r>
      <w:r>
        <w:t xml:space="preserve"> 0.70 mg/kg bw) and non-rodents (lowest LD</w:t>
      </w:r>
      <w:r w:rsidRPr="00087734">
        <w:rPr>
          <w:vertAlign w:val="subscript"/>
        </w:rPr>
        <w:t>50</w:t>
      </w:r>
      <w:r>
        <w:t xml:space="preserve"> 50 mg/kg bw in dogs). Following long-term exposure to difenacoum in reproductive toxicity tests, some indications of possible effects on ovarian function of rats were observed in the lowest dose group of 10 µg/kg bw/d (Szakonyi 2004b).</w:t>
      </w:r>
      <w:r w:rsidRPr="00634078">
        <w:t xml:space="preserve"> </w:t>
      </w:r>
      <w:r>
        <w:t>Difenacoum has high toxicity to birds by gavage administration (lowest LD</w:t>
      </w:r>
      <w:r w:rsidRPr="00F74C8A">
        <w:rPr>
          <w:vertAlign w:val="subscript"/>
        </w:rPr>
        <w:t>50</w:t>
      </w:r>
      <w:r>
        <w:t xml:space="preserve"> 50 mg/kg bw in chickens) and by dietary exposure (lowest LC</w:t>
      </w:r>
      <w:r w:rsidRPr="00F74C8A">
        <w:rPr>
          <w:vertAlign w:val="subscript"/>
        </w:rPr>
        <w:t>50</w:t>
      </w:r>
      <w:r>
        <w:t xml:space="preserve"> 1.4 mg/kg food in quail). Following long-term exposure to difenacoum in reproductive toxicity tests, no adverse effects were observed in birds at the highest tested dietary concentration (NOEL 0.011 mg/kg bw/d in quail). D</w:t>
      </w:r>
      <w:r w:rsidRPr="00B2059C">
        <w:t>ecreased numbers of 14-day-old surviving chicks w</w:t>
      </w:r>
      <w:r>
        <w:t xml:space="preserve">ere </w:t>
      </w:r>
      <w:r w:rsidRPr="00B2059C">
        <w:t xml:space="preserve">observed in birds </w:t>
      </w:r>
      <w:r>
        <w:t xml:space="preserve">exposed to </w:t>
      </w:r>
      <w:r w:rsidRPr="00B2059C">
        <w:t>drinking water concentrations as low as 0.</w:t>
      </w:r>
      <w:r>
        <w:t>63</w:t>
      </w:r>
      <w:r w:rsidRPr="00B2059C">
        <w:t xml:space="preserve"> mg/L (NOEC 0.</w:t>
      </w:r>
      <w:r>
        <w:t>31</w:t>
      </w:r>
      <w:r w:rsidRPr="00B2059C">
        <w:t xml:space="preserve"> mg/L</w:t>
      </w:r>
      <w:r>
        <w:t xml:space="preserve"> in quail</w:t>
      </w:r>
      <w:r w:rsidRPr="00B2059C">
        <w:t>).</w:t>
      </w:r>
      <w:r>
        <w:t xml:space="preserve"> Secondary poisoning studies on owls suggest that mortality is possible if they consume animals with high body burdens.</w:t>
      </w:r>
    </w:p>
    <w:p w14:paraId="13D531E9" w14:textId="77777777" w:rsidR="00FD32F4" w:rsidRDefault="00FD32F4" w:rsidP="00377F3A">
      <w:pPr>
        <w:pStyle w:val="NormalText"/>
      </w:pPr>
      <w:r>
        <w:t>Difethialone has high toxicity to rodents by gavage administration (rat LD</w:t>
      </w:r>
      <w:r w:rsidRPr="00087734">
        <w:rPr>
          <w:vertAlign w:val="subscript"/>
        </w:rPr>
        <w:t>50</w:t>
      </w:r>
      <w:r>
        <w:t xml:space="preserve"> &gt;0.13 mg/kg bw) and low toxicity to ferrets by dietary exposure (LDD</w:t>
      </w:r>
      <w:r w:rsidRPr="00087734">
        <w:rPr>
          <w:vertAlign w:val="subscript"/>
        </w:rPr>
        <w:t>50</w:t>
      </w:r>
      <w:r>
        <w:t xml:space="preserve"> 760 mg/kg bw/d).</w:t>
      </w:r>
      <w:r w:rsidRPr="00634078">
        <w:t xml:space="preserve"> </w:t>
      </w:r>
      <w:r>
        <w:t>Difethialone has high toxicity to birds by gavage administration (lowest LD</w:t>
      </w:r>
      <w:r w:rsidRPr="00F74C8A">
        <w:rPr>
          <w:vertAlign w:val="subscript"/>
        </w:rPr>
        <w:t>50</w:t>
      </w:r>
      <w:r>
        <w:t xml:space="preserve"> 0.26 mg/kg bw in quail) and by dietary exposure (lowest LC</w:t>
      </w:r>
      <w:r w:rsidRPr="00F74C8A">
        <w:rPr>
          <w:vertAlign w:val="subscript"/>
        </w:rPr>
        <w:t>50</w:t>
      </w:r>
      <w:r>
        <w:t xml:space="preserve"> 0.56 mg/kg food in quail). Secondary poisoning studies on owls suggest that mortality is possible if they consume animals with high body burdens.</w:t>
      </w:r>
    </w:p>
    <w:p w14:paraId="74E87F20" w14:textId="77777777" w:rsidR="00FD32F4" w:rsidRDefault="00FD32F4" w:rsidP="00377F3A">
      <w:pPr>
        <w:pStyle w:val="NormalText"/>
      </w:pPr>
      <w:r>
        <w:t>Floucoumafen has high toxicity to rodents by gavage administration (rat LD</w:t>
      </w:r>
      <w:r w:rsidRPr="00087734">
        <w:rPr>
          <w:vertAlign w:val="subscript"/>
        </w:rPr>
        <w:t>50</w:t>
      </w:r>
      <w:r>
        <w:t xml:space="preserve"> 0.13 mg/kg bw). Flocoumafen has high toxicity to birds by gavage administration (mallard LD</w:t>
      </w:r>
      <w:r w:rsidRPr="00F74C8A">
        <w:rPr>
          <w:vertAlign w:val="subscript"/>
        </w:rPr>
        <w:t>50</w:t>
      </w:r>
      <w:r>
        <w:t xml:space="preserve"> 24 mg/kg bw) and by dietary exposure (lowest LDD</w:t>
      </w:r>
      <w:r w:rsidRPr="00F74C8A">
        <w:rPr>
          <w:vertAlign w:val="subscript"/>
        </w:rPr>
        <w:t>50</w:t>
      </w:r>
      <w:r>
        <w:t xml:space="preserve"> 2.7 mg/kg bw/d in mallards). Secondary poisoning studies on owls suggest that mortality is possible if they consume animals with high body burdens.</w:t>
      </w:r>
    </w:p>
    <w:p w14:paraId="1661D368" w14:textId="77777777" w:rsidR="00FD32F4" w:rsidRDefault="00FD32F4" w:rsidP="00377F3A">
      <w:pPr>
        <w:pStyle w:val="NormalText"/>
      </w:pPr>
      <w:r>
        <w:t>Joermann (1998) completed an extensive review of secondary poisoning studies and noted mortality of mammals occurred after feeding periods of 3 days onwards, with no clear distinction between first and second-generation substances. In birds, it was noted that FGARs caused the death of an experimental animal only in one instance (barn owl feeding on coumatetrayl-poisoned rats). Nevertheless, several authors reported effects on blood clotting and internal hematomas. In contrast, SGARs caused mortality in birds after just a few days of feeding and in extreme cases even after 1 day. Within the SGARs, the hazard potential could be differentiated further with bromadiolone and difenacoum showing a lower secondary poisoning potential than brodifacoum and flocoumafen.</w:t>
      </w:r>
    </w:p>
    <w:p w14:paraId="41F7FC19" w14:textId="6E16098E" w:rsidR="00FD32F4" w:rsidRDefault="00FD32F4" w:rsidP="00377F3A">
      <w:pPr>
        <w:pStyle w:val="NormalText"/>
      </w:pPr>
      <w:r>
        <w:lastRenderedPageBreak/>
        <w:t xml:space="preserve">Expected toxicity thresholds at 20% probability of coagulopathy for raptors with exposure to total SGAR were estimated to be 8.2 µg/kg for accipiters, 7.9 µg/kg for falcons, 14 µg/kg for true owls, and 0.32 µg/kg for barn owls (Elliott </w:t>
      </w:r>
      <w:r w:rsidR="00B7183A" w:rsidRPr="00B7183A">
        <w:rPr>
          <w:i/>
          <w:iCs/>
        </w:rPr>
        <w:t>et al</w:t>
      </w:r>
      <w:r>
        <w:t xml:space="preserve">. 2024; including data from Stone </w:t>
      </w:r>
      <w:r w:rsidR="00B7183A" w:rsidRPr="00B7183A">
        <w:rPr>
          <w:i/>
          <w:iCs/>
        </w:rPr>
        <w:t>et al</w:t>
      </w:r>
      <w:r>
        <w:t xml:space="preserve">. 1999, Thomas </w:t>
      </w:r>
      <w:r w:rsidR="00B7183A" w:rsidRPr="00B7183A">
        <w:rPr>
          <w:i/>
          <w:iCs/>
        </w:rPr>
        <w:t>et al</w:t>
      </w:r>
      <w:r>
        <w:t>. 2011). Compound-specific values for the four raptor families combined were 6.6 µg/kg for brodifacoum, 11 µg/kg for bromadiolone, and 5.3 µg/kg for difethialone.</w:t>
      </w:r>
    </w:p>
    <w:p w14:paraId="618F1137" w14:textId="231BFF5B" w:rsidR="00FD32F4" w:rsidRDefault="00FD32F4" w:rsidP="00377F3A">
      <w:pPr>
        <w:pStyle w:val="NormalText"/>
      </w:pPr>
      <w:r w:rsidRPr="00ED655A">
        <w:t xml:space="preserve">Reptiles are generally thought to have a high tolerance to </w:t>
      </w:r>
      <w:r>
        <w:t>anticoagulant rodenticides</w:t>
      </w:r>
      <w:r w:rsidRPr="00ED655A">
        <w:t xml:space="preserve"> (Lohr </w:t>
      </w:r>
      <w:r>
        <w:t>&amp;</w:t>
      </w:r>
      <w:r w:rsidRPr="00ED655A">
        <w:t xml:space="preserve"> Davis 2018</w:t>
      </w:r>
      <w:r>
        <w:t xml:space="preserve">, Mauldin </w:t>
      </w:r>
      <w:r w:rsidR="00B7183A" w:rsidRPr="00B7183A">
        <w:rPr>
          <w:i/>
          <w:iCs/>
        </w:rPr>
        <w:t>et al</w:t>
      </w:r>
      <w:r>
        <w:t>. 2020</w:t>
      </w:r>
      <w:r w:rsidRPr="00ED655A">
        <w:t>).</w:t>
      </w:r>
      <w:r>
        <w:t xml:space="preserve"> </w:t>
      </w:r>
      <w:r w:rsidRPr="000E4E03">
        <w:t xml:space="preserve">Geckos were found to </w:t>
      </w:r>
      <w:r>
        <w:t xml:space="preserve">contain </w:t>
      </w:r>
      <w:r w:rsidRPr="000E4E03">
        <w:t>brodifacoum residues</w:t>
      </w:r>
      <w:r>
        <w:t xml:space="preserve"> </w:t>
      </w:r>
      <w:r w:rsidRPr="000E4E03">
        <w:t xml:space="preserve">after rat control operations and </w:t>
      </w:r>
      <w:r w:rsidR="00B7183A" w:rsidRPr="000E4E03">
        <w:t>several</w:t>
      </w:r>
      <w:r w:rsidRPr="000E4E03">
        <w:t xml:space="preserve"> anecdotal reports have reported lethal poisoning of geckos from use</w:t>
      </w:r>
      <w:r>
        <w:t xml:space="preserve"> </w:t>
      </w:r>
      <w:r w:rsidRPr="000E4E03">
        <w:t xml:space="preserve">of anticoagulant rodenticides (Lohr </w:t>
      </w:r>
      <w:r>
        <w:t>&amp;</w:t>
      </w:r>
      <w:r w:rsidRPr="000E4E03">
        <w:t xml:space="preserve"> Davis 2018).</w:t>
      </w:r>
      <w:r>
        <w:t xml:space="preserve"> </w:t>
      </w:r>
      <w:r w:rsidRPr="00482CD0">
        <w:t>Turtles and boas exhibited a relative insensitivity to diphacinone and brodifacoum, while lizards appeared to</w:t>
      </w:r>
      <w:r>
        <w:t xml:space="preserve"> </w:t>
      </w:r>
      <w:r w:rsidRPr="00482CD0">
        <w:t>be somewhat more sensitive to these compounds</w:t>
      </w:r>
      <w:r>
        <w:t xml:space="preserve"> (Mauldin </w:t>
      </w:r>
      <w:r w:rsidR="00B7183A" w:rsidRPr="00B7183A">
        <w:rPr>
          <w:i/>
          <w:iCs/>
        </w:rPr>
        <w:t>et al</w:t>
      </w:r>
      <w:r>
        <w:t xml:space="preserve">. 2020). Coumatetralyl, diphacinone, and brodifacoum had low toxicity to fence lizards (Weir </w:t>
      </w:r>
      <w:r w:rsidR="00B7183A" w:rsidRPr="00B7183A">
        <w:rPr>
          <w:i/>
          <w:iCs/>
        </w:rPr>
        <w:t>et al</w:t>
      </w:r>
      <w:r>
        <w:t xml:space="preserve">. 2016). The lowest lethal doses of diphacinone and warfarin to the brown tree snake were 10 and 40 mg/kg bw, respectively (Brookes </w:t>
      </w:r>
      <w:r w:rsidR="00B7183A" w:rsidRPr="00B7183A">
        <w:rPr>
          <w:i/>
          <w:iCs/>
        </w:rPr>
        <w:t>et al</w:t>
      </w:r>
      <w:r>
        <w:t>. 1998). A secondary poisoning study on rattlesnakes suggests that mortality is unlikely if they consume poisoned animals.</w:t>
      </w:r>
    </w:p>
    <w:p w14:paraId="4894456B" w14:textId="3165ECFA" w:rsidR="00FD32F4" w:rsidRPr="00511E4D" w:rsidRDefault="00FD32F4" w:rsidP="00377F3A">
      <w:pPr>
        <w:pStyle w:val="NormalText"/>
      </w:pPr>
      <w:r w:rsidRPr="00511E4D">
        <w:t xml:space="preserve">Many accounts of non-target anticoagulant rodenticide toxicity in Australian wildlife appear in the published literature and have been summarised by Lohr &amp; Davis (2018). All reports available to the APVMA that are attributed to approved uses or unspecified exposures </w:t>
      </w:r>
      <w:r>
        <w:t xml:space="preserve">worldwide </w:t>
      </w:r>
      <w:r w:rsidRPr="00511E4D">
        <w:t>are summarised in</w:t>
      </w:r>
      <w:r w:rsidR="00E65803">
        <w:t xml:space="preserve"> </w:t>
      </w:r>
      <w:r w:rsidR="00F73A04">
        <w:t xml:space="preserve">Appendix </w:t>
      </w:r>
      <w:r w:rsidR="00FA4E31">
        <w:t>A</w:t>
      </w:r>
      <w:r w:rsidR="00F73A04">
        <w:t xml:space="preserve"> (</w:t>
      </w:r>
      <w:r w:rsidR="00F73A04">
        <w:fldChar w:fldCharType="begin"/>
      </w:r>
      <w:r w:rsidR="00F73A04">
        <w:instrText xml:space="preserve"> REF _Ref214822632 \h </w:instrText>
      </w:r>
      <w:r w:rsidR="00F73A04">
        <w:fldChar w:fldCharType="separate"/>
      </w:r>
      <w:r w:rsidR="003861AC">
        <w:t xml:space="preserve">Table </w:t>
      </w:r>
      <w:r w:rsidR="003861AC">
        <w:rPr>
          <w:noProof/>
        </w:rPr>
        <w:t>90</w:t>
      </w:r>
      <w:r w:rsidR="00F73A04">
        <w:fldChar w:fldCharType="end"/>
      </w:r>
      <w:r w:rsidR="00F73A04">
        <w:t xml:space="preserve">, </w:t>
      </w:r>
      <w:r w:rsidR="00F73A04">
        <w:fldChar w:fldCharType="begin"/>
      </w:r>
      <w:r w:rsidR="00F73A04">
        <w:instrText xml:space="preserve"> REF _Ref214822663 \h </w:instrText>
      </w:r>
      <w:r w:rsidR="00F73A04">
        <w:fldChar w:fldCharType="separate"/>
      </w:r>
      <w:r w:rsidR="003861AC">
        <w:t xml:space="preserve">Table </w:t>
      </w:r>
      <w:r w:rsidR="003861AC">
        <w:rPr>
          <w:noProof/>
        </w:rPr>
        <w:t>100</w:t>
      </w:r>
      <w:r w:rsidR="00F73A04">
        <w:fldChar w:fldCharType="end"/>
      </w:r>
      <w:r w:rsidR="00F73A04">
        <w:t xml:space="preserve">, </w:t>
      </w:r>
      <w:r w:rsidR="00F73A04">
        <w:fldChar w:fldCharType="begin"/>
      </w:r>
      <w:r w:rsidR="00F73A04">
        <w:instrText xml:space="preserve"> REF _Ref214822667 \h </w:instrText>
      </w:r>
      <w:r w:rsidR="00F73A04">
        <w:fldChar w:fldCharType="separate"/>
      </w:r>
      <w:r w:rsidR="003861AC">
        <w:t xml:space="preserve">Table </w:t>
      </w:r>
      <w:r w:rsidR="003861AC">
        <w:rPr>
          <w:noProof/>
        </w:rPr>
        <w:t>106</w:t>
      </w:r>
      <w:r w:rsidR="00F73A04">
        <w:fldChar w:fldCharType="end"/>
      </w:r>
      <w:r w:rsidR="00F73A04">
        <w:t xml:space="preserve">, </w:t>
      </w:r>
      <w:r w:rsidR="00F73A04">
        <w:fldChar w:fldCharType="begin"/>
      </w:r>
      <w:r w:rsidR="00F73A04">
        <w:instrText xml:space="preserve"> REF _Ref214822788 \h </w:instrText>
      </w:r>
      <w:r w:rsidR="00F73A04">
        <w:fldChar w:fldCharType="separate"/>
      </w:r>
      <w:r w:rsidR="003861AC">
        <w:t xml:space="preserve">Table </w:t>
      </w:r>
      <w:r w:rsidR="003861AC">
        <w:rPr>
          <w:noProof/>
        </w:rPr>
        <w:t>112</w:t>
      </w:r>
      <w:r w:rsidR="00F73A04">
        <w:fldChar w:fldCharType="end"/>
      </w:r>
      <w:r w:rsidR="00F73A04">
        <w:t xml:space="preserve">, </w:t>
      </w:r>
      <w:r w:rsidR="00F73A04">
        <w:fldChar w:fldCharType="begin"/>
      </w:r>
      <w:r w:rsidR="00F73A04">
        <w:instrText xml:space="preserve"> REF _Ref214822799 \h </w:instrText>
      </w:r>
      <w:r w:rsidR="00F73A04">
        <w:fldChar w:fldCharType="separate"/>
      </w:r>
      <w:r w:rsidR="003861AC">
        <w:t xml:space="preserve">Table </w:t>
      </w:r>
      <w:r w:rsidR="003861AC">
        <w:rPr>
          <w:noProof/>
        </w:rPr>
        <w:t>122</w:t>
      </w:r>
      <w:r w:rsidR="00F73A04">
        <w:fldChar w:fldCharType="end"/>
      </w:r>
      <w:r w:rsidR="00F73A04">
        <w:t xml:space="preserve">, </w:t>
      </w:r>
      <w:r w:rsidR="00F73A04">
        <w:fldChar w:fldCharType="begin"/>
      </w:r>
      <w:r w:rsidR="00F73A04">
        <w:instrText xml:space="preserve"> REF _Ref214822805 \h </w:instrText>
      </w:r>
      <w:r w:rsidR="00F73A04">
        <w:fldChar w:fldCharType="separate"/>
      </w:r>
      <w:r w:rsidR="003861AC">
        <w:t xml:space="preserve">Table </w:t>
      </w:r>
      <w:r w:rsidR="003861AC">
        <w:rPr>
          <w:noProof/>
        </w:rPr>
        <w:t>131</w:t>
      </w:r>
      <w:r w:rsidR="00F73A04">
        <w:fldChar w:fldCharType="end"/>
      </w:r>
      <w:r w:rsidR="00F73A04">
        <w:t xml:space="preserve"> and </w:t>
      </w:r>
      <w:r w:rsidR="00F73A04">
        <w:fldChar w:fldCharType="begin"/>
      </w:r>
      <w:r w:rsidR="00F73A04">
        <w:instrText xml:space="preserve"> REF _Ref214822820 \h </w:instrText>
      </w:r>
      <w:r w:rsidR="00F73A04">
        <w:fldChar w:fldCharType="separate"/>
      </w:r>
      <w:r w:rsidR="003861AC">
        <w:t xml:space="preserve">Table </w:t>
      </w:r>
      <w:r w:rsidR="003861AC">
        <w:rPr>
          <w:noProof/>
        </w:rPr>
        <w:t>147</w:t>
      </w:r>
      <w:r w:rsidR="00F73A04">
        <w:fldChar w:fldCharType="end"/>
      </w:r>
      <w:r w:rsidR="00F73A04">
        <w:t>)</w:t>
      </w:r>
      <w:r w:rsidRPr="00511E4D">
        <w:t>. Confirmed cases of misuse and abuse are excluded from this table, noting misuse or abuse may still be a contributor to observed incidents of unspecified exposures. Several adverse incidents in wildlife have been documented following rodent eradication and ecological restoration programmes on islands or National Parks in Australia and overseas.</w:t>
      </w:r>
      <w:r w:rsidR="00F73A04">
        <w:t xml:space="preserve"> (reports summarised in Appendix </w:t>
      </w:r>
      <w:r w:rsidR="00FA4E31">
        <w:t>A</w:t>
      </w:r>
      <w:r w:rsidR="00F73A04">
        <w:t xml:space="preserve">, </w:t>
      </w:r>
      <w:r w:rsidR="00F73A04">
        <w:fldChar w:fldCharType="begin"/>
      </w:r>
      <w:r w:rsidR="00F73A04">
        <w:instrText xml:space="preserve"> REF _Ref214822966 \h </w:instrText>
      </w:r>
      <w:r w:rsidR="00F73A04">
        <w:fldChar w:fldCharType="separate"/>
      </w:r>
      <w:r w:rsidR="003861AC">
        <w:t xml:space="preserve">Table </w:t>
      </w:r>
      <w:r w:rsidR="003861AC">
        <w:rPr>
          <w:noProof/>
        </w:rPr>
        <w:t>113</w:t>
      </w:r>
      <w:r w:rsidR="00F73A04">
        <w:fldChar w:fldCharType="end"/>
      </w:r>
      <w:r w:rsidR="00F73A04">
        <w:t>)</w:t>
      </w:r>
      <w:r w:rsidRPr="00511E4D">
        <w:t xml:space="preserve"> While </w:t>
      </w:r>
      <w:r w:rsidR="000706BB">
        <w:t>consideration of</w:t>
      </w:r>
      <w:r w:rsidR="000706BB" w:rsidRPr="00511E4D">
        <w:t xml:space="preserve"> </w:t>
      </w:r>
      <w:r w:rsidRPr="00511E4D">
        <w:t xml:space="preserve">off-label uses are </w:t>
      </w:r>
      <w:r w:rsidR="000706BB">
        <w:t>outside of the scope of</w:t>
      </w:r>
      <w:r w:rsidRPr="00511E4D">
        <w:t xml:space="preserve"> this re</w:t>
      </w:r>
      <w:r w:rsidR="000706BB">
        <w:t xml:space="preserve">consideration </w:t>
      </w:r>
      <w:r w:rsidRPr="00511E4D">
        <w:t>they do provide some insight into the movement of anticoagulant rodenticides through the trophic levels.</w:t>
      </w:r>
    </w:p>
    <w:p w14:paraId="7B37FCEC" w14:textId="77777777" w:rsidR="00FD32F4" w:rsidRPr="00511E4D" w:rsidRDefault="00FD32F4" w:rsidP="00377F3A">
      <w:pPr>
        <w:pStyle w:val="NormalText"/>
      </w:pPr>
      <w:r w:rsidRPr="00F74AE1">
        <w:t>Various wild raptors (5 grey goshawk, 2 brown goshawk, 1 collared sparrowhawk, 1 brown falcon, 12 masked owl, 6 Tasmanian boobook) were found with classic symptoms of anticoagulant rodenticide poisoning around Hobart, Tasmania between 2004 and 2016 (Mooney 2017).</w:t>
      </w:r>
    </w:p>
    <w:p w14:paraId="2DEEEEE2" w14:textId="4DA2E696" w:rsidR="00FD32F4" w:rsidRDefault="00FD32F4" w:rsidP="00377F3A">
      <w:pPr>
        <w:pStyle w:val="NormalText"/>
      </w:pPr>
      <w:r>
        <w:t xml:space="preserve">Primary poisoning from the use of anticoagulant rodenticides was suspected in several ringtail and brushtail possum events in various regions across Australia spanning 2016 to 2020 (Grillo </w:t>
      </w:r>
      <w:r w:rsidR="00B7183A" w:rsidRPr="00B7183A">
        <w:rPr>
          <w:i/>
          <w:iCs/>
        </w:rPr>
        <w:t>et al</w:t>
      </w:r>
      <w:r>
        <w:t xml:space="preserve">. 2016, WHA 2022a). </w:t>
      </w:r>
      <w:r w:rsidRPr="000E3C4C">
        <w:t xml:space="preserve">Events </w:t>
      </w:r>
      <w:r>
        <w:t xml:space="preserve">attributed to anticoagulant </w:t>
      </w:r>
      <w:r w:rsidRPr="008F3F03">
        <w:t>poisoning were also recorded in 8 other mammalian species (antechinus, bandicoots, gliders, native rats)</w:t>
      </w:r>
      <w:r>
        <w:t>, 25</w:t>
      </w:r>
      <w:r w:rsidRPr="008F3F03">
        <w:t xml:space="preserve"> species of birds</w:t>
      </w:r>
      <w:r>
        <w:t xml:space="preserve"> (including raptors, songbirds, parrots, gulls, ibis, kookaburra, frogmouths), 3 species of reptiles (carpet python, brown snake, shingleback lizard), and 1 amphibian </w:t>
      </w:r>
      <w:r w:rsidRPr="008F3F03">
        <w:t>(WHA 2022a, 2022b).</w:t>
      </w:r>
    </w:p>
    <w:p w14:paraId="424F2566" w14:textId="7D74D43E" w:rsidR="00FD32F4" w:rsidRDefault="00FD32F4" w:rsidP="00377F3A">
      <w:pPr>
        <w:pStyle w:val="NormalText"/>
      </w:pPr>
      <w:r>
        <w:t>While most of the primary poisoning events with birds are likely attributed to misuse (e.g.</w:t>
      </w:r>
      <w:r w:rsidR="00D63DEA">
        <w:t>,</w:t>
      </w:r>
      <w:r>
        <w:t xml:space="preserve"> corellas, gulls, starlings, galahs), </w:t>
      </w:r>
      <w:r w:rsidR="007C6170">
        <w:t xml:space="preserve">given the use restrictions currently in place to mitigate primary poisoning </w:t>
      </w:r>
      <w:r w:rsidR="00E06AAD">
        <w:t>risks to birds</w:t>
      </w:r>
      <w:r w:rsidR="007C6170">
        <w:t xml:space="preserve">, </w:t>
      </w:r>
      <w:r>
        <w:t>secondary poisoning events from on-label uses of anticoagulant rodenticides cannot be ruled out. In all cases, b</w:t>
      </w:r>
      <w:r w:rsidRPr="000E3C4C">
        <w:t>rodifacoum was the most common</w:t>
      </w:r>
      <w:r>
        <w:t xml:space="preserve"> anticoagulant detected when liver samples were analysed</w:t>
      </w:r>
      <w:r w:rsidRPr="000E3C4C">
        <w:t>.</w:t>
      </w:r>
    </w:p>
    <w:p w14:paraId="715A96F7" w14:textId="77777777" w:rsidR="00FD32F4" w:rsidRDefault="00FD32F4" w:rsidP="00377F3A">
      <w:pPr>
        <w:pStyle w:val="NormalText"/>
      </w:pPr>
      <w:r>
        <w:t>Secondary poisoning from the use of brodifacoum baits was determined to be a possible contributor to the severe population declines of owls that commonly feed on rodent pests in sugarcane growing regions of Queensland over a 10-year period (Thomas &amp; Kutt 1997, Young &amp; de Lai 1997). Although brodifacoum is no longer registered for use in sugarcane, this research demonstrates a clear exposure pathway for raptors when rodenticides are used in open field situations in Australia.</w:t>
      </w:r>
    </w:p>
    <w:p w14:paraId="3B5E6490" w14:textId="36597A88" w:rsidR="00FD32F4" w:rsidRDefault="00FD32F4" w:rsidP="0043717B">
      <w:pPr>
        <w:pStyle w:val="NormalText"/>
      </w:pPr>
      <w:r>
        <w:lastRenderedPageBreak/>
        <w:t>Anticoagulants</w:t>
      </w:r>
      <w:r w:rsidRPr="00554E61">
        <w:t xml:space="preserve"> </w:t>
      </w:r>
      <w:r w:rsidR="00AC7713">
        <w:t>act slowly</w:t>
      </w:r>
      <w:r w:rsidR="006A23A1">
        <w:t>,</w:t>
      </w:r>
      <w:r w:rsidR="00AC7713">
        <w:t xml:space="preserve"> with the onset of symptoms delayed</w:t>
      </w:r>
      <w:r w:rsidR="006A23A1">
        <w:t>,</w:t>
      </w:r>
      <w:r w:rsidR="00AC7713">
        <w:t xml:space="preserve"> to prevent target rodents from becoming bait shy.</w:t>
      </w:r>
      <w:r w:rsidRPr="00554E61">
        <w:t xml:space="preserve"> This</w:t>
      </w:r>
      <w:r w:rsidR="00AC7713">
        <w:t xml:space="preserve"> delayed action,</w:t>
      </w:r>
      <w:r w:rsidRPr="00554E61">
        <w:t xml:space="preserve"> combined with </w:t>
      </w:r>
      <w:r>
        <w:t xml:space="preserve">the </w:t>
      </w:r>
      <w:r w:rsidR="00AC7713">
        <w:t>wide</w:t>
      </w:r>
      <w:r w:rsidRPr="00554E61">
        <w:t xml:space="preserve"> hunting </w:t>
      </w:r>
      <w:r w:rsidR="00AC7713">
        <w:t>ranges</w:t>
      </w:r>
      <w:r>
        <w:t xml:space="preserve"> of predators</w:t>
      </w:r>
      <w:r w:rsidRPr="00554E61">
        <w:t xml:space="preserve">, makes it difficult to </w:t>
      </w:r>
      <w:r w:rsidR="00AC7713">
        <w:t xml:space="preserve">identify the precise </w:t>
      </w:r>
      <w:r w:rsidRPr="00554E61">
        <w:t>source</w:t>
      </w:r>
      <w:r w:rsidR="00AC7713">
        <w:t>(</w:t>
      </w:r>
      <w:r w:rsidRPr="00554E61">
        <w:t>s</w:t>
      </w:r>
      <w:r w:rsidR="00AC7713">
        <w:t>)</w:t>
      </w:r>
      <w:r w:rsidRPr="00554E61">
        <w:t xml:space="preserve"> of rodenticide </w:t>
      </w:r>
      <w:r>
        <w:t>exposure</w:t>
      </w:r>
      <w:r w:rsidRPr="00554E61">
        <w:t xml:space="preserve">. </w:t>
      </w:r>
      <w:r>
        <w:t>Based on</w:t>
      </w:r>
      <w:r w:rsidRPr="00554E61">
        <w:t xml:space="preserve"> the species involved</w:t>
      </w:r>
      <w:r>
        <w:t xml:space="preserve"> </w:t>
      </w:r>
      <w:r w:rsidRPr="00554E61">
        <w:t xml:space="preserve">and the </w:t>
      </w:r>
      <w:r>
        <w:t>level</w:t>
      </w:r>
      <w:r w:rsidRPr="00554E61">
        <w:t xml:space="preserve"> of residues present,</w:t>
      </w:r>
      <w:r>
        <w:t xml:space="preserve"> Barrett </w:t>
      </w:r>
      <w:r w:rsidR="00B7183A" w:rsidRPr="00B7183A">
        <w:rPr>
          <w:i/>
          <w:iCs/>
        </w:rPr>
        <w:t>et al</w:t>
      </w:r>
      <w:r>
        <w:t xml:space="preserve">. (2003) concluded </w:t>
      </w:r>
      <w:r w:rsidRPr="00554E61">
        <w:t xml:space="preserve">that rodent control operations </w:t>
      </w:r>
      <w:r>
        <w:t>were</w:t>
      </w:r>
      <w:r w:rsidRPr="00554E61">
        <w:t xml:space="preserve"> the</w:t>
      </w:r>
      <w:r>
        <w:t xml:space="preserve"> </w:t>
      </w:r>
      <w:r w:rsidR="001B49D4">
        <w:t>most likely</w:t>
      </w:r>
      <w:r>
        <w:t xml:space="preserve"> cause </w:t>
      </w:r>
      <w:r w:rsidRPr="00554E61">
        <w:t>of incidents</w:t>
      </w:r>
      <w:r>
        <w:t xml:space="preserve"> involving anticoagulant rodenticides in 2002 in the UK</w:t>
      </w:r>
      <w:r w:rsidRPr="00554E61">
        <w:t>.</w:t>
      </w:r>
      <w:r>
        <w:t xml:space="preserve"> Similar conclusions were made in subsequent years (e.g., Barrett </w:t>
      </w:r>
      <w:r w:rsidR="00B7183A" w:rsidRPr="00B7183A">
        <w:rPr>
          <w:i/>
          <w:iCs/>
        </w:rPr>
        <w:t>et al</w:t>
      </w:r>
      <w:r>
        <w:t xml:space="preserve">. 2007). Although the number of poisonings reported globally per year may appear low, these </w:t>
      </w:r>
      <w:r w:rsidR="001B49D4">
        <w:t xml:space="preserve">figures represent only </w:t>
      </w:r>
      <w:r w:rsidR="006A23A1">
        <w:t xml:space="preserve">detected and </w:t>
      </w:r>
      <w:r w:rsidR="001B49D4">
        <w:t>confirmed cases</w:t>
      </w:r>
      <w:r>
        <w:t xml:space="preserve">. The true number of poisonings and their impact on </w:t>
      </w:r>
      <w:r w:rsidR="001B49D4">
        <w:t xml:space="preserve">wildlife </w:t>
      </w:r>
      <w:r>
        <w:t>populations are not known.</w:t>
      </w:r>
      <w:r w:rsidRPr="0011166A">
        <w:t xml:space="preserve"> </w:t>
      </w:r>
      <w:r w:rsidR="00944142">
        <w:t>Accordingly</w:t>
      </w:r>
      <w:r>
        <w:t xml:space="preserve">, </w:t>
      </w:r>
      <w:r w:rsidR="00944142">
        <w:t xml:space="preserve">regardless of the uncertainties surrounding </w:t>
      </w:r>
      <w:r w:rsidR="006A23A1">
        <w:t>incidents</w:t>
      </w:r>
      <w:r w:rsidR="00944142">
        <w:t>, strengthening control measures to reduce</w:t>
      </w:r>
      <w:r>
        <w:t xml:space="preserve"> exposure of Australian wildlife</w:t>
      </w:r>
      <w:r w:rsidR="00944142">
        <w:t xml:space="preserve"> is a prudent course of action</w:t>
      </w:r>
      <w:r w:rsidRPr="0011166A">
        <w:t>.</w:t>
      </w:r>
    </w:p>
    <w:p w14:paraId="2F44B245" w14:textId="445D81E3" w:rsidR="00FD32F4" w:rsidRDefault="00FD32F4" w:rsidP="0043717B">
      <w:pPr>
        <w:pStyle w:val="NormalText"/>
      </w:pPr>
      <w:r>
        <w:t xml:space="preserve">No data </w:t>
      </w:r>
      <w:r w:rsidR="00944142">
        <w:t>are</w:t>
      </w:r>
      <w:r>
        <w:t xml:space="preserve"> available on the effects of anticoagulant rodenticides on non-target terrestrial plants.</w:t>
      </w:r>
    </w:p>
    <w:p w14:paraId="7977BF41" w14:textId="51BB92CE" w:rsidR="00FD32F4" w:rsidRDefault="00FD32F4" w:rsidP="0043717B">
      <w:pPr>
        <w:pStyle w:val="NormalText"/>
      </w:pPr>
      <w:r>
        <w:t xml:space="preserve">A listing of available data on the effects of each chemical on terrestrial vertebrates is tabulated in Appendix </w:t>
      </w:r>
      <w:r w:rsidR="00FA4E31">
        <w:t>A</w:t>
      </w:r>
      <w:r>
        <w:t>.</w:t>
      </w:r>
    </w:p>
    <w:p w14:paraId="01F117AE" w14:textId="77777777" w:rsidR="00FD32F4" w:rsidRDefault="00FD32F4" w:rsidP="00EB460A">
      <w:pPr>
        <w:pStyle w:val="Heading3"/>
        <w:tabs>
          <w:tab w:val="num" w:pos="907"/>
        </w:tabs>
      </w:pPr>
      <w:bookmarkStart w:id="1072" w:name="_Ref213163467"/>
      <w:bookmarkStart w:id="1073" w:name="_Toc214025483"/>
      <w:bookmarkStart w:id="1074" w:name="_Toc216695567"/>
      <w:r>
        <w:t>Effects on other non-target species</w:t>
      </w:r>
      <w:bookmarkEnd w:id="1072"/>
      <w:bookmarkEnd w:id="1073"/>
      <w:bookmarkEnd w:id="1074"/>
    </w:p>
    <w:p w14:paraId="19261374" w14:textId="77777777" w:rsidR="00FD32F4" w:rsidRDefault="00FD32F4" w:rsidP="00377F3A">
      <w:pPr>
        <w:pStyle w:val="NormalText"/>
      </w:pPr>
      <w:r>
        <w:t>Coumatetralyl has moderate toxicity to fish (LC</w:t>
      </w:r>
      <w:r w:rsidRPr="00C61D02">
        <w:rPr>
          <w:vertAlign w:val="subscript"/>
        </w:rPr>
        <w:t>50</w:t>
      </w:r>
      <w:r>
        <w:t xml:space="preserve"> 53 mg/L) and low toxicity to aquatic invertebrates and algae at the highest tested concentrations (EC</w:t>
      </w:r>
      <w:r w:rsidRPr="00C61D02">
        <w:rPr>
          <w:vertAlign w:val="subscript"/>
        </w:rPr>
        <w:t>50</w:t>
      </w:r>
      <w:r>
        <w:t xml:space="preserve"> &gt;14 mg/L and E</w:t>
      </w:r>
      <w:r w:rsidRPr="00C61D02">
        <w:rPr>
          <w:vertAlign w:val="subscript"/>
        </w:rPr>
        <w:t>r</w:t>
      </w:r>
      <w:r>
        <w:t>C</w:t>
      </w:r>
      <w:r w:rsidRPr="00C61D02">
        <w:rPr>
          <w:vertAlign w:val="subscript"/>
        </w:rPr>
        <w:t>50</w:t>
      </w:r>
      <w:r>
        <w:t xml:space="preserve"> &gt;18 mg/L, respectively). Following long-term exposure to coumatetralyl, the lowest lethal concentration to fish was 0.016 mg/L, with no dose-response relationship or other adverse effect observed (NOEC 0.0050 mg/L), while reduced reproduction of aquatic invertebrates was observed at concentrations as low as 0.32 mg/L (NOEC 0.10 mg/L). </w:t>
      </w:r>
      <w:r w:rsidRPr="009F7785">
        <w:t>Coumatetralyl has high toxicity to bees by contact exposure (LD</w:t>
      </w:r>
      <w:r w:rsidRPr="00591336">
        <w:rPr>
          <w:vertAlign w:val="subscript"/>
        </w:rPr>
        <w:t>50</w:t>
      </w:r>
      <w:r w:rsidRPr="009F7785">
        <w:t xml:space="preserve"> 0.63 µg/bee, </w:t>
      </w:r>
      <w:r w:rsidRPr="009F7785">
        <w:rPr>
          <w:i/>
          <w:iCs/>
        </w:rPr>
        <w:t>Apis mellifera</w:t>
      </w:r>
      <w:r w:rsidRPr="009F7785">
        <w:t xml:space="preserve">). </w:t>
      </w:r>
      <w:r>
        <w:t>Coumatetralyl has low toxicity to soil macro-organisms such as earthworms (lowest LC</w:t>
      </w:r>
      <w:r w:rsidRPr="00663589">
        <w:rPr>
          <w:vertAlign w:val="subscript"/>
        </w:rPr>
        <w:t>50</w:t>
      </w:r>
      <w:r>
        <w:t xml:space="preserve"> 225 mg/kg dry soil, </w:t>
      </w:r>
      <w:r w:rsidRPr="00F85EF0">
        <w:rPr>
          <w:i/>
          <w:iCs/>
        </w:rPr>
        <w:t>Eisenia fetida</w:t>
      </w:r>
      <w:r>
        <w:t>).</w:t>
      </w:r>
      <w:r w:rsidRPr="00D66120">
        <w:t xml:space="preserve"> </w:t>
      </w:r>
      <w:r>
        <w:t>Coumatetralyl was shown to inhibit bacterial activity in an activated sludge inhibition test at relatively high concentrations (EC</w:t>
      </w:r>
      <w:r w:rsidRPr="00883D3C">
        <w:rPr>
          <w:vertAlign w:val="subscript"/>
        </w:rPr>
        <w:t>50</w:t>
      </w:r>
      <w:r>
        <w:t xml:space="preserve"> 4210 mg/L).</w:t>
      </w:r>
    </w:p>
    <w:p w14:paraId="64C5072F" w14:textId="05FF40DE" w:rsidR="00FD32F4" w:rsidRDefault="00FD32F4" w:rsidP="00377F3A">
      <w:pPr>
        <w:pStyle w:val="NormalText"/>
      </w:pPr>
      <w:r>
        <w:t>Diphacinone has moderate toxicity to fish (lowest LC</w:t>
      </w:r>
      <w:r w:rsidRPr="00717F49">
        <w:rPr>
          <w:vertAlign w:val="subscript"/>
        </w:rPr>
        <w:t>50</w:t>
      </w:r>
      <w:r>
        <w:t xml:space="preserve"> 2.1 mg/L</w:t>
      </w:r>
      <w:r w:rsidRPr="00623659">
        <w:t>).</w:t>
      </w:r>
    </w:p>
    <w:p w14:paraId="75B16FD6" w14:textId="4B1AAC82" w:rsidR="00FD32F4" w:rsidRDefault="00FD32F4" w:rsidP="00377F3A">
      <w:pPr>
        <w:pStyle w:val="NormalText"/>
      </w:pPr>
      <w:r>
        <w:t>Brodifacoum has high toxicity to fish (lowest LC</w:t>
      </w:r>
      <w:r w:rsidRPr="00C61D02">
        <w:rPr>
          <w:vertAlign w:val="subscript"/>
        </w:rPr>
        <w:t>50</w:t>
      </w:r>
      <w:r>
        <w:t xml:space="preserve"> </w:t>
      </w:r>
      <w:r w:rsidRPr="000017B1">
        <w:t xml:space="preserve">0.026 </w:t>
      </w:r>
      <w:r>
        <w:t>mg/L), aquatic invertebrates (lowest EC</w:t>
      </w:r>
      <w:r w:rsidRPr="00C61D02">
        <w:rPr>
          <w:vertAlign w:val="subscript"/>
        </w:rPr>
        <w:t>50</w:t>
      </w:r>
      <w:r>
        <w:t xml:space="preserve"> 0.25 mg/L, water flea), and algae (E</w:t>
      </w:r>
      <w:r w:rsidRPr="00C61D02">
        <w:rPr>
          <w:vertAlign w:val="subscript"/>
        </w:rPr>
        <w:t>r</w:t>
      </w:r>
      <w:r>
        <w:t>C</w:t>
      </w:r>
      <w:r w:rsidRPr="00C61D02">
        <w:rPr>
          <w:vertAlign w:val="subscript"/>
        </w:rPr>
        <w:t>50</w:t>
      </w:r>
      <w:r>
        <w:t xml:space="preserve"> 0.040 mg/L, green algae).</w:t>
      </w:r>
      <w:r w:rsidRPr="00634078">
        <w:t xml:space="preserve"> </w:t>
      </w:r>
      <w:r w:rsidRPr="009F7785">
        <w:t>In the published literature, observations during laboratory studies and baiting programs with brodifacoum noted that terrestrial arthropods (e.g.</w:t>
      </w:r>
      <w:r w:rsidR="00D63DEA">
        <w:t>,</w:t>
      </w:r>
      <w:r w:rsidRPr="009F7785">
        <w:t xml:space="preserve"> cockroaches, woodlice, ants, etc.) feed on bait pellets with no apparent effect (Brooke </w:t>
      </w:r>
      <w:r w:rsidR="00B7183A" w:rsidRPr="00B7183A">
        <w:rPr>
          <w:i/>
          <w:iCs/>
        </w:rPr>
        <w:t>et al</w:t>
      </w:r>
      <w:r w:rsidRPr="009F7785">
        <w:t xml:space="preserve">. 2013, Masuda </w:t>
      </w:r>
      <w:r w:rsidR="00B7183A" w:rsidRPr="00B7183A">
        <w:rPr>
          <w:i/>
          <w:iCs/>
        </w:rPr>
        <w:t>et al</w:t>
      </w:r>
      <w:r w:rsidRPr="009F7785">
        <w:t xml:space="preserve">. 2014, Pitt </w:t>
      </w:r>
      <w:r w:rsidR="00B7183A" w:rsidRPr="00B7183A">
        <w:rPr>
          <w:i/>
          <w:iCs/>
        </w:rPr>
        <w:t>et al</w:t>
      </w:r>
      <w:r w:rsidRPr="009F7785">
        <w:t>. 2015).</w:t>
      </w:r>
      <w:r>
        <w:t xml:space="preserve"> Brodifacoum has low toxicity to earthworms (LC</w:t>
      </w:r>
      <w:r w:rsidRPr="00F85EF0">
        <w:rPr>
          <w:vertAlign w:val="subscript"/>
        </w:rPr>
        <w:t>50corr</w:t>
      </w:r>
      <w:r>
        <w:t xml:space="preserve"> &gt;497 mg/kg dry soil, </w:t>
      </w:r>
      <w:r w:rsidRPr="00F85EF0">
        <w:rPr>
          <w:i/>
          <w:iCs/>
        </w:rPr>
        <w:t>Eisenia fetida</w:t>
      </w:r>
      <w:r>
        <w:t>).</w:t>
      </w:r>
      <w:r w:rsidRPr="00D22E64">
        <w:t xml:space="preserve"> </w:t>
      </w:r>
      <w:r>
        <w:t>Brodifacoum did not inhibit bacterial activity at the highest tested concentration, which was limited by the solubility of the test substance.</w:t>
      </w:r>
    </w:p>
    <w:p w14:paraId="331C55CF" w14:textId="77777777" w:rsidR="00FD32F4" w:rsidRDefault="00FD32F4" w:rsidP="00377F3A">
      <w:pPr>
        <w:pStyle w:val="NormalText"/>
      </w:pPr>
      <w:r>
        <w:t>Bromadiolone has moderate toxicity to fish (lowest LC</w:t>
      </w:r>
      <w:r w:rsidRPr="00C61D02">
        <w:rPr>
          <w:vertAlign w:val="subscript"/>
        </w:rPr>
        <w:t>50</w:t>
      </w:r>
      <w:r>
        <w:t xml:space="preserve"> 2.9</w:t>
      </w:r>
      <w:r w:rsidRPr="000017B1">
        <w:t xml:space="preserve"> </w:t>
      </w:r>
      <w:r>
        <w:t>mg/L), aquatic invertebrates (lowest EC</w:t>
      </w:r>
      <w:r w:rsidRPr="00C61D02">
        <w:rPr>
          <w:vertAlign w:val="subscript"/>
        </w:rPr>
        <w:t>50</w:t>
      </w:r>
      <w:r>
        <w:t xml:space="preserve"> 2.0 mg/L, water flea), and algae (lowest E</w:t>
      </w:r>
      <w:r w:rsidRPr="00C61D02">
        <w:rPr>
          <w:vertAlign w:val="subscript"/>
        </w:rPr>
        <w:t>r</w:t>
      </w:r>
      <w:r>
        <w:t>C</w:t>
      </w:r>
      <w:r w:rsidRPr="00C61D02">
        <w:rPr>
          <w:vertAlign w:val="subscript"/>
        </w:rPr>
        <w:t>50</w:t>
      </w:r>
      <w:r>
        <w:t xml:space="preserve"> 1.1 mg/L). Bromadiolone has low toxicity to earthworms (LC</w:t>
      </w:r>
      <w:r w:rsidRPr="00F85EF0">
        <w:rPr>
          <w:vertAlign w:val="subscript"/>
        </w:rPr>
        <w:t>50corr</w:t>
      </w:r>
      <w:r>
        <w:t xml:space="preserve"> &gt;665 mg/kg dry soil, </w:t>
      </w:r>
      <w:r w:rsidRPr="00F85EF0">
        <w:rPr>
          <w:i/>
          <w:iCs/>
        </w:rPr>
        <w:t>Eisenia fetida</w:t>
      </w:r>
      <w:r>
        <w:t>).</w:t>
      </w:r>
      <w:r w:rsidRPr="00D66120">
        <w:t xml:space="preserve"> </w:t>
      </w:r>
      <w:r>
        <w:t>Bromadiolone was shown to inhibit bacterial activity in activated sludge inhibition tests at relatively high concentrations (lowest EC</w:t>
      </w:r>
      <w:r w:rsidRPr="00883D3C">
        <w:rPr>
          <w:vertAlign w:val="subscript"/>
        </w:rPr>
        <w:t>50</w:t>
      </w:r>
      <w:r>
        <w:t xml:space="preserve"> 32 mg/L).</w:t>
      </w:r>
    </w:p>
    <w:p w14:paraId="6114C3C8" w14:textId="77777777" w:rsidR="00FD32F4" w:rsidRDefault="00FD32F4" w:rsidP="00377F3A">
      <w:pPr>
        <w:pStyle w:val="NormalText"/>
      </w:pPr>
      <w:r>
        <w:t>Difenacoum has high toxicity to fish (lowest LC</w:t>
      </w:r>
      <w:r w:rsidRPr="00C61D02">
        <w:rPr>
          <w:vertAlign w:val="subscript"/>
        </w:rPr>
        <w:t>50</w:t>
      </w:r>
      <w:r>
        <w:t xml:space="preserve"> 0.064</w:t>
      </w:r>
      <w:r w:rsidRPr="000017B1">
        <w:t xml:space="preserve"> </w:t>
      </w:r>
      <w:r>
        <w:t>mg/L), aquatic invertebrates (lowest EC</w:t>
      </w:r>
      <w:r w:rsidRPr="00C61D02">
        <w:rPr>
          <w:vertAlign w:val="subscript"/>
        </w:rPr>
        <w:t>50</w:t>
      </w:r>
      <w:r>
        <w:t xml:space="preserve"> 0.52 mg/L), and algae (lowest E</w:t>
      </w:r>
      <w:r w:rsidRPr="00C61D02">
        <w:rPr>
          <w:vertAlign w:val="subscript"/>
        </w:rPr>
        <w:t>r</w:t>
      </w:r>
      <w:r>
        <w:t>C</w:t>
      </w:r>
      <w:r w:rsidRPr="00C61D02">
        <w:rPr>
          <w:vertAlign w:val="subscript"/>
        </w:rPr>
        <w:t>50</w:t>
      </w:r>
      <w:r>
        <w:t xml:space="preserve"> 0.51 mg/L</w:t>
      </w:r>
      <w:r w:rsidRPr="00623659">
        <w:t xml:space="preserve">). </w:t>
      </w:r>
      <w:r>
        <w:t>Difenacoum has low toxicity to earthworms (LC</w:t>
      </w:r>
      <w:r w:rsidRPr="00F85EF0">
        <w:rPr>
          <w:vertAlign w:val="subscript"/>
        </w:rPr>
        <w:t>50corr</w:t>
      </w:r>
      <w:r>
        <w:t xml:space="preserve"> &gt;497 mg/kg dry soil, </w:t>
      </w:r>
      <w:r w:rsidRPr="00F85EF0">
        <w:rPr>
          <w:i/>
          <w:iCs/>
        </w:rPr>
        <w:t>Eisenia fetida</w:t>
      </w:r>
      <w:r>
        <w:t>).</w:t>
      </w:r>
      <w:r w:rsidRPr="00D22E64">
        <w:t xml:space="preserve"> </w:t>
      </w:r>
      <w:r>
        <w:t>Difenacoum</w:t>
      </w:r>
      <w:r w:rsidRPr="00D22E64">
        <w:t xml:space="preserve"> </w:t>
      </w:r>
      <w:r>
        <w:t>did not inhibit bacterial activity at the highest tested concentration, which was limited by the solubility of the test substance.</w:t>
      </w:r>
    </w:p>
    <w:p w14:paraId="74A7CAD6" w14:textId="77777777" w:rsidR="00FD32F4" w:rsidRDefault="00FD32F4" w:rsidP="00377F3A">
      <w:pPr>
        <w:pStyle w:val="NormalText"/>
      </w:pPr>
      <w:r>
        <w:t>Difethialone has high toxicity to fish (lowest LC</w:t>
      </w:r>
      <w:r w:rsidRPr="00C61D02">
        <w:rPr>
          <w:vertAlign w:val="subscript"/>
        </w:rPr>
        <w:t>50</w:t>
      </w:r>
      <w:r>
        <w:t xml:space="preserve"> </w:t>
      </w:r>
      <w:r w:rsidRPr="000017B1">
        <w:t>0.0</w:t>
      </w:r>
      <w:r>
        <w:t>51</w:t>
      </w:r>
      <w:r w:rsidRPr="000017B1">
        <w:t xml:space="preserve"> </w:t>
      </w:r>
      <w:r>
        <w:t>mg/L) and aquatic invertebrates (EC</w:t>
      </w:r>
      <w:r w:rsidRPr="00C61D02">
        <w:rPr>
          <w:vertAlign w:val="subscript"/>
        </w:rPr>
        <w:t>50</w:t>
      </w:r>
      <w:r>
        <w:t xml:space="preserve"> 0.0044 mg/L), and low toxicity to algae at the highest tested concentration (E</w:t>
      </w:r>
      <w:r w:rsidRPr="00C61D02">
        <w:rPr>
          <w:vertAlign w:val="subscript"/>
        </w:rPr>
        <w:t>r</w:t>
      </w:r>
      <w:r>
        <w:t>C</w:t>
      </w:r>
      <w:r w:rsidRPr="00C61D02">
        <w:rPr>
          <w:vertAlign w:val="subscript"/>
        </w:rPr>
        <w:t>50</w:t>
      </w:r>
      <w:r>
        <w:t xml:space="preserve"> &gt;0.18 mg/L). Difethialone has low toxicity to </w:t>
      </w:r>
      <w:r>
        <w:lastRenderedPageBreak/>
        <w:t>earthworms (LC</w:t>
      </w:r>
      <w:r w:rsidRPr="00F85EF0">
        <w:rPr>
          <w:vertAlign w:val="subscript"/>
        </w:rPr>
        <w:t>50corr</w:t>
      </w:r>
      <w:r>
        <w:t xml:space="preserve"> &gt;500 mg/kg dry soil, </w:t>
      </w:r>
      <w:r w:rsidRPr="00F85EF0">
        <w:rPr>
          <w:i/>
          <w:iCs/>
        </w:rPr>
        <w:t>Eisenia fetida</w:t>
      </w:r>
      <w:r>
        <w:t>).</w:t>
      </w:r>
      <w:r w:rsidRPr="00D22E64">
        <w:t xml:space="preserve"> </w:t>
      </w:r>
      <w:r>
        <w:t>Difethialone did not inhibit bacterial activity at the highest tested concentration, which was limited by the solubility of the test substance.</w:t>
      </w:r>
    </w:p>
    <w:p w14:paraId="641D6542" w14:textId="77777777" w:rsidR="00FD32F4" w:rsidRDefault="00FD32F4" w:rsidP="0043717B">
      <w:pPr>
        <w:pStyle w:val="NormalText"/>
      </w:pPr>
      <w:r>
        <w:t>Flocoumafen has high toxicity to fish (lowest LC</w:t>
      </w:r>
      <w:r w:rsidRPr="00C61D02">
        <w:rPr>
          <w:vertAlign w:val="subscript"/>
        </w:rPr>
        <w:t>50</w:t>
      </w:r>
      <w:r>
        <w:t xml:space="preserve"> </w:t>
      </w:r>
      <w:r w:rsidRPr="000017B1">
        <w:t>0.0</w:t>
      </w:r>
      <w:r>
        <w:t>70</w:t>
      </w:r>
      <w:r w:rsidRPr="000017B1">
        <w:t xml:space="preserve"> </w:t>
      </w:r>
      <w:r>
        <w:t>mg/L) and aquatic invertebrates (EC</w:t>
      </w:r>
      <w:r w:rsidRPr="00C61D02">
        <w:rPr>
          <w:vertAlign w:val="subscript"/>
        </w:rPr>
        <w:t>50</w:t>
      </w:r>
      <w:r>
        <w:t xml:space="preserve"> 0.18 mg/L), and low toxicity to algae at the highest tested concentration (E</w:t>
      </w:r>
      <w:r w:rsidRPr="00C61D02">
        <w:rPr>
          <w:vertAlign w:val="subscript"/>
        </w:rPr>
        <w:t>r</w:t>
      </w:r>
      <w:r>
        <w:t>C</w:t>
      </w:r>
      <w:r w:rsidRPr="00C61D02">
        <w:rPr>
          <w:vertAlign w:val="subscript"/>
        </w:rPr>
        <w:t>50</w:t>
      </w:r>
      <w:r>
        <w:t xml:space="preserve"> &gt;18 mg/L). Following long-term exposure to flocoumafen, the reproduction of earthworms was inhibited in a dose-dependent manner (EC</w:t>
      </w:r>
      <w:r w:rsidRPr="00F85EF0">
        <w:rPr>
          <w:vertAlign w:val="subscript"/>
        </w:rPr>
        <w:t>10corr</w:t>
      </w:r>
      <w:r>
        <w:t xml:space="preserve"> 2.8 mg/kg dry soil, </w:t>
      </w:r>
      <w:r w:rsidRPr="00F85EF0">
        <w:rPr>
          <w:i/>
          <w:iCs/>
        </w:rPr>
        <w:t>Eisenia fetida</w:t>
      </w:r>
      <w:r>
        <w:t>).</w:t>
      </w:r>
      <w:r w:rsidRPr="00D22E64">
        <w:t xml:space="preserve"> </w:t>
      </w:r>
      <w:r>
        <w:t>Flocoumafen did not inhibit bacterial activity at the highest tested concentration, which was limited by the solubility of the test substance.</w:t>
      </w:r>
    </w:p>
    <w:p w14:paraId="56C27602" w14:textId="5958CDC0" w:rsidR="00FD32F4" w:rsidRDefault="00FD32F4" w:rsidP="0043717B">
      <w:pPr>
        <w:pStyle w:val="NormalText"/>
      </w:pPr>
      <w:r>
        <w:t xml:space="preserve">A listing of available data on the effects of each chemical on terrestrial vertebrates is tabulated in Appendix </w:t>
      </w:r>
      <w:r w:rsidR="00FA4E31">
        <w:t>A</w:t>
      </w:r>
      <w:r>
        <w:t>.</w:t>
      </w:r>
    </w:p>
    <w:p w14:paraId="7D360D2E" w14:textId="77777777" w:rsidR="00FD32F4" w:rsidRPr="004F075B" w:rsidRDefault="00FD32F4" w:rsidP="00FD32F4">
      <w:pPr>
        <w:pStyle w:val="Heading2"/>
      </w:pPr>
      <w:bookmarkStart w:id="1075" w:name="_Toc214025484"/>
      <w:bookmarkStart w:id="1076" w:name="_Toc216695568"/>
      <w:r>
        <w:t>Risks to non-target species</w:t>
      </w:r>
      <w:bookmarkEnd w:id="1075"/>
      <w:bookmarkEnd w:id="1076"/>
    </w:p>
    <w:p w14:paraId="1DA4917A" w14:textId="77777777" w:rsidR="00FD32F4" w:rsidRDefault="00FD32F4" w:rsidP="00EB460A">
      <w:pPr>
        <w:pStyle w:val="Heading3"/>
        <w:tabs>
          <w:tab w:val="num" w:pos="907"/>
        </w:tabs>
      </w:pPr>
      <w:bookmarkStart w:id="1077" w:name="_Toc214025485"/>
      <w:bookmarkStart w:id="1078" w:name="_Toc216695569"/>
      <w:r>
        <w:t>Use patterns</w:t>
      </w:r>
      <w:bookmarkEnd w:id="1077"/>
      <w:bookmarkEnd w:id="1078"/>
    </w:p>
    <w:p w14:paraId="4D6DC139" w14:textId="77777777" w:rsidR="00FD32F4" w:rsidRDefault="00FD32F4" w:rsidP="00286653">
      <w:pPr>
        <w:pStyle w:val="Heading4"/>
      </w:pPr>
      <w:r>
        <w:t xml:space="preserve">In and around </w:t>
      </w:r>
      <w:r w:rsidRPr="00286653">
        <w:t>buildings</w:t>
      </w:r>
    </w:p>
    <w:p w14:paraId="069A81A0" w14:textId="2837AB8B" w:rsidR="00FD32F4" w:rsidRPr="007E6530" w:rsidRDefault="009A794E" w:rsidP="00377F3A">
      <w:pPr>
        <w:pStyle w:val="NormalText"/>
      </w:pPr>
      <w:r>
        <w:t>A</w:t>
      </w:r>
      <w:r w:rsidR="00FD32F4" w:rsidRPr="007E6530">
        <w:t xml:space="preserve">nticoagulant rodenticides are </w:t>
      </w:r>
      <w:r>
        <w:t>commonly used to control</w:t>
      </w:r>
      <w:r w:rsidR="00FD32F4" w:rsidRPr="007E6530">
        <w:t xml:space="preserve"> commensal rodents</w:t>
      </w:r>
      <w:r w:rsidR="00FD32F4">
        <w:t xml:space="preserve"> (i.e. rats and mice)</w:t>
      </w:r>
      <w:r>
        <w:t xml:space="preserve"> that are, </w:t>
      </w:r>
      <w:r w:rsidR="00FD32F4" w:rsidRPr="007E6530">
        <w:t>by definition, found in association with people.</w:t>
      </w:r>
      <w:r>
        <w:rPr>
          <w:rStyle w:val="FootnoteReference"/>
        </w:rPr>
        <w:footnoteReference w:id="7"/>
      </w:r>
      <w:r w:rsidR="00FD32F4" w:rsidRPr="007E6530">
        <w:t xml:space="preserve"> A</w:t>
      </w:r>
      <w:r>
        <w:t>ccordingly</w:t>
      </w:r>
      <w:r w:rsidR="00FD32F4" w:rsidRPr="007E6530">
        <w:t xml:space="preserve">, </w:t>
      </w:r>
      <w:r w:rsidR="006A23A1">
        <w:t xml:space="preserve">all </w:t>
      </w:r>
      <w:r w:rsidR="00FD32F4" w:rsidRPr="007E6530">
        <w:t>registered products containing anticoagulant rodenticides are approved for use in and around buildings.</w:t>
      </w:r>
    </w:p>
    <w:p w14:paraId="706B8966" w14:textId="627238D6" w:rsidR="00FD32F4" w:rsidRPr="007E6530" w:rsidRDefault="00561342" w:rsidP="00377F3A">
      <w:pPr>
        <w:pStyle w:val="NormalText"/>
      </w:pPr>
      <w:r>
        <w:t>‘</w:t>
      </w:r>
      <w:r w:rsidR="009A794E">
        <w:t xml:space="preserve">In and around buildings’ may capture numerous use scenarios </w:t>
      </w:r>
      <w:r w:rsidR="00FD32F4" w:rsidRPr="007E6530">
        <w:t>includ</w:t>
      </w:r>
      <w:r w:rsidR="009A794E">
        <w:t>ing</w:t>
      </w:r>
      <w:r w:rsidR="00FD32F4" w:rsidRPr="007E6530">
        <w:t xml:space="preserve"> domestic properties, commercial premises, industrial buildings, agricultural/farm buildings, storehouses, warehouses, grain stores, public service buildings such as schools, hospitals and offices, animal husbandry facilities such as stables, milking parlours, cow sheds, poultry sheds, pig arks, and any building concerned in the storage, preparation, distribution, sale or consumption of food etc. This use situation may also include inside any mode of transport including aeroplanes, trains, ships, commercial and private transport vehicles.</w:t>
      </w:r>
    </w:p>
    <w:p w14:paraId="45C5BE66" w14:textId="3651E8E2" w:rsidR="009A794E" w:rsidRDefault="00FD32F4" w:rsidP="0043717B">
      <w:pPr>
        <w:pStyle w:val="NormalText"/>
      </w:pPr>
      <w:r w:rsidRPr="007E6530">
        <w:t>Solid bait formulations (blocks, pastes, pellets, treated grain, and dry bait prepared from powder and a cereal or fruit bait matrix), contact formulations (powder) and liquid formulations of anticoagulant rodenticides are registered for use in and around buildings.</w:t>
      </w:r>
    </w:p>
    <w:p w14:paraId="688309AF" w14:textId="297402CE" w:rsidR="00FD32F4" w:rsidRDefault="00FD32F4" w:rsidP="0043717B">
      <w:pPr>
        <w:pStyle w:val="NormalText"/>
      </w:pPr>
      <w:r w:rsidRPr="007E6530">
        <w:t xml:space="preserve">The application rates for the use of </w:t>
      </w:r>
      <w:r>
        <w:t>solid baits</w:t>
      </w:r>
      <w:r w:rsidRPr="007E6530">
        <w:t xml:space="preserve"> containing the FGARs coumatetralyl, diphacinone and warfarin, and the SGARs brodifacoum, bromadiolone, difenacoum, difethialone and flocoumafen, in and around buildings are summarised in </w:t>
      </w:r>
      <w:r w:rsidR="006D75E6">
        <w:fldChar w:fldCharType="begin"/>
      </w:r>
      <w:r w:rsidR="006D75E6">
        <w:instrText xml:space="preserve"> REF _Ref213317887 \h </w:instrText>
      </w:r>
      <w:r w:rsidR="00DD27CC">
        <w:instrText xml:space="preserve"> \* MERGEFORMAT </w:instrText>
      </w:r>
      <w:r w:rsidR="006D75E6">
        <w:fldChar w:fldCharType="separate"/>
      </w:r>
      <w:r w:rsidR="003861AC">
        <w:t xml:space="preserve">Table </w:t>
      </w:r>
      <w:r w:rsidR="003861AC">
        <w:rPr>
          <w:noProof/>
        </w:rPr>
        <w:t>46</w:t>
      </w:r>
      <w:r w:rsidR="006D75E6">
        <w:fldChar w:fldCharType="end"/>
      </w:r>
      <w:r w:rsidR="006D75E6">
        <w:t xml:space="preserve"> below</w:t>
      </w:r>
      <w:r w:rsidRPr="007E6530">
        <w:t>.</w:t>
      </w:r>
      <w:r>
        <w:t xml:space="preserve"> </w:t>
      </w:r>
      <w:r w:rsidR="009A794E">
        <w:t>The continued registration of products based on c</w:t>
      </w:r>
      <w:r>
        <w:t>ontact formulations</w:t>
      </w:r>
      <w:r w:rsidR="006A23A1">
        <w:t xml:space="preserve"> (powder)</w:t>
      </w:r>
      <w:r>
        <w:t xml:space="preserve"> and liquid formulations </w:t>
      </w:r>
      <w:r w:rsidR="009A794E">
        <w:t>is not supported</w:t>
      </w:r>
      <w:r w:rsidR="00561342">
        <w:t xml:space="preserve"> in this environment risk assessment</w:t>
      </w:r>
      <w:r w:rsidR="009A794E">
        <w:t>; therefore, these products</w:t>
      </w:r>
      <w:r>
        <w:t xml:space="preserve"> are not considered further (see recommendations under section </w:t>
      </w:r>
      <w:r w:rsidR="001643EF">
        <w:fldChar w:fldCharType="begin"/>
      </w:r>
      <w:r w:rsidR="001643EF">
        <w:instrText xml:space="preserve"> REF _Ref213159569 \w \h </w:instrText>
      </w:r>
      <w:r w:rsidR="00DD27CC">
        <w:instrText xml:space="preserve"> \* MERGEFORMAT </w:instrText>
      </w:r>
      <w:r w:rsidR="001643EF">
        <w:fldChar w:fldCharType="separate"/>
      </w:r>
      <w:r w:rsidR="003861AC">
        <w:t>3.4.1</w:t>
      </w:r>
      <w:r w:rsidR="001643EF">
        <w:fldChar w:fldCharType="end"/>
      </w:r>
      <w:r>
        <w:t>).</w:t>
      </w:r>
    </w:p>
    <w:p w14:paraId="061773B1" w14:textId="77777777" w:rsidR="00FD32F4" w:rsidRDefault="00FD32F4" w:rsidP="007A780F">
      <w:pPr>
        <w:pStyle w:val="Heading4"/>
        <w:tabs>
          <w:tab w:val="num" w:pos="907"/>
        </w:tabs>
      </w:pPr>
      <w:r>
        <w:t>Agricultural crops</w:t>
      </w:r>
    </w:p>
    <w:p w14:paraId="4CBDFD1B" w14:textId="7345503E" w:rsidR="00FD32F4" w:rsidRPr="007A780F" w:rsidRDefault="00FD32F4" w:rsidP="007A780F">
      <w:pPr>
        <w:pStyle w:val="NormalText"/>
      </w:pPr>
      <w:r w:rsidRPr="007A780F">
        <w:t xml:space="preserve">Rodent infestations, in particular infestations of rats, may become established away from buildings when food and cover is available (Berny </w:t>
      </w:r>
      <w:r w:rsidR="00B7183A" w:rsidRPr="00B7183A">
        <w:rPr>
          <w:i/>
          <w:iCs/>
        </w:rPr>
        <w:t>et al</w:t>
      </w:r>
      <w:r w:rsidRPr="007A780F">
        <w:t xml:space="preserve">. 2014). A sub-set of product registrations containing the FGAR coumatetralyl are approved for use in agricultural crops (specifically sugarcane, macadamias, and pineapples) where rats can </w:t>
      </w:r>
      <w:r w:rsidRPr="007A780F">
        <w:lastRenderedPageBreak/>
        <w:t>become a problem. The associated labels indicate that baits must be placed in bait stations and used as part of a comprehensive rodent control program, which includes encouragement of natural predatory wildlife (e.g.</w:t>
      </w:r>
      <w:r w:rsidR="00D63DEA">
        <w:t>,</w:t>
      </w:r>
      <w:r w:rsidRPr="007A780F">
        <w:t xml:space="preserve"> owls), annual field clean-up, weed control, clearance of adjacent scrubland, and strategically timed baiting. Bait stations </w:t>
      </w:r>
      <w:r w:rsidR="00F42256">
        <w:t>in these contexts include</w:t>
      </w:r>
      <w:r w:rsidRPr="007A780F">
        <w:t xml:space="preserve"> car tyres covered by corrugated iron</w:t>
      </w:r>
      <w:r w:rsidR="00F42256">
        <w:t>;</w:t>
      </w:r>
      <w:r w:rsidRPr="007A780F">
        <w:t xml:space="preserve"> PVC plumbing pipes with a screw topped “T”-piece in the centre</w:t>
      </w:r>
      <w:r w:rsidR="00F42256">
        <w:t>;</w:t>
      </w:r>
      <w:r w:rsidRPr="007A780F">
        <w:t xml:space="preserve"> or dishes covered by 4-litre ice-cream containers (with tops secured by wire and pegs, where applicable).</w:t>
      </w:r>
    </w:p>
    <w:p w14:paraId="2FA3CA4E" w14:textId="36C61D61" w:rsidR="00FD32F4" w:rsidRPr="007E6530" w:rsidRDefault="00FD32F4" w:rsidP="00377F3A">
      <w:pPr>
        <w:pStyle w:val="NormalText"/>
      </w:pPr>
      <w:r w:rsidRPr="007E6530">
        <w:t xml:space="preserve">The use of anticoagulant rodenticides in agricultural crops is considered an ‘open area’ situation. </w:t>
      </w:r>
      <w:r w:rsidR="00F42256">
        <w:t xml:space="preserve">In contrast to uses in and around buildings, open air situations present </w:t>
      </w:r>
      <w:r w:rsidRPr="007E6530">
        <w:t xml:space="preserve">a considerably higher risk of primary and secondary exposure </w:t>
      </w:r>
      <w:r w:rsidR="00F42256">
        <w:t>for</w:t>
      </w:r>
      <w:r w:rsidRPr="007E6530">
        <w:t xml:space="preserve"> non-target wildlife. </w:t>
      </w:r>
      <w:r w:rsidR="00F42256">
        <w:t xml:space="preserve">The reasons for this are multifarious, including, for example, </w:t>
      </w:r>
      <w:r w:rsidR="00561342">
        <w:t xml:space="preserve">that </w:t>
      </w:r>
      <w:r w:rsidR="00F42256">
        <w:t>s</w:t>
      </w:r>
      <w:r w:rsidRPr="007E6530">
        <w:t xml:space="preserve">ome non-target species </w:t>
      </w:r>
      <w:r w:rsidR="00F42256">
        <w:t>are</w:t>
      </w:r>
      <w:r w:rsidRPr="007E6530">
        <w:t xml:space="preserve"> small enough to gain access to the baits (for example, antechinus, or finches), and collection of poisoned rodents may not be feasible to mitigate exposure of rodent-eating species. Furthermore, invertebrates (i.e., slugs, snails, cockroaches and ants) are known to feed on anticoagulant rodenticides, which further increases the potential for secondary poisoning of invertebrate-eating species.</w:t>
      </w:r>
    </w:p>
    <w:p w14:paraId="3994CF7A" w14:textId="151AA961" w:rsidR="00FD32F4" w:rsidRPr="00795DD9" w:rsidRDefault="00FD32F4" w:rsidP="00377F3A">
      <w:pPr>
        <w:pStyle w:val="NormalText"/>
      </w:pPr>
      <w:r w:rsidRPr="007E6530">
        <w:t xml:space="preserve">The application rates of </w:t>
      </w:r>
      <w:r w:rsidR="00F42256">
        <w:t xml:space="preserve">registered coumatetralyl </w:t>
      </w:r>
      <w:r w:rsidRPr="007E6530">
        <w:t>product</w:t>
      </w:r>
      <w:r w:rsidR="00F42256">
        <w:t>s with approved uses</w:t>
      </w:r>
      <w:r w:rsidRPr="007E6530">
        <w:t xml:space="preserve"> in agricultural crops are summarised in </w:t>
      </w:r>
      <w:r w:rsidR="006D75E6">
        <w:fldChar w:fldCharType="begin"/>
      </w:r>
      <w:r w:rsidR="006D75E6">
        <w:instrText xml:space="preserve"> REF _Ref213317938 \h </w:instrText>
      </w:r>
      <w:r w:rsidR="00DD27CC">
        <w:instrText xml:space="preserve"> \* MERGEFORMAT </w:instrText>
      </w:r>
      <w:r w:rsidR="006D75E6">
        <w:fldChar w:fldCharType="separate"/>
      </w:r>
      <w:r w:rsidR="003861AC">
        <w:t xml:space="preserve">Table </w:t>
      </w:r>
      <w:r w:rsidR="003861AC">
        <w:rPr>
          <w:noProof/>
        </w:rPr>
        <w:t>47</w:t>
      </w:r>
      <w:r w:rsidR="006D75E6">
        <w:fldChar w:fldCharType="end"/>
      </w:r>
      <w:r w:rsidRPr="00795DD9">
        <w:t>.</w:t>
      </w:r>
      <w:r w:rsidR="00F42256">
        <w:t xml:space="preserve"> The formulations of these products are limited to </w:t>
      </w:r>
      <w:r w:rsidR="00F42256" w:rsidRPr="007E6530">
        <w:t>solid bait formulations (blocks and dry bait prepared from powder and a cereal or fruit bait matrix)</w:t>
      </w:r>
      <w:r w:rsidR="00F42256">
        <w:t>.</w:t>
      </w:r>
    </w:p>
    <w:p w14:paraId="1CE85D8E" w14:textId="77777777" w:rsidR="00FD32F4" w:rsidRDefault="00FD32F4" w:rsidP="007A780F">
      <w:pPr>
        <w:pStyle w:val="Heading4"/>
        <w:tabs>
          <w:tab w:val="num" w:pos="907"/>
        </w:tabs>
      </w:pPr>
      <w:r>
        <w:t>Sewers</w:t>
      </w:r>
    </w:p>
    <w:p w14:paraId="1959C916" w14:textId="4FD3E156" w:rsidR="00FD32F4" w:rsidRPr="007E6530" w:rsidRDefault="00FD32F4" w:rsidP="00377F3A">
      <w:pPr>
        <w:pStyle w:val="NormalText"/>
      </w:pPr>
      <w:r w:rsidRPr="007E6530">
        <w:t xml:space="preserve">A sub-set of product registrations containing the SGARs difethialone and flocoumafen are </w:t>
      </w:r>
      <w:r w:rsidR="0067645B">
        <w:t>registered</w:t>
      </w:r>
      <w:r w:rsidR="0067645B" w:rsidRPr="007E6530">
        <w:t xml:space="preserve"> </w:t>
      </w:r>
      <w:r w:rsidRPr="007E6530">
        <w:t>for use in sewers. A sewer system is mainly an underground carriage system of pipes, chambers, and manholes that convey water from the point of production to the point of treatment or discharge. Several types of sewer systems exist</w:t>
      </w:r>
      <w:r>
        <w:t xml:space="preserve"> in Australia</w:t>
      </w:r>
      <w:r w:rsidRPr="007E6530">
        <w:t>. Sanitary sewers are transport sewers from houses and commercial buildings, mainly to sewage treatment plants (STPs). In addition, separate storm drains may be constructed to transport rainwater directly into surface water bodies. Mixed water sewers combine sewage water and storm water in the same pipe/system. Mixed water is generally discharged to STPs, however, in case of heavy weather situations, the combination of both waste- and rainwater can be discharged directly into surface water bodies (i.e. bypassing the STP).</w:t>
      </w:r>
    </w:p>
    <w:p w14:paraId="1C17C129" w14:textId="1C9D7E57" w:rsidR="00F06DCB" w:rsidRPr="007E6530" w:rsidRDefault="00F06DCB" w:rsidP="00377F3A">
      <w:pPr>
        <w:pStyle w:val="NormalText"/>
      </w:pPr>
      <w:r w:rsidRPr="007E6530">
        <w:t>The use of rodenticides in sewer systems can result in significant unintended releases, through spillage during rodenticide application, spillage by rodents during baiting period and disintegration of remaining baits at the end of use phase. There can also be indirect emissions of rodenticides into the sewer system through rat carcasses, urine and faeces.</w:t>
      </w:r>
    </w:p>
    <w:p w14:paraId="248402D2" w14:textId="45245B07" w:rsidR="00FD32F4" w:rsidRPr="007E6530" w:rsidRDefault="00FD32F4" w:rsidP="00377F3A">
      <w:pPr>
        <w:pStyle w:val="NormalText"/>
      </w:pPr>
      <w:r w:rsidRPr="007E6530">
        <w:t xml:space="preserve">The labels of difethialone products approved for use in sewer systems specify that, for sewers and storm water drains, baits should be suspended from manholes in </w:t>
      </w:r>
      <w:r>
        <w:t xml:space="preserve">a </w:t>
      </w:r>
      <w:r w:rsidRPr="007E6530">
        <w:t>manner that prevents baits from being washed into the water supply. However, no specific critical comments are currently included on the labels of flocoumafen products.</w:t>
      </w:r>
    </w:p>
    <w:p w14:paraId="776D041C" w14:textId="7CDBCE6E" w:rsidR="00FD32F4" w:rsidRPr="005839EE" w:rsidRDefault="00FD32F4" w:rsidP="00377F3A">
      <w:pPr>
        <w:pStyle w:val="NormalText"/>
      </w:pPr>
      <w:r w:rsidRPr="007E6530">
        <w:t>Only solid bait formulations (pastes contained in sachets) containing di</w:t>
      </w:r>
      <w:r>
        <w:t>f</w:t>
      </w:r>
      <w:r w:rsidRPr="007E6530">
        <w:t xml:space="preserve">ethialone and flocoumafen are registered for use in sewers. The application rates of </w:t>
      </w:r>
      <w:r w:rsidR="00F06DCB">
        <w:t xml:space="preserve">registered </w:t>
      </w:r>
      <w:r w:rsidRPr="007E6530">
        <w:t>product</w:t>
      </w:r>
      <w:r w:rsidR="00F06DCB">
        <w:t xml:space="preserve">s with approved uses </w:t>
      </w:r>
      <w:r w:rsidRPr="007E6530">
        <w:t xml:space="preserve">in sewers are summarised in </w:t>
      </w:r>
      <w:r w:rsidR="006D75E6">
        <w:fldChar w:fldCharType="begin"/>
      </w:r>
      <w:r w:rsidR="006D75E6">
        <w:instrText xml:space="preserve"> REF _Ref213317938 \h </w:instrText>
      </w:r>
      <w:r w:rsidR="00DD27CC">
        <w:instrText xml:space="preserve"> \* MERGEFORMAT </w:instrText>
      </w:r>
      <w:r w:rsidR="006D75E6">
        <w:fldChar w:fldCharType="separate"/>
      </w:r>
      <w:r w:rsidR="003861AC">
        <w:t xml:space="preserve">Table </w:t>
      </w:r>
      <w:r w:rsidR="003861AC">
        <w:rPr>
          <w:noProof/>
        </w:rPr>
        <w:t>47</w:t>
      </w:r>
      <w:r w:rsidR="006D75E6">
        <w:fldChar w:fldCharType="end"/>
      </w:r>
      <w:r w:rsidRPr="00795DD9">
        <w:t>.</w:t>
      </w:r>
    </w:p>
    <w:p w14:paraId="2C438D80" w14:textId="4BDD79EC" w:rsidR="00FD32F4" w:rsidRDefault="001643EF" w:rsidP="00FD32F4">
      <w:pPr>
        <w:pStyle w:val="Caption"/>
      </w:pPr>
      <w:bookmarkStart w:id="1079" w:name="_Ref213317887"/>
      <w:bookmarkStart w:id="1080" w:name="_Toc213946022"/>
      <w:bookmarkStart w:id="1081" w:name="_Toc216695708"/>
      <w:r>
        <w:lastRenderedPageBreak/>
        <w:t xml:space="preserve">Table </w:t>
      </w:r>
      <w:r>
        <w:fldChar w:fldCharType="begin"/>
      </w:r>
      <w:r>
        <w:instrText xml:space="preserve"> SEQ Table \* ARABIC </w:instrText>
      </w:r>
      <w:r>
        <w:fldChar w:fldCharType="separate"/>
      </w:r>
      <w:r w:rsidR="003861AC">
        <w:rPr>
          <w:noProof/>
        </w:rPr>
        <w:t>46</w:t>
      </w:r>
      <w:r>
        <w:fldChar w:fldCharType="end"/>
      </w:r>
      <w:bookmarkEnd w:id="1079"/>
      <w:r w:rsidR="00FD32F4">
        <w:t>:</w:t>
      </w:r>
      <w:r>
        <w:t xml:space="preserve"> </w:t>
      </w:r>
      <w:r w:rsidR="00FD32F4">
        <w:t>Use rates in and around buildings</w:t>
      </w:r>
      <w:bookmarkEnd w:id="1080"/>
      <w:bookmarkEnd w:id="10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57"/>
        <w:gridCol w:w="1519"/>
        <w:gridCol w:w="1795"/>
        <w:gridCol w:w="1654"/>
        <w:gridCol w:w="1918"/>
        <w:gridCol w:w="2085"/>
      </w:tblGrid>
      <w:tr w:rsidR="00FD32F4" w:rsidRPr="00CA558C" w14:paraId="56CFF9E7" w14:textId="77777777" w:rsidTr="0017134F">
        <w:trPr>
          <w:tblHeader/>
        </w:trPr>
        <w:tc>
          <w:tcPr>
            <w:tcW w:w="341" w:type="pct"/>
            <w:tcBorders>
              <w:bottom w:val="single" w:sz="4" w:space="0" w:color="auto"/>
            </w:tcBorders>
            <w:shd w:val="clear" w:color="auto" w:fill="53284F"/>
          </w:tcPr>
          <w:p w14:paraId="36982D8F" w14:textId="77777777" w:rsidR="00FD32F4" w:rsidRPr="001643EF" w:rsidRDefault="00FD32F4" w:rsidP="00377F3A">
            <w:pPr>
              <w:pStyle w:val="TableHead"/>
            </w:pPr>
            <w:r w:rsidRPr="001643EF">
              <w:t>Group</w:t>
            </w:r>
          </w:p>
        </w:tc>
        <w:tc>
          <w:tcPr>
            <w:tcW w:w="789" w:type="pct"/>
            <w:tcBorders>
              <w:bottom w:val="single" w:sz="4" w:space="0" w:color="auto"/>
            </w:tcBorders>
            <w:shd w:val="clear" w:color="auto" w:fill="53284F"/>
          </w:tcPr>
          <w:p w14:paraId="07189A6C" w14:textId="77777777" w:rsidR="00FD32F4" w:rsidRPr="001643EF" w:rsidRDefault="00FD32F4" w:rsidP="00377F3A">
            <w:pPr>
              <w:pStyle w:val="TableHead"/>
            </w:pPr>
            <w:r w:rsidRPr="001643EF">
              <w:t>Active</w:t>
            </w:r>
          </w:p>
          <w:p w14:paraId="55E8E20C" w14:textId="77777777" w:rsidR="00FD32F4" w:rsidRPr="001643EF" w:rsidRDefault="00FD32F4" w:rsidP="00377F3A">
            <w:pPr>
              <w:pStyle w:val="TableHead"/>
            </w:pPr>
            <w:r w:rsidRPr="001643EF">
              <w:t>constituent</w:t>
            </w:r>
          </w:p>
        </w:tc>
        <w:tc>
          <w:tcPr>
            <w:tcW w:w="932" w:type="pct"/>
            <w:tcBorders>
              <w:bottom w:val="single" w:sz="4" w:space="0" w:color="auto"/>
            </w:tcBorders>
            <w:shd w:val="clear" w:color="auto" w:fill="53284F"/>
          </w:tcPr>
          <w:p w14:paraId="6234C4C4" w14:textId="77777777" w:rsidR="00FD32F4" w:rsidRPr="001643EF" w:rsidRDefault="00FD32F4" w:rsidP="00377F3A">
            <w:pPr>
              <w:pStyle w:val="TableHead"/>
            </w:pPr>
            <w:r w:rsidRPr="001643EF">
              <w:t>Bait type</w:t>
            </w:r>
          </w:p>
        </w:tc>
        <w:tc>
          <w:tcPr>
            <w:tcW w:w="859" w:type="pct"/>
            <w:tcBorders>
              <w:bottom w:val="single" w:sz="4" w:space="0" w:color="auto"/>
            </w:tcBorders>
            <w:shd w:val="clear" w:color="auto" w:fill="53284F"/>
          </w:tcPr>
          <w:p w14:paraId="1D6D8E50" w14:textId="77777777" w:rsidR="00FD32F4" w:rsidRPr="001643EF" w:rsidRDefault="00FD32F4" w:rsidP="00377F3A">
            <w:pPr>
              <w:pStyle w:val="TableHead"/>
            </w:pPr>
            <w:r w:rsidRPr="001643EF">
              <w:t>Bait concentration</w:t>
            </w:r>
          </w:p>
          <w:p w14:paraId="0EF95740" w14:textId="2E7BE5DE" w:rsidR="00FD32F4" w:rsidRPr="001643EF" w:rsidRDefault="00FD32F4" w:rsidP="00377F3A">
            <w:pPr>
              <w:pStyle w:val="TableHead"/>
            </w:pPr>
            <w:r w:rsidRPr="001643EF">
              <w:t>(mg a</w:t>
            </w:r>
            <w:r w:rsidR="00A03506">
              <w:t>.</w:t>
            </w:r>
            <w:r w:rsidRPr="001643EF">
              <w:t>c</w:t>
            </w:r>
            <w:r w:rsidR="00A03506">
              <w:t>.</w:t>
            </w:r>
            <w:r w:rsidRPr="001643EF">
              <w:t>/kg)</w:t>
            </w:r>
          </w:p>
        </w:tc>
        <w:tc>
          <w:tcPr>
            <w:tcW w:w="996" w:type="pct"/>
            <w:tcBorders>
              <w:bottom w:val="single" w:sz="4" w:space="0" w:color="auto"/>
            </w:tcBorders>
            <w:shd w:val="clear" w:color="auto" w:fill="53284F"/>
          </w:tcPr>
          <w:p w14:paraId="0E94F0F8" w14:textId="1198FBB7" w:rsidR="00FD32F4" w:rsidRPr="001643EF" w:rsidRDefault="00FD32F4" w:rsidP="00377F3A">
            <w:pPr>
              <w:pStyle w:val="TableHead"/>
            </w:pPr>
            <w:r w:rsidRPr="001643EF">
              <w:t>mg a</w:t>
            </w:r>
            <w:r w:rsidR="00A03506">
              <w:t>.</w:t>
            </w:r>
            <w:r w:rsidRPr="001643EF">
              <w:t>c</w:t>
            </w:r>
            <w:r w:rsidR="00A03506">
              <w:t>.</w:t>
            </w:r>
            <w:r w:rsidRPr="001643EF">
              <w:t>/station</w:t>
            </w:r>
          </w:p>
          <w:p w14:paraId="02ED0ED9" w14:textId="77777777" w:rsidR="00FD32F4" w:rsidRPr="001643EF" w:rsidRDefault="00FD32F4" w:rsidP="00377F3A">
            <w:pPr>
              <w:pStyle w:val="TableHead"/>
            </w:pPr>
            <w:r w:rsidRPr="001643EF">
              <w:t>for rat control</w:t>
            </w:r>
          </w:p>
        </w:tc>
        <w:tc>
          <w:tcPr>
            <w:tcW w:w="1083" w:type="pct"/>
            <w:tcBorders>
              <w:bottom w:val="single" w:sz="4" w:space="0" w:color="auto"/>
            </w:tcBorders>
            <w:shd w:val="clear" w:color="auto" w:fill="53284F"/>
          </w:tcPr>
          <w:p w14:paraId="5B5F4983" w14:textId="5F8B8B8A" w:rsidR="00FD32F4" w:rsidRPr="001643EF" w:rsidRDefault="00FD32F4" w:rsidP="00377F3A">
            <w:pPr>
              <w:pStyle w:val="TableHead"/>
            </w:pPr>
            <w:r w:rsidRPr="001643EF">
              <w:t>mg a</w:t>
            </w:r>
            <w:r w:rsidR="00A03506">
              <w:t>.</w:t>
            </w:r>
            <w:r w:rsidRPr="001643EF">
              <w:t>c</w:t>
            </w:r>
            <w:r w:rsidR="00A03506">
              <w:t>.</w:t>
            </w:r>
            <w:r w:rsidRPr="001643EF">
              <w:t>/station</w:t>
            </w:r>
          </w:p>
          <w:p w14:paraId="719406A6" w14:textId="77777777" w:rsidR="00FD32F4" w:rsidRPr="001643EF" w:rsidRDefault="00FD32F4" w:rsidP="00377F3A">
            <w:pPr>
              <w:pStyle w:val="TableHead"/>
            </w:pPr>
            <w:r w:rsidRPr="001643EF">
              <w:t>for mouse control</w:t>
            </w:r>
          </w:p>
        </w:tc>
      </w:tr>
      <w:tr w:rsidR="007A780F" w:rsidRPr="00401380" w14:paraId="3DDEA85E" w14:textId="77777777" w:rsidTr="007C4863">
        <w:tc>
          <w:tcPr>
            <w:tcW w:w="341" w:type="pct"/>
            <w:vMerge w:val="restart"/>
            <w:tcBorders>
              <w:top w:val="single" w:sz="4" w:space="0" w:color="auto"/>
              <w:left w:val="nil"/>
              <w:right w:val="nil"/>
            </w:tcBorders>
          </w:tcPr>
          <w:p w14:paraId="03B2E678" w14:textId="77777777" w:rsidR="007A780F" w:rsidRPr="001643EF" w:rsidRDefault="007A780F" w:rsidP="00377F3A">
            <w:pPr>
              <w:pStyle w:val="TableText"/>
            </w:pPr>
            <w:r w:rsidRPr="001643EF">
              <w:t>FGAR</w:t>
            </w:r>
          </w:p>
        </w:tc>
        <w:tc>
          <w:tcPr>
            <w:tcW w:w="789" w:type="pct"/>
            <w:vMerge w:val="restart"/>
            <w:tcBorders>
              <w:top w:val="single" w:sz="4" w:space="0" w:color="auto"/>
              <w:left w:val="nil"/>
              <w:right w:val="nil"/>
            </w:tcBorders>
          </w:tcPr>
          <w:p w14:paraId="01402B04" w14:textId="77777777" w:rsidR="007A780F" w:rsidRPr="001643EF" w:rsidRDefault="007A780F" w:rsidP="00377F3A">
            <w:pPr>
              <w:pStyle w:val="TableText"/>
            </w:pPr>
            <w:r w:rsidRPr="001643EF">
              <w:t>Coumatetralyl</w:t>
            </w:r>
          </w:p>
        </w:tc>
        <w:tc>
          <w:tcPr>
            <w:tcW w:w="932" w:type="pct"/>
            <w:tcBorders>
              <w:top w:val="single" w:sz="4" w:space="0" w:color="auto"/>
              <w:left w:val="nil"/>
              <w:bottom w:val="nil"/>
              <w:right w:val="nil"/>
            </w:tcBorders>
          </w:tcPr>
          <w:p w14:paraId="15BEEC62"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587F1A5B" w14:textId="77777777" w:rsidR="007A780F" w:rsidRPr="001643EF" w:rsidRDefault="007A780F" w:rsidP="00377F3A">
            <w:pPr>
              <w:pStyle w:val="TableText"/>
            </w:pPr>
            <w:r w:rsidRPr="001643EF">
              <w:t>370</w:t>
            </w:r>
          </w:p>
        </w:tc>
        <w:tc>
          <w:tcPr>
            <w:tcW w:w="996" w:type="pct"/>
            <w:tcBorders>
              <w:top w:val="single" w:sz="4" w:space="0" w:color="auto"/>
              <w:left w:val="nil"/>
              <w:bottom w:val="nil"/>
              <w:right w:val="nil"/>
            </w:tcBorders>
          </w:tcPr>
          <w:p w14:paraId="1F230797" w14:textId="77777777" w:rsidR="007A780F" w:rsidRPr="001643EF" w:rsidRDefault="007A780F" w:rsidP="00377F3A">
            <w:pPr>
              <w:pStyle w:val="TableText"/>
            </w:pPr>
            <w:r w:rsidRPr="001643EF">
              <w:t>from 11 to 22</w:t>
            </w:r>
          </w:p>
        </w:tc>
        <w:tc>
          <w:tcPr>
            <w:tcW w:w="1083" w:type="pct"/>
            <w:tcBorders>
              <w:top w:val="single" w:sz="4" w:space="0" w:color="auto"/>
              <w:left w:val="nil"/>
              <w:bottom w:val="nil"/>
              <w:right w:val="nil"/>
            </w:tcBorders>
          </w:tcPr>
          <w:p w14:paraId="1DE6E4A7" w14:textId="77777777" w:rsidR="007A780F" w:rsidRPr="001643EF" w:rsidRDefault="007A780F" w:rsidP="00377F3A">
            <w:pPr>
              <w:pStyle w:val="TableText"/>
            </w:pPr>
            <w:r w:rsidRPr="001643EF">
              <w:t>from 11 to 22</w:t>
            </w:r>
          </w:p>
        </w:tc>
      </w:tr>
      <w:tr w:rsidR="007A780F" w:rsidRPr="00401380" w14:paraId="39FDAC87" w14:textId="77777777" w:rsidTr="007C4863">
        <w:tc>
          <w:tcPr>
            <w:tcW w:w="341" w:type="pct"/>
            <w:vMerge/>
            <w:tcBorders>
              <w:left w:val="nil"/>
              <w:right w:val="nil"/>
            </w:tcBorders>
          </w:tcPr>
          <w:p w14:paraId="21EE05DA" w14:textId="77777777" w:rsidR="007A780F" w:rsidRPr="001643EF" w:rsidRDefault="007A780F" w:rsidP="00377F3A">
            <w:pPr>
              <w:pStyle w:val="TableText"/>
            </w:pPr>
          </w:p>
        </w:tc>
        <w:tc>
          <w:tcPr>
            <w:tcW w:w="789" w:type="pct"/>
            <w:vMerge/>
            <w:tcBorders>
              <w:left w:val="nil"/>
              <w:right w:val="nil"/>
            </w:tcBorders>
          </w:tcPr>
          <w:p w14:paraId="43633EA8"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5167914A" w14:textId="77777777" w:rsidR="007A780F" w:rsidRPr="001643EF" w:rsidRDefault="007A780F" w:rsidP="00377F3A">
            <w:pPr>
              <w:pStyle w:val="TableText"/>
            </w:pPr>
          </w:p>
        </w:tc>
        <w:tc>
          <w:tcPr>
            <w:tcW w:w="859" w:type="pct"/>
            <w:tcBorders>
              <w:top w:val="nil"/>
              <w:left w:val="nil"/>
              <w:bottom w:val="single" w:sz="4" w:space="0" w:color="auto"/>
              <w:right w:val="nil"/>
            </w:tcBorders>
          </w:tcPr>
          <w:p w14:paraId="0D3DB10F" w14:textId="77777777" w:rsidR="007A780F" w:rsidRPr="001643EF" w:rsidRDefault="007A780F" w:rsidP="00377F3A">
            <w:pPr>
              <w:pStyle w:val="TableText"/>
            </w:pPr>
            <w:r w:rsidRPr="001643EF">
              <w:t>400</w:t>
            </w:r>
          </w:p>
        </w:tc>
        <w:tc>
          <w:tcPr>
            <w:tcW w:w="996" w:type="pct"/>
            <w:tcBorders>
              <w:top w:val="nil"/>
              <w:left w:val="nil"/>
              <w:bottom w:val="single" w:sz="4" w:space="0" w:color="auto"/>
              <w:right w:val="nil"/>
            </w:tcBorders>
          </w:tcPr>
          <w:p w14:paraId="12BE3284" w14:textId="77777777" w:rsidR="007A780F" w:rsidRPr="001643EF" w:rsidRDefault="007A780F" w:rsidP="00377F3A">
            <w:pPr>
              <w:pStyle w:val="TableText"/>
            </w:pPr>
            <w:r w:rsidRPr="001643EF">
              <w:t>40</w:t>
            </w:r>
          </w:p>
        </w:tc>
        <w:tc>
          <w:tcPr>
            <w:tcW w:w="1083" w:type="pct"/>
            <w:tcBorders>
              <w:top w:val="nil"/>
              <w:left w:val="nil"/>
              <w:bottom w:val="single" w:sz="4" w:space="0" w:color="auto"/>
              <w:right w:val="nil"/>
            </w:tcBorders>
          </w:tcPr>
          <w:p w14:paraId="25A4AFEC" w14:textId="77777777" w:rsidR="007A780F" w:rsidRPr="001643EF" w:rsidRDefault="007A780F" w:rsidP="00377F3A">
            <w:pPr>
              <w:pStyle w:val="TableText"/>
            </w:pPr>
            <w:r w:rsidRPr="001643EF">
              <w:t>40</w:t>
            </w:r>
          </w:p>
        </w:tc>
      </w:tr>
      <w:tr w:rsidR="007A780F" w:rsidRPr="00401380" w14:paraId="5AEEB09F" w14:textId="77777777" w:rsidTr="007A780F">
        <w:tc>
          <w:tcPr>
            <w:tcW w:w="341" w:type="pct"/>
            <w:vMerge/>
            <w:tcBorders>
              <w:left w:val="nil"/>
              <w:bottom w:val="nil"/>
              <w:right w:val="nil"/>
            </w:tcBorders>
          </w:tcPr>
          <w:p w14:paraId="53D08EEF" w14:textId="77777777" w:rsidR="007A780F" w:rsidRPr="001643EF" w:rsidRDefault="007A780F" w:rsidP="00377F3A">
            <w:pPr>
              <w:pStyle w:val="TableText"/>
            </w:pPr>
          </w:p>
        </w:tc>
        <w:tc>
          <w:tcPr>
            <w:tcW w:w="789" w:type="pct"/>
            <w:vMerge/>
            <w:tcBorders>
              <w:left w:val="nil"/>
              <w:bottom w:val="nil"/>
              <w:right w:val="nil"/>
            </w:tcBorders>
          </w:tcPr>
          <w:p w14:paraId="03084324" w14:textId="77777777" w:rsidR="007A780F" w:rsidRPr="001643EF" w:rsidRDefault="007A780F" w:rsidP="00377F3A">
            <w:pPr>
              <w:pStyle w:val="TableText"/>
            </w:pPr>
          </w:p>
        </w:tc>
        <w:tc>
          <w:tcPr>
            <w:tcW w:w="932" w:type="pct"/>
            <w:vMerge w:val="restart"/>
            <w:tcBorders>
              <w:top w:val="nil"/>
              <w:left w:val="nil"/>
              <w:bottom w:val="nil"/>
              <w:right w:val="nil"/>
            </w:tcBorders>
          </w:tcPr>
          <w:p w14:paraId="6F046729" w14:textId="77777777" w:rsidR="007A780F" w:rsidRPr="001643EF" w:rsidRDefault="007A780F" w:rsidP="00377F3A">
            <w:pPr>
              <w:pStyle w:val="TableText"/>
            </w:pPr>
            <w:r w:rsidRPr="001643EF">
              <w:t>Loose grain/ fruit</w:t>
            </w:r>
          </w:p>
        </w:tc>
        <w:tc>
          <w:tcPr>
            <w:tcW w:w="859" w:type="pct"/>
            <w:tcBorders>
              <w:top w:val="nil"/>
              <w:left w:val="nil"/>
              <w:bottom w:val="nil"/>
              <w:right w:val="nil"/>
            </w:tcBorders>
          </w:tcPr>
          <w:p w14:paraId="16F67ABF" w14:textId="77777777" w:rsidR="007A780F" w:rsidRPr="001643EF" w:rsidRDefault="007A780F" w:rsidP="00377F3A">
            <w:pPr>
              <w:pStyle w:val="TableText"/>
            </w:pPr>
            <w:r w:rsidRPr="001643EF">
              <w:t>357</w:t>
            </w:r>
          </w:p>
        </w:tc>
        <w:tc>
          <w:tcPr>
            <w:tcW w:w="996" w:type="pct"/>
            <w:tcBorders>
              <w:top w:val="nil"/>
              <w:left w:val="nil"/>
              <w:bottom w:val="nil"/>
              <w:right w:val="nil"/>
            </w:tcBorders>
          </w:tcPr>
          <w:p w14:paraId="08CFBCB1" w14:textId="77777777" w:rsidR="007A780F" w:rsidRPr="001643EF" w:rsidRDefault="007A780F" w:rsidP="00377F3A">
            <w:pPr>
              <w:pStyle w:val="TableText"/>
            </w:pPr>
            <w:r w:rsidRPr="001643EF">
              <w:t>21</w:t>
            </w:r>
          </w:p>
        </w:tc>
        <w:tc>
          <w:tcPr>
            <w:tcW w:w="1083" w:type="pct"/>
            <w:tcBorders>
              <w:top w:val="nil"/>
              <w:left w:val="nil"/>
              <w:bottom w:val="nil"/>
              <w:right w:val="nil"/>
            </w:tcBorders>
          </w:tcPr>
          <w:p w14:paraId="24869AD5" w14:textId="77777777" w:rsidR="007A780F" w:rsidRPr="001643EF" w:rsidRDefault="007A780F" w:rsidP="00377F3A">
            <w:pPr>
              <w:pStyle w:val="TableText"/>
            </w:pPr>
            <w:r w:rsidRPr="001643EF">
              <w:t>21</w:t>
            </w:r>
          </w:p>
        </w:tc>
      </w:tr>
      <w:tr w:rsidR="007A780F" w:rsidRPr="00401380" w14:paraId="40AC0BC4" w14:textId="77777777" w:rsidTr="007A780F">
        <w:tc>
          <w:tcPr>
            <w:tcW w:w="341" w:type="pct"/>
            <w:vMerge/>
            <w:tcBorders>
              <w:top w:val="nil"/>
              <w:left w:val="nil"/>
              <w:right w:val="nil"/>
            </w:tcBorders>
          </w:tcPr>
          <w:p w14:paraId="11FABC66" w14:textId="77777777" w:rsidR="007A780F" w:rsidRPr="001643EF" w:rsidRDefault="007A780F" w:rsidP="00377F3A">
            <w:pPr>
              <w:pStyle w:val="TableText"/>
            </w:pPr>
          </w:p>
        </w:tc>
        <w:tc>
          <w:tcPr>
            <w:tcW w:w="789" w:type="pct"/>
            <w:vMerge/>
            <w:tcBorders>
              <w:top w:val="nil"/>
              <w:left w:val="nil"/>
              <w:bottom w:val="nil"/>
              <w:right w:val="nil"/>
            </w:tcBorders>
          </w:tcPr>
          <w:p w14:paraId="5B1A5977" w14:textId="77777777" w:rsidR="007A780F" w:rsidRPr="001643EF" w:rsidRDefault="007A780F" w:rsidP="00377F3A">
            <w:pPr>
              <w:pStyle w:val="TableText"/>
            </w:pPr>
          </w:p>
        </w:tc>
        <w:tc>
          <w:tcPr>
            <w:tcW w:w="932" w:type="pct"/>
            <w:vMerge/>
            <w:tcBorders>
              <w:top w:val="nil"/>
              <w:left w:val="nil"/>
              <w:bottom w:val="single" w:sz="4" w:space="0" w:color="auto"/>
              <w:right w:val="nil"/>
            </w:tcBorders>
          </w:tcPr>
          <w:p w14:paraId="1CE6FDDA" w14:textId="77777777" w:rsidR="007A780F" w:rsidRPr="001643EF" w:rsidRDefault="007A780F" w:rsidP="00377F3A">
            <w:pPr>
              <w:pStyle w:val="TableText"/>
            </w:pPr>
          </w:p>
        </w:tc>
        <w:tc>
          <w:tcPr>
            <w:tcW w:w="859" w:type="pct"/>
            <w:tcBorders>
              <w:top w:val="nil"/>
              <w:left w:val="nil"/>
              <w:bottom w:val="single" w:sz="4" w:space="0" w:color="auto"/>
              <w:right w:val="nil"/>
            </w:tcBorders>
          </w:tcPr>
          <w:p w14:paraId="64A562F1" w14:textId="77777777" w:rsidR="007A780F" w:rsidRPr="001643EF" w:rsidRDefault="007A780F" w:rsidP="00377F3A">
            <w:pPr>
              <w:pStyle w:val="TableText"/>
            </w:pPr>
            <w:r w:rsidRPr="001643EF">
              <w:t>380</w:t>
            </w:r>
          </w:p>
        </w:tc>
        <w:tc>
          <w:tcPr>
            <w:tcW w:w="996" w:type="pct"/>
            <w:tcBorders>
              <w:top w:val="nil"/>
              <w:left w:val="nil"/>
              <w:bottom w:val="single" w:sz="4" w:space="0" w:color="auto"/>
              <w:right w:val="nil"/>
            </w:tcBorders>
          </w:tcPr>
          <w:p w14:paraId="37D1B415" w14:textId="77777777" w:rsidR="007A780F" w:rsidRPr="001643EF" w:rsidRDefault="007A780F" w:rsidP="00377F3A">
            <w:pPr>
              <w:pStyle w:val="TableText"/>
            </w:pPr>
            <w:r w:rsidRPr="001643EF">
              <w:t>23</w:t>
            </w:r>
          </w:p>
        </w:tc>
        <w:tc>
          <w:tcPr>
            <w:tcW w:w="1083" w:type="pct"/>
            <w:tcBorders>
              <w:top w:val="nil"/>
              <w:left w:val="nil"/>
              <w:bottom w:val="single" w:sz="4" w:space="0" w:color="auto"/>
              <w:right w:val="nil"/>
            </w:tcBorders>
          </w:tcPr>
          <w:p w14:paraId="02F65F20" w14:textId="77777777" w:rsidR="007A780F" w:rsidRPr="001643EF" w:rsidRDefault="007A780F" w:rsidP="00377F3A">
            <w:pPr>
              <w:pStyle w:val="TableText"/>
            </w:pPr>
            <w:r w:rsidRPr="001643EF">
              <w:t>23</w:t>
            </w:r>
          </w:p>
        </w:tc>
      </w:tr>
      <w:tr w:rsidR="007A780F" w:rsidRPr="00401380" w14:paraId="19407EA4" w14:textId="77777777" w:rsidTr="005957F7">
        <w:tc>
          <w:tcPr>
            <w:tcW w:w="341" w:type="pct"/>
            <w:vMerge/>
            <w:tcBorders>
              <w:left w:val="nil"/>
              <w:right w:val="nil"/>
            </w:tcBorders>
          </w:tcPr>
          <w:p w14:paraId="234C4070" w14:textId="77777777" w:rsidR="007A780F" w:rsidRPr="001643EF" w:rsidRDefault="007A780F" w:rsidP="00377F3A">
            <w:pPr>
              <w:pStyle w:val="TableText"/>
            </w:pPr>
          </w:p>
        </w:tc>
        <w:tc>
          <w:tcPr>
            <w:tcW w:w="789" w:type="pct"/>
            <w:vMerge w:val="restart"/>
            <w:tcBorders>
              <w:top w:val="single" w:sz="4" w:space="0" w:color="auto"/>
              <w:left w:val="nil"/>
              <w:right w:val="nil"/>
            </w:tcBorders>
          </w:tcPr>
          <w:p w14:paraId="3F50D830" w14:textId="77777777" w:rsidR="007A780F" w:rsidRPr="001643EF" w:rsidRDefault="007A780F" w:rsidP="00377F3A">
            <w:pPr>
              <w:pStyle w:val="TableText"/>
            </w:pPr>
            <w:r w:rsidRPr="001643EF">
              <w:t>Diphacinone</w:t>
            </w:r>
          </w:p>
        </w:tc>
        <w:tc>
          <w:tcPr>
            <w:tcW w:w="932" w:type="pct"/>
            <w:tcBorders>
              <w:top w:val="single" w:sz="4" w:space="0" w:color="auto"/>
              <w:left w:val="nil"/>
              <w:bottom w:val="nil"/>
              <w:right w:val="nil"/>
            </w:tcBorders>
          </w:tcPr>
          <w:p w14:paraId="1B827890"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7757FEF5" w14:textId="77777777" w:rsidR="007A780F" w:rsidRPr="001643EF" w:rsidRDefault="007A780F" w:rsidP="00377F3A">
            <w:pPr>
              <w:pStyle w:val="TableText"/>
            </w:pPr>
            <w:r w:rsidRPr="001643EF">
              <w:t>50</w:t>
            </w:r>
          </w:p>
        </w:tc>
        <w:tc>
          <w:tcPr>
            <w:tcW w:w="996" w:type="pct"/>
            <w:tcBorders>
              <w:top w:val="single" w:sz="4" w:space="0" w:color="auto"/>
              <w:left w:val="nil"/>
              <w:bottom w:val="nil"/>
              <w:right w:val="nil"/>
            </w:tcBorders>
          </w:tcPr>
          <w:p w14:paraId="05DCE442" w14:textId="77777777" w:rsidR="007A780F" w:rsidRPr="001643EF" w:rsidRDefault="007A780F" w:rsidP="00377F3A">
            <w:pPr>
              <w:pStyle w:val="TableText"/>
            </w:pPr>
            <w:r w:rsidRPr="001643EF">
              <w:t>23</w:t>
            </w:r>
          </w:p>
        </w:tc>
        <w:tc>
          <w:tcPr>
            <w:tcW w:w="1083" w:type="pct"/>
            <w:tcBorders>
              <w:top w:val="single" w:sz="4" w:space="0" w:color="auto"/>
              <w:left w:val="nil"/>
              <w:bottom w:val="nil"/>
              <w:right w:val="nil"/>
            </w:tcBorders>
          </w:tcPr>
          <w:p w14:paraId="062D7725" w14:textId="77777777" w:rsidR="007A780F" w:rsidRPr="001643EF" w:rsidRDefault="007A780F" w:rsidP="00377F3A">
            <w:pPr>
              <w:pStyle w:val="TableText"/>
            </w:pPr>
            <w:r w:rsidRPr="001643EF">
              <w:t>3.0</w:t>
            </w:r>
          </w:p>
        </w:tc>
      </w:tr>
      <w:tr w:rsidR="007A780F" w:rsidRPr="00401380" w14:paraId="6681911D" w14:textId="77777777" w:rsidTr="005957F7">
        <w:tc>
          <w:tcPr>
            <w:tcW w:w="341" w:type="pct"/>
            <w:vMerge/>
            <w:tcBorders>
              <w:left w:val="nil"/>
              <w:right w:val="nil"/>
            </w:tcBorders>
          </w:tcPr>
          <w:p w14:paraId="5A4715E5" w14:textId="77777777" w:rsidR="007A780F" w:rsidRPr="001643EF" w:rsidRDefault="007A780F" w:rsidP="00377F3A">
            <w:pPr>
              <w:pStyle w:val="TableText"/>
            </w:pPr>
          </w:p>
        </w:tc>
        <w:tc>
          <w:tcPr>
            <w:tcW w:w="789" w:type="pct"/>
            <w:vMerge/>
            <w:tcBorders>
              <w:left w:val="nil"/>
              <w:bottom w:val="single" w:sz="4" w:space="0" w:color="auto"/>
              <w:right w:val="nil"/>
            </w:tcBorders>
          </w:tcPr>
          <w:p w14:paraId="741FD47F"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0427F1F8" w14:textId="77777777" w:rsidR="007A780F" w:rsidRPr="001643EF" w:rsidRDefault="007A780F" w:rsidP="00377F3A">
            <w:pPr>
              <w:pStyle w:val="TableText"/>
            </w:pPr>
            <w:r w:rsidRPr="001643EF">
              <w:t>Loose grain/ pellets</w:t>
            </w:r>
          </w:p>
        </w:tc>
        <w:tc>
          <w:tcPr>
            <w:tcW w:w="859" w:type="pct"/>
            <w:tcBorders>
              <w:top w:val="nil"/>
              <w:left w:val="nil"/>
              <w:bottom w:val="single" w:sz="4" w:space="0" w:color="auto"/>
              <w:right w:val="nil"/>
            </w:tcBorders>
          </w:tcPr>
          <w:p w14:paraId="0B7A64E1" w14:textId="77777777" w:rsidR="007A780F" w:rsidRPr="001643EF" w:rsidRDefault="007A780F" w:rsidP="00377F3A">
            <w:pPr>
              <w:pStyle w:val="TableText"/>
            </w:pPr>
            <w:r w:rsidRPr="001643EF">
              <w:t>50</w:t>
            </w:r>
          </w:p>
        </w:tc>
        <w:tc>
          <w:tcPr>
            <w:tcW w:w="996" w:type="pct"/>
            <w:tcBorders>
              <w:top w:val="nil"/>
              <w:left w:val="nil"/>
              <w:bottom w:val="single" w:sz="4" w:space="0" w:color="auto"/>
              <w:right w:val="nil"/>
            </w:tcBorders>
          </w:tcPr>
          <w:p w14:paraId="717CBE89" w14:textId="77777777" w:rsidR="007A780F" w:rsidRPr="001643EF" w:rsidRDefault="007A780F" w:rsidP="00377F3A">
            <w:pPr>
              <w:pStyle w:val="TableText"/>
            </w:pPr>
            <w:r w:rsidRPr="001643EF">
              <w:t>23</w:t>
            </w:r>
          </w:p>
        </w:tc>
        <w:tc>
          <w:tcPr>
            <w:tcW w:w="1083" w:type="pct"/>
            <w:tcBorders>
              <w:top w:val="nil"/>
              <w:left w:val="nil"/>
              <w:bottom w:val="single" w:sz="4" w:space="0" w:color="auto"/>
              <w:right w:val="nil"/>
            </w:tcBorders>
          </w:tcPr>
          <w:p w14:paraId="59A693D1" w14:textId="77777777" w:rsidR="007A780F" w:rsidRPr="001643EF" w:rsidRDefault="007A780F" w:rsidP="00377F3A">
            <w:pPr>
              <w:pStyle w:val="TableText"/>
            </w:pPr>
            <w:r w:rsidRPr="001643EF">
              <w:t>3.0</w:t>
            </w:r>
          </w:p>
        </w:tc>
      </w:tr>
      <w:tr w:rsidR="007A780F" w:rsidRPr="00401380" w14:paraId="7FCC20EF" w14:textId="77777777" w:rsidTr="00553716">
        <w:tc>
          <w:tcPr>
            <w:tcW w:w="341" w:type="pct"/>
            <w:vMerge/>
            <w:tcBorders>
              <w:left w:val="nil"/>
              <w:right w:val="nil"/>
            </w:tcBorders>
          </w:tcPr>
          <w:p w14:paraId="13A8FDB9" w14:textId="77777777" w:rsidR="007A780F" w:rsidRPr="001643EF" w:rsidRDefault="007A780F" w:rsidP="00377F3A">
            <w:pPr>
              <w:pStyle w:val="TableText"/>
            </w:pPr>
          </w:p>
        </w:tc>
        <w:tc>
          <w:tcPr>
            <w:tcW w:w="789" w:type="pct"/>
            <w:vMerge w:val="restart"/>
            <w:tcBorders>
              <w:top w:val="single" w:sz="4" w:space="0" w:color="auto"/>
              <w:left w:val="nil"/>
              <w:right w:val="nil"/>
            </w:tcBorders>
          </w:tcPr>
          <w:p w14:paraId="551A632B" w14:textId="77777777" w:rsidR="007A780F" w:rsidRPr="001643EF" w:rsidRDefault="007A780F" w:rsidP="00377F3A">
            <w:pPr>
              <w:pStyle w:val="TableText"/>
            </w:pPr>
            <w:r w:rsidRPr="001643EF">
              <w:t>Warfarin</w:t>
            </w:r>
          </w:p>
        </w:tc>
        <w:tc>
          <w:tcPr>
            <w:tcW w:w="932" w:type="pct"/>
            <w:tcBorders>
              <w:top w:val="single" w:sz="4" w:space="0" w:color="auto"/>
              <w:left w:val="nil"/>
              <w:bottom w:val="nil"/>
              <w:right w:val="nil"/>
            </w:tcBorders>
          </w:tcPr>
          <w:p w14:paraId="705B54F7" w14:textId="77777777" w:rsidR="007A780F" w:rsidRPr="001643EF" w:rsidRDefault="007A780F" w:rsidP="00377F3A">
            <w:pPr>
              <w:pStyle w:val="TableText"/>
            </w:pPr>
            <w:r w:rsidRPr="001643EF">
              <w:t>Loose grain/ pellets</w:t>
            </w:r>
          </w:p>
        </w:tc>
        <w:tc>
          <w:tcPr>
            <w:tcW w:w="859" w:type="pct"/>
            <w:tcBorders>
              <w:top w:val="single" w:sz="4" w:space="0" w:color="auto"/>
              <w:left w:val="nil"/>
              <w:bottom w:val="nil"/>
              <w:right w:val="nil"/>
            </w:tcBorders>
          </w:tcPr>
          <w:p w14:paraId="7AD77A98" w14:textId="77777777" w:rsidR="007A780F" w:rsidRPr="001643EF" w:rsidRDefault="007A780F" w:rsidP="00377F3A">
            <w:pPr>
              <w:pStyle w:val="TableText"/>
            </w:pPr>
            <w:r w:rsidRPr="001643EF">
              <w:t>250</w:t>
            </w:r>
          </w:p>
        </w:tc>
        <w:tc>
          <w:tcPr>
            <w:tcW w:w="996" w:type="pct"/>
            <w:tcBorders>
              <w:top w:val="single" w:sz="4" w:space="0" w:color="auto"/>
              <w:left w:val="nil"/>
              <w:bottom w:val="nil"/>
              <w:right w:val="nil"/>
            </w:tcBorders>
          </w:tcPr>
          <w:p w14:paraId="37870498" w14:textId="77777777" w:rsidR="007A780F" w:rsidRPr="001643EF" w:rsidRDefault="007A780F" w:rsidP="00377F3A">
            <w:pPr>
              <w:pStyle w:val="TableText"/>
            </w:pPr>
            <w:r w:rsidRPr="001643EF">
              <w:t>25</w:t>
            </w:r>
          </w:p>
        </w:tc>
        <w:tc>
          <w:tcPr>
            <w:tcW w:w="1083" w:type="pct"/>
            <w:tcBorders>
              <w:top w:val="single" w:sz="4" w:space="0" w:color="auto"/>
              <w:left w:val="nil"/>
              <w:bottom w:val="nil"/>
              <w:right w:val="nil"/>
            </w:tcBorders>
          </w:tcPr>
          <w:p w14:paraId="51C7F9EF" w14:textId="77777777" w:rsidR="007A780F" w:rsidRPr="001643EF" w:rsidRDefault="007A780F" w:rsidP="00377F3A">
            <w:pPr>
              <w:pStyle w:val="TableText"/>
            </w:pPr>
            <w:r w:rsidRPr="001643EF">
              <w:t>13</w:t>
            </w:r>
          </w:p>
        </w:tc>
      </w:tr>
      <w:tr w:rsidR="007A780F" w:rsidRPr="00401380" w14:paraId="26E4FAF4" w14:textId="77777777" w:rsidTr="00553716">
        <w:tc>
          <w:tcPr>
            <w:tcW w:w="341" w:type="pct"/>
            <w:vMerge/>
            <w:tcBorders>
              <w:left w:val="nil"/>
              <w:bottom w:val="single" w:sz="4" w:space="0" w:color="auto"/>
              <w:right w:val="nil"/>
            </w:tcBorders>
          </w:tcPr>
          <w:p w14:paraId="55186C3B" w14:textId="77777777" w:rsidR="007A780F" w:rsidRPr="001643EF" w:rsidRDefault="007A780F" w:rsidP="00377F3A">
            <w:pPr>
              <w:pStyle w:val="TableText"/>
            </w:pPr>
          </w:p>
        </w:tc>
        <w:tc>
          <w:tcPr>
            <w:tcW w:w="789" w:type="pct"/>
            <w:vMerge/>
            <w:tcBorders>
              <w:left w:val="nil"/>
              <w:bottom w:val="single" w:sz="4" w:space="0" w:color="auto"/>
              <w:right w:val="nil"/>
            </w:tcBorders>
          </w:tcPr>
          <w:p w14:paraId="24FCF392"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1718DD3E" w14:textId="77777777" w:rsidR="007A780F" w:rsidRPr="001643EF" w:rsidRDefault="007A780F" w:rsidP="00377F3A">
            <w:pPr>
              <w:pStyle w:val="TableText"/>
            </w:pPr>
          </w:p>
        </w:tc>
        <w:tc>
          <w:tcPr>
            <w:tcW w:w="859" w:type="pct"/>
            <w:tcBorders>
              <w:top w:val="nil"/>
              <w:left w:val="nil"/>
              <w:bottom w:val="single" w:sz="4" w:space="0" w:color="auto"/>
              <w:right w:val="nil"/>
            </w:tcBorders>
          </w:tcPr>
          <w:p w14:paraId="2FEC45A7" w14:textId="77777777" w:rsidR="007A780F" w:rsidRPr="001643EF" w:rsidRDefault="007A780F" w:rsidP="00377F3A">
            <w:pPr>
              <w:pStyle w:val="TableText"/>
            </w:pPr>
            <w:r w:rsidRPr="001643EF">
              <w:t>500</w:t>
            </w:r>
          </w:p>
        </w:tc>
        <w:tc>
          <w:tcPr>
            <w:tcW w:w="996" w:type="pct"/>
            <w:tcBorders>
              <w:top w:val="nil"/>
              <w:left w:val="nil"/>
              <w:bottom w:val="single" w:sz="4" w:space="0" w:color="auto"/>
              <w:right w:val="nil"/>
            </w:tcBorders>
          </w:tcPr>
          <w:p w14:paraId="1638DF01" w14:textId="77777777" w:rsidR="007A780F" w:rsidRPr="001643EF" w:rsidRDefault="007A780F" w:rsidP="00377F3A">
            <w:pPr>
              <w:pStyle w:val="TableText"/>
            </w:pPr>
            <w:r w:rsidRPr="001643EF">
              <w:t>63</w:t>
            </w:r>
          </w:p>
        </w:tc>
        <w:tc>
          <w:tcPr>
            <w:tcW w:w="1083" w:type="pct"/>
            <w:tcBorders>
              <w:top w:val="nil"/>
              <w:left w:val="nil"/>
              <w:bottom w:val="single" w:sz="4" w:space="0" w:color="auto"/>
              <w:right w:val="nil"/>
            </w:tcBorders>
          </w:tcPr>
          <w:p w14:paraId="1ECFD9D8" w14:textId="77777777" w:rsidR="007A780F" w:rsidRPr="001643EF" w:rsidRDefault="007A780F" w:rsidP="00377F3A">
            <w:pPr>
              <w:pStyle w:val="TableText"/>
            </w:pPr>
            <w:r w:rsidRPr="001643EF">
              <w:t>13</w:t>
            </w:r>
          </w:p>
        </w:tc>
      </w:tr>
      <w:tr w:rsidR="007A780F" w:rsidRPr="00401380" w14:paraId="32580799" w14:textId="77777777" w:rsidTr="0064105E">
        <w:tc>
          <w:tcPr>
            <w:tcW w:w="341" w:type="pct"/>
            <w:vMerge w:val="restart"/>
            <w:tcBorders>
              <w:top w:val="single" w:sz="4" w:space="0" w:color="auto"/>
              <w:left w:val="nil"/>
              <w:right w:val="nil"/>
            </w:tcBorders>
          </w:tcPr>
          <w:p w14:paraId="397C210E" w14:textId="77777777" w:rsidR="007A780F" w:rsidRPr="001643EF" w:rsidRDefault="007A780F" w:rsidP="00377F3A">
            <w:pPr>
              <w:pStyle w:val="TableText"/>
            </w:pPr>
            <w:r w:rsidRPr="001643EF">
              <w:t>SGAR</w:t>
            </w:r>
          </w:p>
        </w:tc>
        <w:tc>
          <w:tcPr>
            <w:tcW w:w="789" w:type="pct"/>
            <w:vMerge w:val="restart"/>
            <w:tcBorders>
              <w:top w:val="single" w:sz="4" w:space="0" w:color="auto"/>
              <w:left w:val="nil"/>
              <w:right w:val="nil"/>
            </w:tcBorders>
          </w:tcPr>
          <w:p w14:paraId="6A0CFBB0" w14:textId="77777777" w:rsidR="007A780F" w:rsidRPr="001643EF" w:rsidRDefault="007A780F" w:rsidP="00377F3A">
            <w:pPr>
              <w:pStyle w:val="TableText"/>
            </w:pPr>
            <w:r w:rsidRPr="001643EF">
              <w:t>Brodifacoum</w:t>
            </w:r>
          </w:p>
        </w:tc>
        <w:tc>
          <w:tcPr>
            <w:tcW w:w="932" w:type="pct"/>
            <w:tcBorders>
              <w:top w:val="single" w:sz="4" w:space="0" w:color="auto"/>
              <w:left w:val="nil"/>
              <w:bottom w:val="nil"/>
              <w:right w:val="nil"/>
            </w:tcBorders>
          </w:tcPr>
          <w:p w14:paraId="0F207478"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6B20D7CA" w14:textId="77777777" w:rsidR="007A780F" w:rsidRPr="001643EF" w:rsidRDefault="007A780F" w:rsidP="00377F3A">
            <w:pPr>
              <w:pStyle w:val="TableText"/>
            </w:pPr>
            <w:r w:rsidRPr="001643EF">
              <w:t>25</w:t>
            </w:r>
          </w:p>
        </w:tc>
        <w:tc>
          <w:tcPr>
            <w:tcW w:w="996" w:type="pct"/>
            <w:tcBorders>
              <w:top w:val="single" w:sz="4" w:space="0" w:color="auto"/>
              <w:left w:val="nil"/>
              <w:bottom w:val="nil"/>
              <w:right w:val="nil"/>
            </w:tcBorders>
          </w:tcPr>
          <w:p w14:paraId="66034310" w14:textId="77777777" w:rsidR="007A780F" w:rsidRPr="001643EF" w:rsidRDefault="007A780F" w:rsidP="00377F3A">
            <w:pPr>
              <w:pStyle w:val="TableText"/>
            </w:pPr>
            <w:r w:rsidRPr="001643EF">
              <w:t>from 1.0 to 5.6</w:t>
            </w:r>
          </w:p>
        </w:tc>
        <w:tc>
          <w:tcPr>
            <w:tcW w:w="1083" w:type="pct"/>
            <w:tcBorders>
              <w:top w:val="single" w:sz="4" w:space="0" w:color="auto"/>
              <w:left w:val="nil"/>
              <w:bottom w:val="nil"/>
              <w:right w:val="nil"/>
            </w:tcBorders>
          </w:tcPr>
          <w:p w14:paraId="26309F32" w14:textId="77777777" w:rsidR="007A780F" w:rsidRPr="001643EF" w:rsidRDefault="007A780F" w:rsidP="00377F3A">
            <w:pPr>
              <w:pStyle w:val="TableText"/>
            </w:pPr>
            <w:r w:rsidRPr="001643EF">
              <w:t>from 1.0 to 5.6</w:t>
            </w:r>
          </w:p>
        </w:tc>
      </w:tr>
      <w:tr w:rsidR="007A780F" w:rsidRPr="00401380" w14:paraId="2FD66B94" w14:textId="77777777" w:rsidTr="0064105E">
        <w:tc>
          <w:tcPr>
            <w:tcW w:w="341" w:type="pct"/>
            <w:vMerge/>
            <w:tcBorders>
              <w:left w:val="nil"/>
              <w:right w:val="nil"/>
            </w:tcBorders>
          </w:tcPr>
          <w:p w14:paraId="76284887" w14:textId="77777777" w:rsidR="007A780F" w:rsidRPr="001643EF" w:rsidRDefault="007A780F" w:rsidP="00377F3A">
            <w:pPr>
              <w:pStyle w:val="TableText"/>
            </w:pPr>
          </w:p>
        </w:tc>
        <w:tc>
          <w:tcPr>
            <w:tcW w:w="789" w:type="pct"/>
            <w:vMerge/>
            <w:tcBorders>
              <w:left w:val="nil"/>
              <w:right w:val="nil"/>
            </w:tcBorders>
          </w:tcPr>
          <w:p w14:paraId="02735BFB"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1E9C6641" w14:textId="77777777" w:rsidR="007A780F" w:rsidRPr="001643EF" w:rsidRDefault="007A780F" w:rsidP="00377F3A">
            <w:pPr>
              <w:pStyle w:val="TableText"/>
            </w:pPr>
          </w:p>
        </w:tc>
        <w:tc>
          <w:tcPr>
            <w:tcW w:w="859" w:type="pct"/>
            <w:tcBorders>
              <w:top w:val="nil"/>
              <w:left w:val="nil"/>
              <w:bottom w:val="single" w:sz="4" w:space="0" w:color="auto"/>
              <w:right w:val="nil"/>
            </w:tcBorders>
          </w:tcPr>
          <w:p w14:paraId="710B9CAF" w14:textId="77777777" w:rsidR="007A780F" w:rsidRPr="001643EF" w:rsidRDefault="007A780F" w:rsidP="00377F3A">
            <w:pPr>
              <w:pStyle w:val="TableText"/>
            </w:pPr>
            <w:r w:rsidRPr="001643EF">
              <w:t>50</w:t>
            </w:r>
          </w:p>
        </w:tc>
        <w:tc>
          <w:tcPr>
            <w:tcW w:w="996" w:type="pct"/>
            <w:tcBorders>
              <w:top w:val="nil"/>
              <w:left w:val="nil"/>
              <w:bottom w:val="single" w:sz="4" w:space="0" w:color="auto"/>
              <w:right w:val="nil"/>
            </w:tcBorders>
          </w:tcPr>
          <w:p w14:paraId="6586EAF2" w14:textId="77777777" w:rsidR="007A780F" w:rsidRPr="001643EF" w:rsidRDefault="007A780F" w:rsidP="00377F3A">
            <w:pPr>
              <w:pStyle w:val="TableText"/>
            </w:pPr>
            <w:r w:rsidRPr="001643EF">
              <w:t>from 0.50 to 6.0</w:t>
            </w:r>
          </w:p>
        </w:tc>
        <w:tc>
          <w:tcPr>
            <w:tcW w:w="1083" w:type="pct"/>
            <w:tcBorders>
              <w:top w:val="nil"/>
              <w:left w:val="nil"/>
              <w:bottom w:val="single" w:sz="4" w:space="0" w:color="auto"/>
              <w:right w:val="nil"/>
            </w:tcBorders>
          </w:tcPr>
          <w:p w14:paraId="03F02C0C" w14:textId="77777777" w:rsidR="007A780F" w:rsidRPr="001643EF" w:rsidRDefault="007A780F" w:rsidP="00377F3A">
            <w:pPr>
              <w:pStyle w:val="TableText"/>
            </w:pPr>
            <w:r w:rsidRPr="001643EF">
              <w:t>from 0.20 to 6.0</w:t>
            </w:r>
          </w:p>
        </w:tc>
      </w:tr>
      <w:tr w:rsidR="007A780F" w:rsidRPr="00401380" w14:paraId="0775CBA7" w14:textId="77777777" w:rsidTr="0064105E">
        <w:tc>
          <w:tcPr>
            <w:tcW w:w="341" w:type="pct"/>
            <w:vMerge/>
            <w:tcBorders>
              <w:left w:val="nil"/>
              <w:right w:val="nil"/>
            </w:tcBorders>
          </w:tcPr>
          <w:p w14:paraId="4FE9CE7A" w14:textId="77777777" w:rsidR="007A780F" w:rsidRPr="001643EF" w:rsidRDefault="007A780F" w:rsidP="00377F3A">
            <w:pPr>
              <w:pStyle w:val="TableText"/>
            </w:pPr>
          </w:p>
        </w:tc>
        <w:tc>
          <w:tcPr>
            <w:tcW w:w="789" w:type="pct"/>
            <w:vMerge/>
            <w:tcBorders>
              <w:left w:val="nil"/>
              <w:bottom w:val="single" w:sz="4" w:space="0" w:color="auto"/>
              <w:right w:val="nil"/>
            </w:tcBorders>
          </w:tcPr>
          <w:p w14:paraId="57A3039F" w14:textId="77777777" w:rsidR="007A780F" w:rsidRPr="001643EF" w:rsidRDefault="007A780F" w:rsidP="00377F3A">
            <w:pPr>
              <w:pStyle w:val="TableText"/>
            </w:pPr>
          </w:p>
        </w:tc>
        <w:tc>
          <w:tcPr>
            <w:tcW w:w="932" w:type="pct"/>
            <w:tcBorders>
              <w:top w:val="single" w:sz="4" w:space="0" w:color="auto"/>
              <w:left w:val="nil"/>
              <w:bottom w:val="nil"/>
              <w:right w:val="nil"/>
            </w:tcBorders>
          </w:tcPr>
          <w:p w14:paraId="23CEDAC8" w14:textId="77777777" w:rsidR="007A780F" w:rsidRPr="001643EF" w:rsidRDefault="007A780F" w:rsidP="00377F3A">
            <w:pPr>
              <w:pStyle w:val="TableText"/>
            </w:pPr>
            <w:r w:rsidRPr="001643EF">
              <w:t>Loose grain/ pellets</w:t>
            </w:r>
          </w:p>
        </w:tc>
        <w:tc>
          <w:tcPr>
            <w:tcW w:w="859" w:type="pct"/>
            <w:tcBorders>
              <w:top w:val="single" w:sz="4" w:space="0" w:color="auto"/>
              <w:left w:val="nil"/>
              <w:bottom w:val="nil"/>
              <w:right w:val="nil"/>
            </w:tcBorders>
          </w:tcPr>
          <w:p w14:paraId="51ABF356" w14:textId="77777777" w:rsidR="007A780F" w:rsidRPr="001643EF" w:rsidRDefault="007A780F" w:rsidP="00377F3A">
            <w:pPr>
              <w:pStyle w:val="TableText"/>
            </w:pPr>
            <w:r w:rsidRPr="001643EF">
              <w:t>50</w:t>
            </w:r>
          </w:p>
        </w:tc>
        <w:tc>
          <w:tcPr>
            <w:tcW w:w="996" w:type="pct"/>
            <w:tcBorders>
              <w:top w:val="single" w:sz="4" w:space="0" w:color="auto"/>
              <w:left w:val="nil"/>
              <w:bottom w:val="nil"/>
              <w:right w:val="nil"/>
            </w:tcBorders>
          </w:tcPr>
          <w:p w14:paraId="4CA30B6C" w14:textId="77777777" w:rsidR="007A780F" w:rsidRPr="001643EF" w:rsidRDefault="007A780F" w:rsidP="00377F3A">
            <w:pPr>
              <w:pStyle w:val="TableText"/>
            </w:pPr>
            <w:r w:rsidRPr="001643EF">
              <w:t>from 2.0 to 10</w:t>
            </w:r>
          </w:p>
        </w:tc>
        <w:tc>
          <w:tcPr>
            <w:tcW w:w="1083" w:type="pct"/>
            <w:tcBorders>
              <w:top w:val="single" w:sz="4" w:space="0" w:color="auto"/>
              <w:left w:val="nil"/>
              <w:bottom w:val="nil"/>
              <w:right w:val="nil"/>
            </w:tcBorders>
          </w:tcPr>
          <w:p w14:paraId="25FA1EA1" w14:textId="77777777" w:rsidR="007A780F" w:rsidRPr="001643EF" w:rsidRDefault="007A780F" w:rsidP="00377F3A">
            <w:pPr>
              <w:pStyle w:val="TableText"/>
            </w:pPr>
            <w:r w:rsidRPr="001643EF">
              <w:t>from 1.5 to 3.0</w:t>
            </w:r>
          </w:p>
        </w:tc>
      </w:tr>
      <w:tr w:rsidR="007A780F" w:rsidRPr="00401380" w14:paraId="07EF1186" w14:textId="77777777" w:rsidTr="00CB5F1A">
        <w:tc>
          <w:tcPr>
            <w:tcW w:w="341" w:type="pct"/>
            <w:vMerge/>
            <w:tcBorders>
              <w:left w:val="nil"/>
              <w:right w:val="nil"/>
            </w:tcBorders>
          </w:tcPr>
          <w:p w14:paraId="4D126BE2" w14:textId="77777777" w:rsidR="007A780F" w:rsidRPr="001643EF" w:rsidRDefault="007A780F" w:rsidP="00377F3A">
            <w:pPr>
              <w:pStyle w:val="TableText"/>
            </w:pPr>
          </w:p>
        </w:tc>
        <w:tc>
          <w:tcPr>
            <w:tcW w:w="789" w:type="pct"/>
            <w:vMerge w:val="restart"/>
            <w:tcBorders>
              <w:top w:val="single" w:sz="4" w:space="0" w:color="auto"/>
              <w:left w:val="nil"/>
              <w:right w:val="nil"/>
            </w:tcBorders>
          </w:tcPr>
          <w:p w14:paraId="56C18901" w14:textId="77777777" w:rsidR="007A780F" w:rsidRPr="001643EF" w:rsidRDefault="007A780F" w:rsidP="00377F3A">
            <w:pPr>
              <w:pStyle w:val="TableText"/>
            </w:pPr>
            <w:r w:rsidRPr="001643EF">
              <w:t>Bromadiolone</w:t>
            </w:r>
          </w:p>
        </w:tc>
        <w:tc>
          <w:tcPr>
            <w:tcW w:w="932" w:type="pct"/>
            <w:vMerge w:val="restart"/>
            <w:tcBorders>
              <w:top w:val="single" w:sz="4" w:space="0" w:color="auto"/>
              <w:left w:val="nil"/>
              <w:right w:val="nil"/>
            </w:tcBorders>
          </w:tcPr>
          <w:p w14:paraId="59B1C547"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13EA0D70" w14:textId="77777777" w:rsidR="007A780F" w:rsidRPr="001643EF" w:rsidRDefault="007A780F" w:rsidP="00377F3A">
            <w:pPr>
              <w:pStyle w:val="TableText"/>
            </w:pPr>
            <w:r w:rsidRPr="001643EF">
              <w:t>25</w:t>
            </w:r>
          </w:p>
        </w:tc>
        <w:tc>
          <w:tcPr>
            <w:tcW w:w="996" w:type="pct"/>
            <w:tcBorders>
              <w:top w:val="single" w:sz="4" w:space="0" w:color="auto"/>
              <w:left w:val="nil"/>
              <w:bottom w:val="nil"/>
              <w:right w:val="nil"/>
            </w:tcBorders>
          </w:tcPr>
          <w:p w14:paraId="15123098" w14:textId="77777777" w:rsidR="007A780F" w:rsidRPr="001643EF" w:rsidRDefault="007A780F" w:rsidP="00377F3A">
            <w:pPr>
              <w:pStyle w:val="TableText"/>
            </w:pPr>
            <w:r w:rsidRPr="001643EF">
              <w:t>from 0.75 to 1.1</w:t>
            </w:r>
          </w:p>
        </w:tc>
        <w:tc>
          <w:tcPr>
            <w:tcW w:w="1083" w:type="pct"/>
            <w:tcBorders>
              <w:top w:val="single" w:sz="4" w:space="0" w:color="auto"/>
              <w:left w:val="nil"/>
              <w:bottom w:val="nil"/>
              <w:right w:val="nil"/>
            </w:tcBorders>
          </w:tcPr>
          <w:p w14:paraId="75DF05D1" w14:textId="77777777" w:rsidR="007A780F" w:rsidRPr="001643EF" w:rsidRDefault="007A780F" w:rsidP="00377F3A">
            <w:pPr>
              <w:pStyle w:val="TableText"/>
            </w:pPr>
            <w:r w:rsidRPr="001643EF">
              <w:t>from 0.25 to 0.38</w:t>
            </w:r>
          </w:p>
        </w:tc>
      </w:tr>
      <w:tr w:rsidR="007A780F" w:rsidRPr="00401380" w14:paraId="4BC32FEC" w14:textId="77777777" w:rsidTr="00CB5F1A">
        <w:tc>
          <w:tcPr>
            <w:tcW w:w="341" w:type="pct"/>
            <w:vMerge/>
            <w:tcBorders>
              <w:left w:val="nil"/>
              <w:right w:val="nil"/>
            </w:tcBorders>
          </w:tcPr>
          <w:p w14:paraId="797FF90C" w14:textId="77777777" w:rsidR="007A780F" w:rsidRPr="001643EF" w:rsidRDefault="007A780F" w:rsidP="00377F3A">
            <w:pPr>
              <w:pStyle w:val="TableText"/>
            </w:pPr>
          </w:p>
        </w:tc>
        <w:tc>
          <w:tcPr>
            <w:tcW w:w="789" w:type="pct"/>
            <w:vMerge/>
            <w:tcBorders>
              <w:left w:val="nil"/>
              <w:right w:val="nil"/>
            </w:tcBorders>
          </w:tcPr>
          <w:p w14:paraId="3D824A7B" w14:textId="77777777" w:rsidR="007A780F" w:rsidRPr="001643EF" w:rsidRDefault="007A780F" w:rsidP="00377F3A">
            <w:pPr>
              <w:pStyle w:val="TableText"/>
            </w:pPr>
          </w:p>
        </w:tc>
        <w:tc>
          <w:tcPr>
            <w:tcW w:w="932" w:type="pct"/>
            <w:vMerge/>
            <w:tcBorders>
              <w:left w:val="nil"/>
              <w:right w:val="nil"/>
            </w:tcBorders>
          </w:tcPr>
          <w:p w14:paraId="4A7013BE" w14:textId="77777777" w:rsidR="007A780F" w:rsidRPr="001643EF" w:rsidRDefault="007A780F" w:rsidP="00377F3A">
            <w:pPr>
              <w:pStyle w:val="TableText"/>
            </w:pPr>
          </w:p>
        </w:tc>
        <w:tc>
          <w:tcPr>
            <w:tcW w:w="859" w:type="pct"/>
            <w:tcBorders>
              <w:top w:val="nil"/>
              <w:left w:val="nil"/>
              <w:bottom w:val="nil"/>
              <w:right w:val="nil"/>
            </w:tcBorders>
          </w:tcPr>
          <w:p w14:paraId="48B24FAB" w14:textId="77777777" w:rsidR="007A780F" w:rsidRPr="001643EF" w:rsidRDefault="007A780F" w:rsidP="00377F3A">
            <w:pPr>
              <w:pStyle w:val="TableText"/>
            </w:pPr>
            <w:r w:rsidRPr="001643EF">
              <w:t>50</w:t>
            </w:r>
          </w:p>
        </w:tc>
        <w:tc>
          <w:tcPr>
            <w:tcW w:w="996" w:type="pct"/>
            <w:tcBorders>
              <w:top w:val="nil"/>
              <w:left w:val="nil"/>
              <w:bottom w:val="nil"/>
              <w:right w:val="nil"/>
            </w:tcBorders>
          </w:tcPr>
          <w:p w14:paraId="7BA71F52" w14:textId="77777777" w:rsidR="007A780F" w:rsidRPr="001643EF" w:rsidRDefault="007A780F" w:rsidP="00377F3A">
            <w:pPr>
              <w:pStyle w:val="TableText"/>
            </w:pPr>
            <w:r w:rsidRPr="001643EF">
              <w:t>from 6.0 to 23</w:t>
            </w:r>
          </w:p>
        </w:tc>
        <w:tc>
          <w:tcPr>
            <w:tcW w:w="1083" w:type="pct"/>
            <w:tcBorders>
              <w:top w:val="nil"/>
              <w:left w:val="nil"/>
              <w:bottom w:val="nil"/>
              <w:right w:val="nil"/>
            </w:tcBorders>
          </w:tcPr>
          <w:p w14:paraId="55698293" w14:textId="77777777" w:rsidR="007A780F" w:rsidRPr="001643EF" w:rsidRDefault="007A780F" w:rsidP="00377F3A">
            <w:pPr>
              <w:pStyle w:val="TableText"/>
            </w:pPr>
            <w:r w:rsidRPr="001643EF">
              <w:t>from 2.0 to 23</w:t>
            </w:r>
          </w:p>
        </w:tc>
      </w:tr>
      <w:tr w:rsidR="007A780F" w:rsidRPr="00401380" w14:paraId="4045BA03" w14:textId="77777777" w:rsidTr="00CB5F1A">
        <w:tc>
          <w:tcPr>
            <w:tcW w:w="341" w:type="pct"/>
            <w:vMerge/>
            <w:tcBorders>
              <w:left w:val="nil"/>
              <w:right w:val="nil"/>
            </w:tcBorders>
          </w:tcPr>
          <w:p w14:paraId="1A124781" w14:textId="77777777" w:rsidR="007A780F" w:rsidRPr="001643EF" w:rsidRDefault="007A780F" w:rsidP="00377F3A">
            <w:pPr>
              <w:pStyle w:val="TableText"/>
            </w:pPr>
          </w:p>
        </w:tc>
        <w:tc>
          <w:tcPr>
            <w:tcW w:w="789" w:type="pct"/>
            <w:vMerge/>
            <w:tcBorders>
              <w:left w:val="nil"/>
              <w:right w:val="nil"/>
            </w:tcBorders>
          </w:tcPr>
          <w:p w14:paraId="4A4DE060" w14:textId="77777777" w:rsidR="007A780F" w:rsidRPr="001643EF" w:rsidRDefault="007A780F" w:rsidP="00377F3A">
            <w:pPr>
              <w:pStyle w:val="TableText"/>
            </w:pPr>
          </w:p>
        </w:tc>
        <w:tc>
          <w:tcPr>
            <w:tcW w:w="932" w:type="pct"/>
            <w:vMerge/>
            <w:tcBorders>
              <w:left w:val="nil"/>
              <w:bottom w:val="single" w:sz="4" w:space="0" w:color="auto"/>
              <w:right w:val="nil"/>
            </w:tcBorders>
          </w:tcPr>
          <w:p w14:paraId="28A5ABC7" w14:textId="77777777" w:rsidR="007A780F" w:rsidRPr="001643EF" w:rsidRDefault="007A780F" w:rsidP="00377F3A">
            <w:pPr>
              <w:pStyle w:val="TableText"/>
            </w:pPr>
          </w:p>
        </w:tc>
        <w:tc>
          <w:tcPr>
            <w:tcW w:w="859" w:type="pct"/>
            <w:tcBorders>
              <w:top w:val="nil"/>
              <w:left w:val="nil"/>
              <w:bottom w:val="single" w:sz="4" w:space="0" w:color="auto"/>
              <w:right w:val="nil"/>
            </w:tcBorders>
          </w:tcPr>
          <w:p w14:paraId="76BBB028" w14:textId="77777777" w:rsidR="007A780F" w:rsidRPr="001643EF" w:rsidRDefault="007A780F" w:rsidP="00377F3A">
            <w:pPr>
              <w:pStyle w:val="TableText"/>
            </w:pPr>
            <w:r w:rsidRPr="001643EF">
              <w:t>100</w:t>
            </w:r>
          </w:p>
        </w:tc>
        <w:tc>
          <w:tcPr>
            <w:tcW w:w="996" w:type="pct"/>
            <w:tcBorders>
              <w:top w:val="nil"/>
              <w:left w:val="nil"/>
              <w:bottom w:val="single" w:sz="4" w:space="0" w:color="auto"/>
              <w:right w:val="nil"/>
            </w:tcBorders>
          </w:tcPr>
          <w:p w14:paraId="1961D795" w14:textId="77777777" w:rsidR="007A780F" w:rsidRPr="001643EF" w:rsidRDefault="007A780F" w:rsidP="00377F3A">
            <w:pPr>
              <w:pStyle w:val="TableText"/>
            </w:pPr>
            <w:r w:rsidRPr="001643EF">
              <w:t>0.40</w:t>
            </w:r>
          </w:p>
        </w:tc>
        <w:tc>
          <w:tcPr>
            <w:tcW w:w="1083" w:type="pct"/>
            <w:tcBorders>
              <w:top w:val="nil"/>
              <w:left w:val="nil"/>
              <w:bottom w:val="single" w:sz="4" w:space="0" w:color="auto"/>
              <w:right w:val="nil"/>
            </w:tcBorders>
          </w:tcPr>
          <w:p w14:paraId="59983C14" w14:textId="77777777" w:rsidR="007A780F" w:rsidRPr="001643EF" w:rsidRDefault="007A780F" w:rsidP="00377F3A">
            <w:pPr>
              <w:pStyle w:val="TableText"/>
            </w:pPr>
            <w:r w:rsidRPr="001643EF">
              <w:t>0.40</w:t>
            </w:r>
          </w:p>
        </w:tc>
      </w:tr>
      <w:tr w:rsidR="007A780F" w:rsidRPr="00401380" w14:paraId="28BC5719" w14:textId="77777777" w:rsidTr="00BA6AF4">
        <w:tc>
          <w:tcPr>
            <w:tcW w:w="341" w:type="pct"/>
            <w:vMerge/>
            <w:tcBorders>
              <w:left w:val="nil"/>
              <w:right w:val="nil"/>
            </w:tcBorders>
          </w:tcPr>
          <w:p w14:paraId="4DFDCA66" w14:textId="77777777" w:rsidR="007A780F" w:rsidRPr="001643EF" w:rsidRDefault="007A780F" w:rsidP="00377F3A">
            <w:pPr>
              <w:pStyle w:val="TableText"/>
            </w:pPr>
          </w:p>
        </w:tc>
        <w:tc>
          <w:tcPr>
            <w:tcW w:w="789" w:type="pct"/>
            <w:vMerge/>
            <w:tcBorders>
              <w:left w:val="nil"/>
              <w:bottom w:val="nil"/>
              <w:right w:val="nil"/>
            </w:tcBorders>
          </w:tcPr>
          <w:p w14:paraId="1C4A8592" w14:textId="77777777" w:rsidR="007A780F" w:rsidRPr="001643EF" w:rsidRDefault="007A780F" w:rsidP="00377F3A">
            <w:pPr>
              <w:pStyle w:val="TableText"/>
            </w:pPr>
          </w:p>
        </w:tc>
        <w:tc>
          <w:tcPr>
            <w:tcW w:w="932" w:type="pct"/>
            <w:tcBorders>
              <w:top w:val="single" w:sz="4" w:space="0" w:color="auto"/>
              <w:left w:val="nil"/>
              <w:bottom w:val="nil"/>
              <w:right w:val="nil"/>
            </w:tcBorders>
          </w:tcPr>
          <w:p w14:paraId="71F2F5B2" w14:textId="77777777" w:rsidR="007A780F" w:rsidRPr="001643EF" w:rsidRDefault="007A780F" w:rsidP="00377F3A">
            <w:pPr>
              <w:pStyle w:val="TableText"/>
            </w:pPr>
            <w:r w:rsidRPr="001643EF">
              <w:t>Loose grain/ pellets</w:t>
            </w:r>
          </w:p>
        </w:tc>
        <w:tc>
          <w:tcPr>
            <w:tcW w:w="859" w:type="pct"/>
            <w:tcBorders>
              <w:top w:val="single" w:sz="4" w:space="0" w:color="auto"/>
              <w:left w:val="nil"/>
              <w:bottom w:val="nil"/>
              <w:right w:val="nil"/>
            </w:tcBorders>
          </w:tcPr>
          <w:p w14:paraId="10C8AEB2" w14:textId="77777777" w:rsidR="007A780F" w:rsidRPr="001643EF" w:rsidRDefault="007A780F" w:rsidP="00377F3A">
            <w:pPr>
              <w:pStyle w:val="TableText"/>
            </w:pPr>
            <w:r w:rsidRPr="001643EF">
              <w:t>50</w:t>
            </w:r>
          </w:p>
        </w:tc>
        <w:tc>
          <w:tcPr>
            <w:tcW w:w="996" w:type="pct"/>
            <w:tcBorders>
              <w:top w:val="single" w:sz="4" w:space="0" w:color="auto"/>
              <w:left w:val="nil"/>
              <w:bottom w:val="nil"/>
              <w:right w:val="nil"/>
            </w:tcBorders>
          </w:tcPr>
          <w:p w14:paraId="7DE28E0B" w14:textId="77777777" w:rsidR="007A780F" w:rsidRPr="001643EF" w:rsidRDefault="007A780F" w:rsidP="00377F3A">
            <w:pPr>
              <w:pStyle w:val="TableText"/>
            </w:pPr>
            <w:r w:rsidRPr="001643EF">
              <w:t>from 7.5 to 25</w:t>
            </w:r>
          </w:p>
        </w:tc>
        <w:tc>
          <w:tcPr>
            <w:tcW w:w="1083" w:type="pct"/>
            <w:tcBorders>
              <w:top w:val="single" w:sz="4" w:space="0" w:color="auto"/>
              <w:left w:val="nil"/>
              <w:bottom w:val="nil"/>
              <w:right w:val="nil"/>
            </w:tcBorders>
          </w:tcPr>
          <w:p w14:paraId="777042B7" w14:textId="77777777" w:rsidR="007A780F" w:rsidRPr="001643EF" w:rsidRDefault="007A780F" w:rsidP="00377F3A">
            <w:pPr>
              <w:pStyle w:val="TableText"/>
            </w:pPr>
            <w:r w:rsidRPr="001643EF">
              <w:t>from 2.5 to 25</w:t>
            </w:r>
          </w:p>
        </w:tc>
      </w:tr>
      <w:tr w:rsidR="007A780F" w:rsidRPr="00401380" w14:paraId="31ECDAE9" w14:textId="77777777" w:rsidTr="00E46F27">
        <w:tc>
          <w:tcPr>
            <w:tcW w:w="341" w:type="pct"/>
            <w:vMerge/>
            <w:tcBorders>
              <w:left w:val="nil"/>
              <w:right w:val="nil"/>
            </w:tcBorders>
          </w:tcPr>
          <w:p w14:paraId="5C663438" w14:textId="4DB11BCE" w:rsidR="007A780F" w:rsidRPr="001643EF" w:rsidRDefault="007A780F" w:rsidP="00377F3A">
            <w:pPr>
              <w:pStyle w:val="TableText"/>
            </w:pPr>
          </w:p>
        </w:tc>
        <w:tc>
          <w:tcPr>
            <w:tcW w:w="789" w:type="pct"/>
            <w:vMerge w:val="restart"/>
            <w:tcBorders>
              <w:top w:val="single" w:sz="4" w:space="0" w:color="auto"/>
              <w:left w:val="nil"/>
              <w:right w:val="nil"/>
            </w:tcBorders>
          </w:tcPr>
          <w:p w14:paraId="57EE35E3" w14:textId="77777777" w:rsidR="007A780F" w:rsidRPr="001643EF" w:rsidRDefault="007A780F" w:rsidP="00377F3A">
            <w:pPr>
              <w:pStyle w:val="TableText"/>
            </w:pPr>
            <w:r w:rsidRPr="001643EF">
              <w:t>Difenacoum</w:t>
            </w:r>
          </w:p>
        </w:tc>
        <w:tc>
          <w:tcPr>
            <w:tcW w:w="932" w:type="pct"/>
            <w:vMerge w:val="restart"/>
            <w:tcBorders>
              <w:top w:val="single" w:sz="4" w:space="0" w:color="auto"/>
              <w:left w:val="nil"/>
              <w:right w:val="nil"/>
            </w:tcBorders>
          </w:tcPr>
          <w:p w14:paraId="689634BB"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6571E005" w14:textId="77777777" w:rsidR="007A780F" w:rsidRPr="001643EF" w:rsidRDefault="007A780F" w:rsidP="00377F3A">
            <w:pPr>
              <w:pStyle w:val="TableText"/>
            </w:pPr>
            <w:r w:rsidRPr="001643EF">
              <w:t>25</w:t>
            </w:r>
          </w:p>
        </w:tc>
        <w:tc>
          <w:tcPr>
            <w:tcW w:w="996" w:type="pct"/>
            <w:tcBorders>
              <w:top w:val="single" w:sz="4" w:space="0" w:color="auto"/>
              <w:left w:val="nil"/>
              <w:bottom w:val="nil"/>
              <w:right w:val="nil"/>
            </w:tcBorders>
          </w:tcPr>
          <w:p w14:paraId="5CAC03D8" w14:textId="77777777" w:rsidR="007A780F" w:rsidRPr="001643EF" w:rsidRDefault="007A780F" w:rsidP="00377F3A">
            <w:pPr>
              <w:pStyle w:val="TableText"/>
            </w:pPr>
            <w:r w:rsidRPr="001643EF">
              <w:t>from 0.75 to 5.0</w:t>
            </w:r>
          </w:p>
        </w:tc>
        <w:tc>
          <w:tcPr>
            <w:tcW w:w="1083" w:type="pct"/>
            <w:tcBorders>
              <w:top w:val="single" w:sz="4" w:space="0" w:color="auto"/>
              <w:left w:val="nil"/>
              <w:bottom w:val="nil"/>
              <w:right w:val="nil"/>
            </w:tcBorders>
          </w:tcPr>
          <w:p w14:paraId="4E1C621D" w14:textId="77777777" w:rsidR="007A780F" w:rsidRPr="001643EF" w:rsidRDefault="007A780F" w:rsidP="00377F3A">
            <w:pPr>
              <w:pStyle w:val="TableText"/>
            </w:pPr>
            <w:r w:rsidRPr="001643EF">
              <w:t>from 0.75 to 1.3</w:t>
            </w:r>
          </w:p>
        </w:tc>
      </w:tr>
      <w:tr w:rsidR="007A780F" w:rsidRPr="00401380" w14:paraId="774F9C5C" w14:textId="77777777" w:rsidTr="00E46F27">
        <w:tc>
          <w:tcPr>
            <w:tcW w:w="341" w:type="pct"/>
            <w:vMerge/>
            <w:tcBorders>
              <w:left w:val="nil"/>
              <w:right w:val="nil"/>
            </w:tcBorders>
          </w:tcPr>
          <w:p w14:paraId="6696F775" w14:textId="77777777" w:rsidR="007A780F" w:rsidRPr="001643EF" w:rsidRDefault="007A780F" w:rsidP="00377F3A">
            <w:pPr>
              <w:pStyle w:val="TableText"/>
            </w:pPr>
          </w:p>
        </w:tc>
        <w:tc>
          <w:tcPr>
            <w:tcW w:w="789" w:type="pct"/>
            <w:vMerge/>
            <w:tcBorders>
              <w:left w:val="nil"/>
              <w:right w:val="nil"/>
            </w:tcBorders>
          </w:tcPr>
          <w:p w14:paraId="48A0230A" w14:textId="77777777" w:rsidR="007A780F" w:rsidRPr="001643EF" w:rsidRDefault="007A780F" w:rsidP="00377F3A">
            <w:pPr>
              <w:pStyle w:val="TableText"/>
            </w:pPr>
          </w:p>
        </w:tc>
        <w:tc>
          <w:tcPr>
            <w:tcW w:w="932" w:type="pct"/>
            <w:vMerge/>
            <w:tcBorders>
              <w:left w:val="nil"/>
              <w:bottom w:val="nil"/>
              <w:right w:val="nil"/>
            </w:tcBorders>
          </w:tcPr>
          <w:p w14:paraId="426D00D0" w14:textId="77777777" w:rsidR="007A780F" w:rsidRPr="001643EF" w:rsidRDefault="007A780F" w:rsidP="00377F3A">
            <w:pPr>
              <w:pStyle w:val="TableText"/>
            </w:pPr>
          </w:p>
        </w:tc>
        <w:tc>
          <w:tcPr>
            <w:tcW w:w="859" w:type="pct"/>
            <w:tcBorders>
              <w:top w:val="nil"/>
              <w:left w:val="nil"/>
              <w:bottom w:val="nil"/>
              <w:right w:val="nil"/>
            </w:tcBorders>
          </w:tcPr>
          <w:p w14:paraId="6AC4FEA8" w14:textId="77777777" w:rsidR="007A780F" w:rsidRPr="001643EF" w:rsidRDefault="007A780F" w:rsidP="00377F3A">
            <w:pPr>
              <w:pStyle w:val="TableText"/>
            </w:pPr>
            <w:r w:rsidRPr="001643EF">
              <w:t>50</w:t>
            </w:r>
          </w:p>
        </w:tc>
        <w:tc>
          <w:tcPr>
            <w:tcW w:w="996" w:type="pct"/>
            <w:tcBorders>
              <w:top w:val="nil"/>
              <w:left w:val="nil"/>
              <w:bottom w:val="nil"/>
              <w:right w:val="nil"/>
            </w:tcBorders>
          </w:tcPr>
          <w:p w14:paraId="226A5DBB" w14:textId="77777777" w:rsidR="007A780F" w:rsidRPr="001643EF" w:rsidRDefault="007A780F" w:rsidP="00377F3A">
            <w:pPr>
              <w:pStyle w:val="TableText"/>
            </w:pPr>
            <w:r w:rsidRPr="001643EF">
              <w:t>from 5.0 to 20</w:t>
            </w:r>
          </w:p>
        </w:tc>
        <w:tc>
          <w:tcPr>
            <w:tcW w:w="1083" w:type="pct"/>
            <w:tcBorders>
              <w:top w:val="nil"/>
              <w:left w:val="nil"/>
              <w:bottom w:val="nil"/>
              <w:right w:val="nil"/>
            </w:tcBorders>
          </w:tcPr>
          <w:p w14:paraId="659A9B95" w14:textId="77777777" w:rsidR="007A780F" w:rsidRPr="001643EF" w:rsidRDefault="007A780F" w:rsidP="00377F3A">
            <w:pPr>
              <w:pStyle w:val="TableText"/>
            </w:pPr>
            <w:r w:rsidRPr="001643EF">
              <w:t>from 1.0 to 20</w:t>
            </w:r>
          </w:p>
        </w:tc>
      </w:tr>
      <w:tr w:rsidR="007A780F" w:rsidRPr="00401380" w14:paraId="02143F71" w14:textId="77777777" w:rsidTr="00E7471D">
        <w:tc>
          <w:tcPr>
            <w:tcW w:w="341" w:type="pct"/>
            <w:vMerge/>
            <w:tcBorders>
              <w:left w:val="nil"/>
              <w:right w:val="nil"/>
            </w:tcBorders>
          </w:tcPr>
          <w:p w14:paraId="442E7194" w14:textId="77777777" w:rsidR="007A780F" w:rsidRPr="001643EF" w:rsidRDefault="007A780F" w:rsidP="00377F3A">
            <w:pPr>
              <w:pStyle w:val="TableText"/>
            </w:pPr>
          </w:p>
        </w:tc>
        <w:tc>
          <w:tcPr>
            <w:tcW w:w="789" w:type="pct"/>
            <w:vMerge/>
            <w:tcBorders>
              <w:left w:val="nil"/>
              <w:bottom w:val="single" w:sz="4" w:space="0" w:color="auto"/>
              <w:right w:val="nil"/>
            </w:tcBorders>
          </w:tcPr>
          <w:p w14:paraId="44C813DB" w14:textId="77777777" w:rsidR="007A780F" w:rsidRPr="001643EF" w:rsidRDefault="007A780F" w:rsidP="00377F3A">
            <w:pPr>
              <w:pStyle w:val="TableText"/>
            </w:pPr>
          </w:p>
        </w:tc>
        <w:tc>
          <w:tcPr>
            <w:tcW w:w="932" w:type="pct"/>
            <w:tcBorders>
              <w:top w:val="single" w:sz="4" w:space="0" w:color="auto"/>
              <w:left w:val="nil"/>
              <w:bottom w:val="single" w:sz="4" w:space="0" w:color="auto"/>
              <w:right w:val="nil"/>
            </w:tcBorders>
          </w:tcPr>
          <w:p w14:paraId="4AAE9146" w14:textId="77777777" w:rsidR="007A780F" w:rsidRPr="001643EF" w:rsidRDefault="007A780F" w:rsidP="00377F3A">
            <w:pPr>
              <w:pStyle w:val="TableText"/>
            </w:pPr>
            <w:r w:rsidRPr="001643EF">
              <w:t>Loose grain/ pellets</w:t>
            </w:r>
          </w:p>
        </w:tc>
        <w:tc>
          <w:tcPr>
            <w:tcW w:w="859" w:type="pct"/>
            <w:tcBorders>
              <w:top w:val="single" w:sz="4" w:space="0" w:color="auto"/>
              <w:left w:val="nil"/>
              <w:bottom w:val="single" w:sz="4" w:space="0" w:color="auto"/>
              <w:right w:val="nil"/>
            </w:tcBorders>
          </w:tcPr>
          <w:p w14:paraId="260806AB" w14:textId="77777777" w:rsidR="007A780F" w:rsidRPr="001643EF" w:rsidRDefault="007A780F" w:rsidP="00377F3A">
            <w:pPr>
              <w:pStyle w:val="TableText"/>
            </w:pPr>
            <w:r w:rsidRPr="001643EF">
              <w:t>50</w:t>
            </w:r>
          </w:p>
        </w:tc>
        <w:tc>
          <w:tcPr>
            <w:tcW w:w="996" w:type="pct"/>
            <w:tcBorders>
              <w:top w:val="single" w:sz="4" w:space="0" w:color="auto"/>
              <w:left w:val="nil"/>
              <w:bottom w:val="single" w:sz="4" w:space="0" w:color="auto"/>
              <w:right w:val="nil"/>
            </w:tcBorders>
          </w:tcPr>
          <w:p w14:paraId="1CF4989A" w14:textId="77777777" w:rsidR="007A780F" w:rsidRPr="001643EF" w:rsidRDefault="007A780F" w:rsidP="00377F3A">
            <w:pPr>
              <w:pStyle w:val="TableText"/>
            </w:pPr>
            <w:r w:rsidRPr="001643EF">
              <w:t>10</w:t>
            </w:r>
          </w:p>
        </w:tc>
        <w:tc>
          <w:tcPr>
            <w:tcW w:w="1083" w:type="pct"/>
            <w:tcBorders>
              <w:top w:val="single" w:sz="4" w:space="0" w:color="auto"/>
              <w:left w:val="nil"/>
              <w:bottom w:val="single" w:sz="4" w:space="0" w:color="auto"/>
              <w:right w:val="nil"/>
            </w:tcBorders>
          </w:tcPr>
          <w:p w14:paraId="6E8F148C" w14:textId="77777777" w:rsidR="007A780F" w:rsidRPr="001643EF" w:rsidRDefault="007A780F" w:rsidP="00377F3A">
            <w:pPr>
              <w:pStyle w:val="TableText"/>
            </w:pPr>
            <w:r w:rsidRPr="001643EF">
              <w:t>1.5</w:t>
            </w:r>
          </w:p>
        </w:tc>
      </w:tr>
      <w:tr w:rsidR="007A780F" w:rsidRPr="00401380" w14:paraId="35865A82" w14:textId="77777777" w:rsidTr="00BD5B63">
        <w:tc>
          <w:tcPr>
            <w:tcW w:w="341" w:type="pct"/>
            <w:vMerge/>
            <w:tcBorders>
              <w:left w:val="nil"/>
              <w:right w:val="nil"/>
            </w:tcBorders>
          </w:tcPr>
          <w:p w14:paraId="5DD279D6" w14:textId="77777777" w:rsidR="007A780F" w:rsidRPr="001643EF" w:rsidRDefault="007A780F" w:rsidP="00377F3A">
            <w:pPr>
              <w:pStyle w:val="TableText"/>
            </w:pPr>
          </w:p>
        </w:tc>
        <w:tc>
          <w:tcPr>
            <w:tcW w:w="789" w:type="pct"/>
            <w:vMerge w:val="restart"/>
            <w:tcBorders>
              <w:top w:val="single" w:sz="4" w:space="0" w:color="auto"/>
              <w:left w:val="nil"/>
              <w:right w:val="nil"/>
            </w:tcBorders>
          </w:tcPr>
          <w:p w14:paraId="6E98F1E4" w14:textId="77777777" w:rsidR="007A780F" w:rsidRPr="001643EF" w:rsidRDefault="007A780F" w:rsidP="00377F3A">
            <w:pPr>
              <w:pStyle w:val="TableText"/>
            </w:pPr>
            <w:r w:rsidRPr="001643EF">
              <w:t>Difethialone</w:t>
            </w:r>
          </w:p>
        </w:tc>
        <w:tc>
          <w:tcPr>
            <w:tcW w:w="932" w:type="pct"/>
            <w:tcBorders>
              <w:top w:val="single" w:sz="4" w:space="0" w:color="auto"/>
              <w:left w:val="nil"/>
              <w:bottom w:val="nil"/>
              <w:right w:val="nil"/>
            </w:tcBorders>
          </w:tcPr>
          <w:p w14:paraId="7C849EED"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06D1E7E8" w14:textId="77777777" w:rsidR="007A780F" w:rsidRPr="001643EF" w:rsidRDefault="007A780F" w:rsidP="00377F3A">
            <w:pPr>
              <w:pStyle w:val="TableText"/>
            </w:pPr>
            <w:r w:rsidRPr="001643EF">
              <w:t>25</w:t>
            </w:r>
          </w:p>
        </w:tc>
        <w:tc>
          <w:tcPr>
            <w:tcW w:w="996" w:type="pct"/>
            <w:tcBorders>
              <w:top w:val="single" w:sz="4" w:space="0" w:color="auto"/>
              <w:left w:val="nil"/>
              <w:bottom w:val="nil"/>
              <w:right w:val="nil"/>
            </w:tcBorders>
          </w:tcPr>
          <w:p w14:paraId="3DBA61DC" w14:textId="77777777" w:rsidR="007A780F" w:rsidRPr="001643EF" w:rsidRDefault="007A780F" w:rsidP="00377F3A">
            <w:pPr>
              <w:pStyle w:val="TableText"/>
            </w:pPr>
            <w:r w:rsidRPr="001643EF">
              <w:t>from 1.5 to 4.1</w:t>
            </w:r>
          </w:p>
        </w:tc>
        <w:tc>
          <w:tcPr>
            <w:tcW w:w="1083" w:type="pct"/>
            <w:tcBorders>
              <w:top w:val="single" w:sz="4" w:space="0" w:color="auto"/>
              <w:left w:val="nil"/>
              <w:bottom w:val="nil"/>
              <w:right w:val="nil"/>
            </w:tcBorders>
          </w:tcPr>
          <w:p w14:paraId="3248FFB4" w14:textId="77777777" w:rsidR="007A780F" w:rsidRPr="001643EF" w:rsidRDefault="007A780F" w:rsidP="00377F3A">
            <w:pPr>
              <w:pStyle w:val="TableText"/>
            </w:pPr>
            <w:r w:rsidRPr="001643EF">
              <w:t>from 1.3 to 1.5</w:t>
            </w:r>
          </w:p>
        </w:tc>
      </w:tr>
      <w:tr w:rsidR="007A780F" w:rsidRPr="00401380" w14:paraId="56ECFF11" w14:textId="77777777" w:rsidTr="00BD5B63">
        <w:tc>
          <w:tcPr>
            <w:tcW w:w="341" w:type="pct"/>
            <w:vMerge/>
            <w:tcBorders>
              <w:left w:val="nil"/>
              <w:right w:val="nil"/>
            </w:tcBorders>
          </w:tcPr>
          <w:p w14:paraId="7E4AF6F4" w14:textId="77777777" w:rsidR="007A780F" w:rsidRPr="001643EF" w:rsidRDefault="007A780F" w:rsidP="00377F3A">
            <w:pPr>
              <w:pStyle w:val="TableText"/>
            </w:pPr>
          </w:p>
        </w:tc>
        <w:tc>
          <w:tcPr>
            <w:tcW w:w="789" w:type="pct"/>
            <w:vMerge/>
            <w:tcBorders>
              <w:left w:val="nil"/>
              <w:bottom w:val="single" w:sz="4" w:space="0" w:color="auto"/>
              <w:right w:val="nil"/>
            </w:tcBorders>
          </w:tcPr>
          <w:p w14:paraId="1CF0E4A8"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6080B7CD" w14:textId="77777777" w:rsidR="007A780F" w:rsidRPr="001643EF" w:rsidRDefault="007A780F" w:rsidP="00377F3A">
            <w:pPr>
              <w:pStyle w:val="TableText"/>
            </w:pPr>
            <w:r w:rsidRPr="001643EF">
              <w:t>Loose grain/ pellets</w:t>
            </w:r>
          </w:p>
        </w:tc>
        <w:tc>
          <w:tcPr>
            <w:tcW w:w="859" w:type="pct"/>
            <w:tcBorders>
              <w:top w:val="nil"/>
              <w:left w:val="nil"/>
              <w:bottom w:val="single" w:sz="4" w:space="0" w:color="auto"/>
              <w:right w:val="nil"/>
            </w:tcBorders>
          </w:tcPr>
          <w:p w14:paraId="45182B35" w14:textId="77777777" w:rsidR="007A780F" w:rsidRPr="001643EF" w:rsidRDefault="007A780F" w:rsidP="00377F3A">
            <w:pPr>
              <w:pStyle w:val="TableText"/>
            </w:pPr>
            <w:r w:rsidRPr="001643EF">
              <w:t>25</w:t>
            </w:r>
          </w:p>
        </w:tc>
        <w:tc>
          <w:tcPr>
            <w:tcW w:w="996" w:type="pct"/>
            <w:tcBorders>
              <w:top w:val="nil"/>
              <w:left w:val="nil"/>
              <w:bottom w:val="single" w:sz="4" w:space="0" w:color="auto"/>
              <w:right w:val="nil"/>
            </w:tcBorders>
          </w:tcPr>
          <w:p w14:paraId="4B3E7422" w14:textId="77777777" w:rsidR="007A780F" w:rsidRPr="001643EF" w:rsidRDefault="007A780F" w:rsidP="00377F3A">
            <w:pPr>
              <w:pStyle w:val="TableText"/>
            </w:pPr>
            <w:r w:rsidRPr="001643EF">
              <w:t>3.8</w:t>
            </w:r>
          </w:p>
        </w:tc>
        <w:tc>
          <w:tcPr>
            <w:tcW w:w="1083" w:type="pct"/>
            <w:tcBorders>
              <w:top w:val="nil"/>
              <w:left w:val="nil"/>
              <w:bottom w:val="single" w:sz="4" w:space="0" w:color="auto"/>
              <w:right w:val="nil"/>
            </w:tcBorders>
          </w:tcPr>
          <w:p w14:paraId="35FA1B10" w14:textId="77777777" w:rsidR="007A780F" w:rsidRPr="001643EF" w:rsidRDefault="007A780F" w:rsidP="00377F3A">
            <w:pPr>
              <w:pStyle w:val="TableText"/>
            </w:pPr>
            <w:r w:rsidRPr="001643EF">
              <w:t>1.3</w:t>
            </w:r>
          </w:p>
        </w:tc>
      </w:tr>
      <w:tr w:rsidR="007A780F" w:rsidRPr="00401380" w14:paraId="26F1D424" w14:textId="77777777" w:rsidTr="00EF5962">
        <w:tc>
          <w:tcPr>
            <w:tcW w:w="341" w:type="pct"/>
            <w:vMerge/>
            <w:tcBorders>
              <w:left w:val="nil"/>
              <w:right w:val="nil"/>
            </w:tcBorders>
          </w:tcPr>
          <w:p w14:paraId="5D02093D" w14:textId="77777777" w:rsidR="007A780F" w:rsidRPr="001643EF" w:rsidRDefault="007A780F" w:rsidP="00377F3A">
            <w:pPr>
              <w:pStyle w:val="TableText"/>
            </w:pPr>
          </w:p>
        </w:tc>
        <w:tc>
          <w:tcPr>
            <w:tcW w:w="789" w:type="pct"/>
            <w:vMerge w:val="restart"/>
            <w:tcBorders>
              <w:top w:val="single" w:sz="4" w:space="0" w:color="auto"/>
              <w:left w:val="nil"/>
              <w:right w:val="nil"/>
            </w:tcBorders>
          </w:tcPr>
          <w:p w14:paraId="32294FBD" w14:textId="77777777" w:rsidR="007A780F" w:rsidRPr="001643EF" w:rsidRDefault="007A780F" w:rsidP="00377F3A">
            <w:pPr>
              <w:pStyle w:val="TableText"/>
            </w:pPr>
            <w:r w:rsidRPr="001643EF">
              <w:t>Flocoumafen</w:t>
            </w:r>
          </w:p>
        </w:tc>
        <w:tc>
          <w:tcPr>
            <w:tcW w:w="932" w:type="pct"/>
            <w:tcBorders>
              <w:top w:val="single" w:sz="4" w:space="0" w:color="auto"/>
              <w:left w:val="nil"/>
              <w:bottom w:val="nil"/>
              <w:right w:val="nil"/>
            </w:tcBorders>
          </w:tcPr>
          <w:p w14:paraId="75E4D2AF" w14:textId="77777777" w:rsidR="007A780F" w:rsidRPr="001643EF" w:rsidRDefault="007A780F" w:rsidP="00377F3A">
            <w:pPr>
              <w:pStyle w:val="TableText"/>
            </w:pPr>
            <w:r w:rsidRPr="001643EF">
              <w:t>Sachet/ block/ paste</w:t>
            </w:r>
          </w:p>
        </w:tc>
        <w:tc>
          <w:tcPr>
            <w:tcW w:w="859" w:type="pct"/>
            <w:tcBorders>
              <w:top w:val="single" w:sz="4" w:space="0" w:color="auto"/>
              <w:left w:val="nil"/>
              <w:bottom w:val="nil"/>
              <w:right w:val="nil"/>
            </w:tcBorders>
          </w:tcPr>
          <w:p w14:paraId="66737949" w14:textId="77777777" w:rsidR="007A780F" w:rsidRPr="001643EF" w:rsidRDefault="007A780F" w:rsidP="00377F3A">
            <w:pPr>
              <w:pStyle w:val="TableText"/>
            </w:pPr>
            <w:r w:rsidRPr="001643EF">
              <w:t>50</w:t>
            </w:r>
          </w:p>
        </w:tc>
        <w:tc>
          <w:tcPr>
            <w:tcW w:w="996" w:type="pct"/>
            <w:tcBorders>
              <w:top w:val="single" w:sz="4" w:space="0" w:color="auto"/>
              <w:left w:val="nil"/>
              <w:bottom w:val="nil"/>
              <w:right w:val="nil"/>
            </w:tcBorders>
          </w:tcPr>
          <w:p w14:paraId="7700CD24" w14:textId="77777777" w:rsidR="007A780F" w:rsidRPr="001643EF" w:rsidRDefault="007A780F" w:rsidP="00377F3A">
            <w:pPr>
              <w:pStyle w:val="TableText"/>
            </w:pPr>
            <w:r w:rsidRPr="001643EF">
              <w:t>from 3.8 to 4.0</w:t>
            </w:r>
          </w:p>
        </w:tc>
        <w:tc>
          <w:tcPr>
            <w:tcW w:w="1083" w:type="pct"/>
            <w:tcBorders>
              <w:top w:val="single" w:sz="4" w:space="0" w:color="auto"/>
              <w:left w:val="nil"/>
              <w:bottom w:val="nil"/>
              <w:right w:val="nil"/>
            </w:tcBorders>
          </w:tcPr>
          <w:p w14:paraId="74CAE64B" w14:textId="77777777" w:rsidR="007A780F" w:rsidRPr="001643EF" w:rsidRDefault="007A780F" w:rsidP="00377F3A">
            <w:pPr>
              <w:pStyle w:val="TableText"/>
            </w:pPr>
            <w:r w:rsidRPr="001643EF">
              <w:t>from 2.0 to 2.3</w:t>
            </w:r>
          </w:p>
        </w:tc>
      </w:tr>
      <w:tr w:rsidR="007A780F" w:rsidRPr="00401380" w14:paraId="51430276" w14:textId="77777777" w:rsidTr="00EF5962">
        <w:tc>
          <w:tcPr>
            <w:tcW w:w="341" w:type="pct"/>
            <w:vMerge/>
            <w:tcBorders>
              <w:left w:val="nil"/>
              <w:bottom w:val="single" w:sz="4" w:space="0" w:color="auto"/>
              <w:right w:val="nil"/>
            </w:tcBorders>
          </w:tcPr>
          <w:p w14:paraId="26643D86" w14:textId="77777777" w:rsidR="007A780F" w:rsidRPr="001643EF" w:rsidRDefault="007A780F" w:rsidP="00377F3A">
            <w:pPr>
              <w:pStyle w:val="TableText"/>
            </w:pPr>
          </w:p>
        </w:tc>
        <w:tc>
          <w:tcPr>
            <w:tcW w:w="789" w:type="pct"/>
            <w:vMerge/>
            <w:tcBorders>
              <w:left w:val="nil"/>
              <w:bottom w:val="single" w:sz="4" w:space="0" w:color="auto"/>
              <w:right w:val="nil"/>
            </w:tcBorders>
          </w:tcPr>
          <w:p w14:paraId="6E990C5A" w14:textId="77777777" w:rsidR="007A780F" w:rsidRPr="001643EF" w:rsidRDefault="007A780F" w:rsidP="00377F3A">
            <w:pPr>
              <w:pStyle w:val="TableText"/>
            </w:pPr>
          </w:p>
        </w:tc>
        <w:tc>
          <w:tcPr>
            <w:tcW w:w="932" w:type="pct"/>
            <w:tcBorders>
              <w:top w:val="nil"/>
              <w:left w:val="nil"/>
              <w:bottom w:val="single" w:sz="4" w:space="0" w:color="auto"/>
              <w:right w:val="nil"/>
            </w:tcBorders>
          </w:tcPr>
          <w:p w14:paraId="007BCE43" w14:textId="77777777" w:rsidR="007A780F" w:rsidRPr="001643EF" w:rsidRDefault="007A780F" w:rsidP="00377F3A">
            <w:pPr>
              <w:pStyle w:val="TableText"/>
            </w:pPr>
            <w:r w:rsidRPr="001643EF">
              <w:t>Loose grain/ pellets</w:t>
            </w:r>
          </w:p>
        </w:tc>
        <w:tc>
          <w:tcPr>
            <w:tcW w:w="859" w:type="pct"/>
            <w:tcBorders>
              <w:top w:val="nil"/>
              <w:left w:val="nil"/>
              <w:bottom w:val="single" w:sz="4" w:space="0" w:color="auto"/>
              <w:right w:val="nil"/>
            </w:tcBorders>
          </w:tcPr>
          <w:p w14:paraId="28A493AB" w14:textId="77777777" w:rsidR="007A780F" w:rsidRPr="001643EF" w:rsidRDefault="007A780F" w:rsidP="00377F3A">
            <w:pPr>
              <w:pStyle w:val="TableText"/>
            </w:pPr>
            <w:r w:rsidRPr="001643EF">
              <w:t>50</w:t>
            </w:r>
          </w:p>
        </w:tc>
        <w:tc>
          <w:tcPr>
            <w:tcW w:w="996" w:type="pct"/>
            <w:tcBorders>
              <w:top w:val="nil"/>
              <w:left w:val="nil"/>
              <w:bottom w:val="single" w:sz="4" w:space="0" w:color="auto"/>
              <w:right w:val="nil"/>
            </w:tcBorders>
          </w:tcPr>
          <w:p w14:paraId="4CC1CADB" w14:textId="77777777" w:rsidR="007A780F" w:rsidRPr="001643EF" w:rsidRDefault="007A780F" w:rsidP="00377F3A">
            <w:pPr>
              <w:pStyle w:val="TableText"/>
            </w:pPr>
            <w:r w:rsidRPr="001643EF">
              <w:t>2.3</w:t>
            </w:r>
          </w:p>
        </w:tc>
        <w:tc>
          <w:tcPr>
            <w:tcW w:w="1083" w:type="pct"/>
            <w:tcBorders>
              <w:top w:val="nil"/>
              <w:left w:val="nil"/>
              <w:bottom w:val="single" w:sz="4" w:space="0" w:color="auto"/>
              <w:right w:val="nil"/>
            </w:tcBorders>
          </w:tcPr>
          <w:p w14:paraId="419020B1" w14:textId="77777777" w:rsidR="007A780F" w:rsidRPr="001643EF" w:rsidRDefault="007A780F" w:rsidP="00377F3A">
            <w:pPr>
              <w:pStyle w:val="TableText"/>
            </w:pPr>
            <w:r w:rsidRPr="001643EF">
              <w:t>0.76</w:t>
            </w:r>
          </w:p>
        </w:tc>
      </w:tr>
    </w:tbl>
    <w:p w14:paraId="12C252BE" w14:textId="6623BE1A" w:rsidR="00FD32F4" w:rsidRDefault="001643EF" w:rsidP="00FD32F4">
      <w:pPr>
        <w:pStyle w:val="Caption"/>
      </w:pPr>
      <w:bookmarkStart w:id="1082" w:name="_Ref213317938"/>
      <w:bookmarkStart w:id="1083" w:name="_Toc213946023"/>
      <w:bookmarkStart w:id="1084" w:name="_Toc216695709"/>
      <w:r>
        <w:t xml:space="preserve">Table </w:t>
      </w:r>
      <w:r>
        <w:fldChar w:fldCharType="begin"/>
      </w:r>
      <w:r>
        <w:instrText xml:space="preserve"> SEQ Table \* ARABIC </w:instrText>
      </w:r>
      <w:r>
        <w:fldChar w:fldCharType="separate"/>
      </w:r>
      <w:r w:rsidR="003861AC">
        <w:rPr>
          <w:noProof/>
        </w:rPr>
        <w:t>47</w:t>
      </w:r>
      <w:r>
        <w:fldChar w:fldCharType="end"/>
      </w:r>
      <w:bookmarkEnd w:id="1082"/>
      <w:r w:rsidR="00FD32F4">
        <w:t>:</w:t>
      </w:r>
      <w:r>
        <w:t xml:space="preserve"> </w:t>
      </w:r>
      <w:r w:rsidR="00FD32F4">
        <w:t>Use rates in agricultural crops</w:t>
      </w:r>
      <w:bookmarkEnd w:id="1083"/>
      <w:bookmarkEnd w:id="10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64"/>
        <w:gridCol w:w="2007"/>
        <w:gridCol w:w="1865"/>
        <w:gridCol w:w="3257"/>
        <w:gridCol w:w="1735"/>
      </w:tblGrid>
      <w:tr w:rsidR="00FD32F4" w:rsidRPr="00CA558C" w14:paraId="7AED10C1" w14:textId="77777777" w:rsidTr="0017134F">
        <w:trPr>
          <w:tblHeader/>
        </w:trPr>
        <w:tc>
          <w:tcPr>
            <w:tcW w:w="0" w:type="auto"/>
            <w:tcBorders>
              <w:bottom w:val="single" w:sz="4" w:space="0" w:color="auto"/>
            </w:tcBorders>
            <w:shd w:val="clear" w:color="auto" w:fill="53284F"/>
          </w:tcPr>
          <w:p w14:paraId="43ED0FC0" w14:textId="77777777" w:rsidR="00FD32F4" w:rsidRDefault="00FD32F4" w:rsidP="00377F3A">
            <w:pPr>
              <w:pStyle w:val="TableHead"/>
            </w:pPr>
            <w:r>
              <w:t>Group</w:t>
            </w:r>
          </w:p>
        </w:tc>
        <w:tc>
          <w:tcPr>
            <w:tcW w:w="0" w:type="auto"/>
            <w:tcBorders>
              <w:bottom w:val="single" w:sz="4" w:space="0" w:color="auto"/>
            </w:tcBorders>
            <w:shd w:val="clear" w:color="auto" w:fill="53284F"/>
          </w:tcPr>
          <w:p w14:paraId="78821296" w14:textId="77777777" w:rsidR="00FD32F4" w:rsidRDefault="00FD32F4" w:rsidP="00377F3A">
            <w:pPr>
              <w:pStyle w:val="TableHead"/>
            </w:pPr>
            <w:r>
              <w:t>Active constituent</w:t>
            </w:r>
          </w:p>
        </w:tc>
        <w:tc>
          <w:tcPr>
            <w:tcW w:w="0" w:type="auto"/>
            <w:tcBorders>
              <w:bottom w:val="single" w:sz="4" w:space="0" w:color="auto"/>
            </w:tcBorders>
            <w:shd w:val="clear" w:color="auto" w:fill="53284F"/>
          </w:tcPr>
          <w:p w14:paraId="310FFC87" w14:textId="77777777" w:rsidR="00FD32F4" w:rsidRDefault="00FD32F4" w:rsidP="00377F3A">
            <w:pPr>
              <w:pStyle w:val="TableHead"/>
            </w:pPr>
            <w:r>
              <w:t>Bait type</w:t>
            </w:r>
          </w:p>
        </w:tc>
        <w:tc>
          <w:tcPr>
            <w:tcW w:w="0" w:type="auto"/>
            <w:tcBorders>
              <w:bottom w:val="single" w:sz="4" w:space="0" w:color="auto"/>
            </w:tcBorders>
            <w:shd w:val="clear" w:color="auto" w:fill="53284F"/>
          </w:tcPr>
          <w:p w14:paraId="4D57A095" w14:textId="78FCF8EF" w:rsidR="00FD32F4" w:rsidRDefault="00FD32F4" w:rsidP="00377F3A">
            <w:pPr>
              <w:pStyle w:val="TableHead"/>
            </w:pPr>
            <w:r>
              <w:t xml:space="preserve">Bait concentration </w:t>
            </w:r>
            <w:r w:rsidRPr="00645253">
              <w:rPr>
                <w:sz w:val="16"/>
                <w:szCs w:val="16"/>
              </w:rPr>
              <w:t>(</w:t>
            </w:r>
            <w:r>
              <w:rPr>
                <w:sz w:val="16"/>
                <w:szCs w:val="16"/>
              </w:rPr>
              <w:t>m</w:t>
            </w:r>
            <w:r w:rsidRPr="00645253">
              <w:rPr>
                <w:sz w:val="16"/>
                <w:szCs w:val="16"/>
              </w:rPr>
              <w:t>g a</w:t>
            </w:r>
            <w:r w:rsidR="00C874AD">
              <w:rPr>
                <w:sz w:val="16"/>
                <w:szCs w:val="16"/>
              </w:rPr>
              <w:t>.</w:t>
            </w:r>
            <w:r w:rsidRPr="00645253">
              <w:rPr>
                <w:sz w:val="16"/>
                <w:szCs w:val="16"/>
              </w:rPr>
              <w:t>c</w:t>
            </w:r>
            <w:r w:rsidR="00C874AD">
              <w:rPr>
                <w:sz w:val="16"/>
                <w:szCs w:val="16"/>
              </w:rPr>
              <w:t>.</w:t>
            </w:r>
            <w:r w:rsidRPr="00645253">
              <w:rPr>
                <w:sz w:val="16"/>
                <w:szCs w:val="16"/>
              </w:rPr>
              <w:t>/kg)</w:t>
            </w:r>
          </w:p>
        </w:tc>
        <w:tc>
          <w:tcPr>
            <w:tcW w:w="0" w:type="auto"/>
            <w:tcBorders>
              <w:bottom w:val="single" w:sz="4" w:space="0" w:color="auto"/>
            </w:tcBorders>
            <w:shd w:val="clear" w:color="auto" w:fill="53284F"/>
          </w:tcPr>
          <w:p w14:paraId="35B8504B" w14:textId="7F226BD8" w:rsidR="00FD32F4" w:rsidRDefault="00FD32F4" w:rsidP="00377F3A">
            <w:pPr>
              <w:pStyle w:val="TableHead"/>
            </w:pPr>
            <w:r>
              <w:t>mg a</w:t>
            </w:r>
            <w:r w:rsidR="00C874AD">
              <w:t>.</w:t>
            </w:r>
            <w:r>
              <w:t>c</w:t>
            </w:r>
            <w:r w:rsidR="00C874AD">
              <w:t>.</w:t>
            </w:r>
            <w:r>
              <w:t>/station</w:t>
            </w:r>
          </w:p>
        </w:tc>
      </w:tr>
      <w:tr w:rsidR="00FD32F4" w:rsidRPr="00401380" w14:paraId="70561B4F" w14:textId="77777777" w:rsidTr="00E078CC">
        <w:tc>
          <w:tcPr>
            <w:tcW w:w="0" w:type="auto"/>
            <w:tcBorders>
              <w:top w:val="single" w:sz="4" w:space="0" w:color="auto"/>
              <w:left w:val="nil"/>
              <w:bottom w:val="nil"/>
              <w:right w:val="nil"/>
            </w:tcBorders>
          </w:tcPr>
          <w:p w14:paraId="73A8AF33" w14:textId="77777777" w:rsidR="00FD32F4" w:rsidRPr="001643EF" w:rsidRDefault="00FD32F4" w:rsidP="00377F3A">
            <w:pPr>
              <w:pStyle w:val="TableText"/>
            </w:pPr>
            <w:r w:rsidRPr="001643EF">
              <w:t>FGAR</w:t>
            </w:r>
          </w:p>
        </w:tc>
        <w:tc>
          <w:tcPr>
            <w:tcW w:w="0" w:type="auto"/>
            <w:tcBorders>
              <w:top w:val="single" w:sz="4" w:space="0" w:color="auto"/>
              <w:left w:val="nil"/>
              <w:bottom w:val="nil"/>
              <w:right w:val="nil"/>
            </w:tcBorders>
          </w:tcPr>
          <w:p w14:paraId="295637BB" w14:textId="77777777" w:rsidR="00FD32F4" w:rsidRPr="001643EF" w:rsidRDefault="00FD32F4" w:rsidP="00377F3A">
            <w:pPr>
              <w:pStyle w:val="TableText"/>
            </w:pPr>
            <w:r w:rsidRPr="001643EF">
              <w:t>Coumatetralyl</w:t>
            </w:r>
          </w:p>
        </w:tc>
        <w:tc>
          <w:tcPr>
            <w:tcW w:w="0" w:type="auto"/>
            <w:tcBorders>
              <w:top w:val="single" w:sz="4" w:space="0" w:color="auto"/>
              <w:left w:val="nil"/>
              <w:bottom w:val="single" w:sz="4" w:space="0" w:color="auto"/>
              <w:right w:val="nil"/>
            </w:tcBorders>
          </w:tcPr>
          <w:p w14:paraId="6BA4D2AE" w14:textId="77777777" w:rsidR="00FD32F4" w:rsidRPr="001643EF" w:rsidRDefault="00FD32F4" w:rsidP="00377F3A">
            <w:pPr>
              <w:pStyle w:val="TableText"/>
            </w:pPr>
            <w:r w:rsidRPr="001643EF">
              <w:t>Block</w:t>
            </w:r>
          </w:p>
        </w:tc>
        <w:tc>
          <w:tcPr>
            <w:tcW w:w="0" w:type="auto"/>
            <w:tcBorders>
              <w:top w:val="single" w:sz="4" w:space="0" w:color="auto"/>
              <w:left w:val="nil"/>
              <w:bottom w:val="single" w:sz="4" w:space="0" w:color="auto"/>
              <w:right w:val="nil"/>
            </w:tcBorders>
          </w:tcPr>
          <w:p w14:paraId="2D333D92" w14:textId="77777777" w:rsidR="00FD32F4" w:rsidRPr="001643EF" w:rsidRDefault="00FD32F4" w:rsidP="00377F3A">
            <w:pPr>
              <w:pStyle w:val="TableText"/>
            </w:pPr>
            <w:r w:rsidRPr="001643EF">
              <w:t>370</w:t>
            </w:r>
          </w:p>
        </w:tc>
        <w:tc>
          <w:tcPr>
            <w:tcW w:w="0" w:type="auto"/>
            <w:tcBorders>
              <w:top w:val="single" w:sz="4" w:space="0" w:color="auto"/>
              <w:left w:val="nil"/>
              <w:bottom w:val="single" w:sz="4" w:space="0" w:color="auto"/>
              <w:right w:val="nil"/>
            </w:tcBorders>
          </w:tcPr>
          <w:p w14:paraId="21CDD44C" w14:textId="77777777" w:rsidR="00FD32F4" w:rsidRPr="001643EF" w:rsidRDefault="00FD32F4" w:rsidP="00377F3A">
            <w:pPr>
              <w:pStyle w:val="TableText"/>
            </w:pPr>
            <w:r w:rsidRPr="001643EF">
              <w:t>22</w:t>
            </w:r>
          </w:p>
        </w:tc>
      </w:tr>
      <w:tr w:rsidR="00FD32F4" w:rsidRPr="00401380" w14:paraId="2C8AA561" w14:textId="77777777" w:rsidTr="00E078CC">
        <w:tc>
          <w:tcPr>
            <w:tcW w:w="0" w:type="auto"/>
            <w:tcBorders>
              <w:top w:val="nil"/>
              <w:left w:val="nil"/>
              <w:bottom w:val="nil"/>
              <w:right w:val="nil"/>
            </w:tcBorders>
          </w:tcPr>
          <w:p w14:paraId="32628C47" w14:textId="77777777" w:rsidR="00FD32F4" w:rsidRPr="001643EF" w:rsidRDefault="00FD32F4" w:rsidP="00377F3A">
            <w:pPr>
              <w:pStyle w:val="TableText"/>
            </w:pPr>
          </w:p>
        </w:tc>
        <w:tc>
          <w:tcPr>
            <w:tcW w:w="0" w:type="auto"/>
            <w:tcBorders>
              <w:top w:val="nil"/>
              <w:left w:val="nil"/>
              <w:bottom w:val="nil"/>
              <w:right w:val="nil"/>
            </w:tcBorders>
          </w:tcPr>
          <w:p w14:paraId="09AC4CE6" w14:textId="77777777" w:rsidR="00FD32F4" w:rsidRPr="001643EF" w:rsidRDefault="00FD32F4" w:rsidP="00377F3A">
            <w:pPr>
              <w:pStyle w:val="TableText"/>
            </w:pPr>
          </w:p>
        </w:tc>
        <w:tc>
          <w:tcPr>
            <w:tcW w:w="0" w:type="auto"/>
            <w:tcBorders>
              <w:top w:val="single" w:sz="4" w:space="0" w:color="auto"/>
              <w:left w:val="nil"/>
              <w:bottom w:val="nil"/>
              <w:right w:val="nil"/>
            </w:tcBorders>
          </w:tcPr>
          <w:p w14:paraId="320EC383" w14:textId="77777777" w:rsidR="00FD32F4" w:rsidRPr="001643EF" w:rsidRDefault="00FD32F4" w:rsidP="00377F3A">
            <w:pPr>
              <w:pStyle w:val="TableText"/>
            </w:pPr>
            <w:r w:rsidRPr="001643EF">
              <w:t>Loose grain/ fruit</w:t>
            </w:r>
          </w:p>
        </w:tc>
        <w:tc>
          <w:tcPr>
            <w:tcW w:w="0" w:type="auto"/>
            <w:tcBorders>
              <w:top w:val="single" w:sz="4" w:space="0" w:color="auto"/>
              <w:left w:val="nil"/>
              <w:bottom w:val="nil"/>
              <w:right w:val="nil"/>
            </w:tcBorders>
          </w:tcPr>
          <w:p w14:paraId="7B6F35A7" w14:textId="77777777" w:rsidR="00FD32F4" w:rsidRPr="001643EF" w:rsidRDefault="00FD32F4" w:rsidP="00377F3A">
            <w:pPr>
              <w:pStyle w:val="TableText"/>
            </w:pPr>
            <w:r w:rsidRPr="001643EF">
              <w:t>357</w:t>
            </w:r>
          </w:p>
        </w:tc>
        <w:tc>
          <w:tcPr>
            <w:tcW w:w="0" w:type="auto"/>
            <w:tcBorders>
              <w:top w:val="single" w:sz="4" w:space="0" w:color="auto"/>
              <w:left w:val="nil"/>
              <w:bottom w:val="nil"/>
              <w:right w:val="nil"/>
            </w:tcBorders>
          </w:tcPr>
          <w:p w14:paraId="746A494B" w14:textId="77777777" w:rsidR="00FD32F4" w:rsidRPr="001643EF" w:rsidRDefault="00FD32F4" w:rsidP="00377F3A">
            <w:pPr>
              <w:pStyle w:val="TableText"/>
            </w:pPr>
            <w:r w:rsidRPr="001643EF">
              <w:t>36</w:t>
            </w:r>
          </w:p>
        </w:tc>
      </w:tr>
      <w:tr w:rsidR="00FD32F4" w:rsidRPr="00401380" w14:paraId="1855E659" w14:textId="77777777" w:rsidTr="00E078CC">
        <w:tc>
          <w:tcPr>
            <w:tcW w:w="0" w:type="auto"/>
            <w:tcBorders>
              <w:top w:val="nil"/>
              <w:left w:val="nil"/>
              <w:bottom w:val="single" w:sz="4" w:space="0" w:color="auto"/>
              <w:right w:val="nil"/>
            </w:tcBorders>
          </w:tcPr>
          <w:p w14:paraId="5DF739B3" w14:textId="77777777" w:rsidR="00FD32F4" w:rsidRPr="001643EF" w:rsidRDefault="00FD32F4" w:rsidP="00377F3A">
            <w:pPr>
              <w:pStyle w:val="TableText"/>
            </w:pPr>
          </w:p>
        </w:tc>
        <w:tc>
          <w:tcPr>
            <w:tcW w:w="0" w:type="auto"/>
            <w:tcBorders>
              <w:top w:val="nil"/>
              <w:left w:val="nil"/>
              <w:bottom w:val="single" w:sz="4" w:space="0" w:color="auto"/>
              <w:right w:val="nil"/>
            </w:tcBorders>
          </w:tcPr>
          <w:p w14:paraId="706D8275" w14:textId="77777777" w:rsidR="00FD32F4" w:rsidRPr="001643EF" w:rsidRDefault="00FD32F4" w:rsidP="00377F3A">
            <w:pPr>
              <w:pStyle w:val="TableText"/>
            </w:pPr>
          </w:p>
        </w:tc>
        <w:tc>
          <w:tcPr>
            <w:tcW w:w="0" w:type="auto"/>
            <w:tcBorders>
              <w:top w:val="nil"/>
              <w:left w:val="nil"/>
              <w:bottom w:val="single" w:sz="4" w:space="0" w:color="auto"/>
              <w:right w:val="nil"/>
            </w:tcBorders>
          </w:tcPr>
          <w:p w14:paraId="3432BB11" w14:textId="77777777" w:rsidR="00FD32F4" w:rsidRPr="001643EF" w:rsidRDefault="00FD32F4" w:rsidP="00377F3A">
            <w:pPr>
              <w:pStyle w:val="TableText"/>
            </w:pPr>
          </w:p>
        </w:tc>
        <w:tc>
          <w:tcPr>
            <w:tcW w:w="0" w:type="auto"/>
            <w:tcBorders>
              <w:top w:val="nil"/>
              <w:left w:val="nil"/>
              <w:bottom w:val="single" w:sz="4" w:space="0" w:color="auto"/>
              <w:right w:val="nil"/>
            </w:tcBorders>
          </w:tcPr>
          <w:p w14:paraId="193F38B2" w14:textId="77777777" w:rsidR="00FD32F4" w:rsidRPr="001643EF" w:rsidRDefault="00FD32F4" w:rsidP="00377F3A">
            <w:pPr>
              <w:pStyle w:val="TableText"/>
            </w:pPr>
            <w:r w:rsidRPr="001643EF">
              <w:t>381</w:t>
            </w:r>
          </w:p>
        </w:tc>
        <w:tc>
          <w:tcPr>
            <w:tcW w:w="0" w:type="auto"/>
            <w:tcBorders>
              <w:top w:val="nil"/>
              <w:left w:val="nil"/>
              <w:bottom w:val="single" w:sz="4" w:space="0" w:color="auto"/>
              <w:right w:val="nil"/>
            </w:tcBorders>
          </w:tcPr>
          <w:p w14:paraId="296EBD03" w14:textId="77777777" w:rsidR="00FD32F4" w:rsidRPr="001643EF" w:rsidRDefault="00FD32F4" w:rsidP="00377F3A">
            <w:pPr>
              <w:pStyle w:val="TableText"/>
            </w:pPr>
            <w:r w:rsidRPr="001643EF">
              <w:t>38</w:t>
            </w:r>
          </w:p>
        </w:tc>
      </w:tr>
    </w:tbl>
    <w:p w14:paraId="32729809" w14:textId="1A5216BA" w:rsidR="00FD32F4" w:rsidRDefault="001643EF" w:rsidP="00FD32F4">
      <w:pPr>
        <w:pStyle w:val="Caption"/>
      </w:pPr>
      <w:bookmarkStart w:id="1085" w:name="_Ref213315070"/>
      <w:bookmarkStart w:id="1086" w:name="_Toc213946024"/>
      <w:bookmarkStart w:id="1087" w:name="_Toc216695710"/>
      <w:r>
        <w:t xml:space="preserve">Table </w:t>
      </w:r>
      <w:r>
        <w:fldChar w:fldCharType="begin"/>
      </w:r>
      <w:r>
        <w:instrText xml:space="preserve"> SEQ Table \* ARABIC </w:instrText>
      </w:r>
      <w:r>
        <w:fldChar w:fldCharType="separate"/>
      </w:r>
      <w:r w:rsidR="003861AC">
        <w:rPr>
          <w:noProof/>
        </w:rPr>
        <w:t>48</w:t>
      </w:r>
      <w:r>
        <w:fldChar w:fldCharType="end"/>
      </w:r>
      <w:bookmarkEnd w:id="1085"/>
      <w:r>
        <w:t xml:space="preserve">: </w:t>
      </w:r>
      <w:r w:rsidR="00FD32F4">
        <w:t>Use rates in sewers</w:t>
      </w:r>
      <w:bookmarkEnd w:id="1086"/>
      <w:bookmarkEnd w:id="10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
        <w:gridCol w:w="2485"/>
        <w:gridCol w:w="4033"/>
        <w:gridCol w:w="2148"/>
      </w:tblGrid>
      <w:tr w:rsidR="00FD32F4" w:rsidRPr="00CA558C" w14:paraId="4FD34C5C" w14:textId="77777777" w:rsidTr="0017134F">
        <w:trPr>
          <w:tblHeader/>
        </w:trPr>
        <w:tc>
          <w:tcPr>
            <w:tcW w:w="0" w:type="auto"/>
            <w:tcBorders>
              <w:bottom w:val="single" w:sz="4" w:space="0" w:color="auto"/>
            </w:tcBorders>
            <w:shd w:val="clear" w:color="auto" w:fill="53284F"/>
          </w:tcPr>
          <w:p w14:paraId="713F517B" w14:textId="77777777" w:rsidR="00FD32F4" w:rsidRDefault="00FD32F4" w:rsidP="00377F3A">
            <w:pPr>
              <w:pStyle w:val="TableHead"/>
            </w:pPr>
            <w:r>
              <w:t>Group</w:t>
            </w:r>
          </w:p>
        </w:tc>
        <w:tc>
          <w:tcPr>
            <w:tcW w:w="0" w:type="auto"/>
            <w:tcBorders>
              <w:bottom w:val="single" w:sz="4" w:space="0" w:color="auto"/>
            </w:tcBorders>
            <w:shd w:val="clear" w:color="auto" w:fill="53284F"/>
          </w:tcPr>
          <w:p w14:paraId="2525CF13" w14:textId="77777777" w:rsidR="00FD32F4" w:rsidRDefault="00FD32F4" w:rsidP="00377F3A">
            <w:pPr>
              <w:pStyle w:val="TableHead"/>
            </w:pPr>
            <w:r>
              <w:t>Active constituent</w:t>
            </w:r>
          </w:p>
        </w:tc>
        <w:tc>
          <w:tcPr>
            <w:tcW w:w="0" w:type="auto"/>
            <w:tcBorders>
              <w:bottom w:val="single" w:sz="4" w:space="0" w:color="auto"/>
            </w:tcBorders>
            <w:shd w:val="clear" w:color="auto" w:fill="53284F"/>
          </w:tcPr>
          <w:p w14:paraId="3685DB41" w14:textId="4DF9C97F" w:rsidR="00FD32F4" w:rsidRDefault="00FD32F4" w:rsidP="00377F3A">
            <w:pPr>
              <w:pStyle w:val="TableHead"/>
            </w:pPr>
            <w:r>
              <w:t xml:space="preserve">Bait concentration </w:t>
            </w:r>
            <w:r w:rsidRPr="00645253">
              <w:rPr>
                <w:sz w:val="16"/>
                <w:szCs w:val="16"/>
              </w:rPr>
              <w:t>(</w:t>
            </w:r>
            <w:r>
              <w:rPr>
                <w:sz w:val="16"/>
                <w:szCs w:val="16"/>
              </w:rPr>
              <w:t>m</w:t>
            </w:r>
            <w:r w:rsidRPr="00645253">
              <w:rPr>
                <w:sz w:val="16"/>
                <w:szCs w:val="16"/>
              </w:rPr>
              <w:t>g a</w:t>
            </w:r>
            <w:r w:rsidR="00C874AD">
              <w:rPr>
                <w:sz w:val="16"/>
                <w:szCs w:val="16"/>
              </w:rPr>
              <w:t>.</w:t>
            </w:r>
            <w:r w:rsidRPr="00645253">
              <w:rPr>
                <w:sz w:val="16"/>
                <w:szCs w:val="16"/>
              </w:rPr>
              <w:t>c</w:t>
            </w:r>
            <w:r w:rsidR="00C874AD">
              <w:rPr>
                <w:sz w:val="16"/>
                <w:szCs w:val="16"/>
              </w:rPr>
              <w:t>.</w:t>
            </w:r>
            <w:r w:rsidRPr="00645253">
              <w:rPr>
                <w:sz w:val="16"/>
                <w:szCs w:val="16"/>
              </w:rPr>
              <w:t>/kg)</w:t>
            </w:r>
          </w:p>
        </w:tc>
        <w:tc>
          <w:tcPr>
            <w:tcW w:w="0" w:type="auto"/>
            <w:tcBorders>
              <w:bottom w:val="single" w:sz="4" w:space="0" w:color="auto"/>
            </w:tcBorders>
            <w:shd w:val="clear" w:color="auto" w:fill="53284F"/>
          </w:tcPr>
          <w:p w14:paraId="48390DCD" w14:textId="178671F3" w:rsidR="00FD32F4" w:rsidRDefault="00FD32F4" w:rsidP="00377F3A">
            <w:pPr>
              <w:pStyle w:val="TableHead"/>
            </w:pPr>
            <w:r>
              <w:t>mg a</w:t>
            </w:r>
            <w:r w:rsidR="00C874AD">
              <w:t>.</w:t>
            </w:r>
            <w:r>
              <w:t>c</w:t>
            </w:r>
            <w:r w:rsidR="00C874AD">
              <w:t>.</w:t>
            </w:r>
            <w:r>
              <w:t>/station</w:t>
            </w:r>
          </w:p>
        </w:tc>
      </w:tr>
      <w:tr w:rsidR="00FD32F4" w:rsidRPr="00401380" w14:paraId="538580CC" w14:textId="77777777" w:rsidTr="00E078CC">
        <w:tc>
          <w:tcPr>
            <w:tcW w:w="0" w:type="auto"/>
            <w:tcBorders>
              <w:top w:val="single" w:sz="4" w:space="0" w:color="auto"/>
              <w:left w:val="nil"/>
              <w:bottom w:val="nil"/>
              <w:right w:val="nil"/>
            </w:tcBorders>
          </w:tcPr>
          <w:p w14:paraId="78254BEC" w14:textId="77777777" w:rsidR="00FD32F4" w:rsidRPr="001643EF" w:rsidRDefault="00FD32F4" w:rsidP="00377F3A">
            <w:pPr>
              <w:pStyle w:val="TableText"/>
            </w:pPr>
            <w:r w:rsidRPr="001643EF">
              <w:t>SGAR</w:t>
            </w:r>
          </w:p>
        </w:tc>
        <w:tc>
          <w:tcPr>
            <w:tcW w:w="0" w:type="auto"/>
            <w:tcBorders>
              <w:top w:val="single" w:sz="4" w:space="0" w:color="auto"/>
              <w:left w:val="nil"/>
              <w:bottom w:val="nil"/>
              <w:right w:val="nil"/>
            </w:tcBorders>
          </w:tcPr>
          <w:p w14:paraId="49DE8928" w14:textId="77777777" w:rsidR="00FD32F4" w:rsidRPr="001643EF" w:rsidRDefault="00FD32F4" w:rsidP="00377F3A">
            <w:pPr>
              <w:pStyle w:val="TableText"/>
            </w:pPr>
            <w:r w:rsidRPr="001643EF">
              <w:t>Difethialone</w:t>
            </w:r>
          </w:p>
        </w:tc>
        <w:tc>
          <w:tcPr>
            <w:tcW w:w="0" w:type="auto"/>
            <w:tcBorders>
              <w:top w:val="single" w:sz="4" w:space="0" w:color="auto"/>
              <w:left w:val="nil"/>
              <w:bottom w:val="nil"/>
              <w:right w:val="nil"/>
            </w:tcBorders>
          </w:tcPr>
          <w:p w14:paraId="79409713" w14:textId="77777777" w:rsidR="00FD32F4" w:rsidRPr="001643EF" w:rsidRDefault="00FD32F4" w:rsidP="00377F3A">
            <w:pPr>
              <w:pStyle w:val="TableText"/>
            </w:pPr>
            <w:r w:rsidRPr="001643EF">
              <w:t>25</w:t>
            </w:r>
          </w:p>
        </w:tc>
        <w:tc>
          <w:tcPr>
            <w:tcW w:w="0" w:type="auto"/>
            <w:tcBorders>
              <w:top w:val="single" w:sz="4" w:space="0" w:color="auto"/>
              <w:left w:val="nil"/>
              <w:bottom w:val="nil"/>
              <w:right w:val="nil"/>
            </w:tcBorders>
          </w:tcPr>
          <w:p w14:paraId="3DF0A20C" w14:textId="77777777" w:rsidR="00FD32F4" w:rsidRPr="001643EF" w:rsidRDefault="00FD32F4" w:rsidP="00377F3A">
            <w:pPr>
              <w:pStyle w:val="TableText"/>
            </w:pPr>
            <w:r w:rsidRPr="001643EF">
              <w:t>2.5</w:t>
            </w:r>
          </w:p>
        </w:tc>
      </w:tr>
      <w:tr w:rsidR="00FD32F4" w:rsidRPr="00401380" w14:paraId="12F52F8D" w14:textId="77777777" w:rsidTr="00E078CC">
        <w:tc>
          <w:tcPr>
            <w:tcW w:w="0" w:type="auto"/>
            <w:tcBorders>
              <w:top w:val="nil"/>
              <w:left w:val="nil"/>
              <w:bottom w:val="single" w:sz="4" w:space="0" w:color="auto"/>
              <w:right w:val="nil"/>
            </w:tcBorders>
          </w:tcPr>
          <w:p w14:paraId="43AAF52A" w14:textId="77777777" w:rsidR="00FD32F4" w:rsidRPr="001643EF" w:rsidRDefault="00FD32F4" w:rsidP="00377F3A">
            <w:pPr>
              <w:pStyle w:val="TableText"/>
            </w:pPr>
          </w:p>
        </w:tc>
        <w:tc>
          <w:tcPr>
            <w:tcW w:w="0" w:type="auto"/>
            <w:tcBorders>
              <w:top w:val="nil"/>
              <w:left w:val="nil"/>
              <w:bottom w:val="single" w:sz="4" w:space="0" w:color="auto"/>
              <w:right w:val="nil"/>
            </w:tcBorders>
          </w:tcPr>
          <w:p w14:paraId="108C2B0C" w14:textId="77777777" w:rsidR="00FD32F4" w:rsidRPr="001643EF" w:rsidRDefault="00FD32F4" w:rsidP="00377F3A">
            <w:pPr>
              <w:pStyle w:val="TableText"/>
            </w:pPr>
            <w:r w:rsidRPr="001643EF">
              <w:t>Flocoumafen</w:t>
            </w:r>
          </w:p>
        </w:tc>
        <w:tc>
          <w:tcPr>
            <w:tcW w:w="0" w:type="auto"/>
            <w:tcBorders>
              <w:top w:val="nil"/>
              <w:left w:val="nil"/>
              <w:bottom w:val="single" w:sz="4" w:space="0" w:color="auto"/>
              <w:right w:val="nil"/>
            </w:tcBorders>
          </w:tcPr>
          <w:p w14:paraId="6C5C1637" w14:textId="77777777" w:rsidR="00FD32F4" w:rsidRPr="001643EF" w:rsidRDefault="00FD32F4" w:rsidP="00377F3A">
            <w:pPr>
              <w:pStyle w:val="TableText"/>
            </w:pPr>
            <w:r w:rsidRPr="001643EF">
              <w:t>50</w:t>
            </w:r>
          </w:p>
        </w:tc>
        <w:tc>
          <w:tcPr>
            <w:tcW w:w="0" w:type="auto"/>
            <w:tcBorders>
              <w:top w:val="nil"/>
              <w:left w:val="nil"/>
              <w:bottom w:val="single" w:sz="4" w:space="0" w:color="auto"/>
              <w:right w:val="nil"/>
            </w:tcBorders>
          </w:tcPr>
          <w:p w14:paraId="23CD384A" w14:textId="77777777" w:rsidR="00FD32F4" w:rsidRPr="001643EF" w:rsidRDefault="00FD32F4" w:rsidP="00377F3A">
            <w:pPr>
              <w:pStyle w:val="TableText"/>
            </w:pPr>
            <w:r w:rsidRPr="001643EF">
              <w:t>3.8</w:t>
            </w:r>
          </w:p>
        </w:tc>
      </w:tr>
    </w:tbl>
    <w:p w14:paraId="632DDE55" w14:textId="77777777" w:rsidR="00FD32F4" w:rsidRDefault="00FD32F4" w:rsidP="00EB460A">
      <w:pPr>
        <w:pStyle w:val="Heading3"/>
        <w:tabs>
          <w:tab w:val="num" w:pos="907"/>
        </w:tabs>
      </w:pPr>
      <w:bookmarkStart w:id="1088" w:name="_Ref213934290"/>
      <w:bookmarkStart w:id="1089" w:name="_Toc214025486"/>
      <w:bookmarkStart w:id="1090" w:name="_Toc216695570"/>
      <w:r>
        <w:t>Risks to terrestrial vertebrates</w:t>
      </w:r>
      <w:bookmarkEnd w:id="1088"/>
      <w:bookmarkEnd w:id="1089"/>
      <w:bookmarkEnd w:id="1090"/>
    </w:p>
    <w:p w14:paraId="71B73FDD" w14:textId="77777777" w:rsidR="00FD32F4" w:rsidRDefault="00FD32F4" w:rsidP="007115C6">
      <w:pPr>
        <w:pStyle w:val="Heading4"/>
        <w:tabs>
          <w:tab w:val="num" w:pos="907"/>
        </w:tabs>
      </w:pPr>
      <w:r w:rsidRPr="007774ED">
        <w:t>Exposure scenarios</w:t>
      </w:r>
    </w:p>
    <w:p w14:paraId="1E19EB16" w14:textId="52D9AB18" w:rsidR="00FD32F4" w:rsidRDefault="00FD32F4" w:rsidP="00377F3A">
      <w:pPr>
        <w:pStyle w:val="NormalText"/>
      </w:pPr>
      <w:r>
        <w:t xml:space="preserve">Although outdoor baiting involves protected baiting points (around buildings and in open areas), primary exposure of terrestrial vertebrates cannot be excluded. Species of the same size or smaller than the target rodents may be able to enter the bait stations. Some species may be drawn to the baits and motivated to access the bait station. Furthermore, spilled or expelled baits may be directly consumed. Even if exposed to the elements, baits may retain their activity for an extended </w:t>
      </w:r>
      <w:r w:rsidR="00D4766E">
        <w:t>period</w:t>
      </w:r>
      <w:r>
        <w:t>. For instance, f</w:t>
      </w:r>
      <w:r w:rsidRPr="00DF3BC0">
        <w:t>ield tests</w:t>
      </w:r>
      <w:r>
        <w:t xml:space="preserve"> conducted over </w:t>
      </w:r>
      <w:r w:rsidRPr="00DF3BC0">
        <w:t xml:space="preserve">21 days </w:t>
      </w:r>
      <w:r>
        <w:t xml:space="preserve">showed that </w:t>
      </w:r>
      <w:r w:rsidRPr="00DF3BC0">
        <w:t xml:space="preserve">bromadiolone degraded by 45% </w:t>
      </w:r>
      <w:r>
        <w:t xml:space="preserve">in </w:t>
      </w:r>
      <w:r w:rsidRPr="00DF3BC0">
        <w:t>pellet</w:t>
      </w:r>
      <w:r>
        <w:t xml:space="preserve">ed form and </w:t>
      </w:r>
      <w:r w:rsidRPr="00DF3BC0">
        <w:t xml:space="preserve">78% </w:t>
      </w:r>
      <w:r>
        <w:t xml:space="preserve">in grain form, </w:t>
      </w:r>
      <w:r w:rsidRPr="00DF3BC0">
        <w:t>under average weather conditions (Poché 1988).</w:t>
      </w:r>
    </w:p>
    <w:p w14:paraId="635C70C0" w14:textId="3A0D41AF" w:rsidR="00FD32F4" w:rsidRDefault="00FD32F4" w:rsidP="00377F3A">
      <w:pPr>
        <w:pStyle w:val="NormalText"/>
      </w:pPr>
      <w:r w:rsidRPr="00374691">
        <w:t xml:space="preserve">Secondary poisoning via </w:t>
      </w:r>
      <w:r>
        <w:t xml:space="preserve">consumption of </w:t>
      </w:r>
      <w:r w:rsidRPr="00374691">
        <w:t>contaminated rodents can only be ruled out when the rodenticide is used in fully enclosed spaces</w:t>
      </w:r>
      <w:r w:rsidR="00D4766E">
        <w:t xml:space="preserve"> where</w:t>
      </w:r>
      <w:r>
        <w:t xml:space="preserve"> </w:t>
      </w:r>
      <w:r w:rsidRPr="00374691">
        <w:t xml:space="preserve">poisoned rodents </w:t>
      </w:r>
      <w:r w:rsidR="00D4766E">
        <w:t xml:space="preserve">are prevented from </w:t>
      </w:r>
      <w:r w:rsidRPr="00374691">
        <w:t>mov</w:t>
      </w:r>
      <w:r w:rsidR="00D4766E">
        <w:t>ing</w:t>
      </w:r>
      <w:r w:rsidRPr="00374691">
        <w:t xml:space="preserve"> to outdoor areas or to (parts of) buildings </w:t>
      </w:r>
      <w:r w:rsidR="00D4766E">
        <w:t>accessible to</w:t>
      </w:r>
      <w:r w:rsidR="00D4766E" w:rsidRPr="00374691">
        <w:t xml:space="preserve"> </w:t>
      </w:r>
      <w:r w:rsidRPr="00374691">
        <w:t xml:space="preserve">predators. </w:t>
      </w:r>
      <w:r w:rsidR="00167795">
        <w:t>Furthermore, p</w:t>
      </w:r>
      <w:r w:rsidRPr="00374691">
        <w:t>redatory mammals and birds may enter open buildings, and may hunt in the immediate vicinity of buildings</w:t>
      </w:r>
      <w:r w:rsidR="00D63DEA">
        <w:t xml:space="preserve"> (</w:t>
      </w:r>
      <w:r w:rsidRPr="00374691">
        <w:t>e.g.</w:t>
      </w:r>
      <w:r w:rsidR="00D63DEA">
        <w:t>,</w:t>
      </w:r>
      <w:r w:rsidRPr="00374691">
        <w:t xml:space="preserve"> parks and gardens</w:t>
      </w:r>
      <w:r w:rsidR="00D63DEA">
        <w:t>)</w:t>
      </w:r>
      <w:r w:rsidRPr="00374691">
        <w:t xml:space="preserve">. Scavengers may search for food close to buildings. Baiting </w:t>
      </w:r>
      <w:r>
        <w:t>in open areas</w:t>
      </w:r>
      <w:r w:rsidRPr="00374691">
        <w:t xml:space="preserve"> greatly expands the exposure potential of non-target species, including to those that are not inclined to hunt or scavenge near humans</w:t>
      </w:r>
      <w:r>
        <w:t xml:space="preserve"> (Brakes &amp; Smith 2005)</w:t>
      </w:r>
      <w:r w:rsidRPr="00374691">
        <w:t>.</w:t>
      </w:r>
      <w:r w:rsidR="00167795">
        <w:t xml:space="preserve"> Accordingly, it is reasonable to assume that non-target predators </w:t>
      </w:r>
      <w:r w:rsidR="007C0AD0">
        <w:t>may</w:t>
      </w:r>
      <w:r w:rsidR="00167795">
        <w:t xml:space="preserve"> be affected by both </w:t>
      </w:r>
      <w:r w:rsidR="00167795" w:rsidRPr="00374691">
        <w:t>indoor or outdoor application of rodenticides.</w:t>
      </w:r>
    </w:p>
    <w:p w14:paraId="6C5E53B5" w14:textId="1EC4E2CD" w:rsidR="00FD32F4" w:rsidRPr="003B15CC" w:rsidRDefault="00FD32F4" w:rsidP="00377F3A">
      <w:pPr>
        <w:pStyle w:val="NormalText"/>
      </w:pPr>
      <w:r>
        <w:lastRenderedPageBreak/>
        <w:t>Even for SGARs, there is a</w:t>
      </w:r>
      <w:r w:rsidR="002A3050">
        <w:t xml:space="preserve"> delay between consumption of bait</w:t>
      </w:r>
      <w:r>
        <w:t xml:space="preserve"> and death of rodents (Lund 1981)</w:t>
      </w:r>
      <w:r w:rsidR="002A3050">
        <w:t xml:space="preserve">. This creates that possibility that rodents may consume </w:t>
      </w:r>
      <w:r w:rsidRPr="00DC6DFB">
        <w:t>multiple doses</w:t>
      </w:r>
      <w:r w:rsidR="002A3050">
        <w:t>, resulting in even greater</w:t>
      </w:r>
      <w:r>
        <w:t xml:space="preserve"> accumulat</w:t>
      </w:r>
      <w:r w:rsidR="002A3050">
        <w:t>ion of</w:t>
      </w:r>
      <w:r>
        <w:t xml:space="preserve"> residues (Littin </w:t>
      </w:r>
      <w:r w:rsidR="00B7183A" w:rsidRPr="00B7183A">
        <w:rPr>
          <w:i/>
          <w:iCs/>
        </w:rPr>
        <w:t>et al</w:t>
      </w:r>
      <w:r>
        <w:t>. 2000)</w:t>
      </w:r>
      <w:r w:rsidRPr="00DC6DFB">
        <w:t>.</w:t>
      </w:r>
      <w:r>
        <w:t xml:space="preserve"> Poisoned rodents may exhibit behaviour</w:t>
      </w:r>
      <w:r w:rsidR="002A3050">
        <w:t>s</w:t>
      </w:r>
      <w:r>
        <w:t xml:space="preserve"> that may make them more susceptible to predation (</w:t>
      </w:r>
      <w:r w:rsidR="002A3050">
        <w:t>e.g., slower reaction times, changes in activity patterns)</w:t>
      </w:r>
      <w:r>
        <w:t xml:space="preserve"> thereby resulting in secondary exposure of predatory animals</w:t>
      </w:r>
      <w:r w:rsidR="002A3050">
        <w:t xml:space="preserve"> (Cox &amp; Smith 1992)</w:t>
      </w:r>
      <w:r w:rsidR="00403E76">
        <w:t>.</w:t>
      </w:r>
      <w:r>
        <w:t xml:space="preserve"> There is</w:t>
      </w:r>
      <w:r w:rsidR="002A3050">
        <w:t xml:space="preserve"> also</w:t>
      </w:r>
      <w:r>
        <w:t xml:space="preserve"> some evidence that the survival period of rodents may increase following years of continued anticoagulant </w:t>
      </w:r>
      <w:r w:rsidRPr="003B15CC">
        <w:t xml:space="preserve">rodenticide use (Lin </w:t>
      </w:r>
      <w:r w:rsidR="00B7183A" w:rsidRPr="00B7183A">
        <w:rPr>
          <w:i/>
          <w:iCs/>
        </w:rPr>
        <w:t>et al</w:t>
      </w:r>
      <w:r w:rsidRPr="003B15CC">
        <w:t>. 2022).</w:t>
      </w:r>
    </w:p>
    <w:p w14:paraId="79BE3E69" w14:textId="1189FBF0" w:rsidR="00FD32F4" w:rsidRDefault="00FD32F4" w:rsidP="00377F3A">
      <w:pPr>
        <w:pStyle w:val="NormalText"/>
      </w:pPr>
      <w:r w:rsidRPr="003B15CC">
        <w:t xml:space="preserve">Exposure of owls is of particular concern, as rodents can make up a key component of their diet. </w:t>
      </w:r>
      <w:r>
        <w:t xml:space="preserve">House mice </w:t>
      </w:r>
      <w:r w:rsidRPr="003B15CC">
        <w:t xml:space="preserve">comprised the majority of the diet of the barn owl in NSW (Rose 1996) </w:t>
      </w:r>
      <w:r>
        <w:t xml:space="preserve">and </w:t>
      </w:r>
      <w:r w:rsidRPr="003B15CC">
        <w:t xml:space="preserve">41% of biomass of the diet of southern boobook in ACT (Trost </w:t>
      </w:r>
      <w:r w:rsidR="00B7183A" w:rsidRPr="00B7183A">
        <w:rPr>
          <w:i/>
          <w:iCs/>
        </w:rPr>
        <w:t>et al</w:t>
      </w:r>
      <w:r w:rsidRPr="003B15CC">
        <w:t>.</w:t>
      </w:r>
      <w:r>
        <w:t xml:space="preserve"> </w:t>
      </w:r>
      <w:r w:rsidRPr="003B15CC">
        <w:t>2008)</w:t>
      </w:r>
      <w:r>
        <w:t>, while rats comprised</w:t>
      </w:r>
      <w:r w:rsidRPr="003B15CC">
        <w:t xml:space="preserve"> at least one-third of the diet of the Norfolk Island morepork (Sperring </w:t>
      </w:r>
      <w:r w:rsidR="00B7183A" w:rsidRPr="00B7183A">
        <w:rPr>
          <w:i/>
          <w:iCs/>
        </w:rPr>
        <w:t>et al</w:t>
      </w:r>
      <w:r w:rsidRPr="003B15CC">
        <w:t>. 2024)</w:t>
      </w:r>
      <w:r>
        <w:t xml:space="preserve"> and were found to constitute a major part of the diet of </w:t>
      </w:r>
      <w:r w:rsidRPr="003B15CC">
        <w:t xml:space="preserve">mainland masked owl </w:t>
      </w:r>
      <w:r>
        <w:t xml:space="preserve">at some sites in NSW </w:t>
      </w:r>
      <w:r w:rsidRPr="003B15CC">
        <w:t>(Debus 1993</w:t>
      </w:r>
      <w:r>
        <w:t>;</w:t>
      </w:r>
      <w:r w:rsidRPr="008F2FFC">
        <w:t xml:space="preserve"> </w:t>
      </w:r>
      <w:r w:rsidRPr="003B15CC">
        <w:t>Kavanagh &amp; Murray 1996</w:t>
      </w:r>
      <w:r>
        <w:t>; Kavanagh 2002). Additionally, other predatory and scavenger vertebrates may also be susceptible to anticoagulant poisoning via consumption of contaminated rodent and non-rodent prey or carcasses.</w:t>
      </w:r>
    </w:p>
    <w:p w14:paraId="126D457F" w14:textId="42FB09D0" w:rsidR="00FD32F4" w:rsidRDefault="00FD32F4" w:rsidP="00377F3A">
      <w:pPr>
        <w:pStyle w:val="NormalText"/>
      </w:pPr>
      <w:r>
        <w:t xml:space="preserve">Incidences of terrestrial invertebrates such as millipedes, slugs and snails consuming anticoagulant baits have also been reported (Alomar </w:t>
      </w:r>
      <w:r w:rsidR="00B7183A" w:rsidRPr="00B7183A">
        <w:rPr>
          <w:i/>
          <w:iCs/>
        </w:rPr>
        <w:t>et al</w:t>
      </w:r>
      <w:r>
        <w:t xml:space="preserve">. 2018, Hernandez-Moreno </w:t>
      </w:r>
      <w:r w:rsidR="00B7183A" w:rsidRPr="00B7183A">
        <w:rPr>
          <w:i/>
          <w:iCs/>
        </w:rPr>
        <w:t>et al</w:t>
      </w:r>
      <w:r>
        <w:t xml:space="preserve">. 2013, Johnston </w:t>
      </w:r>
      <w:r w:rsidR="00B7183A" w:rsidRPr="00B7183A">
        <w:rPr>
          <w:i/>
          <w:iCs/>
        </w:rPr>
        <w:t>et al</w:t>
      </w:r>
      <w:r>
        <w:t xml:space="preserve">. 2005, Pitt </w:t>
      </w:r>
      <w:r w:rsidR="00B7183A" w:rsidRPr="00B7183A">
        <w:rPr>
          <w:i/>
          <w:iCs/>
        </w:rPr>
        <w:t>et al</w:t>
      </w:r>
      <w:r>
        <w:t xml:space="preserve">. 2015, Thorsen </w:t>
      </w:r>
      <w:r w:rsidR="00B7183A" w:rsidRPr="00B7183A">
        <w:rPr>
          <w:i/>
          <w:iCs/>
        </w:rPr>
        <w:t>et al</w:t>
      </w:r>
      <w:r>
        <w:t xml:space="preserve">. 2000), thereby confirming a secondary exposure pathway for invertebrate-eating wildlife (Dowding </w:t>
      </w:r>
      <w:r w:rsidR="00B7183A" w:rsidRPr="00B7183A">
        <w:rPr>
          <w:i/>
          <w:iCs/>
        </w:rPr>
        <w:t>et al</w:t>
      </w:r>
      <w:r>
        <w:t xml:space="preserve">. 2010). Crabs were also observed to consume baits when applied near intertidal areas (Thorsen </w:t>
      </w:r>
      <w:r w:rsidR="00B7183A" w:rsidRPr="00B7183A">
        <w:rPr>
          <w:i/>
          <w:iCs/>
        </w:rPr>
        <w:t>et al</w:t>
      </w:r>
      <w:r>
        <w:t>. 2000).</w:t>
      </w:r>
    </w:p>
    <w:p w14:paraId="25972394" w14:textId="7592E43A" w:rsidR="00112289" w:rsidRDefault="00112289" w:rsidP="00377F3A">
      <w:pPr>
        <w:pStyle w:val="NormalText"/>
      </w:pPr>
      <w:r>
        <w:t>Since consumption of</w:t>
      </w:r>
      <w:r w:rsidR="00FD32F4">
        <w:t xml:space="preserve"> baits or poisoned animals can result in death</w:t>
      </w:r>
      <w:r>
        <w:t>, a quantitative risk assessment</w:t>
      </w:r>
      <w:r w:rsidR="0071305A">
        <w:t xml:space="preserve"> for non-target terrestrial vertebrates</w:t>
      </w:r>
      <w:r>
        <w:t xml:space="preserve"> was not undertaken</w:t>
      </w:r>
      <w:r w:rsidR="00FD32F4">
        <w:t>.</w:t>
      </w:r>
    </w:p>
    <w:p w14:paraId="76172425" w14:textId="1F4A8533" w:rsidR="007C0AD0" w:rsidRPr="00ED70DC" w:rsidRDefault="00112289" w:rsidP="00377F3A">
      <w:pPr>
        <w:pStyle w:val="NormalText"/>
      </w:pPr>
      <w:r>
        <w:t>While a definitive causal link between anticoagulant rodenticides and population-level effects in non-target wildlife has not been established,</w:t>
      </w:r>
      <w:r w:rsidR="00FD32F4">
        <w:t xml:space="preserve"> (Rattner </w:t>
      </w:r>
      <w:r w:rsidR="00B7183A" w:rsidRPr="00B7183A">
        <w:rPr>
          <w:i/>
          <w:iCs/>
        </w:rPr>
        <w:t>et al</w:t>
      </w:r>
      <w:r w:rsidR="00FD32F4">
        <w:t>. 2014)</w:t>
      </w:r>
      <w:r>
        <w:t>, the weight of evidence supports the need for risk mitigation measures to reduce exposure to non-target wildlife. For example, o</w:t>
      </w:r>
      <w:r w:rsidR="00FD32F4">
        <w:t xml:space="preserve">f 696 animal adverse incidents recorded by the Australian national electronic Wildlife Health Information System (eWHIS) between </w:t>
      </w:r>
      <w:r w:rsidR="00FD32F4" w:rsidRPr="007C6C19">
        <w:t>2006 to 2021</w:t>
      </w:r>
      <w:r w:rsidR="00FD32F4">
        <w:t>, 77 (11%) involved suspected anticoagulant poisonings</w:t>
      </w:r>
      <w:r>
        <w:t>.</w:t>
      </w:r>
      <w:r w:rsidR="007C0AD0">
        <w:t xml:space="preserve"> Further, appreciable mortality even without population level consequences </w:t>
      </w:r>
      <w:r w:rsidR="0071305A">
        <w:t>can</w:t>
      </w:r>
      <w:r w:rsidR="007C0AD0">
        <w:t xml:space="preserve"> be unacceptable.</w:t>
      </w:r>
    </w:p>
    <w:p w14:paraId="4C909908" w14:textId="4EB61B0C" w:rsidR="00FD32F4" w:rsidRDefault="00603108" w:rsidP="00FD32F4">
      <w:pPr>
        <w:pStyle w:val="Caption"/>
      </w:pPr>
      <w:bookmarkStart w:id="1091" w:name="_Toc213946025"/>
      <w:bookmarkStart w:id="1092" w:name="_Toc216695711"/>
      <w:r>
        <w:t xml:space="preserve">Table </w:t>
      </w:r>
      <w:r>
        <w:fldChar w:fldCharType="begin"/>
      </w:r>
      <w:r>
        <w:instrText xml:space="preserve"> SEQ Table \* ARABIC </w:instrText>
      </w:r>
      <w:r>
        <w:fldChar w:fldCharType="separate"/>
      </w:r>
      <w:r w:rsidR="003861AC">
        <w:rPr>
          <w:noProof/>
        </w:rPr>
        <w:t>49</w:t>
      </w:r>
      <w:r>
        <w:fldChar w:fldCharType="end"/>
      </w:r>
      <w:r>
        <w:t>:</w:t>
      </w:r>
      <w:r w:rsidR="005F54FE">
        <w:t xml:space="preserve"> </w:t>
      </w:r>
      <w:r w:rsidR="00FD32F4">
        <w:t xml:space="preserve">Relevant scenarios for assessing </w:t>
      </w:r>
      <w:r w:rsidR="001643EF">
        <w:t xml:space="preserve">non-target </w:t>
      </w:r>
      <w:r w:rsidR="00FD32F4">
        <w:t>primary and secondary poisoning</w:t>
      </w:r>
      <w:bookmarkEnd w:id="1091"/>
      <w:bookmarkEnd w:id="10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22"/>
        <w:gridCol w:w="2598"/>
        <w:gridCol w:w="3208"/>
      </w:tblGrid>
      <w:tr w:rsidR="00FD32F4" w:rsidRPr="00CA558C" w14:paraId="1C719C55" w14:textId="77777777" w:rsidTr="0017134F">
        <w:trPr>
          <w:tblHeader/>
        </w:trPr>
        <w:tc>
          <w:tcPr>
            <w:tcW w:w="1985" w:type="pct"/>
            <w:tcBorders>
              <w:bottom w:val="single" w:sz="4" w:space="0" w:color="auto"/>
            </w:tcBorders>
            <w:shd w:val="clear" w:color="auto" w:fill="53284F"/>
          </w:tcPr>
          <w:p w14:paraId="624BA1BE" w14:textId="77777777" w:rsidR="00FD32F4" w:rsidRDefault="00FD32F4" w:rsidP="00377F3A">
            <w:pPr>
              <w:pStyle w:val="TableHead"/>
            </w:pPr>
            <w:r>
              <w:t>Scenario</w:t>
            </w:r>
          </w:p>
        </w:tc>
        <w:tc>
          <w:tcPr>
            <w:tcW w:w="1349" w:type="pct"/>
            <w:tcBorders>
              <w:bottom w:val="single" w:sz="4" w:space="0" w:color="auto"/>
            </w:tcBorders>
            <w:shd w:val="clear" w:color="auto" w:fill="53284F"/>
          </w:tcPr>
          <w:p w14:paraId="0A88EE10" w14:textId="77777777" w:rsidR="00FD32F4" w:rsidRDefault="00FD32F4" w:rsidP="00377F3A">
            <w:pPr>
              <w:pStyle w:val="TableHead"/>
            </w:pPr>
            <w:r>
              <w:t>Primary poisoning</w:t>
            </w:r>
          </w:p>
        </w:tc>
        <w:tc>
          <w:tcPr>
            <w:tcW w:w="1666" w:type="pct"/>
            <w:tcBorders>
              <w:bottom w:val="single" w:sz="4" w:space="0" w:color="auto"/>
            </w:tcBorders>
            <w:shd w:val="clear" w:color="auto" w:fill="53284F"/>
          </w:tcPr>
          <w:p w14:paraId="42218ED7" w14:textId="77777777" w:rsidR="00FD32F4" w:rsidRPr="00344135" w:rsidRDefault="00FD32F4" w:rsidP="00377F3A">
            <w:pPr>
              <w:pStyle w:val="TableHead"/>
            </w:pPr>
            <w:r w:rsidRPr="00344135">
              <w:t>Secondary poisoning</w:t>
            </w:r>
          </w:p>
        </w:tc>
      </w:tr>
      <w:tr w:rsidR="00FD32F4" w:rsidRPr="00401380" w14:paraId="378E6313" w14:textId="77777777" w:rsidTr="00E078CC">
        <w:tc>
          <w:tcPr>
            <w:tcW w:w="1985" w:type="pct"/>
            <w:tcBorders>
              <w:top w:val="single" w:sz="4" w:space="0" w:color="auto"/>
              <w:left w:val="nil"/>
              <w:bottom w:val="nil"/>
              <w:right w:val="nil"/>
            </w:tcBorders>
          </w:tcPr>
          <w:p w14:paraId="4D8734A2"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In buildings</w:t>
            </w:r>
          </w:p>
        </w:tc>
        <w:tc>
          <w:tcPr>
            <w:tcW w:w="1349" w:type="pct"/>
            <w:tcBorders>
              <w:top w:val="single" w:sz="4" w:space="0" w:color="auto"/>
              <w:left w:val="nil"/>
              <w:bottom w:val="nil"/>
              <w:right w:val="nil"/>
            </w:tcBorders>
          </w:tcPr>
          <w:p w14:paraId="56FAF6D4"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Not relevant</w:t>
            </w:r>
          </w:p>
        </w:tc>
        <w:tc>
          <w:tcPr>
            <w:tcW w:w="1666" w:type="pct"/>
            <w:tcBorders>
              <w:top w:val="single" w:sz="4" w:space="0" w:color="auto"/>
              <w:left w:val="nil"/>
              <w:bottom w:val="nil"/>
              <w:right w:val="nil"/>
            </w:tcBorders>
          </w:tcPr>
          <w:p w14:paraId="74DC03E5" w14:textId="77777777" w:rsidR="00FD32F4" w:rsidRPr="00344135" w:rsidRDefault="00FD32F4" w:rsidP="00E078CC">
            <w:pPr>
              <w:pStyle w:val="BodyText"/>
              <w:widowControl w:val="0"/>
              <w:spacing w:after="0"/>
              <w:rPr>
                <w:rFonts w:ascii="Arial" w:hAnsi="Arial" w:cs="Arial"/>
                <w:sz w:val="17"/>
                <w:szCs w:val="17"/>
              </w:rPr>
            </w:pPr>
            <w:r w:rsidRPr="00344135">
              <w:rPr>
                <w:rFonts w:ascii="Arial" w:hAnsi="Arial" w:cs="Arial"/>
                <w:sz w:val="17"/>
                <w:szCs w:val="17"/>
              </w:rPr>
              <w:t>Relevant only to rodent-eating species</w:t>
            </w:r>
          </w:p>
        </w:tc>
      </w:tr>
      <w:tr w:rsidR="00FD32F4" w:rsidRPr="00401380" w14:paraId="282230B3" w14:textId="77777777" w:rsidTr="00E078CC">
        <w:tc>
          <w:tcPr>
            <w:tcW w:w="1985" w:type="pct"/>
            <w:tcBorders>
              <w:top w:val="nil"/>
              <w:left w:val="nil"/>
              <w:bottom w:val="nil"/>
              <w:right w:val="nil"/>
            </w:tcBorders>
          </w:tcPr>
          <w:p w14:paraId="6C7BA58B"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Around buildings</w:t>
            </w:r>
          </w:p>
        </w:tc>
        <w:tc>
          <w:tcPr>
            <w:tcW w:w="1349" w:type="pct"/>
            <w:tcBorders>
              <w:top w:val="nil"/>
              <w:left w:val="nil"/>
              <w:bottom w:val="nil"/>
              <w:right w:val="nil"/>
            </w:tcBorders>
          </w:tcPr>
          <w:p w14:paraId="5E8AB6F0"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Relevant</w:t>
            </w:r>
          </w:p>
        </w:tc>
        <w:tc>
          <w:tcPr>
            <w:tcW w:w="1666" w:type="pct"/>
            <w:tcBorders>
              <w:top w:val="nil"/>
              <w:left w:val="nil"/>
              <w:bottom w:val="nil"/>
              <w:right w:val="nil"/>
            </w:tcBorders>
          </w:tcPr>
          <w:p w14:paraId="0A98EF54"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Relevant</w:t>
            </w:r>
          </w:p>
        </w:tc>
      </w:tr>
      <w:tr w:rsidR="00FD32F4" w:rsidRPr="00401380" w14:paraId="5BD56E1C" w14:textId="77777777" w:rsidTr="00E078CC">
        <w:tc>
          <w:tcPr>
            <w:tcW w:w="1985" w:type="pct"/>
            <w:tcBorders>
              <w:top w:val="nil"/>
              <w:left w:val="nil"/>
              <w:bottom w:val="nil"/>
              <w:right w:val="nil"/>
            </w:tcBorders>
          </w:tcPr>
          <w:p w14:paraId="42B30BEF"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Bait stations in open areas (agricultural crops)</w:t>
            </w:r>
          </w:p>
        </w:tc>
        <w:tc>
          <w:tcPr>
            <w:tcW w:w="1349" w:type="pct"/>
            <w:tcBorders>
              <w:top w:val="nil"/>
              <w:left w:val="nil"/>
              <w:bottom w:val="nil"/>
              <w:right w:val="nil"/>
            </w:tcBorders>
          </w:tcPr>
          <w:p w14:paraId="69DD9F8C"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Relevant</w:t>
            </w:r>
          </w:p>
        </w:tc>
        <w:tc>
          <w:tcPr>
            <w:tcW w:w="1666" w:type="pct"/>
            <w:tcBorders>
              <w:top w:val="nil"/>
              <w:left w:val="nil"/>
              <w:bottom w:val="nil"/>
              <w:right w:val="nil"/>
            </w:tcBorders>
          </w:tcPr>
          <w:p w14:paraId="763EA1E3"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Relevant</w:t>
            </w:r>
          </w:p>
        </w:tc>
      </w:tr>
      <w:tr w:rsidR="00FD32F4" w:rsidRPr="00401380" w14:paraId="584C0566" w14:textId="77777777" w:rsidTr="00E078CC">
        <w:tc>
          <w:tcPr>
            <w:tcW w:w="1985" w:type="pct"/>
            <w:tcBorders>
              <w:top w:val="nil"/>
              <w:left w:val="nil"/>
              <w:bottom w:val="single" w:sz="4" w:space="0" w:color="auto"/>
              <w:right w:val="nil"/>
            </w:tcBorders>
          </w:tcPr>
          <w:p w14:paraId="25EE10B3"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Sewers</w:t>
            </w:r>
          </w:p>
        </w:tc>
        <w:tc>
          <w:tcPr>
            <w:tcW w:w="1349" w:type="pct"/>
            <w:tcBorders>
              <w:top w:val="nil"/>
              <w:left w:val="nil"/>
              <w:bottom w:val="single" w:sz="4" w:space="0" w:color="auto"/>
              <w:right w:val="nil"/>
            </w:tcBorders>
          </w:tcPr>
          <w:p w14:paraId="3903656A"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Not relevant</w:t>
            </w:r>
          </w:p>
        </w:tc>
        <w:tc>
          <w:tcPr>
            <w:tcW w:w="1666" w:type="pct"/>
            <w:tcBorders>
              <w:top w:val="nil"/>
              <w:left w:val="nil"/>
              <w:bottom w:val="single" w:sz="4" w:space="0" w:color="auto"/>
              <w:right w:val="nil"/>
            </w:tcBorders>
          </w:tcPr>
          <w:p w14:paraId="52566ACC" w14:textId="77777777" w:rsidR="00FD32F4" w:rsidRDefault="00FD32F4" w:rsidP="00E078CC">
            <w:pPr>
              <w:pStyle w:val="BodyText"/>
              <w:widowControl w:val="0"/>
              <w:spacing w:after="0"/>
              <w:rPr>
                <w:rFonts w:ascii="Arial" w:hAnsi="Arial" w:cs="Arial"/>
                <w:sz w:val="17"/>
                <w:szCs w:val="17"/>
              </w:rPr>
            </w:pPr>
            <w:r>
              <w:rPr>
                <w:rFonts w:ascii="Arial" w:hAnsi="Arial" w:cs="Arial"/>
                <w:sz w:val="17"/>
                <w:szCs w:val="17"/>
              </w:rPr>
              <w:t>Relevant only to rodent-eating species</w:t>
            </w:r>
          </w:p>
        </w:tc>
      </w:tr>
    </w:tbl>
    <w:p w14:paraId="77780C78" w14:textId="77777777" w:rsidR="00FD32F4" w:rsidRDefault="00FD32F4" w:rsidP="007115C6">
      <w:pPr>
        <w:pStyle w:val="Heading4"/>
        <w:tabs>
          <w:tab w:val="num" w:pos="907"/>
        </w:tabs>
      </w:pPr>
      <w:r w:rsidRPr="007774ED">
        <w:t>Primary poisoning</w:t>
      </w:r>
    </w:p>
    <w:p w14:paraId="53833F72" w14:textId="002E749E" w:rsidR="00FD32F4" w:rsidRPr="007115C6" w:rsidRDefault="00FD32F4" w:rsidP="007115C6">
      <w:pPr>
        <w:pStyle w:val="NormalText"/>
      </w:pPr>
      <w:r w:rsidRPr="007115C6">
        <w:t xml:space="preserve">Baits are mostly based on cereals, thus granivorous and omnivorous mammals are the potentially affected non-target species. Dogs and possums are omnivorous animals and often become victims of primary poisoning (ECHA 2018, Grillo </w:t>
      </w:r>
      <w:r w:rsidR="00B7183A" w:rsidRPr="00B7183A">
        <w:rPr>
          <w:i/>
          <w:iCs/>
        </w:rPr>
        <w:t>et al</w:t>
      </w:r>
      <w:r w:rsidRPr="007115C6">
        <w:t xml:space="preserve">. 2016, WHA 2022a). Pigs may gain access to bait stations containing anticoagulant rodenticides (Eason </w:t>
      </w:r>
      <w:r w:rsidR="00B7183A" w:rsidRPr="00B7183A">
        <w:rPr>
          <w:i/>
          <w:iCs/>
        </w:rPr>
        <w:t>et al</w:t>
      </w:r>
      <w:r w:rsidRPr="007115C6">
        <w:t xml:space="preserve">. 1999). Additional omnivorous species that have been </w:t>
      </w:r>
      <w:r w:rsidR="001643EF" w:rsidRPr="007115C6">
        <w:t xml:space="preserve">identified </w:t>
      </w:r>
      <w:r w:rsidRPr="007115C6">
        <w:t xml:space="preserve">in anticoagulant rodenticide poisonings include bandicoots, antechinus and gliders (see section </w:t>
      </w:r>
      <w:r w:rsidR="00F0607F" w:rsidRPr="00403E76">
        <w:rPr>
          <w:b/>
          <w:bCs/>
        </w:rPr>
        <w:fldChar w:fldCharType="begin"/>
      </w:r>
      <w:r w:rsidR="00F0607F" w:rsidRPr="00403E76">
        <w:rPr>
          <w:b/>
          <w:bCs/>
        </w:rPr>
        <w:instrText xml:space="preserve"> REF _Ref213159347 \w \h </w:instrText>
      </w:r>
      <w:r w:rsidR="00DD27CC" w:rsidRPr="00403E76">
        <w:rPr>
          <w:b/>
          <w:bCs/>
        </w:rPr>
        <w:instrText xml:space="preserve"> \* MERGEFORMAT </w:instrText>
      </w:r>
      <w:r w:rsidR="00F0607F" w:rsidRPr="00403E76">
        <w:rPr>
          <w:b/>
          <w:bCs/>
        </w:rPr>
      </w:r>
      <w:r w:rsidR="00F0607F" w:rsidRPr="00403E76">
        <w:rPr>
          <w:b/>
          <w:bCs/>
        </w:rPr>
        <w:fldChar w:fldCharType="separate"/>
      </w:r>
      <w:r w:rsidR="003861AC">
        <w:rPr>
          <w:b/>
          <w:bCs/>
        </w:rPr>
        <w:t>3.2.1</w:t>
      </w:r>
      <w:r w:rsidR="00F0607F" w:rsidRPr="00403E76">
        <w:rPr>
          <w:b/>
          <w:bCs/>
        </w:rPr>
        <w:fldChar w:fldCharType="end"/>
      </w:r>
      <w:r w:rsidR="00C4080D" w:rsidRPr="00403E76">
        <w:rPr>
          <w:b/>
          <w:bCs/>
        </w:rPr>
        <w:t xml:space="preserve"> Effects of terrestrial vertebrates</w:t>
      </w:r>
      <w:r w:rsidRPr="007115C6">
        <w:t>).</w:t>
      </w:r>
    </w:p>
    <w:p w14:paraId="6D25C8F6" w14:textId="242F155B" w:rsidR="00FD32F4" w:rsidRDefault="00FD32F4" w:rsidP="00377F3A">
      <w:pPr>
        <w:pStyle w:val="NormalText"/>
      </w:pPr>
      <w:r>
        <w:lastRenderedPageBreak/>
        <w:t>In literature reviews of the toxicity and impacts of brodifacoum on non-target wildlife in New Zealand, authors have noted that birds most at risk from eating cereal-based baits are herbivorous and omnivorous species (e.g.</w:t>
      </w:r>
      <w:r w:rsidR="00D63DEA">
        <w:t>,</w:t>
      </w:r>
      <w:r>
        <w:t xml:space="preserve"> weka, pukeko and saddleback) (Eason &amp; Spurr 1995a, Eason </w:t>
      </w:r>
      <w:r w:rsidR="00B7183A" w:rsidRPr="00B7183A">
        <w:rPr>
          <w:i/>
          <w:iCs/>
        </w:rPr>
        <w:t>et al</w:t>
      </w:r>
      <w:r>
        <w:t>. 2002). E</w:t>
      </w:r>
      <w:r w:rsidRPr="00156835">
        <w:t>merald doves</w:t>
      </w:r>
      <w:r>
        <w:t>, currawongs, silvereyes and a magpie-lark</w:t>
      </w:r>
      <w:r w:rsidRPr="00156835">
        <w:t xml:space="preserve"> showed no signs of exposure </w:t>
      </w:r>
      <w:r>
        <w:t xml:space="preserve">in </w:t>
      </w:r>
      <w:r w:rsidRPr="00156835">
        <w:t>non-toxic baiting trial</w:t>
      </w:r>
      <w:r>
        <w:t>s</w:t>
      </w:r>
      <w:r w:rsidRPr="00156835">
        <w:t xml:space="preserve"> (Wilkinson </w:t>
      </w:r>
      <w:r>
        <w:t xml:space="preserve">&amp; Priddel </w:t>
      </w:r>
      <w:r w:rsidRPr="00156835">
        <w:t>2007)</w:t>
      </w:r>
      <w:r>
        <w:t xml:space="preserve">. In contrast, buff-banded rails, blackbirds, mallards, and woodhens showed signs of exposure. Several observations were made of wild birds accessing bait from bait stations during a rodent eradication program on Lord Howe Island (O’Dwyer </w:t>
      </w:r>
      <w:r w:rsidR="00B7183A" w:rsidRPr="00B7183A">
        <w:rPr>
          <w:i/>
          <w:iCs/>
        </w:rPr>
        <w:t>et al</w:t>
      </w:r>
      <w:r>
        <w:t>. 2024). B</w:t>
      </w:r>
      <w:r w:rsidRPr="00D66FFE">
        <w:t>uff-banded rails and some of the</w:t>
      </w:r>
      <w:r>
        <w:t xml:space="preserve"> </w:t>
      </w:r>
      <w:r w:rsidRPr="00D66FFE">
        <w:t>few remaining free-living woodhens were observed</w:t>
      </w:r>
      <w:r>
        <w:t xml:space="preserve"> </w:t>
      </w:r>
      <w:r w:rsidRPr="00D66FFE">
        <w:t xml:space="preserve">accessing bait </w:t>
      </w:r>
      <w:r>
        <w:t>b</w:t>
      </w:r>
      <w:r w:rsidRPr="00D66FFE">
        <w:t>y inserting their</w:t>
      </w:r>
      <w:r>
        <w:t xml:space="preserve"> </w:t>
      </w:r>
      <w:r w:rsidRPr="00D66FFE">
        <w:t>head into the access tunnel and removing bait from</w:t>
      </w:r>
      <w:r>
        <w:t xml:space="preserve"> </w:t>
      </w:r>
      <w:r w:rsidRPr="00D66FFE">
        <w:t>internal bait trays. These two species were also seen</w:t>
      </w:r>
      <w:r>
        <w:t xml:space="preserve"> </w:t>
      </w:r>
      <w:r w:rsidRPr="00D66FFE">
        <w:t>eating bait off the ground outside bait stations.</w:t>
      </w:r>
    </w:p>
    <w:p w14:paraId="5D9B6952" w14:textId="38650DCD" w:rsidR="00FD32F4" w:rsidRDefault="00FD32F4" w:rsidP="00377F3A">
      <w:pPr>
        <w:pStyle w:val="NormalText"/>
      </w:pPr>
      <w:r w:rsidRPr="00D92561">
        <w:t xml:space="preserve">Direct consumption of </w:t>
      </w:r>
      <w:r>
        <w:t>cereal-based</w:t>
      </w:r>
      <w:r w:rsidRPr="00D92561">
        <w:t xml:space="preserve"> baits by</w:t>
      </w:r>
      <w:r>
        <w:t xml:space="preserve"> lizards</w:t>
      </w:r>
      <w:r w:rsidRPr="00D92561">
        <w:t xml:space="preserve"> has been</w:t>
      </w:r>
      <w:r>
        <w:t xml:space="preserve"> </w:t>
      </w:r>
      <w:r w:rsidRPr="00D92561">
        <w:t xml:space="preserve">observed </w:t>
      </w:r>
      <w:r>
        <w:t xml:space="preserve">in island eradication programs </w:t>
      </w:r>
      <w:r w:rsidRPr="00D92561">
        <w:t>(</w:t>
      </w:r>
      <w:r>
        <w:t xml:space="preserve">Hoare &amp; Hare 2006a, 2006b, Merton 1987, </w:t>
      </w:r>
      <w:r w:rsidRPr="00D92561">
        <w:t xml:space="preserve">Wedding </w:t>
      </w:r>
      <w:r w:rsidR="00B7183A" w:rsidRPr="00B7183A">
        <w:rPr>
          <w:i/>
          <w:iCs/>
        </w:rPr>
        <w:t>et al</w:t>
      </w:r>
      <w:r w:rsidRPr="00D92561">
        <w:t>. 2010)</w:t>
      </w:r>
      <w:r>
        <w:t xml:space="preserve"> and palatability trials (Freeman </w:t>
      </w:r>
      <w:r w:rsidR="00B7183A" w:rsidRPr="00B7183A">
        <w:rPr>
          <w:i/>
          <w:iCs/>
        </w:rPr>
        <w:t>et al</w:t>
      </w:r>
      <w:r>
        <w:t>. 1996)</w:t>
      </w:r>
      <w:r w:rsidRPr="00D92561">
        <w:t xml:space="preserve">. Bennison </w:t>
      </w:r>
      <w:r w:rsidR="00B7183A" w:rsidRPr="00B7183A">
        <w:rPr>
          <w:i/>
          <w:iCs/>
        </w:rPr>
        <w:t>et al</w:t>
      </w:r>
      <w:r w:rsidRPr="00D92561">
        <w:t>. (2016) used</w:t>
      </w:r>
      <w:r>
        <w:t xml:space="preserve"> </w:t>
      </w:r>
      <w:r w:rsidRPr="00D92561">
        <w:t>dye tracers to prove that the large carnivorous King's Skink (</w:t>
      </w:r>
      <w:r w:rsidRPr="0087259D">
        <w:t>Egernia kingii</w:t>
      </w:r>
      <w:r w:rsidRPr="00D92561">
        <w:t>) had ingested non-toxic</w:t>
      </w:r>
      <w:r>
        <w:t xml:space="preserve"> </w:t>
      </w:r>
      <w:r w:rsidRPr="00D92561">
        <w:t>baits laid out on islands off the West Australian coast. King's Skinks were subsequently observed</w:t>
      </w:r>
      <w:r>
        <w:t xml:space="preserve"> </w:t>
      </w:r>
      <w:r w:rsidRPr="00D92561">
        <w:t xml:space="preserve">consuming </w:t>
      </w:r>
      <w:r>
        <w:t xml:space="preserve">toxic </w:t>
      </w:r>
      <w:r w:rsidRPr="00D92561">
        <w:t xml:space="preserve">baits </w:t>
      </w:r>
      <w:r w:rsidR="009A7D52" w:rsidRPr="00D92561">
        <w:t>during</w:t>
      </w:r>
      <w:r w:rsidRPr="00D92561">
        <w:t xml:space="preserve"> a rat eradication </w:t>
      </w:r>
      <w:r w:rsidR="009A7D52">
        <w:t xml:space="preserve">program </w:t>
      </w:r>
      <w:r w:rsidRPr="00D92561">
        <w:t>on Penguin Island in</w:t>
      </w:r>
      <w:r>
        <w:t xml:space="preserve"> </w:t>
      </w:r>
      <w:r w:rsidRPr="00D92561">
        <w:t>Western Australia, despite the use of specially designed bait containers intended to exclude the skinks</w:t>
      </w:r>
      <w:r>
        <w:t xml:space="preserve"> </w:t>
      </w:r>
      <w:r w:rsidRPr="00D92561">
        <w:t>(Bettink 2015). Others have observed bobtails (</w:t>
      </w:r>
      <w:r w:rsidRPr="0071305A">
        <w:rPr>
          <w:i/>
          <w:iCs/>
        </w:rPr>
        <w:t>Tiliqua rugosa</w:t>
      </w:r>
      <w:r w:rsidRPr="00D92561">
        <w:t>) – another large omnivorous skink –</w:t>
      </w:r>
      <w:r>
        <w:t xml:space="preserve"> </w:t>
      </w:r>
      <w:r w:rsidRPr="00D92561">
        <w:t xml:space="preserve">inside bait boxes in urban areas (Lohr </w:t>
      </w:r>
      <w:r>
        <w:t>&amp;</w:t>
      </w:r>
      <w:r w:rsidRPr="00D92561">
        <w:t xml:space="preserve"> Davis 2018). It is </w:t>
      </w:r>
      <w:r>
        <w:t>also possible</w:t>
      </w:r>
      <w:r w:rsidRPr="00D92561">
        <w:t xml:space="preserve"> the skinks are feeding on the</w:t>
      </w:r>
      <w:r>
        <w:t xml:space="preserve"> </w:t>
      </w:r>
      <w:r w:rsidRPr="00D92561">
        <w:t>invertebrates within the bait boxes rather than the baits themselves (</w:t>
      </w:r>
      <w:r w:rsidR="006B0008">
        <w:t>.</w:t>
      </w:r>
      <w:r w:rsidRPr="00D92561">
        <w:t>e</w:t>
      </w:r>
      <w:r w:rsidR="006B0008">
        <w:t>.</w:t>
      </w:r>
      <w:r w:rsidRPr="00D92561">
        <w:t xml:space="preserve">, </w:t>
      </w:r>
      <w:r>
        <w:t xml:space="preserve">establishing a potential </w:t>
      </w:r>
      <w:r w:rsidRPr="00D92561">
        <w:t>secondary exposure route).</w:t>
      </w:r>
      <w:r>
        <w:t xml:space="preserve"> Smaller skinks appear to be at much lower risk of exposure, noting </w:t>
      </w:r>
      <w:r w:rsidRPr="00882B02">
        <w:t>a single delicate skink</w:t>
      </w:r>
      <w:r>
        <w:t xml:space="preserve"> (</w:t>
      </w:r>
      <w:r w:rsidRPr="00403E76">
        <w:rPr>
          <w:i/>
          <w:iCs/>
        </w:rPr>
        <w:t>Lampropholis delicata</w:t>
      </w:r>
      <w:r>
        <w:t>)</w:t>
      </w:r>
      <w:r w:rsidRPr="00882B02">
        <w:t xml:space="preserve"> </w:t>
      </w:r>
      <w:r>
        <w:t>showed no evidence of exposure in a non-toxic baiting trial on Lord Howe Island (Wilkinson &amp; Priddel 2007).</w:t>
      </w:r>
    </w:p>
    <w:p w14:paraId="2E24549E" w14:textId="7FE618E8" w:rsidR="00FD32F4" w:rsidRDefault="00FD32F4" w:rsidP="00377F3A">
      <w:pPr>
        <w:pStyle w:val="NormalText"/>
      </w:pPr>
      <w:r>
        <w:t>It is widely accepted that use of anticoagulant rodenticides poses low risk to the environment when used indoors (e.g.</w:t>
      </w:r>
      <w:r w:rsidR="00D63DEA">
        <w:t>,</w:t>
      </w:r>
      <w:r>
        <w:t xml:space="preserve"> for control of house mice in the home) (Berny </w:t>
      </w:r>
      <w:r w:rsidR="00B7183A" w:rsidRPr="00B7183A">
        <w:rPr>
          <w:i/>
          <w:iCs/>
        </w:rPr>
        <w:t>et al</w:t>
      </w:r>
      <w:r>
        <w:t xml:space="preserve">. 2014). </w:t>
      </w:r>
      <w:r w:rsidRPr="001735B2">
        <w:t xml:space="preserve">When bait was used indoors only, the percentage of trapped non-target small mammals with </w:t>
      </w:r>
      <w:r>
        <w:t>brodifacoum</w:t>
      </w:r>
      <w:r w:rsidRPr="001735B2">
        <w:t xml:space="preserve"> residues was about 50% lower in comparison to bait application in and around buildings</w:t>
      </w:r>
      <w:r>
        <w:t xml:space="preserve"> (Walther </w:t>
      </w:r>
      <w:r w:rsidR="00B7183A" w:rsidRPr="00B7183A">
        <w:rPr>
          <w:i/>
          <w:iCs/>
        </w:rPr>
        <w:t>et al</w:t>
      </w:r>
      <w:r>
        <w:t>. 2021a)</w:t>
      </w:r>
      <w:r w:rsidRPr="001735B2">
        <w:t>.</w:t>
      </w:r>
      <w:r>
        <w:t xml:space="preserve"> Given the natural behaviour of house mice (being closely associated with humans), it is considered that a restriction to ‘indoor use only’ is reasonable for domestic product uses of anticoagulant rodenticides to mitigate risks of primary poisoning of wildlife. Anticoagulant residues were detected in several ground feeding songbird species when bait was used in and around farm buildings (Walther </w:t>
      </w:r>
      <w:r w:rsidR="00B7183A" w:rsidRPr="00B7183A">
        <w:rPr>
          <w:i/>
          <w:iCs/>
        </w:rPr>
        <w:t>et al</w:t>
      </w:r>
      <w:r>
        <w:t xml:space="preserve">. 2021b); however, exposure of songbirds appeared spatially-focused and mostly restricted to the immediate surroundings where the bait was used (less than 20 m distance to the closest bait station), which might limit the transfer to the wider environment (Walther </w:t>
      </w:r>
      <w:r w:rsidR="00B7183A" w:rsidRPr="00B7183A">
        <w:rPr>
          <w:i/>
          <w:iCs/>
        </w:rPr>
        <w:t>et al</w:t>
      </w:r>
      <w:r>
        <w:t>. 2021b).</w:t>
      </w:r>
    </w:p>
    <w:p w14:paraId="42CF0578" w14:textId="30A6B9D2" w:rsidR="00FD32F4" w:rsidRDefault="00FD32F4" w:rsidP="00377F3A">
      <w:pPr>
        <w:pStyle w:val="NormalText"/>
      </w:pPr>
      <w:r>
        <w:t xml:space="preserve">Berny </w:t>
      </w:r>
      <w:r w:rsidR="00B7183A" w:rsidRPr="00B7183A">
        <w:rPr>
          <w:i/>
          <w:iCs/>
        </w:rPr>
        <w:t>et al</w:t>
      </w:r>
      <w:r>
        <w:t>. (2014) also provide recommendations on risk mitigation measures addressing primary poisoning: (1) add a specific dye in baits; (2) add a bittering agent at a standard concentration (e.g.</w:t>
      </w:r>
      <w:r w:rsidR="00D63DEA">
        <w:t>,</w:t>
      </w:r>
      <w:r>
        <w:t xml:space="preserve"> 0.001% denatonium benzoate); (3) survey sites before rodenticide use; and (4) avoid posting information on baiting areas</w:t>
      </w:r>
      <w:r>
        <w:rPr>
          <w:rStyle w:val="FootnoteReference"/>
          <w:szCs w:val="19"/>
        </w:rPr>
        <w:footnoteReference w:id="8"/>
      </w:r>
      <w:r>
        <w:t>.</w:t>
      </w:r>
    </w:p>
    <w:p w14:paraId="1B119ECB" w14:textId="66C7A077" w:rsidR="00FD32F4" w:rsidRPr="005278D9" w:rsidRDefault="00FD32F4" w:rsidP="00377F3A">
      <w:pPr>
        <w:pStyle w:val="NormalText"/>
      </w:pPr>
      <w:r>
        <w:t xml:space="preserve">With respect to </w:t>
      </w:r>
      <w:r w:rsidR="006B0008">
        <w:t>inclusion of</w:t>
      </w:r>
      <w:r>
        <w:t xml:space="preserve"> a specific dye in baits, </w:t>
      </w:r>
      <w:r w:rsidRPr="005278D9">
        <w:t>Moran (1999) found that pigeons and partridges preferred</w:t>
      </w:r>
      <w:r>
        <w:t xml:space="preserve"> </w:t>
      </w:r>
      <w:r w:rsidRPr="005278D9">
        <w:t>undyed grains of their favoured seeds (whole-grain oat and sorghum, respectively), but pigeons showed no</w:t>
      </w:r>
      <w:r>
        <w:t xml:space="preserve"> </w:t>
      </w:r>
      <w:r w:rsidRPr="005278D9">
        <w:t xml:space="preserve">colour discrimination when only the seeds of a species normally avoided were available. </w:t>
      </w:r>
      <w:r>
        <w:t>Similarly</w:t>
      </w:r>
      <w:r w:rsidRPr="00CD1E1B">
        <w:t xml:space="preserve">, the buff-banded rails </w:t>
      </w:r>
      <w:r w:rsidRPr="00CD1E1B">
        <w:lastRenderedPageBreak/>
        <w:t>readily consumed un-dyed bait (beige in colour) and red-dyed bait but showed no interest in green-dyed bait</w:t>
      </w:r>
      <w:r>
        <w:t xml:space="preserve"> (</w:t>
      </w:r>
      <w:r w:rsidRPr="00156835">
        <w:t xml:space="preserve">Wilkinson </w:t>
      </w:r>
      <w:r>
        <w:t xml:space="preserve">&amp; Priddel </w:t>
      </w:r>
      <w:r w:rsidRPr="00156835">
        <w:t>2007</w:t>
      </w:r>
      <w:r>
        <w:t>)</w:t>
      </w:r>
      <w:r w:rsidRPr="00CD1E1B">
        <w:t>.</w:t>
      </w:r>
      <w:r>
        <w:t xml:space="preserve"> </w:t>
      </w:r>
      <w:r w:rsidRPr="005278D9">
        <w:t>Although species, sex</w:t>
      </w:r>
      <w:r>
        <w:t xml:space="preserve"> </w:t>
      </w:r>
      <w:r w:rsidRPr="005278D9">
        <w:t>and even individual preferences will modulate the response of birds to colour, there is evidence from the</w:t>
      </w:r>
      <w:r>
        <w:t xml:space="preserve"> </w:t>
      </w:r>
      <w:r w:rsidRPr="005278D9">
        <w:t>literature that colours in the middle of the visible colour spectrum range are generally better deterrents than other</w:t>
      </w:r>
      <w:r>
        <w:t xml:space="preserve"> </w:t>
      </w:r>
      <w:r w:rsidRPr="005278D9">
        <w:t xml:space="preserve">colours. For example, green and yellow </w:t>
      </w:r>
      <w:r>
        <w:t xml:space="preserve">are </w:t>
      </w:r>
      <w:r w:rsidRPr="005278D9">
        <w:t>particularly effective colours for discouraging intake of rodenticidal baits and the deterrent effect</w:t>
      </w:r>
      <w:r>
        <w:t xml:space="preserve"> </w:t>
      </w:r>
      <w:r w:rsidRPr="005278D9">
        <w:t>of the colorant may in some cases be a visual cue coupled with taste-conditioned aversion</w:t>
      </w:r>
      <w:r>
        <w:t xml:space="preserve"> (Brunner &amp; Coman 1983, Kalmbach &amp; Welch 1946, </w:t>
      </w:r>
      <w:r w:rsidRPr="005278D9">
        <w:t>Marsh 1985</w:t>
      </w:r>
      <w:r>
        <w:t xml:space="preserve">, </w:t>
      </w:r>
      <w:r w:rsidRPr="005278D9">
        <w:t>Pank</w:t>
      </w:r>
      <w:r>
        <w:t xml:space="preserve"> </w:t>
      </w:r>
      <w:r w:rsidRPr="005278D9">
        <w:t>1976).</w:t>
      </w:r>
      <w:r>
        <w:t xml:space="preserve"> Conversely, Hartley </w:t>
      </w:r>
      <w:r w:rsidR="00B7183A" w:rsidRPr="00B7183A">
        <w:rPr>
          <w:i/>
          <w:iCs/>
        </w:rPr>
        <w:t>et al</w:t>
      </w:r>
      <w:r>
        <w:t>. (1999) noted robins, when presented with novel food (cake) showed preference for red, yellow or green food over blue or brown food.</w:t>
      </w:r>
    </w:p>
    <w:p w14:paraId="0E058F31" w14:textId="77777777" w:rsidR="00FD32F4" w:rsidRDefault="00FD32F4" w:rsidP="00377F3A">
      <w:pPr>
        <w:pStyle w:val="NormalText"/>
      </w:pPr>
      <w:r w:rsidRPr="005278D9">
        <w:t xml:space="preserve">Since visual recognition plays the dominant role for birds in locating food items, </w:t>
      </w:r>
      <w:r w:rsidR="006B0008">
        <w:t xml:space="preserve">the risk of </w:t>
      </w:r>
      <w:r w:rsidRPr="005278D9">
        <w:t>unintended primary exposure of</w:t>
      </w:r>
      <w:r>
        <w:t xml:space="preserve"> </w:t>
      </w:r>
      <w:r w:rsidRPr="005278D9">
        <w:t xml:space="preserve">granivorous birds is further mitigated </w:t>
      </w:r>
      <w:r>
        <w:t>when baits</w:t>
      </w:r>
      <w:r w:rsidRPr="005278D9">
        <w:t xml:space="preserve"> are placed in small</w:t>
      </w:r>
      <w:r>
        <w:t xml:space="preserve"> </w:t>
      </w:r>
      <w:r w:rsidRPr="005278D9">
        <w:t>quantities directly inside the burrow</w:t>
      </w:r>
      <w:r>
        <w:t>s, bait stations</w:t>
      </w:r>
      <w:r w:rsidR="006B0008">
        <w:t>,</w:t>
      </w:r>
      <w:r>
        <w:t xml:space="preserve"> or</w:t>
      </w:r>
      <w:r w:rsidRPr="005278D9">
        <w:t xml:space="preserve"> bait points</w:t>
      </w:r>
      <w:r>
        <w:t xml:space="preserve"> </w:t>
      </w:r>
      <w:r w:rsidRPr="005278D9">
        <w:t>covered with objects such as roofing tiles that provide protection</w:t>
      </w:r>
      <w:r>
        <w:t>. Furthermore,</w:t>
      </w:r>
      <w:r w:rsidRPr="005278D9">
        <w:t xml:space="preserve"> bait point location </w:t>
      </w:r>
      <w:r>
        <w:t xml:space="preserve">should be marked </w:t>
      </w:r>
      <w:r w:rsidRPr="005278D9">
        <w:t>for the benefit of the rodent control operative and permit regular monitoring of bait</w:t>
      </w:r>
      <w:r>
        <w:t xml:space="preserve"> </w:t>
      </w:r>
      <w:r w:rsidRPr="005278D9">
        <w:t xml:space="preserve">consumption. In all </w:t>
      </w:r>
      <w:r>
        <w:t>cases</w:t>
      </w:r>
      <w:r w:rsidRPr="005278D9">
        <w:t>,</w:t>
      </w:r>
      <w:r>
        <w:t xml:space="preserve"> it is imperative that baits are </w:t>
      </w:r>
      <w:r w:rsidRPr="005278D9">
        <w:t>hidden from view and</w:t>
      </w:r>
      <w:r>
        <w:t xml:space="preserve"> do</w:t>
      </w:r>
      <w:r w:rsidRPr="005278D9">
        <w:t xml:space="preserve"> not attract the attention of seed-eating birds. There</w:t>
      </w:r>
      <w:r>
        <w:t xml:space="preserve"> </w:t>
      </w:r>
      <w:r w:rsidRPr="005278D9">
        <w:t>remains a possibility that bait grains may become exposed in the open if they are</w:t>
      </w:r>
      <w:r>
        <w:t xml:space="preserve"> moved or</w:t>
      </w:r>
      <w:r w:rsidRPr="005278D9">
        <w:t xml:space="preserve"> carried out by target rodents. </w:t>
      </w:r>
      <w:r>
        <w:t>Therefore</w:t>
      </w:r>
      <w:r w:rsidRPr="005278D9">
        <w:t xml:space="preserve">, baiting </w:t>
      </w:r>
      <w:r>
        <w:t xml:space="preserve">should </w:t>
      </w:r>
      <w:r w:rsidRPr="005278D9">
        <w:t>be done at times of</w:t>
      </w:r>
      <w:r>
        <w:t xml:space="preserve"> </w:t>
      </w:r>
      <w:r w:rsidRPr="005278D9">
        <w:t>year when natural food sources are relatively scarce, which makes it more likely that bait</w:t>
      </w:r>
      <w:r>
        <w:t>s</w:t>
      </w:r>
      <w:r w:rsidRPr="005278D9">
        <w:t xml:space="preserve"> </w:t>
      </w:r>
      <w:r>
        <w:t>will be</w:t>
      </w:r>
      <w:r w:rsidRPr="005278D9">
        <w:t xml:space="preserve"> either</w:t>
      </w:r>
      <w:r>
        <w:t xml:space="preserve"> </w:t>
      </w:r>
      <w:r w:rsidRPr="005278D9">
        <w:t xml:space="preserve">consumed quickly by the target animals or cached more </w:t>
      </w:r>
      <w:r>
        <w:t>secretly</w:t>
      </w:r>
      <w:r w:rsidRPr="005278D9">
        <w:t>.</w:t>
      </w:r>
    </w:p>
    <w:p w14:paraId="0652FC2F" w14:textId="1EF05109" w:rsidR="00FD32F4" w:rsidRDefault="00FD32F4" w:rsidP="00377F3A">
      <w:pPr>
        <w:pStyle w:val="NormalText"/>
      </w:pPr>
      <w:r>
        <w:t>With respect to bittering agents, denatonium benzoate is a well-known repellent to cats, dogs, horses and birds and does not change the efficacy of baits against rodents when used at 10 ppm (Kaukeinen &amp; Buckle 1992).</w:t>
      </w:r>
    </w:p>
    <w:p w14:paraId="38A13F16" w14:textId="58D6A1A7" w:rsidR="00FD32F4" w:rsidRDefault="00FD32F4" w:rsidP="00377F3A">
      <w:pPr>
        <w:pStyle w:val="NormalText"/>
      </w:pPr>
      <w:r>
        <w:t xml:space="preserve">Based on the available information and overseas experiences, it is expected that risks to Australian wildlife can be mitigated in most cases by implementing various best practice strategies to minimise primary (direct) exposure, as well as limiting access to authorised persons or limiting pack sizes available to the general public (see recommendations </w:t>
      </w:r>
      <w:r w:rsidR="003162BC">
        <w:t xml:space="preserve">in </w:t>
      </w:r>
      <w:r>
        <w:t>section</w:t>
      </w:r>
      <w:r w:rsidR="003162BC" w:rsidRPr="004C37DE">
        <w:rPr>
          <w:b/>
          <w:bCs/>
        </w:rPr>
        <w:fldChar w:fldCharType="begin"/>
      </w:r>
      <w:r w:rsidR="003162BC" w:rsidRPr="004C37DE">
        <w:rPr>
          <w:b/>
          <w:bCs/>
        </w:rPr>
        <w:instrText xml:space="preserve"> REF _Ref214833903 \w \h </w:instrText>
      </w:r>
      <w:r w:rsidR="00C4080D">
        <w:rPr>
          <w:b/>
          <w:bCs/>
        </w:rPr>
        <w:instrText xml:space="preserve"> \* MERGEFORMAT </w:instrText>
      </w:r>
      <w:r w:rsidR="003162BC" w:rsidRPr="004C37DE">
        <w:rPr>
          <w:b/>
          <w:bCs/>
        </w:rPr>
      </w:r>
      <w:r w:rsidR="003162BC" w:rsidRPr="004C37DE">
        <w:rPr>
          <w:b/>
          <w:bCs/>
        </w:rPr>
        <w:fldChar w:fldCharType="separate"/>
      </w:r>
      <w:r w:rsidR="003861AC">
        <w:rPr>
          <w:b/>
          <w:bCs/>
        </w:rPr>
        <w:t>3.4.2</w:t>
      </w:r>
      <w:r w:rsidR="003162BC" w:rsidRPr="004C37DE">
        <w:rPr>
          <w:b/>
          <w:bCs/>
        </w:rPr>
        <w:fldChar w:fldCharType="end"/>
      </w:r>
      <w:r w:rsidRPr="00403E76">
        <w:rPr>
          <w:b/>
          <w:bCs/>
        </w:rPr>
        <w:t xml:space="preserve"> </w:t>
      </w:r>
      <w:r w:rsidRPr="00C4080D">
        <w:rPr>
          <w:b/>
          <w:bCs/>
        </w:rPr>
        <w:t>Supported products and uses</w:t>
      </w:r>
      <w:r>
        <w:t>).</w:t>
      </w:r>
    </w:p>
    <w:p w14:paraId="1CFE08AF" w14:textId="77777777" w:rsidR="00FD32F4" w:rsidRPr="009D1C55" w:rsidRDefault="00FD32F4" w:rsidP="007115C6">
      <w:pPr>
        <w:pStyle w:val="Heading4"/>
        <w:tabs>
          <w:tab w:val="num" w:pos="907"/>
        </w:tabs>
      </w:pPr>
      <w:r w:rsidRPr="009D1C55">
        <w:t>Secondary poisoning</w:t>
      </w:r>
    </w:p>
    <w:p w14:paraId="589FE54F" w14:textId="6C805291" w:rsidR="00FD32F4" w:rsidRPr="007115C6" w:rsidRDefault="00FD32F4" w:rsidP="007115C6">
      <w:pPr>
        <w:pStyle w:val="NormalText"/>
      </w:pPr>
      <w:r w:rsidRPr="007115C6">
        <w:t xml:space="preserve">A secondary exposure pathway to quolls and Tasmanian devils is clearly demonstrated by available monitoring data (see section </w:t>
      </w:r>
      <w:r w:rsidR="003162BC" w:rsidRPr="00403E76">
        <w:rPr>
          <w:b/>
          <w:bCs/>
        </w:rPr>
        <w:fldChar w:fldCharType="begin"/>
      </w:r>
      <w:r w:rsidR="003162BC" w:rsidRPr="00403E76">
        <w:rPr>
          <w:b/>
          <w:bCs/>
        </w:rPr>
        <w:instrText xml:space="preserve"> REF _Ref213934031 \w \h </w:instrText>
      </w:r>
      <w:r w:rsidR="00C4080D">
        <w:rPr>
          <w:b/>
          <w:bCs/>
        </w:rPr>
        <w:instrText xml:space="preserve"> \* MERGEFORMAT </w:instrText>
      </w:r>
      <w:r w:rsidR="003162BC" w:rsidRPr="00403E76">
        <w:rPr>
          <w:b/>
          <w:bCs/>
        </w:rPr>
      </w:r>
      <w:r w:rsidR="003162BC" w:rsidRPr="00403E76">
        <w:rPr>
          <w:b/>
          <w:bCs/>
        </w:rPr>
        <w:fldChar w:fldCharType="separate"/>
      </w:r>
      <w:r w:rsidR="003861AC">
        <w:rPr>
          <w:b/>
          <w:bCs/>
        </w:rPr>
        <w:t>3.1.2</w:t>
      </w:r>
      <w:r w:rsidR="003162BC" w:rsidRPr="00403E76">
        <w:rPr>
          <w:b/>
          <w:bCs/>
        </w:rPr>
        <w:fldChar w:fldCharType="end"/>
      </w:r>
      <w:r w:rsidR="003162BC" w:rsidRPr="00403E76">
        <w:rPr>
          <w:b/>
          <w:bCs/>
        </w:rPr>
        <w:t xml:space="preserve"> </w:t>
      </w:r>
      <w:r w:rsidRPr="00403E76">
        <w:rPr>
          <w:b/>
          <w:bCs/>
        </w:rPr>
        <w:t>Fate and behaviour in biota</w:t>
      </w:r>
      <w:r w:rsidRPr="007115C6">
        <w:t xml:space="preserve">). Pigs may also consume rodents poisoned with anticoagulant rodenticides (Eason </w:t>
      </w:r>
      <w:r w:rsidR="00B7183A" w:rsidRPr="00B7183A">
        <w:rPr>
          <w:i/>
          <w:iCs/>
        </w:rPr>
        <w:t>et al</w:t>
      </w:r>
      <w:r w:rsidRPr="007115C6">
        <w:t xml:space="preserve">. 1999). In literature reviews of the toxicity and impacts of brodifacoum on non-target wildlife in New Zealand, authors have noted that insectivorous mammal species such as bats were probably least at risk of secondary poisoning relative to predatory and scavenging birds (Eason &amp; Spurr 1995a, Eason </w:t>
      </w:r>
      <w:r w:rsidR="00B7183A" w:rsidRPr="00B7183A">
        <w:rPr>
          <w:i/>
          <w:iCs/>
        </w:rPr>
        <w:t>et al</w:t>
      </w:r>
      <w:r w:rsidRPr="007115C6">
        <w:t>. 2002). In a non-toxic baiting trial on Lord Howe Island (Wilkinson &amp; Priddel 2007), a harp trap was set for five nights on the golf course, and for three in the bait zone to the east of Transit Hill, to catch large forest bats (Vespadelus darlingtoni) after baiting. All 21 large forest bats captured showed no signs of exposure to the fluorescent biomarker within the baits.</w:t>
      </w:r>
    </w:p>
    <w:p w14:paraId="092CE956" w14:textId="437DA615" w:rsidR="00FD32F4" w:rsidRDefault="00FD32F4" w:rsidP="00377F3A">
      <w:pPr>
        <w:pStyle w:val="NormalText"/>
      </w:pPr>
      <w:r>
        <w:t xml:space="preserve">In literature reviews of the toxicity and impacts of brodifacoum on non-target wildlife in New Zealand, authors have noted that birds most at risk from secondary poisoning are predatory and scavenging species such as wekas, harriers, gulls and morepork (Eason &amp; Spurr 1995a, Eason </w:t>
      </w:r>
      <w:r w:rsidR="00B7183A" w:rsidRPr="00B7183A">
        <w:rPr>
          <w:i/>
          <w:iCs/>
        </w:rPr>
        <w:t>et al</w:t>
      </w:r>
      <w:r>
        <w:t xml:space="preserve">. 2002). Insectivorous species were considered least at risk. Kingfishers showed no signs of exposure in non-toxic baiting trials </w:t>
      </w:r>
      <w:r w:rsidRPr="00156835">
        <w:t xml:space="preserve">(Wilkinson </w:t>
      </w:r>
      <w:r>
        <w:t xml:space="preserve">&amp; Priddel </w:t>
      </w:r>
      <w:r w:rsidRPr="00156835">
        <w:t>2007)</w:t>
      </w:r>
      <w:r>
        <w:t>. In contrast, a masked owl (</w:t>
      </w:r>
      <w:r w:rsidRPr="004C0E0F">
        <w:t>Tyto novaehollandiae</w:t>
      </w:r>
      <w:r>
        <w:t xml:space="preserve">) showed signs of exposure. Wiens </w:t>
      </w:r>
      <w:r w:rsidR="00B7183A" w:rsidRPr="00B7183A">
        <w:rPr>
          <w:i/>
          <w:iCs/>
        </w:rPr>
        <w:t>et al</w:t>
      </w:r>
      <w:r>
        <w:t>. (2019) noted anticoagulant exposure of barred owls in California was ubiquitous and did not correlate with proximity to developed or agricultural areas; however, illegal use in older forests was not discounted.</w:t>
      </w:r>
    </w:p>
    <w:p w14:paraId="1B002F5B" w14:textId="0D3D5E7D" w:rsidR="00FD32F4" w:rsidRDefault="00FD32F4" w:rsidP="00377F3A">
      <w:pPr>
        <w:pStyle w:val="NormalText"/>
      </w:pPr>
      <w:r w:rsidRPr="00380834">
        <w:lastRenderedPageBreak/>
        <w:t xml:space="preserve">Barn owls </w:t>
      </w:r>
      <w:r>
        <w:t>(</w:t>
      </w:r>
      <w:r w:rsidRPr="00380834">
        <w:t>Tyto alba</w:t>
      </w:r>
      <w:r>
        <w:t xml:space="preserve">) </w:t>
      </w:r>
      <w:r w:rsidRPr="00380834">
        <w:t>are bird species that almost exclusively prey on rodents.</w:t>
      </w:r>
      <w:r>
        <w:t xml:space="preserve"> </w:t>
      </w:r>
      <w:r w:rsidRPr="00380834">
        <w:t>They often nest in houses and artificial nest boxes and hunt close to human settlements or in</w:t>
      </w:r>
      <w:r>
        <w:t xml:space="preserve"> </w:t>
      </w:r>
      <w:r w:rsidRPr="00380834">
        <w:t>areas where rodents may be controlled. Anticoagulant rodenticides were found in more than</w:t>
      </w:r>
      <w:r>
        <w:t xml:space="preserve"> </w:t>
      </w:r>
      <w:r w:rsidRPr="00380834">
        <w:t xml:space="preserve">50% of the investigated barn owls </w:t>
      </w:r>
      <w:r>
        <w:t xml:space="preserve">across Western Germany and the UK </w:t>
      </w:r>
      <w:r w:rsidRPr="00380834">
        <w:t xml:space="preserve">(Geduhn </w:t>
      </w:r>
      <w:r w:rsidR="00B7183A" w:rsidRPr="00B7183A">
        <w:rPr>
          <w:i/>
          <w:iCs/>
        </w:rPr>
        <w:t>et al</w:t>
      </w:r>
      <w:r w:rsidRPr="00380834">
        <w:t>.</w:t>
      </w:r>
      <w:r>
        <w:t xml:space="preserve"> </w:t>
      </w:r>
      <w:r w:rsidRPr="00380834">
        <w:t>2016</w:t>
      </w:r>
      <w:r>
        <w:t xml:space="preserve">, Walker </w:t>
      </w:r>
      <w:r w:rsidR="00B7183A" w:rsidRPr="00B7183A">
        <w:rPr>
          <w:i/>
          <w:iCs/>
        </w:rPr>
        <w:t>et al</w:t>
      </w:r>
      <w:r>
        <w:t>. 2010</w:t>
      </w:r>
      <w:r w:rsidRPr="00380834">
        <w:t xml:space="preserve">) and the amount of detected anticoagulant residues </w:t>
      </w:r>
      <w:r>
        <w:t>rose</w:t>
      </w:r>
      <w:r w:rsidRPr="00380834">
        <w:t xml:space="preserve"> steadily </w:t>
      </w:r>
      <w:r>
        <w:t xml:space="preserve">in the UK </w:t>
      </w:r>
      <w:r w:rsidRPr="00380834">
        <w:t>from 1980 to</w:t>
      </w:r>
      <w:r>
        <w:t xml:space="preserve"> </w:t>
      </w:r>
      <w:r w:rsidRPr="00380834">
        <w:t xml:space="preserve">2011 (Walker </w:t>
      </w:r>
      <w:r w:rsidR="00B7183A" w:rsidRPr="00B7183A">
        <w:rPr>
          <w:i/>
          <w:iCs/>
        </w:rPr>
        <w:t>et al</w:t>
      </w:r>
      <w:r w:rsidRPr="00380834">
        <w:t xml:space="preserve">. 2013). The barn owl is </w:t>
      </w:r>
      <w:r>
        <w:t>considered</w:t>
      </w:r>
      <w:r w:rsidRPr="00380834">
        <w:t xml:space="preserve"> a long-term sentinel </w:t>
      </w:r>
      <w:r>
        <w:t xml:space="preserve">in </w:t>
      </w:r>
      <w:r w:rsidRPr="00380834">
        <w:t>the</w:t>
      </w:r>
      <w:r>
        <w:t xml:space="preserve"> UK’s </w:t>
      </w:r>
      <w:r w:rsidRPr="00380834">
        <w:t xml:space="preserve">Predatory Bird Monitoring Scheme (PBMS) (Walker </w:t>
      </w:r>
      <w:r w:rsidR="00B7183A" w:rsidRPr="00B7183A">
        <w:rPr>
          <w:i/>
          <w:iCs/>
        </w:rPr>
        <w:t>et al</w:t>
      </w:r>
      <w:r w:rsidRPr="00380834">
        <w:t>. 2010). Thus, the barn owl</w:t>
      </w:r>
      <w:r>
        <w:t xml:space="preserve"> is considered to </w:t>
      </w:r>
      <w:r w:rsidRPr="00380834">
        <w:t xml:space="preserve">function as a generic focal species for secondary poisoning </w:t>
      </w:r>
      <w:r>
        <w:t>of</w:t>
      </w:r>
      <w:r w:rsidRPr="00380834">
        <w:t xml:space="preserve"> </w:t>
      </w:r>
      <w:r>
        <w:t xml:space="preserve">Australian owl species. Food-chain transfer was also clearly demonstrated for sparrowhawks (Walker </w:t>
      </w:r>
      <w:r w:rsidR="00B7183A" w:rsidRPr="00B7183A">
        <w:rPr>
          <w:i/>
          <w:iCs/>
        </w:rPr>
        <w:t>et al</w:t>
      </w:r>
      <w:r>
        <w:t>. 2015).</w:t>
      </w:r>
    </w:p>
    <w:p w14:paraId="712588DA" w14:textId="065E86CE" w:rsidR="00FD32F4" w:rsidRDefault="00FD32F4" w:rsidP="00377F3A">
      <w:pPr>
        <w:pStyle w:val="NormalText"/>
      </w:pPr>
      <w:r>
        <w:t>Australian</w:t>
      </w:r>
      <w:r w:rsidRPr="00C144F0">
        <w:t xml:space="preserve"> kestrels </w:t>
      </w:r>
      <w:r>
        <w:t>(</w:t>
      </w:r>
      <w:r w:rsidRPr="00403E76">
        <w:rPr>
          <w:i/>
          <w:iCs/>
        </w:rPr>
        <w:t>Falco cenchroides</w:t>
      </w:r>
      <w:r>
        <w:t xml:space="preserve">) also </w:t>
      </w:r>
      <w:r w:rsidRPr="00C144F0">
        <w:t>prey on rodents. They often hunt close</w:t>
      </w:r>
      <w:r>
        <w:t xml:space="preserve"> </w:t>
      </w:r>
      <w:r w:rsidRPr="00C144F0">
        <w:t>to human settlements or in areas where rodents may be controlled.</w:t>
      </w:r>
      <w:r>
        <w:t xml:space="preserve"> </w:t>
      </w:r>
      <w:r w:rsidRPr="00C144F0">
        <w:t>Kestrels are highly affected by anticoagulant rodenticides (</w:t>
      </w:r>
      <w:r>
        <w:t xml:space="preserve">Martínez-Padilla </w:t>
      </w:r>
      <w:r w:rsidR="00B7183A" w:rsidRPr="00B7183A">
        <w:rPr>
          <w:i/>
          <w:iCs/>
        </w:rPr>
        <w:t>et al</w:t>
      </w:r>
      <w:r>
        <w:t>. 2017</w:t>
      </w:r>
      <w:r w:rsidRPr="00C144F0">
        <w:t xml:space="preserve">). Referring to the </w:t>
      </w:r>
      <w:r>
        <w:t xml:space="preserve">UK’s </w:t>
      </w:r>
      <w:r w:rsidRPr="00C144F0">
        <w:t xml:space="preserve">PBMS (Walker </w:t>
      </w:r>
      <w:r w:rsidR="00B7183A" w:rsidRPr="00B7183A">
        <w:rPr>
          <w:i/>
          <w:iCs/>
        </w:rPr>
        <w:t>et al</w:t>
      </w:r>
      <w:r w:rsidRPr="00C144F0">
        <w:t>. 2010), kestrels are considered as</w:t>
      </w:r>
      <w:r>
        <w:t xml:space="preserve"> </w:t>
      </w:r>
      <w:r w:rsidRPr="00C144F0">
        <w:t>species of concern, with a similar diet as the barn owl but, for unknown reasons, with a</w:t>
      </w:r>
      <w:r>
        <w:t xml:space="preserve"> </w:t>
      </w:r>
      <w:r w:rsidRPr="00C144F0">
        <w:t>greater assimilation of residues.</w:t>
      </w:r>
    </w:p>
    <w:p w14:paraId="48000862" w14:textId="73663272" w:rsidR="00FD32F4" w:rsidRDefault="00FD32F4" w:rsidP="00377F3A">
      <w:pPr>
        <w:pStyle w:val="NormalText"/>
      </w:pPr>
      <w:r>
        <w:t xml:space="preserve">Crows and ravens </w:t>
      </w:r>
      <w:r w:rsidRPr="00A47531">
        <w:t>often nest close to human settlements or in areas where</w:t>
      </w:r>
      <w:r>
        <w:t xml:space="preserve"> </w:t>
      </w:r>
      <w:r w:rsidRPr="00A47531">
        <w:t xml:space="preserve">rodents may be controlled. They </w:t>
      </w:r>
      <w:r>
        <w:t xml:space="preserve">are scavenging birds that </w:t>
      </w:r>
      <w:r w:rsidRPr="00A47531">
        <w:t>often feed on carrion and are therefore potentially at risk of</w:t>
      </w:r>
      <w:r>
        <w:t xml:space="preserve"> </w:t>
      </w:r>
      <w:r w:rsidRPr="00A47531">
        <w:t xml:space="preserve">being poisoned secondarily with rodenticides. </w:t>
      </w:r>
      <w:r>
        <w:t>In France, r</w:t>
      </w:r>
      <w:r w:rsidRPr="00A47531">
        <w:t>esearchers killed</w:t>
      </w:r>
      <w:r>
        <w:t xml:space="preserve"> </w:t>
      </w:r>
      <w:r w:rsidRPr="00A47531">
        <w:t>unpoisoned water voles and showed that carrion crows took two thirds of all the carcasses</w:t>
      </w:r>
      <w:r>
        <w:t xml:space="preserve"> </w:t>
      </w:r>
      <w:r w:rsidRPr="00A47531">
        <w:t xml:space="preserve">(Montaz </w:t>
      </w:r>
      <w:r w:rsidR="00B7183A" w:rsidRPr="00B7183A">
        <w:rPr>
          <w:i/>
          <w:iCs/>
        </w:rPr>
        <w:t>et al</w:t>
      </w:r>
      <w:r w:rsidRPr="00A47531">
        <w:t>. 2014).</w:t>
      </w:r>
    </w:p>
    <w:p w14:paraId="444E74BD" w14:textId="6C3D4687" w:rsidR="00FD32F4" w:rsidRDefault="00FD32F4" w:rsidP="00377F3A">
      <w:pPr>
        <w:pStyle w:val="NormalText"/>
      </w:pPr>
      <w:r>
        <w:t xml:space="preserve">The house mouse was found to be an important component of the diet of letter-winged and black-shouldered kites, and their numbers were positively correlated with house mouse abundance in cropland and pasture in Queensland (Mathieson </w:t>
      </w:r>
      <w:r w:rsidR="00B7183A" w:rsidRPr="00B7183A">
        <w:rPr>
          <w:i/>
          <w:iCs/>
        </w:rPr>
        <w:t>et al</w:t>
      </w:r>
      <w:r>
        <w:t xml:space="preserve">. 1997). </w:t>
      </w:r>
      <w:r w:rsidRPr="00E343A4">
        <w:t xml:space="preserve">House mice </w:t>
      </w:r>
      <w:r>
        <w:t>comprised</w:t>
      </w:r>
      <w:r w:rsidRPr="00E343A4">
        <w:t xml:space="preserve"> 92% </w:t>
      </w:r>
      <w:r>
        <w:t>of</w:t>
      </w:r>
      <w:r w:rsidRPr="00E343A4">
        <w:t xml:space="preserve"> prey items consumed by the black</w:t>
      </w:r>
      <w:r>
        <w:t>-</w:t>
      </w:r>
      <w:r w:rsidRPr="00E343A4">
        <w:t>shoulder</w:t>
      </w:r>
      <w:r>
        <w:t>ed</w:t>
      </w:r>
      <w:r w:rsidRPr="00E343A4">
        <w:t xml:space="preserve"> kite in </w:t>
      </w:r>
      <w:r>
        <w:t xml:space="preserve">the </w:t>
      </w:r>
      <w:r w:rsidRPr="00E343A4">
        <w:t>ACT, and was ranked as the most important prey item overall in its diet</w:t>
      </w:r>
      <w:r>
        <w:t xml:space="preserve"> (Tsang </w:t>
      </w:r>
      <w:r w:rsidR="00B7183A" w:rsidRPr="00B7183A">
        <w:rPr>
          <w:i/>
          <w:iCs/>
        </w:rPr>
        <w:t>et al</w:t>
      </w:r>
      <w:r>
        <w:t>. 2017)</w:t>
      </w:r>
      <w:r w:rsidRPr="00E343A4">
        <w:t>.</w:t>
      </w:r>
      <w:r>
        <w:t xml:space="preserve"> Two kite species in France (including black kite) were also shown to scavenge on carrion given the opportunity (Montaz </w:t>
      </w:r>
      <w:r w:rsidR="00B7183A" w:rsidRPr="00B7183A">
        <w:rPr>
          <w:i/>
          <w:iCs/>
        </w:rPr>
        <w:t>et al</w:t>
      </w:r>
      <w:r>
        <w:t>. 2014).</w:t>
      </w:r>
    </w:p>
    <w:p w14:paraId="10E14809" w14:textId="3770B78E" w:rsidR="00FD32F4" w:rsidRDefault="00FD32F4" w:rsidP="00377F3A">
      <w:pPr>
        <w:pStyle w:val="NormalText"/>
      </w:pPr>
      <w:r>
        <w:t xml:space="preserve">A secondary exposure pathway to reptiles has been demonstrated by the available monitoring data (see section </w:t>
      </w:r>
      <w:r w:rsidR="003162BC" w:rsidRPr="00403E76">
        <w:rPr>
          <w:b/>
          <w:bCs/>
        </w:rPr>
        <w:fldChar w:fldCharType="begin"/>
      </w:r>
      <w:r w:rsidR="003162BC" w:rsidRPr="00403E76">
        <w:rPr>
          <w:b/>
          <w:bCs/>
        </w:rPr>
        <w:instrText xml:space="preserve"> REF _Ref213934031 \w \h </w:instrText>
      </w:r>
      <w:r w:rsidR="00C4080D">
        <w:rPr>
          <w:b/>
          <w:bCs/>
        </w:rPr>
        <w:instrText xml:space="preserve"> \* MERGEFORMAT </w:instrText>
      </w:r>
      <w:r w:rsidR="003162BC" w:rsidRPr="00403E76">
        <w:rPr>
          <w:b/>
          <w:bCs/>
        </w:rPr>
      </w:r>
      <w:r w:rsidR="003162BC" w:rsidRPr="00403E76">
        <w:rPr>
          <w:b/>
          <w:bCs/>
        </w:rPr>
        <w:fldChar w:fldCharType="separate"/>
      </w:r>
      <w:r w:rsidR="003861AC">
        <w:rPr>
          <w:b/>
          <w:bCs/>
        </w:rPr>
        <w:t>3.1.2</w:t>
      </w:r>
      <w:r w:rsidR="003162BC" w:rsidRPr="00403E76">
        <w:rPr>
          <w:b/>
          <w:bCs/>
        </w:rPr>
        <w:fldChar w:fldCharType="end"/>
      </w:r>
      <w:r w:rsidR="003162BC" w:rsidRPr="00403E76">
        <w:rPr>
          <w:b/>
          <w:bCs/>
        </w:rPr>
        <w:t xml:space="preserve"> Fate and behaviour in biota</w:t>
      </w:r>
      <w:r>
        <w:t xml:space="preserve">). A small number of suspected anticoagulant rodenticide poisonings have been reported in snakes (carpet python and brown snake) and shingleback lizard in Australia (WHA 2022b). </w:t>
      </w:r>
      <w:r w:rsidRPr="00AE5353">
        <w:t xml:space="preserve">In one </w:t>
      </w:r>
      <w:r>
        <w:t xml:space="preserve">off-label island </w:t>
      </w:r>
      <w:r w:rsidRPr="00AE5353">
        <w:t xml:space="preserve">baiting program, </w:t>
      </w:r>
      <w:r>
        <w:t>sand goanna</w:t>
      </w:r>
      <w:r w:rsidRPr="00AE5353">
        <w:t xml:space="preserve"> were observed eating dead or dying rats with evidence of green dye from the bait in the</w:t>
      </w:r>
      <w:r>
        <w:t>ir</w:t>
      </w:r>
      <w:r w:rsidRPr="00AE5353">
        <w:t xml:space="preserve"> droppings following brodifacoum baiting on the Montebello Islands, WA; however, no dead or moribund </w:t>
      </w:r>
      <w:r>
        <w:t xml:space="preserve">goannas </w:t>
      </w:r>
      <w:r w:rsidRPr="00AE5353">
        <w:t>were observed (Burbridge 2004).</w:t>
      </w:r>
      <w:r>
        <w:t xml:space="preserve"> In literature reviews of the toxicity and impacts of brodifacoum on non-target wildlife in New Zealand, authors have noted that insectivorous reptile species such as lizards were least at risk of secondary poisoning relative to predatory and scavenging birds, for example (Eason &amp; Spurr 1995a, Eason </w:t>
      </w:r>
      <w:r w:rsidR="00B7183A" w:rsidRPr="00B7183A">
        <w:rPr>
          <w:i/>
          <w:iCs/>
        </w:rPr>
        <w:t>et al</w:t>
      </w:r>
      <w:r>
        <w:t>. 2002).</w:t>
      </w:r>
    </w:p>
    <w:p w14:paraId="2D953ECA" w14:textId="4EB07705" w:rsidR="00FD32F4" w:rsidRDefault="00FD32F4" w:rsidP="00377F3A">
      <w:pPr>
        <w:pStyle w:val="NormalText"/>
      </w:pPr>
      <w:r>
        <w:t xml:space="preserve">A secondary exposure pathway to amphibians has also been demonstrated by the available monitoring data (see section </w:t>
      </w:r>
      <w:r w:rsidR="003162BC" w:rsidRPr="00403E76">
        <w:rPr>
          <w:b/>
          <w:bCs/>
        </w:rPr>
        <w:fldChar w:fldCharType="begin"/>
      </w:r>
      <w:r w:rsidR="003162BC" w:rsidRPr="00403E76">
        <w:rPr>
          <w:b/>
          <w:bCs/>
        </w:rPr>
        <w:instrText xml:space="preserve"> REF _Ref213934031 \w \h </w:instrText>
      </w:r>
      <w:r w:rsidR="00C4080D">
        <w:rPr>
          <w:b/>
          <w:bCs/>
        </w:rPr>
        <w:instrText xml:space="preserve"> \* MERGEFORMAT </w:instrText>
      </w:r>
      <w:r w:rsidR="003162BC" w:rsidRPr="00403E76">
        <w:rPr>
          <w:b/>
          <w:bCs/>
        </w:rPr>
      </w:r>
      <w:r w:rsidR="003162BC" w:rsidRPr="00403E76">
        <w:rPr>
          <w:b/>
          <w:bCs/>
        </w:rPr>
        <w:fldChar w:fldCharType="separate"/>
      </w:r>
      <w:r w:rsidR="003861AC">
        <w:rPr>
          <w:b/>
          <w:bCs/>
        </w:rPr>
        <w:t>3.1.2</w:t>
      </w:r>
      <w:r w:rsidR="003162BC" w:rsidRPr="00403E76">
        <w:rPr>
          <w:b/>
          <w:bCs/>
        </w:rPr>
        <w:fldChar w:fldCharType="end"/>
      </w:r>
      <w:r w:rsidR="003162BC" w:rsidRPr="00403E76">
        <w:rPr>
          <w:b/>
          <w:bCs/>
        </w:rPr>
        <w:t xml:space="preserve"> Fate and behaviour in biota</w:t>
      </w:r>
      <w:r w:rsidRPr="008B4A54">
        <w:t>). In literature reviews of the toxicity and impacts of brodifacoum on non-target wildlife in New Zealand, authors have noted that amphibian species were</w:t>
      </w:r>
      <w:r>
        <w:t xml:space="preserve"> probably</w:t>
      </w:r>
      <w:r w:rsidRPr="008B4A54">
        <w:t xml:space="preserve"> least at risk of secondary poisoning relative to predatory and</w:t>
      </w:r>
      <w:r>
        <w:t xml:space="preserve"> scavenging birds (Eason &amp; Spurr 1995a, Eason </w:t>
      </w:r>
      <w:r w:rsidR="00B7183A" w:rsidRPr="00B7183A">
        <w:rPr>
          <w:i/>
          <w:iCs/>
        </w:rPr>
        <w:t>et al</w:t>
      </w:r>
      <w:r>
        <w:t>. 2002). A</w:t>
      </w:r>
      <w:r w:rsidRPr="008B4A54">
        <w:t xml:space="preserve">nticoagulant poisoning </w:t>
      </w:r>
      <w:r>
        <w:t xml:space="preserve">was </w:t>
      </w:r>
      <w:r w:rsidRPr="008B4A54">
        <w:t>suspected in one amphibian</w:t>
      </w:r>
      <w:r>
        <w:t xml:space="preserve"> in Australia (WHA 2022a); however, this appears to be an uncommon occurrence.</w:t>
      </w:r>
    </w:p>
    <w:p w14:paraId="519683BA" w14:textId="4C83D7AB" w:rsidR="00FD32F4" w:rsidRDefault="00FD32F4" w:rsidP="00377F3A">
      <w:pPr>
        <w:pStyle w:val="NormalText"/>
      </w:pPr>
      <w:r>
        <w:t xml:space="preserve">Berny </w:t>
      </w:r>
      <w:r w:rsidR="00B7183A" w:rsidRPr="00B7183A">
        <w:rPr>
          <w:i/>
          <w:iCs/>
        </w:rPr>
        <w:t>et al</w:t>
      </w:r>
      <w:r>
        <w:t>. (2014) provide recommendations on risk mitigation measures addressing secondary poisoning: (1) limit treatment application to 35 days in a first step; (2) provide indicative recommendations for regular visits – to be adapted with local risk assessment; (3) search for and remove dead bodies based on local risk assessment; (4) and remove uneaten baits at the end of the baiting period. However</w:t>
      </w:r>
      <w:r w:rsidR="00632099">
        <w:t>,</w:t>
      </w:r>
      <w:r>
        <w:t xml:space="preserve"> a number of these risk mitigation measures </w:t>
      </w:r>
      <w:r>
        <w:lastRenderedPageBreak/>
        <w:t xml:space="preserve">had been implemented in Finland since 2011 without success in reducing wide scale secondary exposure of wildlife (Koivisto </w:t>
      </w:r>
      <w:r w:rsidR="00B7183A" w:rsidRPr="00B7183A">
        <w:rPr>
          <w:i/>
          <w:iCs/>
        </w:rPr>
        <w:t>et al</w:t>
      </w:r>
      <w:r>
        <w:t>. 2018).</w:t>
      </w:r>
    </w:p>
    <w:p w14:paraId="16486731" w14:textId="32AA46A9" w:rsidR="00FD32F4" w:rsidRDefault="00FD32F4" w:rsidP="00377F3A">
      <w:pPr>
        <w:pStyle w:val="NormalText"/>
      </w:pPr>
      <w:r w:rsidRPr="00A95D44">
        <w:t>The changes in authorisations for anticoagulant rodenticide</w:t>
      </w:r>
      <w:r>
        <w:t>s in the UK commenced in mid-2016 and were</w:t>
      </w:r>
      <w:r w:rsidRPr="00A95D44">
        <w:t xml:space="preserve"> accompanied by the development and implementation of an industry-led stewardship scheme</w:t>
      </w:r>
      <w:r>
        <w:t xml:space="preserve"> in early </w:t>
      </w:r>
      <w:r w:rsidRPr="00042D05">
        <w:t>2018</w:t>
      </w:r>
      <w:r>
        <w:t>. The scheme</w:t>
      </w:r>
      <w:r w:rsidRPr="00042D05">
        <w:t xml:space="preserve"> includes</w:t>
      </w:r>
      <w:r w:rsidRPr="00042D05">
        <w:rPr>
          <w:rStyle w:val="FootnoteReference"/>
          <w:szCs w:val="19"/>
        </w:rPr>
        <w:footnoteReference w:id="9"/>
      </w:r>
      <w:r w:rsidRPr="00042D05">
        <w:t xml:space="preserve"> monitoring rodenticide residues in wildlife </w:t>
      </w:r>
      <w:r>
        <w:t>using</w:t>
      </w:r>
      <w:r w:rsidRPr="00042D05">
        <w:t xml:space="preserve"> barn owls as a sentinel species. </w:t>
      </w:r>
      <w:r>
        <w:t>Alongside the</w:t>
      </w:r>
      <w:r w:rsidRPr="00042D05">
        <w:t xml:space="preserve"> stewardship scheme</w:t>
      </w:r>
      <w:r>
        <w:t>,</w:t>
      </w:r>
      <w:r w:rsidRPr="00042D05">
        <w:t xml:space="preserve"> </w:t>
      </w:r>
      <w:r>
        <w:t>the restriction on indoor use only for</w:t>
      </w:r>
      <w:r w:rsidRPr="00042D05">
        <w:t xml:space="preserve"> brodifacoum, flocoumafen and difethialone</w:t>
      </w:r>
      <w:r>
        <w:t xml:space="preserve"> was relaxed</w:t>
      </w:r>
      <w:r w:rsidRPr="00042D05">
        <w:t xml:space="preserve">, </w:t>
      </w:r>
      <w:r>
        <w:t>allowing their use both</w:t>
      </w:r>
      <w:r w:rsidRPr="00042D05">
        <w:t xml:space="preserve"> indoor</w:t>
      </w:r>
      <w:r w:rsidRPr="00E078CC">
        <w:t>s</w:t>
      </w:r>
      <w:r w:rsidRPr="00042D05">
        <w:t xml:space="preserve"> and </w:t>
      </w:r>
      <w:r w:rsidRPr="00E078CC">
        <w:t>outdoors</w:t>
      </w:r>
      <w:r w:rsidRPr="00042D05">
        <w:t xml:space="preserve"> around buildings. Difenacoum and bromadiolone formulations </w:t>
      </w:r>
      <w:r>
        <w:t>were the only SGARs with</w:t>
      </w:r>
      <w:r w:rsidRPr="00042D05">
        <w:t xml:space="preserve"> approved uses in open areas and waste dumps.</w:t>
      </w:r>
    </w:p>
    <w:p w14:paraId="72AB7680" w14:textId="7EE16A78" w:rsidR="00FD32F4" w:rsidRDefault="00FD32F4" w:rsidP="00377F3A">
      <w:pPr>
        <w:pStyle w:val="NormalText"/>
      </w:pPr>
      <w:r>
        <w:t xml:space="preserve">Relative to baseline levels (Walker </w:t>
      </w:r>
      <w:r w:rsidR="00B7183A" w:rsidRPr="00B7183A">
        <w:rPr>
          <w:i/>
          <w:iCs/>
        </w:rPr>
        <w:t>et al</w:t>
      </w:r>
      <w:r>
        <w:t xml:space="preserve">. 2010, 2012, 2013, 2014), there was no detectable general reduction in exposure of barn owls to SGARs one year after full implementation of the scheme (Shore </w:t>
      </w:r>
      <w:r w:rsidR="00B7183A" w:rsidRPr="00B7183A">
        <w:rPr>
          <w:i/>
          <w:iCs/>
        </w:rPr>
        <w:t>et al</w:t>
      </w:r>
      <w:r>
        <w:t xml:space="preserve">. 2018). In subsequent years, potential reductions of bromadiolone and difenacoum residues were observed, but not for brodifacoum or total SGARs (Ozaki </w:t>
      </w:r>
      <w:r w:rsidR="00B7183A" w:rsidRPr="00B7183A">
        <w:rPr>
          <w:i/>
          <w:iCs/>
        </w:rPr>
        <w:t>et al</w:t>
      </w:r>
      <w:r>
        <w:t xml:space="preserve">. 2022). A similar trend was observed in monitoring of residues in the scavenger species, Red Kite (Ozaki </w:t>
      </w:r>
      <w:r w:rsidR="00B7183A" w:rsidRPr="00B7183A">
        <w:rPr>
          <w:i/>
          <w:iCs/>
        </w:rPr>
        <w:t>et al</w:t>
      </w:r>
      <w:r>
        <w:t>. 2024). As of January 1, 2025, the use of SGARs will no longer be approved in open areas and waste dumps in the UK.</w:t>
      </w:r>
    </w:p>
    <w:p w14:paraId="36EDF314" w14:textId="1671659E" w:rsidR="00FD32F4" w:rsidRDefault="00FD32F4" w:rsidP="0043717B">
      <w:pPr>
        <w:pStyle w:val="NormalText"/>
      </w:pPr>
      <w:r>
        <w:t xml:space="preserve">In Canada, risk mitigation measures for rodenticides </w:t>
      </w:r>
      <w:r w:rsidR="0032039E">
        <w:t>have been introduced,</w:t>
      </w:r>
      <w:r>
        <w:t xml:space="preserve"> prohibiting outdoor use of brodifacoum and difethialone</w:t>
      </w:r>
      <w:r w:rsidR="0032039E">
        <w:t xml:space="preserve"> and</w:t>
      </w:r>
      <w:r>
        <w:t xml:space="preserve"> requiring tamper-resistant bait stations for all outdoor above-ground uses of anticoagulant rodenticides within reach of wildlife (PMRA 2009, 2010). The only anticoagulant rodenticides approved for outdoor use around buildings and structures</w:t>
      </w:r>
      <w:r>
        <w:rPr>
          <w:rStyle w:val="FootnoteReference"/>
          <w:szCs w:val="19"/>
        </w:rPr>
        <w:footnoteReference w:id="10"/>
      </w:r>
      <w:r>
        <w:t xml:space="preserve"> were bromadiolone, warfarin, chlorophacinone and diphacinone. Chlorophacinone and diphacinone were also approved for use in landfills and other outdoor areas such as cropland, fields and nurseries. Following full implementation of these measures in 2013 accompanied by strong enforcement action, Elliott </w:t>
      </w:r>
      <w:r w:rsidR="00B7183A" w:rsidRPr="00B7183A">
        <w:rPr>
          <w:i/>
          <w:iCs/>
        </w:rPr>
        <w:t>et al</w:t>
      </w:r>
      <w:r>
        <w:t xml:space="preserve">. (2022) reported </w:t>
      </w:r>
      <w:r w:rsidRPr="009F5E51">
        <w:t>a</w:t>
      </w:r>
      <w:r>
        <w:t xml:space="preserve"> </w:t>
      </w:r>
      <w:r w:rsidRPr="009F5E51">
        <w:t xml:space="preserve">decrease in mean concentrations of brodifacoum and difethialone in barred and great horned owls </w:t>
      </w:r>
      <w:r>
        <w:t xml:space="preserve">but </w:t>
      </w:r>
      <w:r w:rsidRPr="009F5E51">
        <w:t>an increase in</w:t>
      </w:r>
      <w:r>
        <w:t xml:space="preserve"> </w:t>
      </w:r>
      <w:r w:rsidRPr="009F5E51">
        <w:t>bromodialone.</w:t>
      </w:r>
    </w:p>
    <w:p w14:paraId="6193135D" w14:textId="4DD03BB8" w:rsidR="00FD32F4" w:rsidRDefault="00FD32F4" w:rsidP="00377F3A">
      <w:pPr>
        <w:pStyle w:val="NormalText"/>
      </w:pPr>
      <w:r>
        <w:t xml:space="preserve">Based on the available information and overseas experiences, a comprehensive and integrated management strategy is necessary to reduce entry of anticoagulant rodenticides into the environment. This strategy must be consistent across the different chemical groups to prevent simply shifting the problem from one type of anticoagulant to another. It is anticipated that risks to Australian wildlife can be mitigated in most cases by implementing various best practice strategies to minimise secondary (indirect) exposure, as well as by limiting access to authorised persons or limiting pack sizes available to the general public (see recommendations </w:t>
      </w:r>
      <w:r w:rsidR="003162BC">
        <w:t xml:space="preserve">in </w:t>
      </w:r>
      <w:r>
        <w:t xml:space="preserve">section </w:t>
      </w:r>
      <w:r w:rsidR="003162BC" w:rsidRPr="004C37DE">
        <w:rPr>
          <w:b/>
          <w:bCs/>
        </w:rPr>
        <w:fldChar w:fldCharType="begin"/>
      </w:r>
      <w:r w:rsidR="003162BC" w:rsidRPr="004C37DE">
        <w:rPr>
          <w:b/>
          <w:bCs/>
        </w:rPr>
        <w:instrText xml:space="preserve"> REF _Ref214833903 \w \h </w:instrText>
      </w:r>
      <w:r w:rsidR="00C4080D">
        <w:rPr>
          <w:b/>
          <w:bCs/>
        </w:rPr>
        <w:instrText xml:space="preserve"> \* MERGEFORMAT </w:instrText>
      </w:r>
      <w:r w:rsidR="003162BC" w:rsidRPr="004C37DE">
        <w:rPr>
          <w:b/>
          <w:bCs/>
        </w:rPr>
      </w:r>
      <w:r w:rsidR="003162BC" w:rsidRPr="004C37DE">
        <w:rPr>
          <w:b/>
          <w:bCs/>
        </w:rPr>
        <w:fldChar w:fldCharType="separate"/>
      </w:r>
      <w:r w:rsidR="003861AC">
        <w:rPr>
          <w:b/>
          <w:bCs/>
        </w:rPr>
        <w:t>3.4.2</w:t>
      </w:r>
      <w:r w:rsidR="003162BC" w:rsidRPr="004C37DE">
        <w:rPr>
          <w:b/>
          <w:bCs/>
        </w:rPr>
        <w:fldChar w:fldCharType="end"/>
      </w:r>
      <w:r w:rsidR="003162BC" w:rsidRPr="004C37DE">
        <w:rPr>
          <w:b/>
          <w:bCs/>
        </w:rPr>
        <w:t xml:space="preserve"> Supported products and uses</w:t>
      </w:r>
      <w:r>
        <w:t>).</w:t>
      </w:r>
    </w:p>
    <w:p w14:paraId="625AD377" w14:textId="77777777" w:rsidR="00FD32F4" w:rsidRDefault="00FD32F4" w:rsidP="00EB460A">
      <w:pPr>
        <w:pStyle w:val="Heading3"/>
        <w:tabs>
          <w:tab w:val="num" w:pos="907"/>
        </w:tabs>
      </w:pPr>
      <w:bookmarkStart w:id="1093" w:name="_Toc214025487"/>
      <w:bookmarkStart w:id="1094" w:name="_Toc216695571"/>
      <w:r>
        <w:t>Risks to other non-target species</w:t>
      </w:r>
      <w:bookmarkEnd w:id="1093"/>
      <w:bookmarkEnd w:id="1094"/>
    </w:p>
    <w:p w14:paraId="516F5FA9" w14:textId="52FF8DD4" w:rsidR="00FD32F4" w:rsidRDefault="00FD32F4" w:rsidP="00377F3A">
      <w:pPr>
        <w:pStyle w:val="NormalText"/>
      </w:pPr>
      <w:r>
        <w:t xml:space="preserve">Exposure of natural aquatic areas due to use of rodenticides in and around buildings and in agricultural crops is considered negligible on the basis that bait is contained in stations and only a small amount of spot contamination around the bait station itself is likely to occur (see also section </w:t>
      </w:r>
      <w:r w:rsidR="00C4080D" w:rsidRPr="004C37DE">
        <w:rPr>
          <w:b/>
          <w:bCs/>
        </w:rPr>
        <w:fldChar w:fldCharType="begin"/>
      </w:r>
      <w:r w:rsidR="00C4080D" w:rsidRPr="004C37DE">
        <w:rPr>
          <w:b/>
          <w:bCs/>
        </w:rPr>
        <w:instrText xml:space="preserve"> REF _Ref213940104 \w \h </w:instrText>
      </w:r>
      <w:r w:rsidR="00C4080D">
        <w:rPr>
          <w:b/>
          <w:bCs/>
        </w:rPr>
        <w:instrText xml:space="preserve"> \* MERGEFORMAT </w:instrText>
      </w:r>
      <w:r w:rsidR="00C4080D" w:rsidRPr="004C37DE">
        <w:rPr>
          <w:b/>
          <w:bCs/>
        </w:rPr>
      </w:r>
      <w:r w:rsidR="00C4080D" w:rsidRPr="004C37DE">
        <w:rPr>
          <w:b/>
          <w:bCs/>
        </w:rPr>
        <w:fldChar w:fldCharType="separate"/>
      </w:r>
      <w:r w:rsidR="003861AC">
        <w:rPr>
          <w:b/>
          <w:bCs/>
        </w:rPr>
        <w:t>3.4</w:t>
      </w:r>
      <w:r w:rsidR="00C4080D" w:rsidRPr="004C37DE">
        <w:rPr>
          <w:b/>
          <w:bCs/>
        </w:rPr>
        <w:fldChar w:fldCharType="end"/>
      </w:r>
      <w:r w:rsidR="00C4080D" w:rsidRPr="004C37DE">
        <w:rPr>
          <w:b/>
          <w:bCs/>
        </w:rPr>
        <w:t xml:space="preserve"> Recommendations</w:t>
      </w:r>
      <w:r>
        <w:t>). Aquatic</w:t>
      </w:r>
      <w:r w:rsidRPr="005B29CE">
        <w:t xml:space="preserve"> life can be contaminated if </w:t>
      </w:r>
      <w:r>
        <w:t xml:space="preserve">baits are </w:t>
      </w:r>
      <w:r w:rsidRPr="005B29CE">
        <w:t xml:space="preserve">applied in intertidal areas (Primus </w:t>
      </w:r>
      <w:r w:rsidR="00B7183A" w:rsidRPr="00B7183A">
        <w:rPr>
          <w:i/>
          <w:iCs/>
        </w:rPr>
        <w:t>et al</w:t>
      </w:r>
      <w:r w:rsidRPr="005B29CE">
        <w:t>. 2005)</w:t>
      </w:r>
      <w:r>
        <w:t xml:space="preserve"> or when baits are placed in areas liable to flooding. For these use patterns, risks of anticoagulant rodenticides to aquatic species are considered acceptable, </w:t>
      </w:r>
      <w:r>
        <w:lastRenderedPageBreak/>
        <w:t>provided precautionary measures are observed when placing baits to avoid accidental entry into natural aquatic areas and drainage systems.</w:t>
      </w:r>
    </w:p>
    <w:p w14:paraId="38B5B1A8" w14:textId="0969BBEC" w:rsidR="00FD32F4" w:rsidRDefault="00FD32F4" w:rsidP="00377F3A">
      <w:pPr>
        <w:pStyle w:val="NormalText"/>
      </w:pPr>
      <w:r w:rsidRPr="007E6530">
        <w:t xml:space="preserve">The use of </w:t>
      </w:r>
      <w:r>
        <w:t xml:space="preserve">anticoagulant rodenticides </w:t>
      </w:r>
      <w:r w:rsidRPr="007E6530">
        <w:t>in sewer systems can result in significant releases</w:t>
      </w:r>
      <w:r>
        <w:t xml:space="preserve"> to surface waters via sewage treatment plants (STPs)</w:t>
      </w:r>
      <w:r w:rsidRPr="007E6530">
        <w:t xml:space="preserve">, through spillage during rodenticide application, spillage by rodents during baiting period and disintegration of remaining baits at the end of use phase. There can also be indirect emissions </w:t>
      </w:r>
      <w:r>
        <w:t>via the sewer t</w:t>
      </w:r>
      <w:r w:rsidRPr="007E6530">
        <w:t>hrough rat carcasses, urine and faeces.</w:t>
      </w:r>
      <w:r>
        <w:t xml:space="preserve"> </w:t>
      </w:r>
      <w:r w:rsidR="00C4080D">
        <w:t>Three</w:t>
      </w:r>
      <w:r>
        <w:t xml:space="preserve"> difethialone</w:t>
      </w:r>
      <w:r w:rsidR="00C4080D">
        <w:t xml:space="preserve"> products</w:t>
      </w:r>
      <w:r>
        <w:t xml:space="preserve"> </w:t>
      </w:r>
      <w:r w:rsidR="00C4080D">
        <w:t>(</w:t>
      </w:r>
      <w:bookmarkStart w:id="1095" w:name="_Hlk214884904"/>
      <w:r w:rsidR="00C4080D" w:rsidRPr="00AA105E">
        <w:t>66889, 69086, 80386</w:t>
      </w:r>
      <w:bookmarkEnd w:id="1095"/>
      <w:r w:rsidR="00C4080D">
        <w:t>)</w:t>
      </w:r>
      <w:r w:rsidR="003162BC" w:rsidRPr="003162BC">
        <w:t xml:space="preserve"> </w:t>
      </w:r>
      <w:r>
        <w:t xml:space="preserve">and </w:t>
      </w:r>
      <w:r w:rsidR="00023AC9">
        <w:t>2</w:t>
      </w:r>
      <w:r w:rsidR="00C4080D">
        <w:t xml:space="preserve"> </w:t>
      </w:r>
      <w:r>
        <w:t xml:space="preserve">flocoumafen products </w:t>
      </w:r>
      <w:r w:rsidR="00C4080D">
        <w:t>(</w:t>
      </w:r>
      <w:r w:rsidR="00C4080D" w:rsidRPr="003162BC">
        <w:t xml:space="preserve">80663, 90839) </w:t>
      </w:r>
      <w:r>
        <w:t>have registered uses in sewers, for which risks to aquatic species are determined to be acceptable (</w:t>
      </w:r>
      <w:r w:rsidR="006D75E6">
        <w:fldChar w:fldCharType="begin"/>
      </w:r>
      <w:r w:rsidR="006D75E6">
        <w:instrText xml:space="preserve"> REF _Ref213318044 \h </w:instrText>
      </w:r>
      <w:r w:rsidR="00DD27CC">
        <w:instrText xml:space="preserve"> \* MERGEFORMAT </w:instrText>
      </w:r>
      <w:r w:rsidR="006D75E6">
        <w:fldChar w:fldCharType="separate"/>
      </w:r>
      <w:r w:rsidR="003861AC">
        <w:t xml:space="preserve">Table </w:t>
      </w:r>
      <w:r w:rsidR="003861AC">
        <w:rPr>
          <w:noProof/>
        </w:rPr>
        <w:t>53</w:t>
      </w:r>
      <w:r w:rsidR="006D75E6">
        <w:fldChar w:fldCharType="end"/>
      </w:r>
      <w:r>
        <w:t>).</w:t>
      </w:r>
    </w:p>
    <w:p w14:paraId="2D6D5D03" w14:textId="152134EE" w:rsidR="00FD32F4" w:rsidRDefault="00FD32F4" w:rsidP="00377F3A">
      <w:pPr>
        <w:pStyle w:val="NormalText"/>
      </w:pPr>
      <w:r>
        <w:t>Risks of anticoagulant rodenticides to</w:t>
      </w:r>
      <w:r w:rsidRPr="00080BAB">
        <w:t xml:space="preserve"> </w:t>
      </w:r>
      <w:r>
        <w:t xml:space="preserve">bees </w:t>
      </w:r>
      <w:r w:rsidRPr="00080BAB">
        <w:t xml:space="preserve">are </w:t>
      </w:r>
      <w:r>
        <w:t>considered acceptable</w:t>
      </w:r>
      <w:r w:rsidRPr="00080BAB">
        <w:t xml:space="preserve"> based on </w:t>
      </w:r>
      <w:r>
        <w:t>the lack of direct and indirect exposure pathways. Risks to other terrestrial arthropods</w:t>
      </w:r>
      <w:r w:rsidRPr="00080BAB">
        <w:t xml:space="preserve"> </w:t>
      </w:r>
      <w:r>
        <w:t xml:space="preserve">that might feed directly on the baits </w:t>
      </w:r>
      <w:r w:rsidRPr="009F7785">
        <w:t>(e.g.</w:t>
      </w:r>
      <w:r w:rsidR="00D63DEA">
        <w:t>,</w:t>
      </w:r>
      <w:r w:rsidRPr="009F7785">
        <w:t xml:space="preserve"> cockroaches, woodlice, ants, etc.) </w:t>
      </w:r>
      <w:r>
        <w:t xml:space="preserve">are considered acceptable based on the mode of action and no adverse effects observed in the available studies (see section </w:t>
      </w:r>
      <w:r w:rsidR="00603108">
        <w:rPr>
          <w:b/>
          <w:bCs/>
        </w:rPr>
        <w:fldChar w:fldCharType="begin"/>
      </w:r>
      <w:r w:rsidR="00603108">
        <w:rPr>
          <w:b/>
          <w:bCs/>
        </w:rPr>
        <w:instrText xml:space="preserve"> REF _Ref213163467 \w \h </w:instrText>
      </w:r>
      <w:r w:rsidR="00DD27CC">
        <w:rPr>
          <w:b/>
          <w:bCs/>
        </w:rPr>
        <w:instrText xml:space="preserve"> \* MERGEFORMAT </w:instrText>
      </w:r>
      <w:r w:rsidR="00603108">
        <w:rPr>
          <w:b/>
          <w:bCs/>
        </w:rPr>
      </w:r>
      <w:r w:rsidR="00603108">
        <w:rPr>
          <w:b/>
          <w:bCs/>
        </w:rPr>
        <w:fldChar w:fldCharType="separate"/>
      </w:r>
      <w:r w:rsidR="003861AC">
        <w:rPr>
          <w:b/>
          <w:bCs/>
        </w:rPr>
        <w:t>3.2.2</w:t>
      </w:r>
      <w:r w:rsidR="00603108">
        <w:rPr>
          <w:b/>
          <w:bCs/>
        </w:rPr>
        <w:fldChar w:fldCharType="end"/>
      </w:r>
      <w:r w:rsidR="00C4080D">
        <w:rPr>
          <w:b/>
          <w:bCs/>
        </w:rPr>
        <w:t xml:space="preserve"> Effects on other non-target species</w:t>
      </w:r>
      <w:r>
        <w:t>)</w:t>
      </w:r>
      <w:r w:rsidRPr="00080BAB">
        <w:t>.</w:t>
      </w:r>
    </w:p>
    <w:p w14:paraId="579613E8" w14:textId="77777777" w:rsidR="00FD32F4" w:rsidRDefault="00FD32F4" w:rsidP="00377F3A">
      <w:pPr>
        <w:pStyle w:val="NormalText"/>
      </w:pPr>
      <w:r>
        <w:t>For bait stations around buildings or in open areas, direct exposure of soil can occur by spillage during application, refill and disposal processes, as well as transport by rodents. Indirect exposure occurs by rodent carcasses, urine, and faeces. Indirect exposure of soil is also considered possible for indoor bait stations; however, indirect exposure in the open area scenario is considered negligible since the area inhabited by rodents is too large to cause significant indirect emissions.</w:t>
      </w:r>
    </w:p>
    <w:p w14:paraId="338680A0" w14:textId="2E2870E6" w:rsidR="00FD32F4" w:rsidRDefault="00FD32F4" w:rsidP="00377F3A">
      <w:pPr>
        <w:pStyle w:val="NormalText"/>
      </w:pPr>
      <w:r>
        <w:t>Risks of coumatetralyl and the SGARs to soil organisms were determined to be acceptable for worst-case scenarios resulting in the highest localised soil concentrations (</w:t>
      </w:r>
      <w:r w:rsidR="006D75E6">
        <w:fldChar w:fldCharType="begin"/>
      </w:r>
      <w:r w:rsidR="006D75E6">
        <w:instrText xml:space="preserve"> REF _Ref213163993 \h </w:instrText>
      </w:r>
      <w:r w:rsidR="00DD27CC">
        <w:instrText xml:space="preserve"> \* MERGEFORMAT </w:instrText>
      </w:r>
      <w:r w:rsidR="006D75E6">
        <w:fldChar w:fldCharType="separate"/>
      </w:r>
      <w:r w:rsidR="003861AC">
        <w:t xml:space="preserve">Table </w:t>
      </w:r>
      <w:r w:rsidR="003861AC">
        <w:rPr>
          <w:noProof/>
        </w:rPr>
        <w:t>57</w:t>
      </w:r>
      <w:r w:rsidR="006D75E6">
        <w:fldChar w:fldCharType="end"/>
      </w:r>
      <w:r>
        <w:t>). No data are available on the toxicity of diphacinone and warfarin to soil organisms; however, since only spot contamination is likely to occur in each case (i.e.</w:t>
      </w:r>
      <w:r w:rsidR="00D63DEA">
        <w:t>,</w:t>
      </w:r>
      <w:r>
        <w:t xml:space="preserve"> only a small soil volume around a bait box is likely to be contaminated), overall exposure of soil may be considered insignificant. Therefore, risks of diphacinone and warfarin to soil organisms are also considered to be acceptable.</w:t>
      </w:r>
    </w:p>
    <w:p w14:paraId="4A014FB1" w14:textId="77777777" w:rsidR="00FD32F4" w:rsidRDefault="00FD32F4" w:rsidP="00377F3A">
      <w:pPr>
        <w:pStyle w:val="NormalText"/>
      </w:pPr>
      <w:r>
        <w:t>Risks of anticoagulant rodenticides to</w:t>
      </w:r>
      <w:r w:rsidRPr="00080BAB">
        <w:t xml:space="preserve"> terrestrial plants are </w:t>
      </w:r>
      <w:r>
        <w:t>considered acceptable</w:t>
      </w:r>
      <w:r w:rsidRPr="00080BAB">
        <w:t xml:space="preserve"> based on the mode of</w:t>
      </w:r>
      <w:r>
        <w:t xml:space="preserve"> </w:t>
      </w:r>
      <w:r w:rsidRPr="00080BAB">
        <w:t xml:space="preserve">action, </w:t>
      </w:r>
      <w:r>
        <w:t xml:space="preserve">method of application, </w:t>
      </w:r>
      <w:r w:rsidRPr="00080BAB">
        <w:t xml:space="preserve">low bioavailability in soil, and a lack of a similar </w:t>
      </w:r>
      <w:r>
        <w:t>blood-clotting mechanism</w:t>
      </w:r>
      <w:r w:rsidRPr="00080BAB">
        <w:t xml:space="preserve"> in plants.</w:t>
      </w:r>
    </w:p>
    <w:p w14:paraId="2F5B23C6" w14:textId="450769B8" w:rsidR="00FD32F4" w:rsidRDefault="00FD32F4" w:rsidP="00377F3A">
      <w:pPr>
        <w:pStyle w:val="NormalText"/>
      </w:pPr>
      <w:r>
        <w:t>Only use of difethialone and flocoumafen in sewers are considered to result in potential exposure of STPs. Risks to biological methods of sewage treatment for this use pattern were determined to be acceptable (</w:t>
      </w:r>
      <w:r w:rsidR="006D75E6">
        <w:fldChar w:fldCharType="begin"/>
      </w:r>
      <w:r w:rsidR="006D75E6">
        <w:instrText xml:space="preserve"> REF _Ref213318266 \h </w:instrText>
      </w:r>
      <w:r w:rsidR="00DD27CC">
        <w:instrText xml:space="preserve"> \* MERGEFORMAT </w:instrText>
      </w:r>
      <w:r w:rsidR="006D75E6">
        <w:fldChar w:fldCharType="separate"/>
      </w:r>
      <w:r w:rsidR="003861AC">
        <w:t xml:space="preserve">Table </w:t>
      </w:r>
      <w:r w:rsidR="003861AC">
        <w:rPr>
          <w:noProof/>
        </w:rPr>
        <w:t>59</w:t>
      </w:r>
      <w:r w:rsidR="006D75E6">
        <w:fldChar w:fldCharType="end"/>
      </w:r>
      <w:r>
        <w:t xml:space="preserve">). </w:t>
      </w:r>
      <w:r w:rsidRPr="00367AB8">
        <w:t xml:space="preserve">For </w:t>
      </w:r>
      <w:r>
        <w:t>uses in and around buildings and in agricultural crops</w:t>
      </w:r>
      <w:r w:rsidRPr="00367AB8">
        <w:t>, risks of anticoagulant rodenticides are considered acceptable provided precautionary measures are observed in the placement of baits to avoid accidental entry into drainage systems.</w:t>
      </w:r>
    </w:p>
    <w:p w14:paraId="5678410A" w14:textId="51237E4E" w:rsidR="00FD32F4" w:rsidRDefault="00603108" w:rsidP="00603108">
      <w:pPr>
        <w:pStyle w:val="Caption"/>
      </w:pPr>
      <w:bookmarkStart w:id="1096" w:name="_Toc213946026"/>
      <w:bookmarkStart w:id="1097" w:name="_Toc216695712"/>
      <w:r>
        <w:t xml:space="preserve">Table </w:t>
      </w:r>
      <w:r>
        <w:fldChar w:fldCharType="begin"/>
      </w:r>
      <w:r>
        <w:instrText xml:space="preserve"> SEQ Table \* ARABIC </w:instrText>
      </w:r>
      <w:r>
        <w:fldChar w:fldCharType="separate"/>
      </w:r>
      <w:r w:rsidR="003861AC">
        <w:rPr>
          <w:noProof/>
        </w:rPr>
        <w:t>50</w:t>
      </w:r>
      <w:r>
        <w:fldChar w:fldCharType="end"/>
      </w:r>
      <w:r w:rsidR="00FD32F4">
        <w:t>:</w:t>
      </w:r>
      <w:r>
        <w:t xml:space="preserve"> </w:t>
      </w:r>
      <w:r w:rsidR="00FD32F4">
        <w:t>Relevant scenarios for exposure of aquatic species</w:t>
      </w:r>
      <w:bookmarkEnd w:id="1096"/>
      <w:bookmarkEnd w:id="10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733"/>
        <w:gridCol w:w="3895"/>
      </w:tblGrid>
      <w:tr w:rsidR="00FD32F4" w:rsidRPr="00CA558C" w14:paraId="045D2F02" w14:textId="77777777" w:rsidTr="0017134F">
        <w:trPr>
          <w:tblHeader/>
        </w:trPr>
        <w:tc>
          <w:tcPr>
            <w:tcW w:w="2977" w:type="pct"/>
            <w:tcBorders>
              <w:bottom w:val="single" w:sz="4" w:space="0" w:color="auto"/>
            </w:tcBorders>
            <w:shd w:val="clear" w:color="auto" w:fill="53284F"/>
          </w:tcPr>
          <w:p w14:paraId="5E63FBDD" w14:textId="77777777" w:rsidR="00FD32F4" w:rsidRDefault="00FD32F4" w:rsidP="00377F3A">
            <w:pPr>
              <w:pStyle w:val="TableHead"/>
            </w:pPr>
            <w:r>
              <w:t>Scenario</w:t>
            </w:r>
          </w:p>
        </w:tc>
        <w:tc>
          <w:tcPr>
            <w:tcW w:w="2023" w:type="pct"/>
            <w:tcBorders>
              <w:bottom w:val="single" w:sz="4" w:space="0" w:color="auto"/>
            </w:tcBorders>
            <w:shd w:val="clear" w:color="auto" w:fill="53284F"/>
          </w:tcPr>
          <w:p w14:paraId="3CC24851" w14:textId="77777777" w:rsidR="00FD32F4" w:rsidRDefault="00FD32F4" w:rsidP="00377F3A">
            <w:pPr>
              <w:pStyle w:val="TableHead"/>
            </w:pPr>
            <w:r>
              <w:t>Surface water exposure</w:t>
            </w:r>
          </w:p>
        </w:tc>
      </w:tr>
      <w:tr w:rsidR="00FD32F4" w:rsidRPr="00401380" w14:paraId="44E8D04A" w14:textId="77777777" w:rsidTr="00FA7FFB">
        <w:trPr>
          <w:trHeight w:val="170"/>
        </w:trPr>
        <w:tc>
          <w:tcPr>
            <w:tcW w:w="2977" w:type="pct"/>
            <w:tcBorders>
              <w:top w:val="single" w:sz="4" w:space="0" w:color="auto"/>
              <w:left w:val="nil"/>
              <w:bottom w:val="nil"/>
              <w:right w:val="nil"/>
            </w:tcBorders>
          </w:tcPr>
          <w:p w14:paraId="05E12291" w14:textId="77777777" w:rsidR="00FD32F4" w:rsidRPr="00FA7FFB" w:rsidRDefault="00FD32F4" w:rsidP="00FA7FFB">
            <w:pPr>
              <w:pStyle w:val="TableText"/>
            </w:pPr>
            <w:r w:rsidRPr="00FA7FFB">
              <w:t>In buildings</w:t>
            </w:r>
          </w:p>
        </w:tc>
        <w:tc>
          <w:tcPr>
            <w:tcW w:w="2023" w:type="pct"/>
            <w:tcBorders>
              <w:top w:val="single" w:sz="4" w:space="0" w:color="auto"/>
              <w:left w:val="nil"/>
              <w:bottom w:val="nil"/>
              <w:right w:val="nil"/>
            </w:tcBorders>
          </w:tcPr>
          <w:p w14:paraId="28F7C90D" w14:textId="77777777" w:rsidR="00FD32F4" w:rsidRPr="00FA7FFB" w:rsidRDefault="00FD32F4" w:rsidP="00FA7FFB">
            <w:pPr>
              <w:pStyle w:val="TableText"/>
            </w:pPr>
            <w:r w:rsidRPr="00FA7FFB">
              <w:t>Not relevant</w:t>
            </w:r>
          </w:p>
        </w:tc>
      </w:tr>
      <w:tr w:rsidR="00FD32F4" w:rsidRPr="00401380" w14:paraId="54107FF7" w14:textId="77777777" w:rsidTr="00FA7FFB">
        <w:trPr>
          <w:trHeight w:val="170"/>
        </w:trPr>
        <w:tc>
          <w:tcPr>
            <w:tcW w:w="2977" w:type="pct"/>
            <w:tcBorders>
              <w:top w:val="nil"/>
              <w:left w:val="nil"/>
              <w:bottom w:val="nil"/>
              <w:right w:val="nil"/>
            </w:tcBorders>
          </w:tcPr>
          <w:p w14:paraId="328B752F" w14:textId="77777777" w:rsidR="00FD32F4" w:rsidRPr="00FA7FFB" w:rsidRDefault="00FD32F4" w:rsidP="00FA7FFB">
            <w:pPr>
              <w:pStyle w:val="TableText"/>
            </w:pPr>
            <w:r w:rsidRPr="00FA7FFB">
              <w:t>Around buildings</w:t>
            </w:r>
          </w:p>
        </w:tc>
        <w:tc>
          <w:tcPr>
            <w:tcW w:w="2023" w:type="pct"/>
            <w:tcBorders>
              <w:top w:val="nil"/>
              <w:left w:val="nil"/>
              <w:bottom w:val="nil"/>
              <w:right w:val="nil"/>
            </w:tcBorders>
          </w:tcPr>
          <w:p w14:paraId="2B1B5ECC" w14:textId="77777777" w:rsidR="00FD32F4" w:rsidRPr="00FA7FFB" w:rsidRDefault="00FD32F4" w:rsidP="00FA7FFB">
            <w:pPr>
              <w:pStyle w:val="TableText"/>
            </w:pPr>
            <w:r w:rsidRPr="00FA7FFB">
              <w:t>Not relevant</w:t>
            </w:r>
          </w:p>
        </w:tc>
      </w:tr>
      <w:tr w:rsidR="00FD32F4" w:rsidRPr="00401380" w14:paraId="0443BCB0" w14:textId="77777777" w:rsidTr="00FA7FFB">
        <w:trPr>
          <w:trHeight w:val="170"/>
        </w:trPr>
        <w:tc>
          <w:tcPr>
            <w:tcW w:w="2977" w:type="pct"/>
            <w:tcBorders>
              <w:top w:val="nil"/>
              <w:left w:val="nil"/>
              <w:bottom w:val="nil"/>
              <w:right w:val="nil"/>
            </w:tcBorders>
          </w:tcPr>
          <w:p w14:paraId="180A07FD" w14:textId="77777777" w:rsidR="00FD32F4" w:rsidRPr="00FA7FFB" w:rsidRDefault="00FD32F4" w:rsidP="00FA7FFB">
            <w:pPr>
              <w:pStyle w:val="TableText"/>
            </w:pPr>
            <w:r w:rsidRPr="00FA7FFB">
              <w:t>Bait stations in open areas (agricultural crops)</w:t>
            </w:r>
          </w:p>
        </w:tc>
        <w:tc>
          <w:tcPr>
            <w:tcW w:w="2023" w:type="pct"/>
            <w:tcBorders>
              <w:top w:val="nil"/>
              <w:left w:val="nil"/>
              <w:bottom w:val="nil"/>
              <w:right w:val="nil"/>
            </w:tcBorders>
          </w:tcPr>
          <w:p w14:paraId="53E145E8" w14:textId="77777777" w:rsidR="00FD32F4" w:rsidRPr="00FA7FFB" w:rsidRDefault="00FD32F4" w:rsidP="00FA7FFB">
            <w:pPr>
              <w:pStyle w:val="TableText"/>
            </w:pPr>
            <w:r w:rsidRPr="00FA7FFB">
              <w:t>Not relevant</w:t>
            </w:r>
          </w:p>
        </w:tc>
      </w:tr>
      <w:tr w:rsidR="00FD32F4" w:rsidRPr="00401380" w14:paraId="6BD193E7" w14:textId="77777777" w:rsidTr="00FA7FFB">
        <w:trPr>
          <w:trHeight w:val="170"/>
        </w:trPr>
        <w:tc>
          <w:tcPr>
            <w:tcW w:w="2977" w:type="pct"/>
            <w:tcBorders>
              <w:top w:val="nil"/>
              <w:left w:val="nil"/>
              <w:bottom w:val="single" w:sz="4" w:space="0" w:color="auto"/>
              <w:right w:val="nil"/>
            </w:tcBorders>
          </w:tcPr>
          <w:p w14:paraId="35AA5287" w14:textId="77777777" w:rsidR="00FD32F4" w:rsidRPr="00FA7FFB" w:rsidRDefault="00FD32F4" w:rsidP="00FA7FFB">
            <w:pPr>
              <w:pStyle w:val="TableText"/>
            </w:pPr>
            <w:r w:rsidRPr="00FA7FFB">
              <w:lastRenderedPageBreak/>
              <w:t>Sewers</w:t>
            </w:r>
          </w:p>
        </w:tc>
        <w:tc>
          <w:tcPr>
            <w:tcW w:w="2023" w:type="pct"/>
            <w:tcBorders>
              <w:top w:val="nil"/>
              <w:left w:val="nil"/>
              <w:bottom w:val="single" w:sz="4" w:space="0" w:color="auto"/>
              <w:right w:val="nil"/>
            </w:tcBorders>
          </w:tcPr>
          <w:p w14:paraId="622CCD6C" w14:textId="77777777" w:rsidR="00FD32F4" w:rsidRPr="00FA7FFB" w:rsidRDefault="00FD32F4" w:rsidP="00FA7FFB">
            <w:pPr>
              <w:pStyle w:val="TableText"/>
            </w:pPr>
            <w:r w:rsidRPr="00FA7FFB">
              <w:t>Relevant</w:t>
            </w:r>
          </w:p>
        </w:tc>
      </w:tr>
    </w:tbl>
    <w:p w14:paraId="622405CB" w14:textId="2E030A5D" w:rsidR="00FD32F4" w:rsidRDefault="00603108" w:rsidP="00603108">
      <w:pPr>
        <w:pStyle w:val="Caption"/>
      </w:pPr>
      <w:bookmarkStart w:id="1098" w:name="_Toc213946027"/>
      <w:bookmarkStart w:id="1099" w:name="_Toc216695713"/>
      <w:r>
        <w:t xml:space="preserve">Table </w:t>
      </w:r>
      <w:r>
        <w:fldChar w:fldCharType="begin"/>
      </w:r>
      <w:r>
        <w:instrText xml:space="preserve"> SEQ Table \* ARABIC </w:instrText>
      </w:r>
      <w:r>
        <w:fldChar w:fldCharType="separate"/>
      </w:r>
      <w:r w:rsidR="003861AC">
        <w:rPr>
          <w:noProof/>
        </w:rPr>
        <w:t>51</w:t>
      </w:r>
      <w:r>
        <w:fldChar w:fldCharType="end"/>
      </w:r>
      <w:r>
        <w:t xml:space="preserve">: </w:t>
      </w:r>
      <w:r w:rsidR="00FD32F4">
        <w:t>Default input parameters for predicting surface water concentrations (use in sewers)</w:t>
      </w:r>
      <w:r w:rsidR="00FD32F4">
        <w:rPr>
          <w:rStyle w:val="FootnoteReference"/>
        </w:rPr>
        <w:footnoteReference w:id="11"/>
      </w:r>
      <w:bookmarkEnd w:id="1098"/>
      <w:bookmarkEnd w:id="1099"/>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493"/>
        <w:gridCol w:w="1394"/>
        <w:gridCol w:w="573"/>
        <w:gridCol w:w="772"/>
        <w:gridCol w:w="2458"/>
      </w:tblGrid>
      <w:tr w:rsidR="00FD32F4" w:rsidRPr="00CA558C" w14:paraId="14D38855" w14:textId="77777777" w:rsidTr="0017134F">
        <w:trPr>
          <w:tblHeader/>
        </w:trPr>
        <w:tc>
          <w:tcPr>
            <w:tcW w:w="0" w:type="auto"/>
            <w:gridSpan w:val="3"/>
            <w:tcBorders>
              <w:bottom w:val="nil"/>
            </w:tcBorders>
            <w:shd w:val="clear" w:color="auto" w:fill="53284F"/>
          </w:tcPr>
          <w:p w14:paraId="1AFF26C6" w14:textId="77777777" w:rsidR="00FD32F4" w:rsidRDefault="00FD32F4" w:rsidP="00377F3A">
            <w:pPr>
              <w:pStyle w:val="TableHead"/>
            </w:pPr>
            <w:r>
              <w:t>Parameter</w:t>
            </w:r>
          </w:p>
        </w:tc>
        <w:tc>
          <w:tcPr>
            <w:tcW w:w="0" w:type="auto"/>
            <w:tcBorders>
              <w:bottom w:val="nil"/>
            </w:tcBorders>
            <w:shd w:val="clear" w:color="auto" w:fill="53284F"/>
          </w:tcPr>
          <w:p w14:paraId="497F2E3B" w14:textId="77777777" w:rsidR="00FD32F4" w:rsidRDefault="00FD32F4" w:rsidP="00377F3A">
            <w:pPr>
              <w:pStyle w:val="TableHead"/>
            </w:pPr>
            <w:r>
              <w:t>Value</w:t>
            </w:r>
          </w:p>
        </w:tc>
        <w:tc>
          <w:tcPr>
            <w:tcW w:w="0" w:type="auto"/>
            <w:tcBorders>
              <w:bottom w:val="nil"/>
            </w:tcBorders>
            <w:shd w:val="clear" w:color="auto" w:fill="53284F"/>
          </w:tcPr>
          <w:p w14:paraId="2F1D5F08" w14:textId="77777777" w:rsidR="00FD32F4" w:rsidRDefault="00FD32F4" w:rsidP="00377F3A">
            <w:pPr>
              <w:pStyle w:val="TableHead"/>
            </w:pPr>
            <w:r>
              <w:t>Note</w:t>
            </w:r>
          </w:p>
        </w:tc>
      </w:tr>
      <w:tr w:rsidR="00FD32F4" w:rsidRPr="00401380" w14:paraId="627BF2AE" w14:textId="77777777" w:rsidTr="00E078CC">
        <w:tc>
          <w:tcPr>
            <w:tcW w:w="0" w:type="auto"/>
            <w:tcBorders>
              <w:top w:val="nil"/>
              <w:left w:val="nil"/>
              <w:bottom w:val="nil"/>
              <w:right w:val="nil"/>
            </w:tcBorders>
          </w:tcPr>
          <w:p w14:paraId="1221D0DD" w14:textId="77777777" w:rsidR="00FD32F4" w:rsidRPr="00D66069" w:rsidRDefault="00FD32F4" w:rsidP="00377F3A">
            <w:pPr>
              <w:pStyle w:val="TableText"/>
            </w:pPr>
            <w:r>
              <w:t>Fraction of product replenished</w:t>
            </w:r>
          </w:p>
        </w:tc>
        <w:tc>
          <w:tcPr>
            <w:tcW w:w="0" w:type="auto"/>
            <w:tcBorders>
              <w:top w:val="nil"/>
              <w:left w:val="nil"/>
              <w:bottom w:val="nil"/>
              <w:right w:val="nil"/>
            </w:tcBorders>
          </w:tcPr>
          <w:p w14:paraId="365679AA" w14:textId="77777777" w:rsidR="00FD32F4" w:rsidRPr="00D66069" w:rsidRDefault="00FD32F4" w:rsidP="00377F3A">
            <w:pPr>
              <w:pStyle w:val="TableText"/>
            </w:pPr>
          </w:p>
        </w:tc>
        <w:tc>
          <w:tcPr>
            <w:tcW w:w="0" w:type="auto"/>
            <w:tcBorders>
              <w:top w:val="nil"/>
              <w:left w:val="nil"/>
              <w:bottom w:val="nil"/>
              <w:right w:val="nil"/>
            </w:tcBorders>
          </w:tcPr>
          <w:p w14:paraId="2E863E42" w14:textId="77777777" w:rsidR="00FD32F4" w:rsidRPr="00D66069" w:rsidRDefault="00FD32F4" w:rsidP="00377F3A">
            <w:pPr>
              <w:pStyle w:val="TableText"/>
            </w:pPr>
            <w:r>
              <w:t>[-]</w:t>
            </w:r>
          </w:p>
        </w:tc>
        <w:tc>
          <w:tcPr>
            <w:tcW w:w="0" w:type="auto"/>
            <w:tcBorders>
              <w:top w:val="nil"/>
              <w:left w:val="nil"/>
              <w:bottom w:val="nil"/>
              <w:right w:val="nil"/>
            </w:tcBorders>
          </w:tcPr>
          <w:p w14:paraId="6F0F3919" w14:textId="77777777" w:rsidR="00FD32F4" w:rsidRPr="00D66069" w:rsidRDefault="00FD32F4" w:rsidP="00377F3A">
            <w:pPr>
              <w:pStyle w:val="TableText"/>
            </w:pPr>
            <w:r>
              <w:t>0.33</w:t>
            </w:r>
          </w:p>
        </w:tc>
        <w:tc>
          <w:tcPr>
            <w:tcW w:w="0" w:type="auto"/>
            <w:tcBorders>
              <w:top w:val="nil"/>
              <w:left w:val="nil"/>
              <w:bottom w:val="nil"/>
              <w:right w:val="nil"/>
            </w:tcBorders>
          </w:tcPr>
          <w:p w14:paraId="360E6D18" w14:textId="77777777" w:rsidR="00FD32F4" w:rsidRPr="00D66069" w:rsidRDefault="00FD32F4" w:rsidP="00377F3A">
            <w:pPr>
              <w:pStyle w:val="TableText"/>
            </w:pPr>
          </w:p>
        </w:tc>
      </w:tr>
      <w:tr w:rsidR="00FD32F4" w:rsidRPr="00401380" w14:paraId="69B62614" w14:textId="77777777" w:rsidTr="00E078CC">
        <w:tc>
          <w:tcPr>
            <w:tcW w:w="0" w:type="auto"/>
            <w:tcBorders>
              <w:top w:val="nil"/>
              <w:left w:val="nil"/>
              <w:bottom w:val="nil"/>
              <w:right w:val="nil"/>
            </w:tcBorders>
          </w:tcPr>
          <w:p w14:paraId="4819E98F" w14:textId="77777777" w:rsidR="00FD32F4" w:rsidRPr="00D66069" w:rsidRDefault="00FD32F4" w:rsidP="00377F3A">
            <w:pPr>
              <w:pStyle w:val="TableText"/>
            </w:pPr>
            <w:r w:rsidRPr="00D66069">
              <w:t>Number of cesspools treated</w:t>
            </w:r>
          </w:p>
        </w:tc>
        <w:tc>
          <w:tcPr>
            <w:tcW w:w="0" w:type="auto"/>
            <w:tcBorders>
              <w:top w:val="nil"/>
              <w:left w:val="nil"/>
              <w:bottom w:val="nil"/>
              <w:right w:val="nil"/>
            </w:tcBorders>
          </w:tcPr>
          <w:p w14:paraId="2521DF74" w14:textId="77777777" w:rsidR="00FD32F4" w:rsidRPr="00D66069" w:rsidRDefault="00FD32F4" w:rsidP="00377F3A">
            <w:pPr>
              <w:pStyle w:val="TableText"/>
            </w:pPr>
            <w:r w:rsidRPr="00D66069">
              <w:t>N</w:t>
            </w:r>
            <w:r w:rsidRPr="00D66069">
              <w:rPr>
                <w:vertAlign w:val="subscript"/>
              </w:rPr>
              <w:t>cesspools</w:t>
            </w:r>
          </w:p>
        </w:tc>
        <w:tc>
          <w:tcPr>
            <w:tcW w:w="0" w:type="auto"/>
            <w:tcBorders>
              <w:top w:val="nil"/>
              <w:left w:val="nil"/>
              <w:bottom w:val="nil"/>
              <w:right w:val="nil"/>
            </w:tcBorders>
          </w:tcPr>
          <w:p w14:paraId="1F862A14" w14:textId="77777777" w:rsidR="00FD32F4" w:rsidRPr="00D66069" w:rsidRDefault="00FD32F4" w:rsidP="00377F3A">
            <w:pPr>
              <w:pStyle w:val="TableText"/>
            </w:pPr>
            <w:r w:rsidRPr="00D66069">
              <w:t>[-]</w:t>
            </w:r>
          </w:p>
        </w:tc>
        <w:tc>
          <w:tcPr>
            <w:tcW w:w="0" w:type="auto"/>
            <w:tcBorders>
              <w:top w:val="nil"/>
              <w:left w:val="nil"/>
              <w:bottom w:val="nil"/>
              <w:right w:val="nil"/>
            </w:tcBorders>
          </w:tcPr>
          <w:p w14:paraId="7908F8EF" w14:textId="77777777" w:rsidR="00FD32F4" w:rsidRPr="00D66069" w:rsidRDefault="00FD32F4" w:rsidP="00377F3A">
            <w:pPr>
              <w:pStyle w:val="TableText"/>
            </w:pPr>
            <w:r w:rsidRPr="00D66069">
              <w:t>200</w:t>
            </w:r>
          </w:p>
        </w:tc>
        <w:tc>
          <w:tcPr>
            <w:tcW w:w="0" w:type="auto"/>
            <w:tcBorders>
              <w:top w:val="nil"/>
              <w:left w:val="nil"/>
              <w:bottom w:val="nil"/>
              <w:right w:val="nil"/>
            </w:tcBorders>
          </w:tcPr>
          <w:p w14:paraId="6842E773" w14:textId="77777777" w:rsidR="00FD32F4" w:rsidRPr="00D66069" w:rsidRDefault="00FD32F4" w:rsidP="00377F3A">
            <w:pPr>
              <w:pStyle w:val="TableText"/>
            </w:pPr>
          </w:p>
        </w:tc>
      </w:tr>
      <w:tr w:rsidR="00FD32F4" w:rsidRPr="00401380" w14:paraId="7DB9A4C5" w14:textId="77777777" w:rsidTr="00E078CC">
        <w:tc>
          <w:tcPr>
            <w:tcW w:w="0" w:type="auto"/>
            <w:tcBorders>
              <w:top w:val="nil"/>
              <w:left w:val="nil"/>
              <w:bottom w:val="nil"/>
              <w:right w:val="nil"/>
            </w:tcBorders>
          </w:tcPr>
          <w:p w14:paraId="0BDFBE69" w14:textId="77777777" w:rsidR="00FD32F4" w:rsidRPr="00D66069" w:rsidRDefault="00FD32F4" w:rsidP="00377F3A">
            <w:pPr>
              <w:pStyle w:val="TableText"/>
            </w:pPr>
            <w:r w:rsidRPr="00D66069">
              <w:t>Number of emission days</w:t>
            </w:r>
          </w:p>
        </w:tc>
        <w:tc>
          <w:tcPr>
            <w:tcW w:w="0" w:type="auto"/>
            <w:tcBorders>
              <w:top w:val="nil"/>
              <w:left w:val="nil"/>
              <w:bottom w:val="nil"/>
              <w:right w:val="nil"/>
            </w:tcBorders>
          </w:tcPr>
          <w:p w14:paraId="21988043" w14:textId="77777777" w:rsidR="00FD32F4" w:rsidRPr="00D66069" w:rsidRDefault="00FD32F4" w:rsidP="00377F3A">
            <w:pPr>
              <w:pStyle w:val="TableText"/>
            </w:pPr>
            <w:r w:rsidRPr="00D66069">
              <w:t>T</w:t>
            </w:r>
            <w:r w:rsidRPr="00D66069">
              <w:rPr>
                <w:vertAlign w:val="subscript"/>
              </w:rPr>
              <w:t>emission</w:t>
            </w:r>
          </w:p>
        </w:tc>
        <w:tc>
          <w:tcPr>
            <w:tcW w:w="0" w:type="auto"/>
            <w:tcBorders>
              <w:top w:val="nil"/>
              <w:left w:val="nil"/>
              <w:bottom w:val="nil"/>
              <w:right w:val="nil"/>
            </w:tcBorders>
          </w:tcPr>
          <w:p w14:paraId="727D5411" w14:textId="77777777" w:rsidR="00FD32F4" w:rsidRPr="00D66069" w:rsidRDefault="00FD32F4" w:rsidP="00377F3A">
            <w:pPr>
              <w:pStyle w:val="TableText"/>
            </w:pPr>
            <w:r w:rsidRPr="00D66069">
              <w:t>[-]</w:t>
            </w:r>
          </w:p>
        </w:tc>
        <w:tc>
          <w:tcPr>
            <w:tcW w:w="0" w:type="auto"/>
            <w:tcBorders>
              <w:top w:val="nil"/>
              <w:left w:val="nil"/>
              <w:bottom w:val="nil"/>
              <w:right w:val="nil"/>
            </w:tcBorders>
          </w:tcPr>
          <w:p w14:paraId="4D0F0630" w14:textId="77777777" w:rsidR="00FD32F4" w:rsidRPr="00D66069" w:rsidRDefault="00FD32F4" w:rsidP="00377F3A">
            <w:pPr>
              <w:pStyle w:val="TableText"/>
            </w:pPr>
            <w:r w:rsidRPr="00D66069">
              <w:t>7</w:t>
            </w:r>
          </w:p>
        </w:tc>
        <w:tc>
          <w:tcPr>
            <w:tcW w:w="0" w:type="auto"/>
            <w:tcBorders>
              <w:top w:val="nil"/>
              <w:left w:val="nil"/>
              <w:bottom w:val="nil"/>
              <w:right w:val="nil"/>
            </w:tcBorders>
          </w:tcPr>
          <w:p w14:paraId="546D3C93" w14:textId="77777777" w:rsidR="00FD32F4" w:rsidRPr="00D66069" w:rsidRDefault="00FD32F4" w:rsidP="00377F3A">
            <w:pPr>
              <w:pStyle w:val="TableText"/>
            </w:pPr>
          </w:p>
        </w:tc>
      </w:tr>
      <w:tr w:rsidR="00FD32F4" w14:paraId="6B655937" w14:textId="77777777" w:rsidTr="00E078CC">
        <w:tc>
          <w:tcPr>
            <w:tcW w:w="0" w:type="auto"/>
            <w:tcBorders>
              <w:top w:val="nil"/>
              <w:left w:val="nil"/>
              <w:bottom w:val="nil"/>
              <w:right w:val="nil"/>
            </w:tcBorders>
          </w:tcPr>
          <w:p w14:paraId="55F323CF" w14:textId="77777777" w:rsidR="00FD32F4" w:rsidRPr="00D66069" w:rsidRDefault="00FD32F4" w:rsidP="00377F3A">
            <w:pPr>
              <w:pStyle w:val="TableText"/>
            </w:pPr>
            <w:r w:rsidRPr="00D66069">
              <w:t>Fraction released directly</w:t>
            </w:r>
          </w:p>
        </w:tc>
        <w:tc>
          <w:tcPr>
            <w:tcW w:w="0" w:type="auto"/>
            <w:tcBorders>
              <w:top w:val="nil"/>
              <w:left w:val="nil"/>
              <w:bottom w:val="nil"/>
              <w:right w:val="nil"/>
            </w:tcBorders>
          </w:tcPr>
          <w:p w14:paraId="6BB19AFB" w14:textId="77777777" w:rsidR="00FD32F4" w:rsidRPr="00D66069" w:rsidRDefault="00FD32F4" w:rsidP="00377F3A">
            <w:pPr>
              <w:pStyle w:val="TableText"/>
            </w:pPr>
            <w:r w:rsidRPr="00D66069">
              <w:t>F</w:t>
            </w:r>
            <w:r w:rsidRPr="00D66069">
              <w:rPr>
                <w:vertAlign w:val="subscript"/>
              </w:rPr>
              <w:t>released-D,sewer</w:t>
            </w:r>
          </w:p>
        </w:tc>
        <w:tc>
          <w:tcPr>
            <w:tcW w:w="0" w:type="auto"/>
            <w:tcBorders>
              <w:top w:val="nil"/>
              <w:left w:val="nil"/>
              <w:bottom w:val="nil"/>
              <w:right w:val="nil"/>
            </w:tcBorders>
          </w:tcPr>
          <w:p w14:paraId="179386C6" w14:textId="77777777" w:rsidR="00FD32F4" w:rsidRPr="00D66069" w:rsidRDefault="00FD32F4" w:rsidP="00377F3A">
            <w:pPr>
              <w:pStyle w:val="TableText"/>
            </w:pPr>
            <w:r w:rsidRPr="00D66069">
              <w:t>[-]</w:t>
            </w:r>
          </w:p>
        </w:tc>
        <w:tc>
          <w:tcPr>
            <w:tcW w:w="0" w:type="auto"/>
            <w:tcBorders>
              <w:top w:val="nil"/>
              <w:left w:val="nil"/>
              <w:bottom w:val="nil"/>
              <w:right w:val="nil"/>
            </w:tcBorders>
          </w:tcPr>
          <w:p w14:paraId="11A60983" w14:textId="77777777" w:rsidR="00FD32F4" w:rsidRPr="00D66069" w:rsidRDefault="00FD32F4" w:rsidP="00377F3A">
            <w:pPr>
              <w:pStyle w:val="TableText"/>
            </w:pPr>
            <w:r w:rsidRPr="00D66069">
              <w:t>0.4</w:t>
            </w:r>
          </w:p>
        </w:tc>
        <w:tc>
          <w:tcPr>
            <w:tcW w:w="0" w:type="auto"/>
            <w:tcBorders>
              <w:top w:val="nil"/>
              <w:left w:val="nil"/>
              <w:bottom w:val="nil"/>
              <w:right w:val="nil"/>
            </w:tcBorders>
          </w:tcPr>
          <w:p w14:paraId="29C7A72E" w14:textId="77777777" w:rsidR="00FD32F4" w:rsidRPr="00D66069" w:rsidRDefault="00FD32F4" w:rsidP="00377F3A">
            <w:pPr>
              <w:pStyle w:val="TableText"/>
            </w:pPr>
          </w:p>
        </w:tc>
      </w:tr>
      <w:tr w:rsidR="00FD32F4" w:rsidRPr="00401380" w14:paraId="71152536" w14:textId="77777777" w:rsidTr="00E078CC">
        <w:tc>
          <w:tcPr>
            <w:tcW w:w="0" w:type="auto"/>
            <w:tcBorders>
              <w:top w:val="nil"/>
              <w:left w:val="nil"/>
              <w:bottom w:val="nil"/>
              <w:right w:val="nil"/>
            </w:tcBorders>
          </w:tcPr>
          <w:p w14:paraId="2A1C7417" w14:textId="77777777" w:rsidR="00FD32F4" w:rsidRPr="00D66069" w:rsidRDefault="00FD32F4" w:rsidP="00377F3A">
            <w:pPr>
              <w:pStyle w:val="TableText"/>
            </w:pPr>
            <w:r w:rsidRPr="00D66069">
              <w:t>Fraction released indirectly</w:t>
            </w:r>
          </w:p>
        </w:tc>
        <w:tc>
          <w:tcPr>
            <w:tcW w:w="0" w:type="auto"/>
            <w:tcBorders>
              <w:top w:val="nil"/>
              <w:left w:val="nil"/>
              <w:bottom w:val="nil"/>
              <w:right w:val="nil"/>
            </w:tcBorders>
          </w:tcPr>
          <w:p w14:paraId="209E596B" w14:textId="77777777" w:rsidR="00FD32F4" w:rsidRPr="00D66069" w:rsidRDefault="00FD32F4" w:rsidP="00377F3A">
            <w:pPr>
              <w:pStyle w:val="TableText"/>
            </w:pPr>
            <w:r w:rsidRPr="00D66069">
              <w:t>F</w:t>
            </w:r>
            <w:r w:rsidRPr="00D66069">
              <w:rPr>
                <w:vertAlign w:val="subscript"/>
              </w:rPr>
              <w:t>released-ID,sewer</w:t>
            </w:r>
          </w:p>
        </w:tc>
        <w:tc>
          <w:tcPr>
            <w:tcW w:w="0" w:type="auto"/>
            <w:tcBorders>
              <w:top w:val="nil"/>
              <w:left w:val="nil"/>
              <w:bottom w:val="nil"/>
              <w:right w:val="nil"/>
            </w:tcBorders>
          </w:tcPr>
          <w:p w14:paraId="75D92726" w14:textId="77777777" w:rsidR="00FD32F4" w:rsidRPr="00D66069" w:rsidRDefault="00FD32F4" w:rsidP="00377F3A">
            <w:pPr>
              <w:pStyle w:val="TableText"/>
            </w:pPr>
            <w:r w:rsidRPr="00D66069">
              <w:t>[-]</w:t>
            </w:r>
          </w:p>
        </w:tc>
        <w:tc>
          <w:tcPr>
            <w:tcW w:w="0" w:type="auto"/>
            <w:tcBorders>
              <w:top w:val="nil"/>
              <w:left w:val="nil"/>
              <w:bottom w:val="nil"/>
              <w:right w:val="nil"/>
            </w:tcBorders>
          </w:tcPr>
          <w:p w14:paraId="26BFCF5F" w14:textId="77777777" w:rsidR="00FD32F4" w:rsidRPr="00D66069" w:rsidRDefault="00FD32F4" w:rsidP="00377F3A">
            <w:pPr>
              <w:pStyle w:val="TableText"/>
            </w:pPr>
            <w:r w:rsidRPr="00D66069">
              <w:t>0.6</w:t>
            </w:r>
          </w:p>
        </w:tc>
        <w:tc>
          <w:tcPr>
            <w:tcW w:w="0" w:type="auto"/>
            <w:tcBorders>
              <w:top w:val="nil"/>
              <w:left w:val="nil"/>
              <w:bottom w:val="nil"/>
              <w:right w:val="nil"/>
            </w:tcBorders>
          </w:tcPr>
          <w:p w14:paraId="27833F03" w14:textId="77777777" w:rsidR="00FD32F4" w:rsidRPr="00D66069" w:rsidRDefault="00FD32F4" w:rsidP="00377F3A">
            <w:pPr>
              <w:pStyle w:val="TableText"/>
            </w:pPr>
            <w:r w:rsidRPr="00D66069">
              <w:t>Assumes no rat metabolism</w:t>
            </w:r>
          </w:p>
        </w:tc>
      </w:tr>
      <w:tr w:rsidR="00FD32F4" w14:paraId="47BD1C2B" w14:textId="77777777" w:rsidTr="00E078CC">
        <w:tc>
          <w:tcPr>
            <w:tcW w:w="0" w:type="auto"/>
            <w:tcBorders>
              <w:top w:val="nil"/>
              <w:left w:val="nil"/>
              <w:bottom w:val="nil"/>
              <w:right w:val="nil"/>
            </w:tcBorders>
          </w:tcPr>
          <w:p w14:paraId="534181A0" w14:textId="77777777" w:rsidR="00FD32F4" w:rsidRPr="00D66069" w:rsidRDefault="00FD32F4" w:rsidP="00377F3A">
            <w:pPr>
              <w:pStyle w:val="TableText"/>
            </w:pPr>
            <w:r w:rsidRPr="00D66069">
              <w:t>Effluent discharge rate of sewer</w:t>
            </w:r>
          </w:p>
        </w:tc>
        <w:tc>
          <w:tcPr>
            <w:tcW w:w="0" w:type="auto"/>
            <w:tcBorders>
              <w:top w:val="nil"/>
              <w:left w:val="nil"/>
              <w:bottom w:val="nil"/>
              <w:right w:val="nil"/>
            </w:tcBorders>
          </w:tcPr>
          <w:p w14:paraId="1316BE74" w14:textId="77777777" w:rsidR="00FD32F4" w:rsidRPr="00D66069" w:rsidRDefault="00FD32F4" w:rsidP="00377F3A">
            <w:pPr>
              <w:pStyle w:val="TableText"/>
            </w:pPr>
            <w:r w:rsidRPr="00D66069">
              <w:t>EFFLUENT</w:t>
            </w:r>
            <w:r w:rsidRPr="00D66069">
              <w:rPr>
                <w:vertAlign w:val="subscript"/>
              </w:rPr>
              <w:t>water</w:t>
            </w:r>
          </w:p>
        </w:tc>
        <w:tc>
          <w:tcPr>
            <w:tcW w:w="0" w:type="auto"/>
            <w:tcBorders>
              <w:top w:val="nil"/>
              <w:left w:val="nil"/>
              <w:bottom w:val="nil"/>
              <w:right w:val="nil"/>
            </w:tcBorders>
          </w:tcPr>
          <w:p w14:paraId="6A952E1F" w14:textId="77777777" w:rsidR="00FD32F4" w:rsidRPr="00D66069" w:rsidRDefault="00FD32F4" w:rsidP="00377F3A">
            <w:pPr>
              <w:pStyle w:val="TableText"/>
            </w:pPr>
            <w:r w:rsidRPr="00D66069">
              <w:t>L/d</w:t>
            </w:r>
          </w:p>
        </w:tc>
        <w:tc>
          <w:tcPr>
            <w:tcW w:w="0" w:type="auto"/>
            <w:tcBorders>
              <w:top w:val="nil"/>
              <w:left w:val="nil"/>
              <w:bottom w:val="nil"/>
              <w:right w:val="nil"/>
            </w:tcBorders>
          </w:tcPr>
          <w:p w14:paraId="78174E20" w14:textId="77777777" w:rsidR="00FD32F4" w:rsidRPr="00D66069" w:rsidRDefault="00FD32F4" w:rsidP="00377F3A">
            <w:pPr>
              <w:pStyle w:val="TableText"/>
            </w:pPr>
            <w:r w:rsidRPr="00D66069">
              <w:t>2.0×10</w:t>
            </w:r>
            <w:r w:rsidRPr="00D66069">
              <w:rPr>
                <w:vertAlign w:val="superscript"/>
              </w:rPr>
              <w:t>6</w:t>
            </w:r>
          </w:p>
          <w:p w14:paraId="311D0CEC" w14:textId="77777777" w:rsidR="00FD32F4" w:rsidRPr="00D66069" w:rsidRDefault="00FD32F4" w:rsidP="00377F3A">
            <w:pPr>
              <w:pStyle w:val="TableText"/>
            </w:pPr>
            <w:r w:rsidRPr="00D66069">
              <w:t>0.6×10</w:t>
            </w:r>
            <w:r w:rsidRPr="00D66069">
              <w:rPr>
                <w:vertAlign w:val="superscript"/>
              </w:rPr>
              <w:t>6</w:t>
            </w:r>
          </w:p>
        </w:tc>
        <w:tc>
          <w:tcPr>
            <w:tcW w:w="0" w:type="auto"/>
            <w:tcBorders>
              <w:top w:val="nil"/>
              <w:left w:val="nil"/>
              <w:bottom w:val="nil"/>
              <w:right w:val="nil"/>
            </w:tcBorders>
          </w:tcPr>
          <w:p w14:paraId="428597C5" w14:textId="77777777" w:rsidR="00FD32F4" w:rsidRPr="00D66069" w:rsidRDefault="00FD32F4" w:rsidP="00377F3A">
            <w:pPr>
              <w:pStyle w:val="TableText"/>
            </w:pPr>
            <w:r w:rsidRPr="00D66069">
              <w:t>Mixed water sewer</w:t>
            </w:r>
          </w:p>
          <w:p w14:paraId="1A1C38D6" w14:textId="77777777" w:rsidR="00FD32F4" w:rsidRPr="00D66069" w:rsidRDefault="00FD32F4" w:rsidP="00377F3A">
            <w:pPr>
              <w:pStyle w:val="TableText"/>
            </w:pPr>
            <w:r w:rsidRPr="00D66069">
              <w:t>Rainwater sewer</w:t>
            </w:r>
          </w:p>
        </w:tc>
      </w:tr>
      <w:tr w:rsidR="00FD32F4" w14:paraId="67FDF7A1" w14:textId="77777777" w:rsidTr="00E078CC">
        <w:tc>
          <w:tcPr>
            <w:tcW w:w="0" w:type="auto"/>
            <w:tcBorders>
              <w:top w:val="nil"/>
              <w:left w:val="nil"/>
              <w:bottom w:val="nil"/>
              <w:right w:val="nil"/>
            </w:tcBorders>
          </w:tcPr>
          <w:p w14:paraId="3CEE80D4" w14:textId="77777777" w:rsidR="00FD32F4" w:rsidRPr="00D66069" w:rsidRDefault="00FD32F4" w:rsidP="00377F3A">
            <w:pPr>
              <w:pStyle w:val="TableText"/>
            </w:pPr>
            <w:r w:rsidRPr="00D66069">
              <w:t>Concentration of suspended matter in surface water</w:t>
            </w:r>
          </w:p>
        </w:tc>
        <w:tc>
          <w:tcPr>
            <w:tcW w:w="0" w:type="auto"/>
            <w:tcBorders>
              <w:top w:val="nil"/>
              <w:left w:val="nil"/>
              <w:bottom w:val="nil"/>
              <w:right w:val="nil"/>
            </w:tcBorders>
          </w:tcPr>
          <w:p w14:paraId="24D10B60" w14:textId="77777777" w:rsidR="00FD32F4" w:rsidRPr="00D66069" w:rsidRDefault="00FD32F4" w:rsidP="00377F3A">
            <w:pPr>
              <w:pStyle w:val="TableText"/>
            </w:pPr>
            <w:r w:rsidRPr="00D66069">
              <w:t>SUSP</w:t>
            </w:r>
            <w:r w:rsidRPr="00D66069">
              <w:rPr>
                <w:vertAlign w:val="subscript"/>
              </w:rPr>
              <w:t>water</w:t>
            </w:r>
          </w:p>
        </w:tc>
        <w:tc>
          <w:tcPr>
            <w:tcW w:w="0" w:type="auto"/>
            <w:tcBorders>
              <w:top w:val="nil"/>
              <w:left w:val="nil"/>
              <w:bottom w:val="nil"/>
              <w:right w:val="nil"/>
            </w:tcBorders>
          </w:tcPr>
          <w:p w14:paraId="02AE2ADC" w14:textId="77777777" w:rsidR="00FD32F4" w:rsidRPr="00D66069" w:rsidRDefault="00FD32F4" w:rsidP="00377F3A">
            <w:pPr>
              <w:pStyle w:val="TableText"/>
            </w:pPr>
            <w:r w:rsidRPr="00D66069">
              <w:t>mg/L</w:t>
            </w:r>
          </w:p>
        </w:tc>
        <w:tc>
          <w:tcPr>
            <w:tcW w:w="0" w:type="auto"/>
            <w:tcBorders>
              <w:top w:val="nil"/>
              <w:left w:val="nil"/>
              <w:bottom w:val="nil"/>
              <w:right w:val="nil"/>
            </w:tcBorders>
          </w:tcPr>
          <w:p w14:paraId="6EAEEA40" w14:textId="77777777" w:rsidR="00FD32F4" w:rsidRPr="00D66069" w:rsidRDefault="00FD32F4" w:rsidP="00377F3A">
            <w:pPr>
              <w:pStyle w:val="TableText"/>
            </w:pPr>
            <w:r w:rsidRPr="00D66069">
              <w:t>15</w:t>
            </w:r>
          </w:p>
        </w:tc>
        <w:tc>
          <w:tcPr>
            <w:tcW w:w="0" w:type="auto"/>
            <w:tcBorders>
              <w:top w:val="nil"/>
              <w:left w:val="nil"/>
              <w:bottom w:val="nil"/>
              <w:right w:val="nil"/>
            </w:tcBorders>
          </w:tcPr>
          <w:p w14:paraId="475D7929" w14:textId="77777777" w:rsidR="00FD32F4" w:rsidRPr="00D66069" w:rsidRDefault="00FD32F4" w:rsidP="00377F3A">
            <w:pPr>
              <w:pStyle w:val="TableText"/>
            </w:pPr>
          </w:p>
        </w:tc>
      </w:tr>
      <w:tr w:rsidR="00FD32F4" w14:paraId="1A8B9DA4" w14:textId="77777777" w:rsidTr="00E078CC">
        <w:tc>
          <w:tcPr>
            <w:tcW w:w="0" w:type="auto"/>
            <w:tcBorders>
              <w:top w:val="nil"/>
              <w:left w:val="nil"/>
              <w:bottom w:val="nil"/>
              <w:right w:val="nil"/>
            </w:tcBorders>
          </w:tcPr>
          <w:p w14:paraId="1511BE3F" w14:textId="77777777" w:rsidR="00FD32F4" w:rsidRPr="00D66069" w:rsidRDefault="00FD32F4" w:rsidP="00377F3A">
            <w:pPr>
              <w:pStyle w:val="TableText"/>
            </w:pPr>
            <w:r w:rsidRPr="00D66069">
              <w:t>Weight fraction organic carbon in suspended matter</w:t>
            </w:r>
          </w:p>
        </w:tc>
        <w:tc>
          <w:tcPr>
            <w:tcW w:w="0" w:type="auto"/>
            <w:tcBorders>
              <w:top w:val="nil"/>
              <w:left w:val="nil"/>
              <w:bottom w:val="nil"/>
              <w:right w:val="nil"/>
            </w:tcBorders>
          </w:tcPr>
          <w:p w14:paraId="64BC39CC" w14:textId="77777777" w:rsidR="00FD32F4" w:rsidRPr="00D66069" w:rsidRDefault="00FD32F4" w:rsidP="00377F3A">
            <w:pPr>
              <w:pStyle w:val="TableText"/>
            </w:pPr>
            <w:r w:rsidRPr="00D66069">
              <w:t>Foc</w:t>
            </w:r>
            <w:r w:rsidRPr="00D66069">
              <w:rPr>
                <w:vertAlign w:val="subscript"/>
              </w:rPr>
              <w:t>susp</w:t>
            </w:r>
          </w:p>
        </w:tc>
        <w:tc>
          <w:tcPr>
            <w:tcW w:w="0" w:type="auto"/>
            <w:tcBorders>
              <w:top w:val="nil"/>
              <w:left w:val="nil"/>
              <w:bottom w:val="nil"/>
              <w:right w:val="nil"/>
            </w:tcBorders>
          </w:tcPr>
          <w:p w14:paraId="240228D1" w14:textId="77777777" w:rsidR="00FD32F4" w:rsidRPr="00D66069" w:rsidRDefault="00FD32F4" w:rsidP="00377F3A">
            <w:pPr>
              <w:pStyle w:val="TableText"/>
            </w:pPr>
            <w:r w:rsidRPr="00D66069">
              <w:t>kg/kg</w:t>
            </w:r>
          </w:p>
        </w:tc>
        <w:tc>
          <w:tcPr>
            <w:tcW w:w="0" w:type="auto"/>
            <w:tcBorders>
              <w:top w:val="nil"/>
              <w:left w:val="nil"/>
              <w:bottom w:val="nil"/>
              <w:right w:val="nil"/>
            </w:tcBorders>
          </w:tcPr>
          <w:p w14:paraId="01E4AE60" w14:textId="77777777" w:rsidR="00FD32F4" w:rsidRPr="00D66069" w:rsidRDefault="00FD32F4" w:rsidP="00377F3A">
            <w:pPr>
              <w:pStyle w:val="TableText"/>
            </w:pPr>
            <w:r w:rsidRPr="00D66069">
              <w:t>0.1</w:t>
            </w:r>
          </w:p>
        </w:tc>
        <w:tc>
          <w:tcPr>
            <w:tcW w:w="0" w:type="auto"/>
            <w:tcBorders>
              <w:top w:val="nil"/>
              <w:left w:val="nil"/>
              <w:bottom w:val="nil"/>
              <w:right w:val="nil"/>
            </w:tcBorders>
          </w:tcPr>
          <w:p w14:paraId="3D024130" w14:textId="77777777" w:rsidR="00FD32F4" w:rsidRPr="00D66069" w:rsidRDefault="00FD32F4" w:rsidP="00377F3A">
            <w:pPr>
              <w:pStyle w:val="TableText"/>
            </w:pPr>
          </w:p>
        </w:tc>
      </w:tr>
      <w:tr w:rsidR="00FD32F4" w14:paraId="50CB6DEE" w14:textId="77777777" w:rsidTr="00E078CC">
        <w:tc>
          <w:tcPr>
            <w:tcW w:w="0" w:type="auto"/>
            <w:tcBorders>
              <w:top w:val="nil"/>
              <w:left w:val="nil"/>
              <w:bottom w:val="single" w:sz="4" w:space="0" w:color="auto"/>
              <w:right w:val="nil"/>
            </w:tcBorders>
          </w:tcPr>
          <w:p w14:paraId="792B66D4" w14:textId="77777777" w:rsidR="00FD32F4" w:rsidRPr="00D66069" w:rsidRDefault="00FD32F4" w:rsidP="00377F3A">
            <w:pPr>
              <w:pStyle w:val="TableText"/>
            </w:pPr>
            <w:r w:rsidRPr="00D66069">
              <w:t>Dilution factor</w:t>
            </w:r>
          </w:p>
        </w:tc>
        <w:tc>
          <w:tcPr>
            <w:tcW w:w="0" w:type="auto"/>
            <w:tcBorders>
              <w:top w:val="nil"/>
              <w:left w:val="nil"/>
              <w:bottom w:val="single" w:sz="4" w:space="0" w:color="auto"/>
              <w:right w:val="nil"/>
            </w:tcBorders>
          </w:tcPr>
          <w:p w14:paraId="1114D372" w14:textId="77777777" w:rsidR="00FD32F4" w:rsidRPr="00D66069" w:rsidRDefault="00FD32F4" w:rsidP="00377F3A">
            <w:pPr>
              <w:pStyle w:val="TableText"/>
            </w:pPr>
            <w:r w:rsidRPr="00D66069">
              <w:t>DILUTION</w:t>
            </w:r>
          </w:p>
        </w:tc>
        <w:tc>
          <w:tcPr>
            <w:tcW w:w="0" w:type="auto"/>
            <w:tcBorders>
              <w:top w:val="nil"/>
              <w:left w:val="nil"/>
              <w:bottom w:val="single" w:sz="4" w:space="0" w:color="auto"/>
              <w:right w:val="nil"/>
            </w:tcBorders>
          </w:tcPr>
          <w:p w14:paraId="67007CC7" w14:textId="77777777" w:rsidR="00FD32F4" w:rsidRPr="00D66069" w:rsidRDefault="00FD32F4" w:rsidP="00377F3A">
            <w:pPr>
              <w:pStyle w:val="TableText"/>
            </w:pPr>
            <w:r w:rsidRPr="00D66069">
              <w:t>[-]</w:t>
            </w:r>
          </w:p>
        </w:tc>
        <w:tc>
          <w:tcPr>
            <w:tcW w:w="0" w:type="auto"/>
            <w:tcBorders>
              <w:top w:val="nil"/>
              <w:left w:val="nil"/>
              <w:bottom w:val="single" w:sz="4" w:space="0" w:color="auto"/>
              <w:right w:val="nil"/>
            </w:tcBorders>
          </w:tcPr>
          <w:p w14:paraId="18BFB942" w14:textId="77777777" w:rsidR="00FD32F4" w:rsidRPr="00D66069" w:rsidRDefault="00FD32F4" w:rsidP="00377F3A">
            <w:pPr>
              <w:pStyle w:val="TableText"/>
            </w:pPr>
            <w:r w:rsidRPr="00D66069">
              <w:t>10</w:t>
            </w:r>
          </w:p>
        </w:tc>
        <w:tc>
          <w:tcPr>
            <w:tcW w:w="0" w:type="auto"/>
            <w:tcBorders>
              <w:top w:val="nil"/>
              <w:left w:val="nil"/>
              <w:bottom w:val="single" w:sz="4" w:space="0" w:color="auto"/>
              <w:right w:val="nil"/>
            </w:tcBorders>
          </w:tcPr>
          <w:p w14:paraId="0E32E016" w14:textId="77777777" w:rsidR="00FD32F4" w:rsidRPr="00D66069" w:rsidRDefault="00FD32F4" w:rsidP="00377F3A">
            <w:pPr>
              <w:pStyle w:val="TableText"/>
            </w:pPr>
          </w:p>
        </w:tc>
      </w:tr>
    </w:tbl>
    <w:p w14:paraId="2745174F" w14:textId="2E04691E" w:rsidR="00FD32F4" w:rsidRDefault="00603108" w:rsidP="00FD32F4">
      <w:pPr>
        <w:pStyle w:val="Caption"/>
      </w:pPr>
      <w:bookmarkStart w:id="1100" w:name="_Ref213315246"/>
      <w:bookmarkStart w:id="1101" w:name="_Toc213946028"/>
      <w:bookmarkStart w:id="1102" w:name="_Toc216695714"/>
      <w:r>
        <w:t xml:space="preserve">Table </w:t>
      </w:r>
      <w:r>
        <w:fldChar w:fldCharType="begin"/>
      </w:r>
      <w:r>
        <w:instrText xml:space="preserve"> SEQ Table \* ARABIC </w:instrText>
      </w:r>
      <w:r>
        <w:fldChar w:fldCharType="separate"/>
      </w:r>
      <w:r w:rsidR="003861AC">
        <w:rPr>
          <w:noProof/>
        </w:rPr>
        <w:t>52</w:t>
      </w:r>
      <w:r>
        <w:fldChar w:fldCharType="end"/>
      </w:r>
      <w:bookmarkEnd w:id="1100"/>
      <w:r>
        <w:t xml:space="preserve">: </w:t>
      </w:r>
      <w:r w:rsidR="00FD32F4">
        <w:t>Predicted surface water concentrations (use in sewers)</w:t>
      </w:r>
      <w:bookmarkEnd w:id="1101"/>
      <w:bookmarkEnd w:id="1102"/>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91"/>
        <w:gridCol w:w="3614"/>
        <w:gridCol w:w="552"/>
        <w:gridCol w:w="692"/>
        <w:gridCol w:w="1603"/>
        <w:gridCol w:w="1538"/>
      </w:tblGrid>
      <w:tr w:rsidR="00FD32F4" w:rsidRPr="00CA558C" w14:paraId="513DB8C6" w14:textId="77777777" w:rsidTr="0017134F">
        <w:trPr>
          <w:tblHeader/>
        </w:trPr>
        <w:tc>
          <w:tcPr>
            <w:tcW w:w="0" w:type="auto"/>
            <w:tcBorders>
              <w:bottom w:val="single" w:sz="4" w:space="0" w:color="auto"/>
            </w:tcBorders>
            <w:shd w:val="clear" w:color="auto" w:fill="53284F"/>
          </w:tcPr>
          <w:p w14:paraId="209BEEFE" w14:textId="77777777" w:rsidR="00FD32F4" w:rsidRDefault="00FD32F4" w:rsidP="00377F3A">
            <w:pPr>
              <w:pStyle w:val="TableHead"/>
            </w:pPr>
            <w:r>
              <w:t>Active constituent</w:t>
            </w:r>
          </w:p>
        </w:tc>
        <w:tc>
          <w:tcPr>
            <w:tcW w:w="0" w:type="auto"/>
            <w:gridSpan w:val="3"/>
            <w:tcBorders>
              <w:bottom w:val="single" w:sz="4" w:space="0" w:color="auto"/>
            </w:tcBorders>
            <w:shd w:val="clear" w:color="auto" w:fill="53284F"/>
          </w:tcPr>
          <w:p w14:paraId="192C5015" w14:textId="77777777" w:rsidR="00FD32F4" w:rsidRDefault="00FD32F4" w:rsidP="00377F3A">
            <w:pPr>
              <w:pStyle w:val="TableHead"/>
            </w:pPr>
            <w:r>
              <w:t>Parameter</w:t>
            </w:r>
          </w:p>
        </w:tc>
        <w:tc>
          <w:tcPr>
            <w:tcW w:w="0" w:type="auto"/>
            <w:tcBorders>
              <w:bottom w:val="single" w:sz="4" w:space="0" w:color="auto"/>
            </w:tcBorders>
            <w:shd w:val="clear" w:color="auto" w:fill="53284F"/>
          </w:tcPr>
          <w:p w14:paraId="5408E5E2" w14:textId="77777777" w:rsidR="00FD32F4" w:rsidRDefault="00FD32F4" w:rsidP="00377F3A">
            <w:pPr>
              <w:pStyle w:val="TableHead"/>
            </w:pPr>
            <w:r>
              <w:t>Mixed water sewer</w:t>
            </w:r>
          </w:p>
        </w:tc>
        <w:tc>
          <w:tcPr>
            <w:tcW w:w="0" w:type="auto"/>
            <w:tcBorders>
              <w:bottom w:val="single" w:sz="4" w:space="0" w:color="auto"/>
            </w:tcBorders>
            <w:shd w:val="clear" w:color="auto" w:fill="53284F"/>
          </w:tcPr>
          <w:p w14:paraId="7467E80A" w14:textId="77777777" w:rsidR="00FD32F4" w:rsidRDefault="00FD32F4" w:rsidP="00377F3A">
            <w:pPr>
              <w:pStyle w:val="TableHead"/>
            </w:pPr>
            <w:r>
              <w:t>Rainwater sewer</w:t>
            </w:r>
          </w:p>
        </w:tc>
      </w:tr>
      <w:tr w:rsidR="00FD32F4" w14:paraId="4FD3A6EE" w14:textId="77777777" w:rsidTr="00E078CC">
        <w:tc>
          <w:tcPr>
            <w:tcW w:w="0" w:type="auto"/>
            <w:tcBorders>
              <w:top w:val="single" w:sz="4" w:space="0" w:color="auto"/>
              <w:left w:val="nil"/>
              <w:bottom w:val="nil"/>
              <w:right w:val="nil"/>
            </w:tcBorders>
          </w:tcPr>
          <w:p w14:paraId="47E6688F" w14:textId="77777777" w:rsidR="00FD32F4" w:rsidRDefault="00FD32F4" w:rsidP="00377F3A">
            <w:pPr>
              <w:pStyle w:val="TableText"/>
            </w:pPr>
            <w:r>
              <w:t>Difethialone</w:t>
            </w:r>
          </w:p>
        </w:tc>
        <w:tc>
          <w:tcPr>
            <w:tcW w:w="0" w:type="auto"/>
            <w:tcBorders>
              <w:top w:val="single" w:sz="4" w:space="0" w:color="auto"/>
              <w:left w:val="nil"/>
              <w:bottom w:val="nil"/>
              <w:right w:val="nil"/>
            </w:tcBorders>
          </w:tcPr>
          <w:p w14:paraId="6D460D9D" w14:textId="77777777" w:rsidR="00FD32F4" w:rsidRDefault="00FD32F4" w:rsidP="00377F3A">
            <w:pPr>
              <w:pStyle w:val="TableText"/>
            </w:pPr>
            <w:r>
              <w:t>Amount applied in one cesspool</w:t>
            </w:r>
          </w:p>
        </w:tc>
        <w:tc>
          <w:tcPr>
            <w:tcW w:w="0" w:type="auto"/>
            <w:tcBorders>
              <w:top w:val="single" w:sz="4" w:space="0" w:color="auto"/>
              <w:left w:val="nil"/>
              <w:bottom w:val="nil"/>
              <w:right w:val="nil"/>
            </w:tcBorders>
          </w:tcPr>
          <w:p w14:paraId="33852DCE" w14:textId="77777777" w:rsidR="00FD32F4" w:rsidRPr="005D6879" w:rsidRDefault="00FD32F4" w:rsidP="00377F3A">
            <w:pPr>
              <w:pStyle w:val="TableText"/>
            </w:pPr>
            <w:r w:rsidRPr="005D6879">
              <w:t>Q</w:t>
            </w:r>
            <w:r w:rsidRPr="005D6879">
              <w:rPr>
                <w:vertAlign w:val="subscript"/>
              </w:rPr>
              <w:t>ac</w:t>
            </w:r>
          </w:p>
        </w:tc>
        <w:tc>
          <w:tcPr>
            <w:tcW w:w="0" w:type="auto"/>
            <w:tcBorders>
              <w:top w:val="single" w:sz="4" w:space="0" w:color="auto"/>
              <w:left w:val="nil"/>
              <w:bottom w:val="nil"/>
              <w:right w:val="nil"/>
            </w:tcBorders>
          </w:tcPr>
          <w:p w14:paraId="173B15B9" w14:textId="139048DC" w:rsidR="00FD32F4" w:rsidRPr="005D6879" w:rsidRDefault="00FD32F4" w:rsidP="00377F3A">
            <w:pPr>
              <w:pStyle w:val="TableText"/>
            </w:pPr>
            <w:r>
              <w:t>k</w:t>
            </w:r>
            <w:r w:rsidRPr="005D6879">
              <w:t>g a</w:t>
            </w:r>
            <w:r w:rsidR="00C874AD">
              <w:t>.</w:t>
            </w:r>
            <w:r w:rsidRPr="005D6879">
              <w:t>c</w:t>
            </w:r>
            <w:r w:rsidR="00C874AD">
              <w:t>.</w:t>
            </w:r>
          </w:p>
        </w:tc>
        <w:tc>
          <w:tcPr>
            <w:tcW w:w="0" w:type="auto"/>
            <w:tcBorders>
              <w:top w:val="single" w:sz="4" w:space="0" w:color="auto"/>
              <w:left w:val="nil"/>
              <w:bottom w:val="nil"/>
              <w:right w:val="nil"/>
            </w:tcBorders>
          </w:tcPr>
          <w:p w14:paraId="50BD2489" w14:textId="77777777" w:rsidR="00FD32F4" w:rsidRDefault="00FD32F4" w:rsidP="00377F3A">
            <w:pPr>
              <w:pStyle w:val="TableText"/>
            </w:pPr>
            <w:r>
              <w:t>2.5×10</w:t>
            </w:r>
            <w:r w:rsidRPr="00EB7577">
              <w:rPr>
                <w:vertAlign w:val="superscript"/>
              </w:rPr>
              <w:t>-6</w:t>
            </w:r>
          </w:p>
        </w:tc>
        <w:tc>
          <w:tcPr>
            <w:tcW w:w="0" w:type="auto"/>
            <w:tcBorders>
              <w:top w:val="single" w:sz="4" w:space="0" w:color="auto"/>
              <w:left w:val="nil"/>
              <w:bottom w:val="nil"/>
              <w:right w:val="nil"/>
            </w:tcBorders>
          </w:tcPr>
          <w:p w14:paraId="032F7CCE" w14:textId="77777777" w:rsidR="00FD32F4" w:rsidRDefault="00FD32F4" w:rsidP="00377F3A">
            <w:pPr>
              <w:pStyle w:val="TableText"/>
            </w:pPr>
            <w:r>
              <w:t>2.5×10</w:t>
            </w:r>
            <w:r w:rsidRPr="00EB7577">
              <w:rPr>
                <w:vertAlign w:val="superscript"/>
              </w:rPr>
              <w:t>-6</w:t>
            </w:r>
          </w:p>
        </w:tc>
      </w:tr>
      <w:tr w:rsidR="00FD32F4" w:rsidRPr="00E52772" w14:paraId="2BB2CEB3" w14:textId="77777777" w:rsidTr="00E078CC">
        <w:tc>
          <w:tcPr>
            <w:tcW w:w="0" w:type="auto"/>
            <w:tcBorders>
              <w:top w:val="nil"/>
              <w:left w:val="nil"/>
              <w:bottom w:val="nil"/>
              <w:right w:val="nil"/>
            </w:tcBorders>
          </w:tcPr>
          <w:p w14:paraId="05B7C5DE" w14:textId="77777777" w:rsidR="00FD32F4" w:rsidRDefault="00FD32F4" w:rsidP="00377F3A">
            <w:pPr>
              <w:pStyle w:val="TableText"/>
            </w:pPr>
          </w:p>
        </w:tc>
        <w:tc>
          <w:tcPr>
            <w:tcW w:w="0" w:type="auto"/>
            <w:tcBorders>
              <w:top w:val="nil"/>
              <w:left w:val="nil"/>
              <w:bottom w:val="nil"/>
              <w:right w:val="nil"/>
            </w:tcBorders>
          </w:tcPr>
          <w:p w14:paraId="762E921D" w14:textId="77777777" w:rsidR="00FD32F4" w:rsidRDefault="00FD32F4" w:rsidP="00377F3A">
            <w:pPr>
              <w:pStyle w:val="TableText"/>
            </w:pPr>
            <w:r>
              <w:t>Organic-carbon normalised partition coefficient</w:t>
            </w:r>
          </w:p>
        </w:tc>
        <w:tc>
          <w:tcPr>
            <w:tcW w:w="0" w:type="auto"/>
            <w:tcBorders>
              <w:top w:val="nil"/>
              <w:left w:val="nil"/>
              <w:bottom w:val="nil"/>
              <w:right w:val="nil"/>
            </w:tcBorders>
          </w:tcPr>
          <w:p w14:paraId="73A852C6" w14:textId="77777777" w:rsidR="00FD32F4" w:rsidRDefault="00FD32F4" w:rsidP="00377F3A">
            <w:pPr>
              <w:pStyle w:val="TableText"/>
            </w:pPr>
            <w:r>
              <w:t>Koc</w:t>
            </w:r>
          </w:p>
        </w:tc>
        <w:tc>
          <w:tcPr>
            <w:tcW w:w="0" w:type="auto"/>
            <w:tcBorders>
              <w:top w:val="nil"/>
              <w:left w:val="nil"/>
              <w:bottom w:val="nil"/>
              <w:right w:val="nil"/>
            </w:tcBorders>
          </w:tcPr>
          <w:p w14:paraId="1B7C7A08" w14:textId="77777777" w:rsidR="00FD32F4" w:rsidRPr="005D6879" w:rsidRDefault="00FD32F4" w:rsidP="00377F3A">
            <w:pPr>
              <w:pStyle w:val="TableText"/>
            </w:pPr>
            <w:r>
              <w:t>L/kg</w:t>
            </w:r>
          </w:p>
        </w:tc>
        <w:tc>
          <w:tcPr>
            <w:tcW w:w="0" w:type="auto"/>
            <w:tcBorders>
              <w:top w:val="nil"/>
              <w:left w:val="nil"/>
              <w:bottom w:val="nil"/>
              <w:right w:val="nil"/>
            </w:tcBorders>
          </w:tcPr>
          <w:p w14:paraId="11624160" w14:textId="77777777" w:rsidR="00FD32F4" w:rsidRDefault="00FD32F4" w:rsidP="00377F3A">
            <w:pPr>
              <w:pStyle w:val="TableText"/>
            </w:pPr>
            <w:r>
              <w:t>1.6</w:t>
            </w:r>
            <w:r w:rsidRPr="00A5336F">
              <w:t>×10</w:t>
            </w:r>
            <w:r>
              <w:rPr>
                <w:vertAlign w:val="superscript"/>
              </w:rPr>
              <w:t>9</w:t>
            </w:r>
          </w:p>
        </w:tc>
        <w:tc>
          <w:tcPr>
            <w:tcW w:w="0" w:type="auto"/>
            <w:tcBorders>
              <w:top w:val="nil"/>
              <w:left w:val="nil"/>
              <w:bottom w:val="nil"/>
              <w:right w:val="nil"/>
            </w:tcBorders>
          </w:tcPr>
          <w:p w14:paraId="0172C9C2" w14:textId="77777777" w:rsidR="00FD32F4" w:rsidRDefault="00FD32F4" w:rsidP="00377F3A">
            <w:pPr>
              <w:pStyle w:val="TableText"/>
            </w:pPr>
            <w:r>
              <w:t>1.6</w:t>
            </w:r>
            <w:r w:rsidRPr="00A5336F">
              <w:t>×10</w:t>
            </w:r>
            <w:r>
              <w:rPr>
                <w:vertAlign w:val="superscript"/>
              </w:rPr>
              <w:t>9</w:t>
            </w:r>
          </w:p>
        </w:tc>
      </w:tr>
      <w:tr w:rsidR="00FD32F4" w14:paraId="7AF6DB9C" w14:textId="77777777" w:rsidTr="00E078CC">
        <w:tc>
          <w:tcPr>
            <w:tcW w:w="0" w:type="auto"/>
            <w:tcBorders>
              <w:top w:val="nil"/>
              <w:left w:val="nil"/>
              <w:bottom w:val="nil"/>
              <w:right w:val="nil"/>
            </w:tcBorders>
          </w:tcPr>
          <w:p w14:paraId="05B07DDA" w14:textId="77777777" w:rsidR="00FD32F4" w:rsidRDefault="00FD32F4" w:rsidP="00377F3A">
            <w:pPr>
              <w:pStyle w:val="TableText"/>
            </w:pPr>
          </w:p>
        </w:tc>
        <w:tc>
          <w:tcPr>
            <w:tcW w:w="0" w:type="auto"/>
            <w:tcBorders>
              <w:top w:val="nil"/>
              <w:left w:val="nil"/>
              <w:bottom w:val="single" w:sz="4" w:space="0" w:color="auto"/>
              <w:right w:val="nil"/>
            </w:tcBorders>
          </w:tcPr>
          <w:p w14:paraId="5ED8C47C" w14:textId="77777777" w:rsidR="00FD32F4" w:rsidRPr="002252FA" w:rsidRDefault="00FD32F4" w:rsidP="00377F3A">
            <w:pPr>
              <w:pStyle w:val="TableText"/>
            </w:pPr>
            <w:r w:rsidRPr="002252FA">
              <w:t>Local water concentration</w:t>
            </w:r>
          </w:p>
        </w:tc>
        <w:tc>
          <w:tcPr>
            <w:tcW w:w="0" w:type="auto"/>
            <w:tcBorders>
              <w:top w:val="nil"/>
              <w:left w:val="nil"/>
              <w:bottom w:val="single" w:sz="4" w:space="0" w:color="auto"/>
              <w:right w:val="nil"/>
            </w:tcBorders>
          </w:tcPr>
          <w:p w14:paraId="3CF6B8A7" w14:textId="77777777" w:rsidR="00FD32F4" w:rsidRPr="002252FA" w:rsidRDefault="00FD32F4" w:rsidP="00377F3A">
            <w:pPr>
              <w:pStyle w:val="TableText"/>
            </w:pPr>
            <w:r w:rsidRPr="002252FA">
              <w:t>PEC</w:t>
            </w:r>
          </w:p>
        </w:tc>
        <w:tc>
          <w:tcPr>
            <w:tcW w:w="0" w:type="auto"/>
            <w:tcBorders>
              <w:top w:val="nil"/>
              <w:left w:val="nil"/>
              <w:bottom w:val="single" w:sz="4" w:space="0" w:color="auto"/>
              <w:right w:val="nil"/>
            </w:tcBorders>
          </w:tcPr>
          <w:p w14:paraId="6016BA87" w14:textId="77777777" w:rsidR="00FD32F4" w:rsidRPr="002252FA" w:rsidRDefault="00FD32F4" w:rsidP="00377F3A">
            <w:pPr>
              <w:pStyle w:val="TableText"/>
            </w:pPr>
            <w:r w:rsidRPr="002252FA">
              <w:t>µg/L</w:t>
            </w:r>
          </w:p>
        </w:tc>
        <w:tc>
          <w:tcPr>
            <w:tcW w:w="0" w:type="auto"/>
            <w:tcBorders>
              <w:top w:val="nil"/>
              <w:left w:val="nil"/>
              <w:bottom w:val="single" w:sz="4" w:space="0" w:color="auto"/>
              <w:right w:val="nil"/>
            </w:tcBorders>
          </w:tcPr>
          <w:p w14:paraId="62FEC168" w14:textId="77777777" w:rsidR="00FD32F4" w:rsidRPr="002252FA" w:rsidRDefault="00FD32F4" w:rsidP="00377F3A">
            <w:pPr>
              <w:pStyle w:val="TableText"/>
            </w:pPr>
            <w:r w:rsidRPr="002252FA">
              <w:t>4.9×10</w:t>
            </w:r>
            <w:r w:rsidRPr="002252FA">
              <w:rPr>
                <w:vertAlign w:val="superscript"/>
              </w:rPr>
              <w:t>-7</w:t>
            </w:r>
          </w:p>
        </w:tc>
        <w:tc>
          <w:tcPr>
            <w:tcW w:w="0" w:type="auto"/>
            <w:tcBorders>
              <w:top w:val="nil"/>
              <w:left w:val="nil"/>
              <w:bottom w:val="single" w:sz="4" w:space="0" w:color="auto"/>
              <w:right w:val="nil"/>
            </w:tcBorders>
          </w:tcPr>
          <w:p w14:paraId="624E8FFE" w14:textId="77777777" w:rsidR="00FD32F4" w:rsidRPr="002252FA" w:rsidRDefault="00FD32F4" w:rsidP="00377F3A">
            <w:pPr>
              <w:pStyle w:val="TableText"/>
            </w:pPr>
            <w:r w:rsidRPr="002252FA">
              <w:t>1.6×10</w:t>
            </w:r>
            <w:r w:rsidRPr="002252FA">
              <w:rPr>
                <w:vertAlign w:val="superscript"/>
              </w:rPr>
              <w:t>-6</w:t>
            </w:r>
          </w:p>
        </w:tc>
      </w:tr>
      <w:tr w:rsidR="00FD32F4" w14:paraId="68ACF26F" w14:textId="77777777" w:rsidTr="00E078CC">
        <w:tc>
          <w:tcPr>
            <w:tcW w:w="0" w:type="auto"/>
            <w:tcBorders>
              <w:top w:val="single" w:sz="4" w:space="0" w:color="auto"/>
              <w:left w:val="nil"/>
              <w:bottom w:val="nil"/>
              <w:right w:val="nil"/>
            </w:tcBorders>
          </w:tcPr>
          <w:p w14:paraId="6B53F5CB" w14:textId="77777777" w:rsidR="00FD32F4" w:rsidRDefault="00FD32F4" w:rsidP="00377F3A">
            <w:pPr>
              <w:pStyle w:val="TableText"/>
            </w:pPr>
            <w:r>
              <w:t>Flocoumafen</w:t>
            </w:r>
          </w:p>
        </w:tc>
        <w:tc>
          <w:tcPr>
            <w:tcW w:w="0" w:type="auto"/>
            <w:tcBorders>
              <w:top w:val="single" w:sz="4" w:space="0" w:color="auto"/>
              <w:left w:val="nil"/>
              <w:bottom w:val="nil"/>
              <w:right w:val="nil"/>
            </w:tcBorders>
          </w:tcPr>
          <w:p w14:paraId="0F094BFC" w14:textId="77777777" w:rsidR="00FD32F4" w:rsidRDefault="00FD32F4" w:rsidP="00377F3A">
            <w:pPr>
              <w:pStyle w:val="TableText"/>
            </w:pPr>
            <w:r>
              <w:t>Amount applied in one cesspool</w:t>
            </w:r>
          </w:p>
        </w:tc>
        <w:tc>
          <w:tcPr>
            <w:tcW w:w="0" w:type="auto"/>
            <w:tcBorders>
              <w:top w:val="single" w:sz="4" w:space="0" w:color="auto"/>
              <w:left w:val="nil"/>
              <w:bottom w:val="nil"/>
              <w:right w:val="nil"/>
            </w:tcBorders>
          </w:tcPr>
          <w:p w14:paraId="72B4B0ED" w14:textId="77777777" w:rsidR="00FD32F4" w:rsidRPr="005D6879" w:rsidRDefault="00FD32F4" w:rsidP="00377F3A">
            <w:pPr>
              <w:pStyle w:val="TableText"/>
            </w:pPr>
            <w:r w:rsidRPr="005D6879">
              <w:t>Q</w:t>
            </w:r>
            <w:r w:rsidRPr="005D6879">
              <w:rPr>
                <w:vertAlign w:val="subscript"/>
              </w:rPr>
              <w:t>ac</w:t>
            </w:r>
          </w:p>
        </w:tc>
        <w:tc>
          <w:tcPr>
            <w:tcW w:w="0" w:type="auto"/>
            <w:tcBorders>
              <w:top w:val="single" w:sz="4" w:space="0" w:color="auto"/>
              <w:left w:val="nil"/>
              <w:bottom w:val="nil"/>
              <w:right w:val="nil"/>
            </w:tcBorders>
          </w:tcPr>
          <w:p w14:paraId="18F45EA6" w14:textId="3536BB87"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71DFC52B" w14:textId="77777777" w:rsidR="00FD32F4" w:rsidRDefault="00FD32F4" w:rsidP="00377F3A">
            <w:pPr>
              <w:pStyle w:val="TableText"/>
            </w:pPr>
            <w:r>
              <w:t>3.8×10</w:t>
            </w:r>
            <w:r w:rsidRPr="00EB7577">
              <w:rPr>
                <w:vertAlign w:val="superscript"/>
              </w:rPr>
              <w:t>-6</w:t>
            </w:r>
          </w:p>
        </w:tc>
        <w:tc>
          <w:tcPr>
            <w:tcW w:w="0" w:type="auto"/>
            <w:tcBorders>
              <w:top w:val="single" w:sz="4" w:space="0" w:color="auto"/>
              <w:left w:val="nil"/>
              <w:bottom w:val="nil"/>
              <w:right w:val="nil"/>
            </w:tcBorders>
          </w:tcPr>
          <w:p w14:paraId="309BEBAC" w14:textId="77777777" w:rsidR="00FD32F4" w:rsidRDefault="00FD32F4" w:rsidP="00377F3A">
            <w:pPr>
              <w:pStyle w:val="TableText"/>
            </w:pPr>
            <w:r>
              <w:t>3.8×10</w:t>
            </w:r>
            <w:r w:rsidRPr="00EB7577">
              <w:rPr>
                <w:vertAlign w:val="superscript"/>
              </w:rPr>
              <w:t>-6</w:t>
            </w:r>
          </w:p>
        </w:tc>
      </w:tr>
      <w:tr w:rsidR="00FD32F4" w:rsidRPr="00E52772" w14:paraId="58E38D71" w14:textId="77777777" w:rsidTr="00E078CC">
        <w:tc>
          <w:tcPr>
            <w:tcW w:w="0" w:type="auto"/>
            <w:tcBorders>
              <w:top w:val="nil"/>
              <w:left w:val="nil"/>
              <w:bottom w:val="nil"/>
              <w:right w:val="nil"/>
            </w:tcBorders>
          </w:tcPr>
          <w:p w14:paraId="4DDD7B11" w14:textId="77777777" w:rsidR="00FD32F4" w:rsidRDefault="00FD32F4" w:rsidP="00377F3A">
            <w:pPr>
              <w:pStyle w:val="TableText"/>
            </w:pPr>
          </w:p>
        </w:tc>
        <w:tc>
          <w:tcPr>
            <w:tcW w:w="0" w:type="auto"/>
            <w:tcBorders>
              <w:top w:val="nil"/>
              <w:left w:val="nil"/>
              <w:bottom w:val="nil"/>
              <w:right w:val="nil"/>
            </w:tcBorders>
          </w:tcPr>
          <w:p w14:paraId="44C726D9" w14:textId="77777777" w:rsidR="00FD32F4" w:rsidRDefault="00FD32F4" w:rsidP="00377F3A">
            <w:pPr>
              <w:pStyle w:val="TableText"/>
            </w:pPr>
            <w:r>
              <w:t>Organic-carbon normalised partition coefficient</w:t>
            </w:r>
          </w:p>
        </w:tc>
        <w:tc>
          <w:tcPr>
            <w:tcW w:w="0" w:type="auto"/>
            <w:tcBorders>
              <w:top w:val="nil"/>
              <w:left w:val="nil"/>
              <w:bottom w:val="nil"/>
              <w:right w:val="nil"/>
            </w:tcBorders>
          </w:tcPr>
          <w:p w14:paraId="272A2D59" w14:textId="77777777" w:rsidR="00FD32F4" w:rsidRPr="005D6879" w:rsidRDefault="00FD32F4" w:rsidP="00377F3A">
            <w:pPr>
              <w:pStyle w:val="TableText"/>
            </w:pPr>
            <w:r>
              <w:t>Koc</w:t>
            </w:r>
          </w:p>
        </w:tc>
        <w:tc>
          <w:tcPr>
            <w:tcW w:w="0" w:type="auto"/>
            <w:tcBorders>
              <w:top w:val="nil"/>
              <w:left w:val="nil"/>
              <w:bottom w:val="nil"/>
              <w:right w:val="nil"/>
            </w:tcBorders>
          </w:tcPr>
          <w:p w14:paraId="181A72FF" w14:textId="77777777" w:rsidR="00FD32F4" w:rsidRPr="005D6879" w:rsidRDefault="00FD32F4" w:rsidP="00377F3A">
            <w:pPr>
              <w:pStyle w:val="TableText"/>
            </w:pPr>
            <w:r>
              <w:t>L/kg</w:t>
            </w:r>
          </w:p>
        </w:tc>
        <w:tc>
          <w:tcPr>
            <w:tcW w:w="0" w:type="auto"/>
            <w:tcBorders>
              <w:top w:val="nil"/>
              <w:left w:val="nil"/>
              <w:bottom w:val="nil"/>
              <w:right w:val="nil"/>
            </w:tcBorders>
          </w:tcPr>
          <w:p w14:paraId="49BA54F0" w14:textId="77777777" w:rsidR="00FD32F4" w:rsidRDefault="00FD32F4" w:rsidP="00377F3A">
            <w:pPr>
              <w:pStyle w:val="TableText"/>
            </w:pPr>
            <w:r w:rsidRPr="009B1565">
              <w:t>101684</w:t>
            </w:r>
          </w:p>
        </w:tc>
        <w:tc>
          <w:tcPr>
            <w:tcW w:w="0" w:type="auto"/>
            <w:tcBorders>
              <w:top w:val="nil"/>
              <w:left w:val="nil"/>
              <w:bottom w:val="nil"/>
              <w:right w:val="nil"/>
            </w:tcBorders>
          </w:tcPr>
          <w:p w14:paraId="0C594CCA" w14:textId="77777777" w:rsidR="00FD32F4" w:rsidRDefault="00FD32F4" w:rsidP="00377F3A">
            <w:pPr>
              <w:pStyle w:val="TableText"/>
            </w:pPr>
            <w:r w:rsidRPr="009B1565">
              <w:t>101684</w:t>
            </w:r>
          </w:p>
        </w:tc>
      </w:tr>
      <w:tr w:rsidR="00FD32F4" w14:paraId="027B6812" w14:textId="77777777" w:rsidTr="00E078CC">
        <w:tc>
          <w:tcPr>
            <w:tcW w:w="0" w:type="auto"/>
            <w:tcBorders>
              <w:top w:val="nil"/>
              <w:left w:val="nil"/>
              <w:bottom w:val="nil"/>
              <w:right w:val="nil"/>
            </w:tcBorders>
          </w:tcPr>
          <w:p w14:paraId="2CB5FA66" w14:textId="77777777" w:rsidR="00FD32F4" w:rsidRDefault="00FD32F4" w:rsidP="00377F3A">
            <w:pPr>
              <w:pStyle w:val="TableText"/>
            </w:pPr>
          </w:p>
        </w:tc>
        <w:tc>
          <w:tcPr>
            <w:tcW w:w="0" w:type="auto"/>
            <w:tcBorders>
              <w:top w:val="nil"/>
              <w:left w:val="nil"/>
              <w:bottom w:val="single" w:sz="4" w:space="0" w:color="auto"/>
              <w:right w:val="nil"/>
            </w:tcBorders>
          </w:tcPr>
          <w:p w14:paraId="5C53E66E" w14:textId="77777777" w:rsidR="00FD32F4" w:rsidRDefault="00FD32F4" w:rsidP="00377F3A">
            <w:pPr>
              <w:pStyle w:val="TableText"/>
            </w:pPr>
            <w:r>
              <w:t>Local water concentration</w:t>
            </w:r>
          </w:p>
        </w:tc>
        <w:tc>
          <w:tcPr>
            <w:tcW w:w="0" w:type="auto"/>
            <w:tcBorders>
              <w:top w:val="nil"/>
              <w:left w:val="nil"/>
              <w:bottom w:val="single" w:sz="4" w:space="0" w:color="auto"/>
              <w:right w:val="nil"/>
            </w:tcBorders>
          </w:tcPr>
          <w:p w14:paraId="19BBFFD3" w14:textId="77777777" w:rsidR="00FD32F4" w:rsidRPr="005D6879" w:rsidRDefault="00FD32F4" w:rsidP="00377F3A">
            <w:pPr>
              <w:pStyle w:val="TableText"/>
            </w:pPr>
            <w:r w:rsidRPr="005D6879">
              <w:t>PEC</w:t>
            </w:r>
          </w:p>
        </w:tc>
        <w:tc>
          <w:tcPr>
            <w:tcW w:w="0" w:type="auto"/>
            <w:tcBorders>
              <w:top w:val="nil"/>
              <w:left w:val="nil"/>
              <w:bottom w:val="single" w:sz="4" w:space="0" w:color="auto"/>
              <w:right w:val="nil"/>
            </w:tcBorders>
          </w:tcPr>
          <w:p w14:paraId="5C5210C6" w14:textId="77777777" w:rsidR="00FD32F4" w:rsidRPr="005D6879" w:rsidRDefault="00FD32F4" w:rsidP="00377F3A">
            <w:pPr>
              <w:pStyle w:val="TableText"/>
            </w:pPr>
            <w:r>
              <w:t>µ</w:t>
            </w:r>
            <w:r w:rsidRPr="005D6879">
              <w:t>g/</w:t>
            </w:r>
            <w:r>
              <w:t>L</w:t>
            </w:r>
          </w:p>
        </w:tc>
        <w:tc>
          <w:tcPr>
            <w:tcW w:w="0" w:type="auto"/>
            <w:tcBorders>
              <w:top w:val="nil"/>
              <w:left w:val="nil"/>
              <w:bottom w:val="single" w:sz="4" w:space="0" w:color="auto"/>
              <w:right w:val="nil"/>
            </w:tcBorders>
          </w:tcPr>
          <w:p w14:paraId="535A74F0" w14:textId="77777777" w:rsidR="00FD32F4" w:rsidRPr="001B4C3B" w:rsidRDefault="00FD32F4" w:rsidP="00377F3A">
            <w:pPr>
              <w:pStyle w:val="TableText"/>
              <w:rPr>
                <w:b/>
                <w:bCs/>
              </w:rPr>
            </w:pPr>
            <w:r>
              <w:t>0.0016</w:t>
            </w:r>
          </w:p>
        </w:tc>
        <w:tc>
          <w:tcPr>
            <w:tcW w:w="0" w:type="auto"/>
            <w:tcBorders>
              <w:top w:val="nil"/>
              <w:left w:val="nil"/>
              <w:bottom w:val="single" w:sz="4" w:space="0" w:color="auto"/>
              <w:right w:val="nil"/>
            </w:tcBorders>
          </w:tcPr>
          <w:p w14:paraId="50450270" w14:textId="77777777" w:rsidR="00FD32F4" w:rsidRPr="008159A4" w:rsidRDefault="00FD32F4" w:rsidP="00377F3A">
            <w:pPr>
              <w:pStyle w:val="TableText"/>
            </w:pPr>
            <w:r w:rsidRPr="008159A4">
              <w:t>0.0052</w:t>
            </w:r>
          </w:p>
        </w:tc>
      </w:tr>
      <w:tr w:rsidR="00FD32F4" w:rsidRPr="00401380" w14:paraId="560CD877" w14:textId="77777777" w:rsidTr="00E078CC">
        <w:tc>
          <w:tcPr>
            <w:tcW w:w="0" w:type="auto"/>
            <w:gridSpan w:val="6"/>
            <w:tcBorders>
              <w:top w:val="single" w:sz="4" w:space="0" w:color="auto"/>
              <w:left w:val="nil"/>
              <w:bottom w:val="nil"/>
              <w:right w:val="nil"/>
            </w:tcBorders>
          </w:tcPr>
          <w:p w14:paraId="535424CC" w14:textId="76040FFE" w:rsidR="00FD32F4" w:rsidRDefault="00FD32F4" w:rsidP="00377F3A">
            <w:pPr>
              <w:pStyle w:val="TableText"/>
            </w:pPr>
            <w:r w:rsidRPr="00E6422C">
              <w:t>Q</w:t>
            </w:r>
            <w:r w:rsidRPr="00E6422C">
              <w:rPr>
                <w:vertAlign w:val="subscript"/>
              </w:rPr>
              <w:t>ac</w:t>
            </w:r>
            <w:r w:rsidRPr="00E6422C">
              <w:t xml:space="preserve"> values from </w:t>
            </w:r>
            <w:r w:rsidR="00CA58F0" w:rsidRPr="00F00DB1">
              <w:fldChar w:fldCharType="begin"/>
            </w:r>
            <w:r w:rsidR="00CA58F0" w:rsidRPr="00F00DB1">
              <w:instrText xml:space="preserve"> REF _Ref213315070 \h </w:instrText>
            </w:r>
            <w:r w:rsidR="00CA58F0" w:rsidRPr="001A39D8">
              <w:instrText xml:space="preserve"> \* MERGEFORMAT </w:instrText>
            </w:r>
            <w:r w:rsidR="00CA58F0" w:rsidRPr="00F00DB1">
              <w:fldChar w:fldCharType="separate"/>
            </w:r>
            <w:r w:rsidR="003861AC">
              <w:t xml:space="preserve">Table </w:t>
            </w:r>
            <w:r w:rsidR="003861AC">
              <w:rPr>
                <w:noProof/>
              </w:rPr>
              <w:t>48</w:t>
            </w:r>
            <w:r w:rsidR="00CA58F0" w:rsidRPr="00F00DB1">
              <w:fldChar w:fldCharType="end"/>
            </w:r>
            <w:r w:rsidRPr="001A39D8">
              <w:t xml:space="preserve">; Koc from </w:t>
            </w:r>
            <w:r w:rsidR="00CA58F0" w:rsidRPr="00377F3A">
              <w:fldChar w:fldCharType="begin"/>
            </w:r>
            <w:r w:rsidR="00CA58F0" w:rsidRPr="00377F3A">
              <w:instrText xml:space="preserve"> REF _Ref213315148 \h </w:instrText>
            </w:r>
            <w:r w:rsidR="001A39D8">
              <w:instrText xml:space="preserve"> \* MERGEFORMAT </w:instrText>
            </w:r>
            <w:r w:rsidR="00CA58F0" w:rsidRPr="00377F3A">
              <w:fldChar w:fldCharType="separate"/>
            </w:r>
            <w:r w:rsidR="003861AC">
              <w:t xml:space="preserve">Table </w:t>
            </w:r>
            <w:r w:rsidR="003861AC">
              <w:rPr>
                <w:noProof/>
              </w:rPr>
              <w:t>135</w:t>
            </w:r>
            <w:r w:rsidR="00CA58F0" w:rsidRPr="00377F3A">
              <w:fldChar w:fldCharType="end"/>
            </w:r>
            <w:r w:rsidR="00CA58F0" w:rsidRPr="00377F3A">
              <w:t xml:space="preserve"> </w:t>
            </w:r>
            <w:r w:rsidRPr="001A39D8">
              <w:t xml:space="preserve">(difethialone) and </w:t>
            </w:r>
            <w:r w:rsidR="00CA58F0" w:rsidRPr="00377F3A">
              <w:fldChar w:fldCharType="begin"/>
            </w:r>
            <w:r w:rsidR="00CA58F0" w:rsidRPr="00377F3A">
              <w:instrText xml:space="preserve"> REF _Ref213315160 \h </w:instrText>
            </w:r>
            <w:r w:rsidR="001A39D8">
              <w:instrText xml:space="preserve"> \* MERGEFORMAT </w:instrText>
            </w:r>
            <w:r w:rsidR="00CA58F0" w:rsidRPr="00377F3A">
              <w:fldChar w:fldCharType="separate"/>
            </w:r>
            <w:r w:rsidR="003861AC">
              <w:t xml:space="preserve">Table </w:t>
            </w:r>
            <w:r w:rsidR="003861AC">
              <w:rPr>
                <w:noProof/>
              </w:rPr>
              <w:t>143</w:t>
            </w:r>
            <w:r w:rsidR="00CA58F0" w:rsidRPr="00377F3A">
              <w:fldChar w:fldCharType="end"/>
            </w:r>
            <w:r w:rsidR="00CA58F0" w:rsidRPr="00377F3A">
              <w:t xml:space="preserve"> </w:t>
            </w:r>
            <w:r w:rsidRPr="001A39D8">
              <w:t xml:space="preserve">(flocoumafen) in Appendix </w:t>
            </w:r>
            <w:r w:rsidR="00FA4E31">
              <w:t>A</w:t>
            </w:r>
          </w:p>
          <w:p w14:paraId="5E149108" w14:textId="7ABCCCBC" w:rsidR="00FD32F4" w:rsidRPr="00E6422C" w:rsidRDefault="00FD32F4" w:rsidP="00377F3A">
            <w:pPr>
              <w:pStyle w:val="TableText"/>
            </w:pPr>
            <w:r>
              <w:t xml:space="preserve">PEC = </w:t>
            </w:r>
            <w:r w:rsidRPr="00E6422C">
              <w:t>Q</w:t>
            </w:r>
            <w:r w:rsidRPr="00E6422C">
              <w:rPr>
                <w:vertAlign w:val="subscript"/>
              </w:rPr>
              <w:t>ac</w:t>
            </w:r>
            <w:r>
              <w:rPr>
                <w:vertAlign w:val="subscript"/>
              </w:rPr>
              <w:t xml:space="preserve"> </w:t>
            </w:r>
            <w:r>
              <w:t>*F</w:t>
            </w:r>
            <w:r w:rsidRPr="0085345B">
              <w:rPr>
                <w:vertAlign w:val="subscript"/>
              </w:rPr>
              <w:t>rep</w:t>
            </w:r>
            <w:r w:rsidRPr="00E6422C">
              <w:t xml:space="preserve"> * N</w:t>
            </w:r>
            <w:r>
              <w:rPr>
                <w:vertAlign w:val="subscript"/>
              </w:rPr>
              <w:t>cesspools</w:t>
            </w:r>
            <w:r w:rsidRPr="00E6422C">
              <w:t xml:space="preserve"> * </w:t>
            </w:r>
            <w:r>
              <w:t>(</w:t>
            </w:r>
            <w:r w:rsidRPr="00E6422C">
              <w:t>F</w:t>
            </w:r>
            <w:r w:rsidRPr="00E6422C">
              <w:rPr>
                <w:vertAlign w:val="subscript"/>
              </w:rPr>
              <w:t>released-D,</w:t>
            </w:r>
            <w:r>
              <w:rPr>
                <w:vertAlign w:val="subscript"/>
              </w:rPr>
              <w:t>sewer</w:t>
            </w:r>
            <w:r w:rsidRPr="00E6422C">
              <w:t xml:space="preserve"> </w:t>
            </w:r>
            <w:r>
              <w:t>+</w:t>
            </w:r>
            <w:r w:rsidRPr="00E6422C">
              <w:t xml:space="preserve"> F</w:t>
            </w:r>
            <w:r w:rsidRPr="00E6422C">
              <w:rPr>
                <w:vertAlign w:val="subscript"/>
              </w:rPr>
              <w:t>released-ID,</w:t>
            </w:r>
            <w:r>
              <w:rPr>
                <w:vertAlign w:val="subscript"/>
              </w:rPr>
              <w:t>sewer</w:t>
            </w:r>
            <w:r>
              <w:t>) * 10</w:t>
            </w:r>
            <w:r>
              <w:rPr>
                <w:vertAlign w:val="superscript"/>
              </w:rPr>
              <w:t xml:space="preserve">9 </w:t>
            </w:r>
            <w:r>
              <w:t>/ (T</w:t>
            </w:r>
            <w:r w:rsidRPr="007F48ED">
              <w:rPr>
                <w:vertAlign w:val="subscript"/>
              </w:rPr>
              <w:t>emission</w:t>
            </w:r>
            <w:r w:rsidRPr="00E6422C">
              <w:t xml:space="preserve"> </w:t>
            </w:r>
            <w:r>
              <w:t>* EFFLUENT</w:t>
            </w:r>
            <w:r w:rsidRPr="007F48ED">
              <w:rPr>
                <w:vertAlign w:val="subscript"/>
              </w:rPr>
              <w:t>water</w:t>
            </w:r>
            <w:r w:rsidRPr="00E6422C">
              <w:t xml:space="preserve"> </w:t>
            </w:r>
            <w:r>
              <w:t xml:space="preserve">* </w:t>
            </w:r>
            <w:r w:rsidRPr="00E6422C">
              <w:t>(</w:t>
            </w:r>
            <w:r>
              <w:t>1 + (Koc * Foc</w:t>
            </w:r>
            <w:r w:rsidRPr="009B1565">
              <w:rPr>
                <w:vertAlign w:val="subscript"/>
              </w:rPr>
              <w:t>susp</w:t>
            </w:r>
            <w:r w:rsidRPr="00CA0169">
              <w:t xml:space="preserve">) </w:t>
            </w:r>
            <w:r>
              <w:t>* SUSP</w:t>
            </w:r>
            <w:r w:rsidRPr="009D59BC">
              <w:rPr>
                <w:vertAlign w:val="subscript"/>
              </w:rPr>
              <w:t>water</w:t>
            </w:r>
            <w:r>
              <w:t xml:space="preserve"> * 10</w:t>
            </w:r>
            <w:r w:rsidRPr="000D2686">
              <w:rPr>
                <w:vertAlign w:val="superscript"/>
              </w:rPr>
              <w:t>-6</w:t>
            </w:r>
            <w:r w:rsidRPr="00E6422C">
              <w:t>)</w:t>
            </w:r>
            <w:r>
              <w:t xml:space="preserve"> * DILUTION)</w:t>
            </w:r>
          </w:p>
        </w:tc>
      </w:tr>
    </w:tbl>
    <w:p w14:paraId="45D93109" w14:textId="1629F10A" w:rsidR="00FD32F4" w:rsidRDefault="00603108" w:rsidP="00FD32F4">
      <w:pPr>
        <w:pStyle w:val="Caption"/>
      </w:pPr>
      <w:bookmarkStart w:id="1103" w:name="_Ref213318044"/>
      <w:bookmarkStart w:id="1104" w:name="_Toc213946029"/>
      <w:bookmarkStart w:id="1105" w:name="_Toc216695715"/>
      <w:r>
        <w:t xml:space="preserve">Table </w:t>
      </w:r>
      <w:r>
        <w:fldChar w:fldCharType="begin"/>
      </w:r>
      <w:r>
        <w:instrText xml:space="preserve"> SEQ Table \* ARABIC </w:instrText>
      </w:r>
      <w:r>
        <w:fldChar w:fldCharType="separate"/>
      </w:r>
      <w:r w:rsidR="003861AC">
        <w:rPr>
          <w:noProof/>
        </w:rPr>
        <w:t>53</w:t>
      </w:r>
      <w:r>
        <w:fldChar w:fldCharType="end"/>
      </w:r>
      <w:bookmarkEnd w:id="1103"/>
      <w:r>
        <w:t xml:space="preserve">: </w:t>
      </w:r>
      <w:r w:rsidR="00FD32F4">
        <w:t>Risks of anticoagulant rodenticides to aquatic species</w:t>
      </w:r>
      <w:bookmarkEnd w:id="1104"/>
      <w:bookmarkEnd w:id="1105"/>
      <w:r w:rsidR="00FD32F4">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4"/>
        <w:gridCol w:w="1419"/>
        <w:gridCol w:w="3117"/>
        <w:gridCol w:w="1510"/>
        <w:gridCol w:w="1510"/>
        <w:gridCol w:w="1510"/>
      </w:tblGrid>
      <w:tr w:rsidR="00FD32F4" w:rsidRPr="00CA558C" w14:paraId="56D053B2" w14:textId="77777777" w:rsidTr="0017134F">
        <w:trPr>
          <w:cantSplit/>
          <w:tblHeader/>
        </w:trPr>
        <w:tc>
          <w:tcPr>
            <w:tcW w:w="624" w:type="dxa"/>
            <w:tcBorders>
              <w:bottom w:val="single" w:sz="4" w:space="0" w:color="auto"/>
            </w:tcBorders>
            <w:shd w:val="clear" w:color="auto" w:fill="53284F"/>
          </w:tcPr>
          <w:p w14:paraId="383AFE03" w14:textId="77777777" w:rsidR="00FD32F4" w:rsidRDefault="00FD32F4" w:rsidP="00E078CC">
            <w:pPr>
              <w:pStyle w:val="BodyText"/>
              <w:widowControl w:val="0"/>
              <w:spacing w:after="0"/>
              <w:jc w:val="center"/>
              <w:rPr>
                <w:rFonts w:ascii="Arial" w:hAnsi="Arial" w:cs="Arial"/>
                <w:b/>
                <w:sz w:val="17"/>
                <w:szCs w:val="17"/>
              </w:rPr>
            </w:pPr>
            <w:r>
              <w:rPr>
                <w:rFonts w:ascii="Arial" w:hAnsi="Arial" w:cs="Arial"/>
                <w:b/>
                <w:sz w:val="17"/>
                <w:szCs w:val="17"/>
              </w:rPr>
              <w:t>Group</w:t>
            </w:r>
          </w:p>
        </w:tc>
        <w:tc>
          <w:tcPr>
            <w:tcW w:w="1419" w:type="dxa"/>
            <w:tcBorders>
              <w:bottom w:val="single" w:sz="4" w:space="0" w:color="auto"/>
            </w:tcBorders>
            <w:shd w:val="clear" w:color="auto" w:fill="53284F"/>
          </w:tcPr>
          <w:p w14:paraId="4A2F8777" w14:textId="77777777" w:rsidR="00FD32F4" w:rsidRDefault="00FD32F4" w:rsidP="00377F3A">
            <w:pPr>
              <w:pStyle w:val="TableHead"/>
            </w:pPr>
            <w:r>
              <w:t>Active constituent</w:t>
            </w:r>
          </w:p>
        </w:tc>
        <w:tc>
          <w:tcPr>
            <w:tcW w:w="3117" w:type="dxa"/>
            <w:tcBorders>
              <w:bottom w:val="single" w:sz="4" w:space="0" w:color="auto"/>
            </w:tcBorders>
            <w:shd w:val="clear" w:color="auto" w:fill="53284F"/>
          </w:tcPr>
          <w:p w14:paraId="1C6CB9EC" w14:textId="77777777" w:rsidR="00FD32F4" w:rsidRDefault="00FD32F4" w:rsidP="00377F3A">
            <w:pPr>
              <w:pStyle w:val="TableHead"/>
            </w:pPr>
            <w:r>
              <w:t>Worst-case scenario</w:t>
            </w:r>
          </w:p>
        </w:tc>
        <w:tc>
          <w:tcPr>
            <w:tcW w:w="1510" w:type="dxa"/>
            <w:tcBorders>
              <w:bottom w:val="single" w:sz="4" w:space="0" w:color="auto"/>
            </w:tcBorders>
            <w:shd w:val="clear" w:color="auto" w:fill="53284F"/>
          </w:tcPr>
          <w:p w14:paraId="12255679" w14:textId="77777777" w:rsidR="00FD32F4" w:rsidRDefault="00FD32F4" w:rsidP="00377F3A">
            <w:pPr>
              <w:pStyle w:val="TableHead"/>
            </w:pPr>
            <w:r>
              <w:t xml:space="preserve">PEC </w:t>
            </w:r>
          </w:p>
          <w:p w14:paraId="3D731B3A" w14:textId="77777777" w:rsidR="00FD32F4" w:rsidRDefault="00FD32F4" w:rsidP="00377F3A">
            <w:pPr>
              <w:pStyle w:val="TableHead"/>
            </w:pPr>
            <w:r w:rsidRPr="00D17B00">
              <w:t>(mg/</w:t>
            </w:r>
            <w:r>
              <w:t>L</w:t>
            </w:r>
            <w:r w:rsidRPr="00D17B00">
              <w:t>)</w:t>
            </w:r>
          </w:p>
        </w:tc>
        <w:tc>
          <w:tcPr>
            <w:tcW w:w="1510" w:type="dxa"/>
            <w:tcBorders>
              <w:bottom w:val="single" w:sz="4" w:space="0" w:color="auto"/>
            </w:tcBorders>
            <w:shd w:val="clear" w:color="auto" w:fill="53284F"/>
          </w:tcPr>
          <w:p w14:paraId="03E84D8D" w14:textId="77777777" w:rsidR="00FD32F4" w:rsidRDefault="00FD32F4" w:rsidP="00377F3A">
            <w:pPr>
              <w:pStyle w:val="TableHead"/>
            </w:pPr>
            <w:r>
              <w:t>RAL</w:t>
            </w:r>
          </w:p>
          <w:p w14:paraId="01F3C6A9" w14:textId="77777777" w:rsidR="00FD32F4" w:rsidRDefault="00FD32F4" w:rsidP="00377F3A">
            <w:pPr>
              <w:pStyle w:val="TableHead"/>
            </w:pPr>
            <w:r w:rsidRPr="00D17B00">
              <w:t>(mg/</w:t>
            </w:r>
            <w:r>
              <w:t>L</w:t>
            </w:r>
            <w:r w:rsidRPr="00D17B00">
              <w:t>)</w:t>
            </w:r>
          </w:p>
        </w:tc>
        <w:tc>
          <w:tcPr>
            <w:tcW w:w="1510" w:type="dxa"/>
            <w:tcBorders>
              <w:bottom w:val="single" w:sz="4" w:space="0" w:color="auto"/>
            </w:tcBorders>
            <w:shd w:val="clear" w:color="auto" w:fill="53284F"/>
          </w:tcPr>
          <w:p w14:paraId="0018E9DC" w14:textId="77777777" w:rsidR="00FD32F4" w:rsidRDefault="00FD32F4" w:rsidP="00377F3A">
            <w:pPr>
              <w:pStyle w:val="TableHead"/>
            </w:pPr>
            <w:r>
              <w:t>RQ</w:t>
            </w:r>
          </w:p>
        </w:tc>
      </w:tr>
      <w:tr w:rsidR="00FD32F4" w:rsidRPr="00401380" w14:paraId="250BDBF6" w14:textId="77777777" w:rsidTr="00E078CC">
        <w:trPr>
          <w:cantSplit/>
        </w:trPr>
        <w:tc>
          <w:tcPr>
            <w:tcW w:w="624" w:type="dxa"/>
            <w:tcBorders>
              <w:top w:val="single" w:sz="4" w:space="0" w:color="auto"/>
              <w:left w:val="nil"/>
              <w:bottom w:val="nil"/>
              <w:right w:val="nil"/>
            </w:tcBorders>
          </w:tcPr>
          <w:p w14:paraId="1127BC09" w14:textId="77777777" w:rsidR="00FD32F4" w:rsidRDefault="00FD32F4" w:rsidP="00377F3A">
            <w:pPr>
              <w:pStyle w:val="TableText"/>
            </w:pPr>
            <w:r>
              <w:t>FGAR</w:t>
            </w:r>
          </w:p>
        </w:tc>
        <w:tc>
          <w:tcPr>
            <w:tcW w:w="1419" w:type="dxa"/>
            <w:tcBorders>
              <w:top w:val="single" w:sz="4" w:space="0" w:color="auto"/>
              <w:left w:val="nil"/>
              <w:bottom w:val="nil"/>
              <w:right w:val="nil"/>
            </w:tcBorders>
          </w:tcPr>
          <w:p w14:paraId="3C656F26" w14:textId="77777777" w:rsidR="00FD32F4" w:rsidRDefault="00FD32F4" w:rsidP="00377F3A">
            <w:pPr>
              <w:pStyle w:val="TableText"/>
            </w:pPr>
            <w:r>
              <w:t>Coumatetralyl</w:t>
            </w:r>
          </w:p>
        </w:tc>
        <w:tc>
          <w:tcPr>
            <w:tcW w:w="3117" w:type="dxa"/>
            <w:tcBorders>
              <w:top w:val="single" w:sz="4" w:space="0" w:color="auto"/>
              <w:left w:val="nil"/>
              <w:bottom w:val="nil"/>
              <w:right w:val="nil"/>
            </w:tcBorders>
          </w:tcPr>
          <w:p w14:paraId="1A65E265" w14:textId="77777777" w:rsidR="00FD32F4" w:rsidRDefault="00FD32F4" w:rsidP="00377F3A">
            <w:pPr>
              <w:pStyle w:val="TableText"/>
            </w:pPr>
            <w:r>
              <w:t>In and around buildings; agricultural crops</w:t>
            </w:r>
          </w:p>
        </w:tc>
        <w:tc>
          <w:tcPr>
            <w:tcW w:w="4530" w:type="dxa"/>
            <w:gridSpan w:val="3"/>
            <w:tcBorders>
              <w:top w:val="single" w:sz="4" w:space="0" w:color="auto"/>
              <w:left w:val="nil"/>
              <w:bottom w:val="nil"/>
              <w:right w:val="nil"/>
            </w:tcBorders>
          </w:tcPr>
          <w:p w14:paraId="51AAEB25" w14:textId="77777777" w:rsidR="00FD32F4" w:rsidRDefault="00FD32F4" w:rsidP="00377F3A">
            <w:pPr>
              <w:pStyle w:val="TableText"/>
            </w:pPr>
            <w:r>
              <w:t>Acceptable risk due to negligible exposure</w:t>
            </w:r>
          </w:p>
        </w:tc>
      </w:tr>
      <w:tr w:rsidR="00FD32F4" w14:paraId="5C90222B" w14:textId="77777777" w:rsidTr="00E078CC">
        <w:trPr>
          <w:cantSplit/>
        </w:trPr>
        <w:tc>
          <w:tcPr>
            <w:tcW w:w="624" w:type="dxa"/>
            <w:tcBorders>
              <w:top w:val="nil"/>
              <w:left w:val="nil"/>
              <w:bottom w:val="nil"/>
              <w:right w:val="nil"/>
            </w:tcBorders>
          </w:tcPr>
          <w:p w14:paraId="530226F6" w14:textId="77777777" w:rsidR="00FD32F4" w:rsidRDefault="00FD32F4" w:rsidP="00377F3A">
            <w:pPr>
              <w:pStyle w:val="TableText"/>
            </w:pPr>
          </w:p>
        </w:tc>
        <w:tc>
          <w:tcPr>
            <w:tcW w:w="1419" w:type="dxa"/>
            <w:tcBorders>
              <w:top w:val="nil"/>
              <w:left w:val="nil"/>
              <w:bottom w:val="nil"/>
              <w:right w:val="nil"/>
            </w:tcBorders>
          </w:tcPr>
          <w:p w14:paraId="149D86DC" w14:textId="77777777" w:rsidR="00FD32F4" w:rsidRDefault="00FD32F4" w:rsidP="00377F3A">
            <w:pPr>
              <w:pStyle w:val="TableText"/>
            </w:pPr>
            <w:r>
              <w:t>Diphacinone</w:t>
            </w:r>
          </w:p>
        </w:tc>
        <w:tc>
          <w:tcPr>
            <w:tcW w:w="3117" w:type="dxa"/>
            <w:tcBorders>
              <w:top w:val="nil"/>
              <w:left w:val="nil"/>
              <w:bottom w:val="nil"/>
              <w:right w:val="nil"/>
            </w:tcBorders>
          </w:tcPr>
          <w:p w14:paraId="7A4B5114"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36725E15" w14:textId="77777777" w:rsidR="00FD32F4" w:rsidRDefault="00FD32F4" w:rsidP="00377F3A">
            <w:pPr>
              <w:pStyle w:val="TableText"/>
            </w:pPr>
            <w:r>
              <w:t>Acceptable risk due to negligible exposure</w:t>
            </w:r>
          </w:p>
        </w:tc>
      </w:tr>
      <w:tr w:rsidR="00FD32F4" w14:paraId="684F4536" w14:textId="77777777" w:rsidTr="00E078CC">
        <w:trPr>
          <w:cantSplit/>
        </w:trPr>
        <w:tc>
          <w:tcPr>
            <w:tcW w:w="624" w:type="dxa"/>
            <w:tcBorders>
              <w:top w:val="nil"/>
              <w:left w:val="nil"/>
              <w:bottom w:val="single" w:sz="4" w:space="0" w:color="auto"/>
              <w:right w:val="nil"/>
            </w:tcBorders>
          </w:tcPr>
          <w:p w14:paraId="207BC3F5" w14:textId="77777777" w:rsidR="00FD32F4" w:rsidRDefault="00FD32F4" w:rsidP="00377F3A">
            <w:pPr>
              <w:pStyle w:val="TableText"/>
            </w:pPr>
          </w:p>
        </w:tc>
        <w:tc>
          <w:tcPr>
            <w:tcW w:w="1419" w:type="dxa"/>
            <w:tcBorders>
              <w:top w:val="nil"/>
              <w:left w:val="nil"/>
              <w:bottom w:val="single" w:sz="4" w:space="0" w:color="auto"/>
              <w:right w:val="nil"/>
            </w:tcBorders>
          </w:tcPr>
          <w:p w14:paraId="47195CE7" w14:textId="77777777" w:rsidR="00FD32F4" w:rsidRDefault="00FD32F4" w:rsidP="00377F3A">
            <w:pPr>
              <w:pStyle w:val="TableText"/>
            </w:pPr>
            <w:r>
              <w:t>Warfarin</w:t>
            </w:r>
          </w:p>
        </w:tc>
        <w:tc>
          <w:tcPr>
            <w:tcW w:w="3117" w:type="dxa"/>
            <w:tcBorders>
              <w:top w:val="nil"/>
              <w:left w:val="nil"/>
              <w:bottom w:val="single" w:sz="4" w:space="0" w:color="auto"/>
              <w:right w:val="nil"/>
            </w:tcBorders>
          </w:tcPr>
          <w:p w14:paraId="330DEE06" w14:textId="77777777" w:rsidR="00FD32F4" w:rsidRDefault="00FD32F4" w:rsidP="00377F3A">
            <w:pPr>
              <w:pStyle w:val="TableText"/>
            </w:pPr>
            <w:r>
              <w:t>In and around buildings</w:t>
            </w:r>
          </w:p>
        </w:tc>
        <w:tc>
          <w:tcPr>
            <w:tcW w:w="4530" w:type="dxa"/>
            <w:gridSpan w:val="3"/>
            <w:tcBorders>
              <w:top w:val="nil"/>
              <w:left w:val="nil"/>
              <w:bottom w:val="single" w:sz="4" w:space="0" w:color="auto"/>
              <w:right w:val="nil"/>
            </w:tcBorders>
          </w:tcPr>
          <w:p w14:paraId="3871296E" w14:textId="77777777" w:rsidR="00FD32F4" w:rsidRDefault="00FD32F4" w:rsidP="00377F3A">
            <w:pPr>
              <w:pStyle w:val="TableText"/>
            </w:pPr>
            <w:r>
              <w:t>Acceptable risk due to negligible exposure</w:t>
            </w:r>
          </w:p>
        </w:tc>
      </w:tr>
      <w:tr w:rsidR="00FD32F4" w14:paraId="71C324A7" w14:textId="77777777" w:rsidTr="00E078CC">
        <w:trPr>
          <w:cantSplit/>
        </w:trPr>
        <w:tc>
          <w:tcPr>
            <w:tcW w:w="624" w:type="dxa"/>
            <w:tcBorders>
              <w:top w:val="single" w:sz="4" w:space="0" w:color="auto"/>
              <w:left w:val="nil"/>
              <w:bottom w:val="nil"/>
              <w:right w:val="nil"/>
            </w:tcBorders>
          </w:tcPr>
          <w:p w14:paraId="441F2A2B" w14:textId="77777777" w:rsidR="00FD32F4" w:rsidRDefault="00FD32F4" w:rsidP="00377F3A">
            <w:pPr>
              <w:pStyle w:val="TableText"/>
            </w:pPr>
            <w:r>
              <w:t>SGAR</w:t>
            </w:r>
          </w:p>
        </w:tc>
        <w:tc>
          <w:tcPr>
            <w:tcW w:w="1419" w:type="dxa"/>
            <w:tcBorders>
              <w:top w:val="single" w:sz="4" w:space="0" w:color="auto"/>
              <w:left w:val="nil"/>
              <w:bottom w:val="nil"/>
              <w:right w:val="nil"/>
            </w:tcBorders>
          </w:tcPr>
          <w:p w14:paraId="7AA18FA1" w14:textId="77777777" w:rsidR="00FD32F4" w:rsidRDefault="00FD32F4" w:rsidP="00377F3A">
            <w:pPr>
              <w:pStyle w:val="TableText"/>
            </w:pPr>
            <w:r>
              <w:t>Brodifacoum</w:t>
            </w:r>
          </w:p>
        </w:tc>
        <w:tc>
          <w:tcPr>
            <w:tcW w:w="3117" w:type="dxa"/>
            <w:tcBorders>
              <w:top w:val="single" w:sz="4" w:space="0" w:color="auto"/>
              <w:left w:val="nil"/>
              <w:bottom w:val="nil"/>
              <w:right w:val="nil"/>
            </w:tcBorders>
          </w:tcPr>
          <w:p w14:paraId="231015CA" w14:textId="77777777" w:rsidR="00FD32F4" w:rsidRDefault="00FD32F4" w:rsidP="00377F3A">
            <w:pPr>
              <w:pStyle w:val="TableText"/>
            </w:pPr>
            <w:r>
              <w:t>In and around buildings</w:t>
            </w:r>
          </w:p>
        </w:tc>
        <w:tc>
          <w:tcPr>
            <w:tcW w:w="4530" w:type="dxa"/>
            <w:gridSpan w:val="3"/>
            <w:tcBorders>
              <w:top w:val="single" w:sz="4" w:space="0" w:color="auto"/>
              <w:left w:val="nil"/>
              <w:bottom w:val="nil"/>
              <w:right w:val="nil"/>
            </w:tcBorders>
          </w:tcPr>
          <w:p w14:paraId="3B20BB6D" w14:textId="77777777" w:rsidR="00FD32F4" w:rsidRDefault="00FD32F4" w:rsidP="00377F3A">
            <w:pPr>
              <w:pStyle w:val="TableText"/>
            </w:pPr>
            <w:r>
              <w:t>Acceptable risk due to negligible exposure</w:t>
            </w:r>
          </w:p>
        </w:tc>
      </w:tr>
      <w:tr w:rsidR="00FD32F4" w14:paraId="15ED6422" w14:textId="77777777" w:rsidTr="00E078CC">
        <w:trPr>
          <w:cantSplit/>
        </w:trPr>
        <w:tc>
          <w:tcPr>
            <w:tcW w:w="624" w:type="dxa"/>
            <w:tcBorders>
              <w:top w:val="nil"/>
              <w:left w:val="nil"/>
              <w:bottom w:val="nil"/>
              <w:right w:val="nil"/>
            </w:tcBorders>
          </w:tcPr>
          <w:p w14:paraId="666215A0" w14:textId="77777777" w:rsidR="00FD32F4" w:rsidRDefault="00FD32F4" w:rsidP="00377F3A">
            <w:pPr>
              <w:pStyle w:val="TableText"/>
            </w:pPr>
          </w:p>
        </w:tc>
        <w:tc>
          <w:tcPr>
            <w:tcW w:w="1419" w:type="dxa"/>
            <w:tcBorders>
              <w:top w:val="nil"/>
              <w:left w:val="nil"/>
              <w:bottom w:val="nil"/>
              <w:right w:val="nil"/>
            </w:tcBorders>
          </w:tcPr>
          <w:p w14:paraId="5BE477CF" w14:textId="77777777" w:rsidR="00FD32F4" w:rsidRDefault="00FD32F4" w:rsidP="00377F3A">
            <w:pPr>
              <w:pStyle w:val="TableText"/>
            </w:pPr>
            <w:r>
              <w:t>Bromadiolone</w:t>
            </w:r>
          </w:p>
        </w:tc>
        <w:tc>
          <w:tcPr>
            <w:tcW w:w="3117" w:type="dxa"/>
            <w:tcBorders>
              <w:top w:val="nil"/>
              <w:left w:val="nil"/>
              <w:bottom w:val="nil"/>
              <w:right w:val="nil"/>
            </w:tcBorders>
          </w:tcPr>
          <w:p w14:paraId="66D5347C"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1C4B75A8" w14:textId="77777777" w:rsidR="00FD32F4" w:rsidRDefault="00FD32F4" w:rsidP="00377F3A">
            <w:pPr>
              <w:pStyle w:val="TableText"/>
            </w:pPr>
            <w:r>
              <w:t>Acceptable risk due to negligible exposure</w:t>
            </w:r>
          </w:p>
        </w:tc>
      </w:tr>
      <w:tr w:rsidR="00FD32F4" w14:paraId="2C11D815" w14:textId="77777777" w:rsidTr="00E078CC">
        <w:trPr>
          <w:cantSplit/>
        </w:trPr>
        <w:tc>
          <w:tcPr>
            <w:tcW w:w="624" w:type="dxa"/>
            <w:tcBorders>
              <w:top w:val="nil"/>
              <w:left w:val="nil"/>
              <w:bottom w:val="nil"/>
              <w:right w:val="nil"/>
            </w:tcBorders>
          </w:tcPr>
          <w:p w14:paraId="4F27255F" w14:textId="77777777" w:rsidR="00FD32F4" w:rsidRDefault="00FD32F4" w:rsidP="00377F3A">
            <w:pPr>
              <w:pStyle w:val="TableText"/>
            </w:pPr>
          </w:p>
        </w:tc>
        <w:tc>
          <w:tcPr>
            <w:tcW w:w="1419" w:type="dxa"/>
            <w:tcBorders>
              <w:top w:val="nil"/>
              <w:left w:val="nil"/>
              <w:bottom w:val="nil"/>
              <w:right w:val="nil"/>
            </w:tcBorders>
          </w:tcPr>
          <w:p w14:paraId="2BD1901E" w14:textId="77777777" w:rsidR="00FD32F4" w:rsidRDefault="00FD32F4" w:rsidP="00377F3A">
            <w:pPr>
              <w:pStyle w:val="TableText"/>
            </w:pPr>
            <w:r>
              <w:t>Difenacoum</w:t>
            </w:r>
          </w:p>
        </w:tc>
        <w:tc>
          <w:tcPr>
            <w:tcW w:w="3117" w:type="dxa"/>
            <w:tcBorders>
              <w:top w:val="nil"/>
              <w:left w:val="nil"/>
              <w:bottom w:val="nil"/>
              <w:right w:val="nil"/>
            </w:tcBorders>
          </w:tcPr>
          <w:p w14:paraId="2192AA3D"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1299A9C0" w14:textId="77777777" w:rsidR="00FD32F4" w:rsidRDefault="00FD32F4" w:rsidP="00377F3A">
            <w:pPr>
              <w:pStyle w:val="TableText"/>
            </w:pPr>
            <w:r>
              <w:t>Acceptable risk due to negligible exposure</w:t>
            </w:r>
          </w:p>
        </w:tc>
      </w:tr>
      <w:tr w:rsidR="00FD32F4" w14:paraId="453C61FF" w14:textId="77777777" w:rsidTr="00E078CC">
        <w:trPr>
          <w:cantSplit/>
        </w:trPr>
        <w:tc>
          <w:tcPr>
            <w:tcW w:w="624" w:type="dxa"/>
            <w:tcBorders>
              <w:top w:val="nil"/>
              <w:left w:val="nil"/>
              <w:bottom w:val="nil"/>
              <w:right w:val="nil"/>
            </w:tcBorders>
          </w:tcPr>
          <w:p w14:paraId="439B7359" w14:textId="77777777" w:rsidR="00FD32F4" w:rsidRDefault="00FD32F4" w:rsidP="00377F3A">
            <w:pPr>
              <w:pStyle w:val="TableText"/>
            </w:pPr>
          </w:p>
        </w:tc>
        <w:tc>
          <w:tcPr>
            <w:tcW w:w="1419" w:type="dxa"/>
            <w:tcBorders>
              <w:top w:val="nil"/>
              <w:left w:val="nil"/>
              <w:bottom w:val="nil"/>
              <w:right w:val="nil"/>
            </w:tcBorders>
          </w:tcPr>
          <w:p w14:paraId="3DA4EF61" w14:textId="77777777" w:rsidR="00FD32F4" w:rsidRDefault="00FD32F4" w:rsidP="00377F3A">
            <w:pPr>
              <w:pStyle w:val="TableText"/>
            </w:pPr>
            <w:r>
              <w:t>Difethialone</w:t>
            </w:r>
          </w:p>
        </w:tc>
        <w:tc>
          <w:tcPr>
            <w:tcW w:w="3117" w:type="dxa"/>
            <w:tcBorders>
              <w:top w:val="nil"/>
              <w:left w:val="nil"/>
              <w:bottom w:val="nil"/>
              <w:right w:val="nil"/>
            </w:tcBorders>
          </w:tcPr>
          <w:p w14:paraId="7B80321A" w14:textId="77777777" w:rsidR="00FD32F4" w:rsidRDefault="00FD32F4" w:rsidP="00377F3A">
            <w:pPr>
              <w:pStyle w:val="TableText"/>
            </w:pPr>
            <w:r>
              <w:t>Rainwater sewer systems</w:t>
            </w:r>
          </w:p>
        </w:tc>
        <w:tc>
          <w:tcPr>
            <w:tcW w:w="1510" w:type="dxa"/>
            <w:tcBorders>
              <w:top w:val="nil"/>
              <w:left w:val="nil"/>
              <w:bottom w:val="nil"/>
              <w:right w:val="nil"/>
            </w:tcBorders>
          </w:tcPr>
          <w:p w14:paraId="000F15CC" w14:textId="77777777" w:rsidR="00FD32F4" w:rsidRDefault="00FD32F4" w:rsidP="00377F3A">
            <w:pPr>
              <w:pStyle w:val="TableText"/>
            </w:pPr>
            <w:r w:rsidRPr="00E74AB7">
              <w:t>1.6×10</w:t>
            </w:r>
            <w:r w:rsidRPr="00E74AB7">
              <w:rPr>
                <w:vertAlign w:val="superscript"/>
              </w:rPr>
              <w:t>-</w:t>
            </w:r>
            <w:r>
              <w:rPr>
                <w:vertAlign w:val="superscript"/>
              </w:rPr>
              <w:t>6</w:t>
            </w:r>
          </w:p>
        </w:tc>
        <w:tc>
          <w:tcPr>
            <w:tcW w:w="1510" w:type="dxa"/>
            <w:tcBorders>
              <w:top w:val="nil"/>
              <w:left w:val="nil"/>
              <w:bottom w:val="nil"/>
              <w:right w:val="nil"/>
            </w:tcBorders>
          </w:tcPr>
          <w:p w14:paraId="5DC3DA72" w14:textId="77777777" w:rsidR="00FD32F4" w:rsidRDefault="00FD32F4" w:rsidP="00377F3A">
            <w:pPr>
              <w:pStyle w:val="TableText"/>
            </w:pPr>
            <w:r>
              <w:t>0.00044</w:t>
            </w:r>
          </w:p>
        </w:tc>
        <w:tc>
          <w:tcPr>
            <w:tcW w:w="1510" w:type="dxa"/>
            <w:tcBorders>
              <w:top w:val="nil"/>
              <w:left w:val="nil"/>
              <w:bottom w:val="nil"/>
              <w:right w:val="nil"/>
            </w:tcBorders>
          </w:tcPr>
          <w:p w14:paraId="3DA02F1E" w14:textId="77777777" w:rsidR="00FD32F4" w:rsidRDefault="00FD32F4" w:rsidP="00377F3A">
            <w:pPr>
              <w:pStyle w:val="TableText"/>
            </w:pPr>
            <w:r w:rsidRPr="00A3343E">
              <w:t>&lt;0.01</w:t>
            </w:r>
          </w:p>
        </w:tc>
      </w:tr>
      <w:tr w:rsidR="00FD32F4" w14:paraId="32AE86E8" w14:textId="77777777" w:rsidTr="00E078CC">
        <w:trPr>
          <w:cantSplit/>
        </w:trPr>
        <w:tc>
          <w:tcPr>
            <w:tcW w:w="624" w:type="dxa"/>
            <w:tcBorders>
              <w:top w:val="nil"/>
              <w:left w:val="nil"/>
              <w:bottom w:val="nil"/>
              <w:right w:val="nil"/>
            </w:tcBorders>
          </w:tcPr>
          <w:p w14:paraId="38885425" w14:textId="77777777" w:rsidR="00FD32F4" w:rsidRDefault="00FD32F4" w:rsidP="00377F3A">
            <w:pPr>
              <w:pStyle w:val="TableText"/>
            </w:pPr>
          </w:p>
        </w:tc>
        <w:tc>
          <w:tcPr>
            <w:tcW w:w="1419" w:type="dxa"/>
            <w:tcBorders>
              <w:top w:val="nil"/>
              <w:left w:val="nil"/>
              <w:bottom w:val="nil"/>
              <w:right w:val="nil"/>
            </w:tcBorders>
          </w:tcPr>
          <w:p w14:paraId="6110E77B" w14:textId="77777777" w:rsidR="00FD32F4" w:rsidRDefault="00FD32F4" w:rsidP="00377F3A">
            <w:pPr>
              <w:pStyle w:val="TableText"/>
            </w:pPr>
            <w:r>
              <w:t>Flocoumafen</w:t>
            </w:r>
          </w:p>
        </w:tc>
        <w:tc>
          <w:tcPr>
            <w:tcW w:w="3117" w:type="dxa"/>
            <w:tcBorders>
              <w:top w:val="nil"/>
              <w:left w:val="nil"/>
              <w:bottom w:val="nil"/>
              <w:right w:val="nil"/>
            </w:tcBorders>
          </w:tcPr>
          <w:p w14:paraId="608D43EE" w14:textId="77777777" w:rsidR="00FD32F4" w:rsidRDefault="00FD32F4" w:rsidP="00377F3A">
            <w:pPr>
              <w:pStyle w:val="TableText"/>
            </w:pPr>
            <w:r>
              <w:t>Rainwater sewer systems</w:t>
            </w:r>
          </w:p>
        </w:tc>
        <w:tc>
          <w:tcPr>
            <w:tcW w:w="1510" w:type="dxa"/>
            <w:tcBorders>
              <w:top w:val="nil"/>
              <w:left w:val="nil"/>
              <w:bottom w:val="nil"/>
              <w:right w:val="nil"/>
            </w:tcBorders>
          </w:tcPr>
          <w:p w14:paraId="2673F108" w14:textId="77777777" w:rsidR="00FD32F4" w:rsidRDefault="00FD32F4" w:rsidP="00377F3A">
            <w:pPr>
              <w:pStyle w:val="TableText"/>
            </w:pPr>
            <w:r>
              <w:t>0.0052</w:t>
            </w:r>
          </w:p>
        </w:tc>
        <w:tc>
          <w:tcPr>
            <w:tcW w:w="1510" w:type="dxa"/>
            <w:tcBorders>
              <w:top w:val="nil"/>
              <w:left w:val="nil"/>
              <w:bottom w:val="nil"/>
              <w:right w:val="nil"/>
            </w:tcBorders>
          </w:tcPr>
          <w:p w14:paraId="48F28524" w14:textId="77777777" w:rsidR="00FD32F4" w:rsidRDefault="00FD32F4" w:rsidP="00377F3A">
            <w:pPr>
              <w:pStyle w:val="TableText"/>
            </w:pPr>
            <w:r>
              <w:t>0.0070</w:t>
            </w:r>
          </w:p>
        </w:tc>
        <w:tc>
          <w:tcPr>
            <w:tcW w:w="1510" w:type="dxa"/>
            <w:tcBorders>
              <w:top w:val="nil"/>
              <w:left w:val="nil"/>
              <w:bottom w:val="nil"/>
              <w:right w:val="nil"/>
            </w:tcBorders>
          </w:tcPr>
          <w:p w14:paraId="1AEA89A0" w14:textId="77777777" w:rsidR="00FD32F4" w:rsidRDefault="00FD32F4" w:rsidP="00377F3A">
            <w:pPr>
              <w:pStyle w:val="TableText"/>
            </w:pPr>
            <w:r>
              <w:t>0.74</w:t>
            </w:r>
          </w:p>
        </w:tc>
      </w:tr>
      <w:tr w:rsidR="00FD32F4" w14:paraId="68F2C324" w14:textId="77777777" w:rsidTr="00377F3A">
        <w:trPr>
          <w:trHeight w:val="1035"/>
        </w:trPr>
        <w:tc>
          <w:tcPr>
            <w:tcW w:w="9690" w:type="dxa"/>
            <w:gridSpan w:val="6"/>
            <w:tcBorders>
              <w:top w:val="single" w:sz="4" w:space="0" w:color="auto"/>
              <w:left w:val="nil"/>
              <w:bottom w:val="nil"/>
              <w:right w:val="nil"/>
            </w:tcBorders>
          </w:tcPr>
          <w:p w14:paraId="6C7A4C91" w14:textId="3B39F73D" w:rsidR="00FD32F4" w:rsidRPr="0084222C" w:rsidRDefault="00FD32F4" w:rsidP="00377F3A">
            <w:pPr>
              <w:pStyle w:val="TableText"/>
            </w:pPr>
            <w:r w:rsidRPr="0084222C">
              <w:t xml:space="preserve">PEC (predicted environmental concentration) in </w:t>
            </w:r>
            <w:r>
              <w:t>water</w:t>
            </w:r>
            <w:r w:rsidRPr="0084222C">
              <w:t xml:space="preserve"> for </w:t>
            </w:r>
            <w:r>
              <w:t>worst-case sewer scenario (rainwater sewer)</w:t>
            </w:r>
            <w:r w:rsidRPr="0084222C">
              <w:t xml:space="preserve"> from </w:t>
            </w:r>
            <w:r w:rsidR="00CA58F0">
              <w:fldChar w:fldCharType="begin"/>
            </w:r>
            <w:r w:rsidR="00CA58F0">
              <w:instrText xml:space="preserve"> REF _Ref213315246 \h  \* MERGEFORMAT </w:instrText>
            </w:r>
            <w:r w:rsidR="00CA58F0">
              <w:fldChar w:fldCharType="separate"/>
            </w:r>
            <w:r w:rsidR="003861AC">
              <w:t xml:space="preserve">Table </w:t>
            </w:r>
            <w:r w:rsidR="003861AC">
              <w:rPr>
                <w:noProof/>
              </w:rPr>
              <w:t>52</w:t>
            </w:r>
            <w:r w:rsidR="00CA58F0">
              <w:fldChar w:fldCharType="end"/>
            </w:r>
          </w:p>
          <w:p w14:paraId="2AD85229" w14:textId="02AB1A4B" w:rsidR="00FD32F4" w:rsidRDefault="00FD32F4" w:rsidP="00377F3A">
            <w:pPr>
              <w:pStyle w:val="TableText"/>
              <w:rPr>
                <w:b/>
                <w:bCs/>
              </w:rPr>
            </w:pPr>
            <w:r w:rsidRPr="0084222C">
              <w:t xml:space="preserve">RAL (regulatory acceptable level) </w:t>
            </w:r>
            <w:r>
              <w:t>based on</w:t>
            </w:r>
          </w:p>
          <w:p w14:paraId="47D4AF8F" w14:textId="248E7D77" w:rsidR="00FD32F4" w:rsidRDefault="00FD32F4" w:rsidP="00377F3A">
            <w:pPr>
              <w:pStyle w:val="TableText"/>
            </w:pPr>
            <w:r>
              <w:tab/>
              <w:t>Daphnid EC</w:t>
            </w:r>
            <w:r w:rsidRPr="00F815F9">
              <w:rPr>
                <w:vertAlign w:val="subscript"/>
              </w:rPr>
              <w:t>50</w:t>
            </w:r>
            <w:r>
              <w:t xml:space="preserve"> 0.044 mg/L / assessment factor 10 for difethialone (</w:t>
            </w:r>
            <w:r w:rsidR="00CA58F0">
              <w:fldChar w:fldCharType="begin"/>
            </w:r>
            <w:r w:rsidR="00CA58F0">
              <w:instrText xml:space="preserve"> REF _Ref213315541 \h  \* MERGEFORMAT </w:instrText>
            </w:r>
            <w:r w:rsidR="00CA58F0">
              <w:fldChar w:fldCharType="separate"/>
            </w:r>
            <w:r w:rsidR="003861AC">
              <w:t xml:space="preserve">Table </w:t>
            </w:r>
            <w:r w:rsidR="003861AC">
              <w:rPr>
                <w:noProof/>
              </w:rPr>
              <w:t>139</w:t>
            </w:r>
            <w:r w:rsidR="00CA58F0">
              <w:fldChar w:fldCharType="end"/>
            </w:r>
            <w:r w:rsidR="00CA58F0">
              <w:t xml:space="preserve"> </w:t>
            </w:r>
            <w:r>
              <w:t xml:space="preserve">in Appendix </w:t>
            </w:r>
            <w:r w:rsidR="00FA4E31">
              <w:t>A</w:t>
            </w:r>
            <w:r>
              <w:t>)</w:t>
            </w:r>
          </w:p>
          <w:p w14:paraId="455FD16C" w14:textId="0446E9D5" w:rsidR="00FD32F4" w:rsidRPr="0084222C" w:rsidRDefault="00FD32F4" w:rsidP="00377F3A">
            <w:pPr>
              <w:pStyle w:val="TableText"/>
            </w:pPr>
            <w:r>
              <w:tab/>
              <w:t>Fish LC</w:t>
            </w:r>
            <w:r w:rsidRPr="00F815F9">
              <w:rPr>
                <w:vertAlign w:val="subscript"/>
              </w:rPr>
              <w:t>50</w:t>
            </w:r>
            <w:r>
              <w:t xml:space="preserve"> 0.070 mg/L / assessment factor 10 for flocoumafen (</w:t>
            </w:r>
            <w:r w:rsidR="00CA58F0">
              <w:fldChar w:fldCharType="begin"/>
            </w:r>
            <w:r w:rsidR="00CA58F0">
              <w:instrText xml:space="preserve"> REF _Ref213315693 \h  \* MERGEFORMAT </w:instrText>
            </w:r>
            <w:r w:rsidR="00CA58F0">
              <w:fldChar w:fldCharType="separate"/>
            </w:r>
            <w:r w:rsidR="003861AC">
              <w:t xml:space="preserve">Table </w:t>
            </w:r>
            <w:r w:rsidR="003861AC">
              <w:rPr>
                <w:noProof/>
              </w:rPr>
              <w:t>148</w:t>
            </w:r>
            <w:r w:rsidR="00CA58F0">
              <w:fldChar w:fldCharType="end"/>
            </w:r>
            <w:r w:rsidR="00CA58F0">
              <w:t xml:space="preserve"> </w:t>
            </w:r>
            <w:r>
              <w:t xml:space="preserve">in Appendix </w:t>
            </w:r>
            <w:r w:rsidR="00FA4E31">
              <w:t>A</w:t>
            </w:r>
            <w:r>
              <w:t>)</w:t>
            </w:r>
          </w:p>
          <w:p w14:paraId="07F1F939" w14:textId="77777777" w:rsidR="00FD32F4" w:rsidRPr="0084222C" w:rsidRDefault="00FD32F4" w:rsidP="00377F3A">
            <w:pPr>
              <w:pStyle w:val="TableText"/>
              <w:rPr>
                <w:szCs w:val="17"/>
              </w:rPr>
            </w:pPr>
            <w:r w:rsidRPr="0084222C">
              <w:t>RQ (risk quotient) = PEC / RAL, where acceptable RQ ≤1</w:t>
            </w:r>
          </w:p>
        </w:tc>
      </w:tr>
    </w:tbl>
    <w:p w14:paraId="44352833" w14:textId="03AEBD97" w:rsidR="00FD32F4" w:rsidRDefault="00603108" w:rsidP="00FD32F4">
      <w:pPr>
        <w:pStyle w:val="Caption"/>
      </w:pPr>
      <w:bookmarkStart w:id="1106" w:name="_Toc213946030"/>
      <w:bookmarkStart w:id="1107" w:name="_Toc216695716"/>
      <w:r>
        <w:lastRenderedPageBreak/>
        <w:t xml:space="preserve">Table </w:t>
      </w:r>
      <w:r>
        <w:fldChar w:fldCharType="begin"/>
      </w:r>
      <w:r>
        <w:instrText xml:space="preserve"> SEQ Table \* ARABIC </w:instrText>
      </w:r>
      <w:r>
        <w:fldChar w:fldCharType="separate"/>
      </w:r>
      <w:r w:rsidR="003861AC">
        <w:rPr>
          <w:noProof/>
        </w:rPr>
        <w:t>54</w:t>
      </w:r>
      <w:r>
        <w:fldChar w:fldCharType="end"/>
      </w:r>
      <w:r>
        <w:t xml:space="preserve">: </w:t>
      </w:r>
      <w:r w:rsidR="00FD32F4">
        <w:t>Relevant scenarios for exposure of soil organisms</w:t>
      </w:r>
      <w:bookmarkEnd w:id="1106"/>
      <w:bookmarkEnd w:id="1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65"/>
        <w:gridCol w:w="5663"/>
      </w:tblGrid>
      <w:tr w:rsidR="00FD32F4" w:rsidRPr="00CA558C" w14:paraId="5DC3B2AA" w14:textId="77777777" w:rsidTr="0017134F">
        <w:trPr>
          <w:tblHeader/>
        </w:trPr>
        <w:tc>
          <w:tcPr>
            <w:tcW w:w="2059" w:type="pct"/>
            <w:tcBorders>
              <w:bottom w:val="single" w:sz="4" w:space="0" w:color="auto"/>
            </w:tcBorders>
            <w:shd w:val="clear" w:color="auto" w:fill="53284F"/>
          </w:tcPr>
          <w:p w14:paraId="46540A7D" w14:textId="77777777" w:rsidR="00FD32F4" w:rsidRDefault="00FD32F4" w:rsidP="00377F3A">
            <w:pPr>
              <w:pStyle w:val="TableHead"/>
            </w:pPr>
            <w:r>
              <w:t>Scenario</w:t>
            </w:r>
          </w:p>
        </w:tc>
        <w:tc>
          <w:tcPr>
            <w:tcW w:w="2941" w:type="pct"/>
            <w:tcBorders>
              <w:bottom w:val="single" w:sz="4" w:space="0" w:color="auto"/>
            </w:tcBorders>
            <w:shd w:val="clear" w:color="auto" w:fill="53284F"/>
          </w:tcPr>
          <w:p w14:paraId="21232EB6" w14:textId="77777777" w:rsidR="00FD32F4" w:rsidRDefault="00FD32F4" w:rsidP="00377F3A">
            <w:pPr>
              <w:pStyle w:val="TableHead"/>
            </w:pPr>
            <w:r>
              <w:t>Soil exposure</w:t>
            </w:r>
          </w:p>
        </w:tc>
      </w:tr>
      <w:tr w:rsidR="00FD32F4" w:rsidRPr="00401380" w14:paraId="6DAF41E1" w14:textId="77777777" w:rsidTr="00FA7FFB">
        <w:tc>
          <w:tcPr>
            <w:tcW w:w="2059" w:type="pct"/>
            <w:tcBorders>
              <w:top w:val="single" w:sz="4" w:space="0" w:color="auto"/>
              <w:left w:val="nil"/>
              <w:bottom w:val="nil"/>
              <w:right w:val="nil"/>
            </w:tcBorders>
          </w:tcPr>
          <w:p w14:paraId="37AA0697" w14:textId="77777777" w:rsidR="00FD32F4" w:rsidRDefault="00FD32F4" w:rsidP="00377F3A">
            <w:pPr>
              <w:pStyle w:val="TableText"/>
            </w:pPr>
            <w:r>
              <w:t>In buildings</w:t>
            </w:r>
          </w:p>
        </w:tc>
        <w:tc>
          <w:tcPr>
            <w:tcW w:w="2941" w:type="pct"/>
            <w:tcBorders>
              <w:top w:val="single" w:sz="4" w:space="0" w:color="auto"/>
              <w:left w:val="nil"/>
              <w:bottom w:val="nil"/>
              <w:right w:val="nil"/>
            </w:tcBorders>
          </w:tcPr>
          <w:p w14:paraId="10CB98BD" w14:textId="77777777" w:rsidR="00FD32F4" w:rsidRDefault="00FD32F4" w:rsidP="00377F3A">
            <w:pPr>
              <w:pStyle w:val="TableText"/>
            </w:pPr>
            <w:r>
              <w:t>Relevant (indirect pathway via rodent carcasses, urine and faeces)</w:t>
            </w:r>
          </w:p>
        </w:tc>
      </w:tr>
      <w:tr w:rsidR="00FD32F4" w:rsidRPr="00401380" w14:paraId="62E5747F" w14:textId="77777777" w:rsidTr="00FA7FFB">
        <w:tc>
          <w:tcPr>
            <w:tcW w:w="2059" w:type="pct"/>
            <w:tcBorders>
              <w:top w:val="nil"/>
              <w:left w:val="nil"/>
              <w:bottom w:val="nil"/>
              <w:right w:val="nil"/>
            </w:tcBorders>
          </w:tcPr>
          <w:p w14:paraId="777F4FEB" w14:textId="77777777" w:rsidR="00FD32F4" w:rsidRDefault="00FD32F4" w:rsidP="00377F3A">
            <w:pPr>
              <w:pStyle w:val="TableText"/>
            </w:pPr>
            <w:r>
              <w:t>Around buildings</w:t>
            </w:r>
          </w:p>
        </w:tc>
        <w:tc>
          <w:tcPr>
            <w:tcW w:w="2941" w:type="pct"/>
            <w:tcBorders>
              <w:top w:val="nil"/>
              <w:left w:val="nil"/>
              <w:bottom w:val="nil"/>
              <w:right w:val="nil"/>
            </w:tcBorders>
          </w:tcPr>
          <w:p w14:paraId="6A29DBE3" w14:textId="77777777" w:rsidR="00FD32F4" w:rsidRDefault="00FD32F4" w:rsidP="00377F3A">
            <w:pPr>
              <w:pStyle w:val="TableText"/>
            </w:pPr>
            <w:r>
              <w:t>Relevant (direct and indirect pathways; unpaved ground assumed)</w:t>
            </w:r>
          </w:p>
        </w:tc>
      </w:tr>
      <w:tr w:rsidR="00FD32F4" w:rsidRPr="00401380" w14:paraId="7DF56196" w14:textId="77777777" w:rsidTr="00FA7FFB">
        <w:tc>
          <w:tcPr>
            <w:tcW w:w="2059" w:type="pct"/>
            <w:tcBorders>
              <w:top w:val="nil"/>
              <w:left w:val="nil"/>
              <w:bottom w:val="nil"/>
              <w:right w:val="nil"/>
            </w:tcBorders>
          </w:tcPr>
          <w:p w14:paraId="17B30E98" w14:textId="77777777" w:rsidR="00FD32F4" w:rsidRDefault="00FD32F4" w:rsidP="00377F3A">
            <w:pPr>
              <w:pStyle w:val="TableText"/>
            </w:pPr>
            <w:r>
              <w:t>Bait stations in open areas (agricultural crops)</w:t>
            </w:r>
          </w:p>
        </w:tc>
        <w:tc>
          <w:tcPr>
            <w:tcW w:w="2941" w:type="pct"/>
            <w:tcBorders>
              <w:top w:val="nil"/>
              <w:left w:val="nil"/>
              <w:bottom w:val="nil"/>
              <w:right w:val="nil"/>
            </w:tcBorders>
          </w:tcPr>
          <w:p w14:paraId="4B43AA9F" w14:textId="77777777" w:rsidR="00FD32F4" w:rsidRDefault="00FD32F4" w:rsidP="00377F3A">
            <w:pPr>
              <w:pStyle w:val="TableText"/>
            </w:pPr>
            <w:r>
              <w:t>Relevant (direct pathway via spillage and rodent transport)</w:t>
            </w:r>
          </w:p>
        </w:tc>
      </w:tr>
      <w:tr w:rsidR="00FD32F4" w:rsidRPr="00401380" w14:paraId="565B038F" w14:textId="77777777" w:rsidTr="00FA7FFB">
        <w:tc>
          <w:tcPr>
            <w:tcW w:w="2059" w:type="pct"/>
            <w:tcBorders>
              <w:top w:val="nil"/>
              <w:left w:val="nil"/>
              <w:bottom w:val="single" w:sz="4" w:space="0" w:color="auto"/>
              <w:right w:val="nil"/>
            </w:tcBorders>
          </w:tcPr>
          <w:p w14:paraId="49ADB0CD" w14:textId="77777777" w:rsidR="00FD32F4" w:rsidRDefault="00FD32F4" w:rsidP="00377F3A">
            <w:pPr>
              <w:pStyle w:val="TableText"/>
            </w:pPr>
            <w:r>
              <w:t>Sewers</w:t>
            </w:r>
          </w:p>
        </w:tc>
        <w:tc>
          <w:tcPr>
            <w:tcW w:w="2941" w:type="pct"/>
            <w:tcBorders>
              <w:top w:val="nil"/>
              <w:left w:val="nil"/>
              <w:bottom w:val="single" w:sz="4" w:space="0" w:color="auto"/>
              <w:right w:val="nil"/>
            </w:tcBorders>
          </w:tcPr>
          <w:p w14:paraId="27648550" w14:textId="77777777" w:rsidR="00FD32F4" w:rsidRDefault="00FD32F4" w:rsidP="00377F3A">
            <w:pPr>
              <w:pStyle w:val="TableText"/>
            </w:pPr>
            <w:r>
              <w:t>Not relevant</w:t>
            </w:r>
          </w:p>
        </w:tc>
      </w:tr>
    </w:tbl>
    <w:p w14:paraId="7CA4794F" w14:textId="372AFAC2" w:rsidR="00FD32F4" w:rsidRDefault="00603108" w:rsidP="00FD32F4">
      <w:pPr>
        <w:pStyle w:val="Caption"/>
      </w:pPr>
      <w:bookmarkStart w:id="1108" w:name="_Toc213946031"/>
      <w:bookmarkStart w:id="1109" w:name="_Toc216695717"/>
      <w:r>
        <w:t xml:space="preserve">Table </w:t>
      </w:r>
      <w:r>
        <w:fldChar w:fldCharType="begin"/>
      </w:r>
      <w:r>
        <w:instrText xml:space="preserve"> SEQ Table \* ARABIC </w:instrText>
      </w:r>
      <w:r>
        <w:fldChar w:fldCharType="separate"/>
      </w:r>
      <w:r w:rsidR="003861AC">
        <w:rPr>
          <w:noProof/>
        </w:rPr>
        <w:t>55</w:t>
      </w:r>
      <w:r>
        <w:fldChar w:fldCharType="end"/>
      </w:r>
      <w:r w:rsidR="00FD32F4">
        <w:t>:</w:t>
      </w:r>
      <w:r>
        <w:t xml:space="preserve"> </w:t>
      </w:r>
      <w:r w:rsidR="00FD32F4">
        <w:t>Default input parameters for predicting soil concentrations</w:t>
      </w:r>
      <w:r w:rsidR="00FD32F4">
        <w:rPr>
          <w:rStyle w:val="FootnoteReference"/>
        </w:rPr>
        <w:footnoteReference w:id="12"/>
      </w:r>
      <w:bookmarkEnd w:id="1108"/>
      <w:bookmarkEnd w:id="1109"/>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427"/>
        <w:gridCol w:w="1313"/>
        <w:gridCol w:w="799"/>
        <w:gridCol w:w="617"/>
        <w:gridCol w:w="2534"/>
      </w:tblGrid>
      <w:tr w:rsidR="00FD32F4" w:rsidRPr="00CA558C" w14:paraId="5D52C83C" w14:textId="77777777" w:rsidTr="0017134F">
        <w:trPr>
          <w:tblHeader/>
        </w:trPr>
        <w:tc>
          <w:tcPr>
            <w:tcW w:w="0" w:type="auto"/>
            <w:gridSpan w:val="3"/>
            <w:tcBorders>
              <w:bottom w:val="nil"/>
            </w:tcBorders>
            <w:shd w:val="clear" w:color="auto" w:fill="53284F"/>
          </w:tcPr>
          <w:p w14:paraId="4CCECF46" w14:textId="77777777" w:rsidR="00FD32F4" w:rsidRPr="00603108" w:rsidRDefault="00FD32F4" w:rsidP="00377F3A">
            <w:pPr>
              <w:pStyle w:val="TableHead"/>
            </w:pPr>
            <w:r w:rsidRPr="00603108">
              <w:t>Parameter</w:t>
            </w:r>
          </w:p>
        </w:tc>
        <w:tc>
          <w:tcPr>
            <w:tcW w:w="0" w:type="auto"/>
            <w:tcBorders>
              <w:bottom w:val="nil"/>
            </w:tcBorders>
            <w:shd w:val="clear" w:color="auto" w:fill="53284F"/>
          </w:tcPr>
          <w:p w14:paraId="34F288C5" w14:textId="77777777" w:rsidR="00FD32F4" w:rsidRPr="00377F3A" w:rsidRDefault="00FD32F4" w:rsidP="00377F3A">
            <w:pPr>
              <w:pStyle w:val="TableHead"/>
            </w:pPr>
            <w:r w:rsidRPr="00377F3A">
              <w:t>Value</w:t>
            </w:r>
          </w:p>
        </w:tc>
        <w:tc>
          <w:tcPr>
            <w:tcW w:w="0" w:type="auto"/>
            <w:tcBorders>
              <w:bottom w:val="nil"/>
            </w:tcBorders>
            <w:shd w:val="clear" w:color="auto" w:fill="53284F"/>
          </w:tcPr>
          <w:p w14:paraId="5775CD53" w14:textId="77777777" w:rsidR="00FD32F4" w:rsidRDefault="00FD32F4" w:rsidP="00377F3A">
            <w:pPr>
              <w:pStyle w:val="TableHead"/>
            </w:pPr>
            <w:r>
              <w:t>Note</w:t>
            </w:r>
          </w:p>
        </w:tc>
      </w:tr>
      <w:tr w:rsidR="00FD32F4" w:rsidRPr="00401380" w14:paraId="4E8820A6" w14:textId="77777777" w:rsidTr="00FA7FFB">
        <w:tc>
          <w:tcPr>
            <w:tcW w:w="0" w:type="auto"/>
            <w:gridSpan w:val="5"/>
            <w:tcBorders>
              <w:top w:val="nil"/>
              <w:left w:val="nil"/>
              <w:bottom w:val="single" w:sz="4" w:space="0" w:color="000000"/>
              <w:right w:val="nil"/>
            </w:tcBorders>
          </w:tcPr>
          <w:p w14:paraId="4BD892E4" w14:textId="77777777" w:rsidR="00FD32F4" w:rsidRPr="00087ADB" w:rsidRDefault="00FD32F4" w:rsidP="00FA7FFB">
            <w:pPr>
              <w:pStyle w:val="TableSubHead"/>
              <w:rPr>
                <w:rFonts w:ascii="Arial" w:hAnsi="Arial"/>
                <w:b/>
                <w:bCs w:val="0"/>
                <w:sz w:val="17"/>
                <w:szCs w:val="17"/>
              </w:rPr>
            </w:pPr>
            <w:r w:rsidRPr="00FA7FFB">
              <w:rPr>
                <w:bCs w:val="0"/>
                <w:szCs w:val="18"/>
              </w:rPr>
              <w:t>Use in buildings</w:t>
            </w:r>
          </w:p>
        </w:tc>
      </w:tr>
      <w:tr w:rsidR="00FD32F4" w:rsidRPr="00401380" w14:paraId="29528C04" w14:textId="77777777" w:rsidTr="00FA7FFB">
        <w:tc>
          <w:tcPr>
            <w:tcW w:w="0" w:type="auto"/>
            <w:tcBorders>
              <w:top w:val="single" w:sz="4" w:space="0" w:color="000000"/>
              <w:left w:val="nil"/>
              <w:bottom w:val="nil"/>
              <w:right w:val="nil"/>
            </w:tcBorders>
          </w:tcPr>
          <w:p w14:paraId="575968C1" w14:textId="77777777" w:rsidR="00FD32F4" w:rsidRDefault="00FD32F4" w:rsidP="00377F3A">
            <w:pPr>
              <w:pStyle w:val="TableText"/>
            </w:pPr>
            <w:r>
              <w:t>Number of application sites</w:t>
            </w:r>
          </w:p>
        </w:tc>
        <w:tc>
          <w:tcPr>
            <w:tcW w:w="0" w:type="auto"/>
            <w:tcBorders>
              <w:top w:val="single" w:sz="4" w:space="0" w:color="000000"/>
              <w:left w:val="nil"/>
              <w:bottom w:val="nil"/>
              <w:right w:val="nil"/>
            </w:tcBorders>
          </w:tcPr>
          <w:p w14:paraId="1C1495E6" w14:textId="77777777" w:rsidR="00FD32F4" w:rsidRPr="00E6422C" w:rsidRDefault="00FD32F4" w:rsidP="00377F3A">
            <w:pPr>
              <w:pStyle w:val="TableText"/>
            </w:pPr>
            <w:r w:rsidRPr="00E6422C">
              <w:t>N</w:t>
            </w:r>
            <w:r w:rsidRPr="00E6422C">
              <w:rPr>
                <w:vertAlign w:val="subscript"/>
              </w:rPr>
              <w:t>sites</w:t>
            </w:r>
          </w:p>
        </w:tc>
        <w:tc>
          <w:tcPr>
            <w:tcW w:w="0" w:type="auto"/>
            <w:tcBorders>
              <w:top w:val="single" w:sz="4" w:space="0" w:color="000000"/>
              <w:left w:val="nil"/>
              <w:bottom w:val="nil"/>
              <w:right w:val="nil"/>
            </w:tcBorders>
          </w:tcPr>
          <w:p w14:paraId="5CC74D9A" w14:textId="77777777" w:rsidR="00FD32F4" w:rsidRPr="00E6422C" w:rsidRDefault="00FD32F4" w:rsidP="00377F3A">
            <w:pPr>
              <w:pStyle w:val="TableText"/>
            </w:pPr>
            <w:r w:rsidRPr="00E6422C">
              <w:t>[-]</w:t>
            </w:r>
          </w:p>
        </w:tc>
        <w:tc>
          <w:tcPr>
            <w:tcW w:w="0" w:type="auto"/>
            <w:tcBorders>
              <w:top w:val="single" w:sz="4" w:space="0" w:color="000000"/>
              <w:left w:val="nil"/>
              <w:bottom w:val="nil"/>
              <w:right w:val="nil"/>
            </w:tcBorders>
          </w:tcPr>
          <w:p w14:paraId="64F8FDDC" w14:textId="77777777" w:rsidR="00FD32F4" w:rsidRDefault="00FD32F4" w:rsidP="00377F3A">
            <w:pPr>
              <w:pStyle w:val="TableText"/>
            </w:pPr>
            <w:r>
              <w:t>22</w:t>
            </w:r>
          </w:p>
        </w:tc>
        <w:tc>
          <w:tcPr>
            <w:tcW w:w="0" w:type="auto"/>
            <w:tcBorders>
              <w:top w:val="single" w:sz="4" w:space="0" w:color="000000"/>
              <w:left w:val="nil"/>
              <w:bottom w:val="nil"/>
              <w:right w:val="nil"/>
            </w:tcBorders>
          </w:tcPr>
          <w:p w14:paraId="3F2FD6DC" w14:textId="77777777" w:rsidR="00FD32F4" w:rsidRDefault="00FD32F4" w:rsidP="00377F3A">
            <w:pPr>
              <w:pStyle w:val="TableText"/>
            </w:pPr>
          </w:p>
        </w:tc>
      </w:tr>
      <w:tr w:rsidR="00FD32F4" w:rsidRPr="00401380" w14:paraId="53F2FA91" w14:textId="77777777" w:rsidTr="00E078CC">
        <w:tc>
          <w:tcPr>
            <w:tcW w:w="0" w:type="auto"/>
            <w:tcBorders>
              <w:top w:val="nil"/>
              <w:left w:val="nil"/>
              <w:bottom w:val="nil"/>
              <w:right w:val="nil"/>
            </w:tcBorders>
          </w:tcPr>
          <w:p w14:paraId="5ED243FA" w14:textId="77777777" w:rsidR="00FD32F4" w:rsidRDefault="00FD32F4" w:rsidP="00377F3A">
            <w:pPr>
              <w:pStyle w:val="TableText"/>
            </w:pPr>
            <w:r>
              <w:t>Number of applications (initial baiting + refillings)</w:t>
            </w:r>
          </w:p>
        </w:tc>
        <w:tc>
          <w:tcPr>
            <w:tcW w:w="0" w:type="auto"/>
            <w:tcBorders>
              <w:top w:val="nil"/>
              <w:left w:val="nil"/>
              <w:bottom w:val="nil"/>
              <w:right w:val="nil"/>
            </w:tcBorders>
          </w:tcPr>
          <w:p w14:paraId="4386B572" w14:textId="77777777" w:rsidR="00FD32F4" w:rsidRPr="00E6422C" w:rsidRDefault="00FD32F4" w:rsidP="00377F3A">
            <w:pPr>
              <w:pStyle w:val="TableText"/>
            </w:pPr>
            <w:r w:rsidRPr="00E6422C">
              <w:t>N</w:t>
            </w:r>
            <w:r w:rsidRPr="00E6422C">
              <w:rPr>
                <w:vertAlign w:val="subscript"/>
              </w:rPr>
              <w:t>appl</w:t>
            </w:r>
          </w:p>
        </w:tc>
        <w:tc>
          <w:tcPr>
            <w:tcW w:w="0" w:type="auto"/>
            <w:tcBorders>
              <w:top w:val="nil"/>
              <w:left w:val="nil"/>
              <w:bottom w:val="nil"/>
              <w:right w:val="nil"/>
            </w:tcBorders>
          </w:tcPr>
          <w:p w14:paraId="21EBB846"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6B091172" w14:textId="77777777" w:rsidR="00FD32F4" w:rsidRDefault="00FD32F4" w:rsidP="00377F3A">
            <w:pPr>
              <w:pStyle w:val="TableText"/>
            </w:pPr>
            <w:r>
              <w:t>5</w:t>
            </w:r>
          </w:p>
        </w:tc>
        <w:tc>
          <w:tcPr>
            <w:tcW w:w="0" w:type="auto"/>
            <w:tcBorders>
              <w:top w:val="nil"/>
              <w:left w:val="nil"/>
              <w:bottom w:val="nil"/>
              <w:right w:val="nil"/>
            </w:tcBorders>
          </w:tcPr>
          <w:p w14:paraId="55EF2F35" w14:textId="77777777" w:rsidR="00FD32F4" w:rsidRDefault="00FD32F4" w:rsidP="00377F3A">
            <w:pPr>
              <w:pStyle w:val="TableText"/>
            </w:pPr>
          </w:p>
        </w:tc>
      </w:tr>
      <w:tr w:rsidR="00FD32F4" w:rsidRPr="00401380" w14:paraId="68437348" w14:textId="77777777" w:rsidTr="00E078CC">
        <w:tc>
          <w:tcPr>
            <w:tcW w:w="0" w:type="auto"/>
            <w:tcBorders>
              <w:top w:val="nil"/>
              <w:left w:val="nil"/>
              <w:bottom w:val="nil"/>
              <w:right w:val="nil"/>
            </w:tcBorders>
          </w:tcPr>
          <w:p w14:paraId="2B835F40" w14:textId="77777777" w:rsidR="00FD32F4" w:rsidRDefault="00FD32F4" w:rsidP="00377F3A">
            <w:pPr>
              <w:pStyle w:val="TableText"/>
            </w:pPr>
            <w:r>
              <w:t>Fraction released indirectly to soil</w:t>
            </w:r>
          </w:p>
        </w:tc>
        <w:tc>
          <w:tcPr>
            <w:tcW w:w="0" w:type="auto"/>
            <w:tcBorders>
              <w:top w:val="nil"/>
              <w:left w:val="nil"/>
              <w:bottom w:val="nil"/>
              <w:right w:val="nil"/>
            </w:tcBorders>
          </w:tcPr>
          <w:p w14:paraId="69E9D42B" w14:textId="77777777" w:rsidR="00FD32F4" w:rsidRPr="00E6422C" w:rsidRDefault="00FD32F4" w:rsidP="00377F3A">
            <w:pPr>
              <w:pStyle w:val="TableText"/>
            </w:pPr>
            <w:r w:rsidRPr="00E6422C">
              <w:t>F</w:t>
            </w:r>
            <w:r w:rsidRPr="00E6422C">
              <w:rPr>
                <w:vertAlign w:val="subscript"/>
              </w:rPr>
              <w:t>released-ID,soil</w:t>
            </w:r>
          </w:p>
        </w:tc>
        <w:tc>
          <w:tcPr>
            <w:tcW w:w="0" w:type="auto"/>
            <w:tcBorders>
              <w:top w:val="nil"/>
              <w:left w:val="nil"/>
              <w:bottom w:val="nil"/>
              <w:right w:val="nil"/>
            </w:tcBorders>
          </w:tcPr>
          <w:p w14:paraId="4A7D5F1F"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46B6F883" w14:textId="77777777" w:rsidR="00FD32F4" w:rsidRDefault="00FD32F4" w:rsidP="00377F3A">
            <w:pPr>
              <w:pStyle w:val="TableText"/>
            </w:pPr>
            <w:r>
              <w:t>0.5</w:t>
            </w:r>
          </w:p>
        </w:tc>
        <w:tc>
          <w:tcPr>
            <w:tcW w:w="0" w:type="auto"/>
            <w:tcBorders>
              <w:top w:val="nil"/>
              <w:left w:val="nil"/>
              <w:bottom w:val="nil"/>
              <w:right w:val="nil"/>
            </w:tcBorders>
          </w:tcPr>
          <w:p w14:paraId="746881AB" w14:textId="77777777" w:rsidR="00FD32F4" w:rsidRDefault="00FD32F4" w:rsidP="00377F3A">
            <w:pPr>
              <w:pStyle w:val="TableText"/>
            </w:pPr>
            <w:r>
              <w:t>Assumes no rat metabolism</w:t>
            </w:r>
          </w:p>
        </w:tc>
      </w:tr>
      <w:tr w:rsidR="00FD32F4" w14:paraId="3A2FAD52" w14:textId="77777777" w:rsidTr="00E078CC">
        <w:tc>
          <w:tcPr>
            <w:tcW w:w="0" w:type="auto"/>
            <w:tcBorders>
              <w:top w:val="nil"/>
              <w:left w:val="nil"/>
              <w:bottom w:val="nil"/>
              <w:right w:val="nil"/>
            </w:tcBorders>
          </w:tcPr>
          <w:p w14:paraId="7EAA7C3A" w14:textId="77777777" w:rsidR="00FD32F4" w:rsidRDefault="00FD32F4" w:rsidP="00377F3A">
            <w:pPr>
              <w:pStyle w:val="TableText"/>
            </w:pPr>
            <w:r>
              <w:t>Soil area exposed indirectly</w:t>
            </w:r>
          </w:p>
        </w:tc>
        <w:tc>
          <w:tcPr>
            <w:tcW w:w="0" w:type="auto"/>
            <w:tcBorders>
              <w:top w:val="nil"/>
              <w:left w:val="nil"/>
              <w:bottom w:val="nil"/>
              <w:right w:val="nil"/>
            </w:tcBorders>
          </w:tcPr>
          <w:p w14:paraId="6D6CAC90" w14:textId="77777777" w:rsidR="00FD32F4" w:rsidRPr="00E6422C" w:rsidRDefault="00FD32F4" w:rsidP="00377F3A">
            <w:pPr>
              <w:pStyle w:val="TableText"/>
            </w:pPr>
            <w:r w:rsidRPr="00E6422C">
              <w:t>AREA</w:t>
            </w:r>
            <w:r w:rsidRPr="00E6422C">
              <w:rPr>
                <w:vertAlign w:val="subscript"/>
              </w:rPr>
              <w:t>exposed-ID</w:t>
            </w:r>
          </w:p>
        </w:tc>
        <w:tc>
          <w:tcPr>
            <w:tcW w:w="0" w:type="auto"/>
            <w:tcBorders>
              <w:top w:val="nil"/>
              <w:left w:val="nil"/>
              <w:bottom w:val="nil"/>
              <w:right w:val="nil"/>
            </w:tcBorders>
          </w:tcPr>
          <w:p w14:paraId="7D24F4F0" w14:textId="77777777" w:rsidR="00FD32F4" w:rsidRPr="00E6422C" w:rsidRDefault="00FD32F4" w:rsidP="00377F3A">
            <w:pPr>
              <w:pStyle w:val="TableText"/>
            </w:pPr>
            <w:r w:rsidRPr="00E6422C">
              <w:t>m</w:t>
            </w:r>
            <w:r w:rsidRPr="00E6422C">
              <w:rPr>
                <w:vertAlign w:val="superscript"/>
              </w:rPr>
              <w:t>2</w:t>
            </w:r>
          </w:p>
        </w:tc>
        <w:tc>
          <w:tcPr>
            <w:tcW w:w="0" w:type="auto"/>
            <w:tcBorders>
              <w:top w:val="nil"/>
              <w:left w:val="nil"/>
              <w:bottom w:val="nil"/>
              <w:right w:val="nil"/>
            </w:tcBorders>
          </w:tcPr>
          <w:p w14:paraId="0DD5994C" w14:textId="77777777" w:rsidR="00FD32F4" w:rsidRDefault="00FD32F4" w:rsidP="00377F3A">
            <w:pPr>
              <w:pStyle w:val="TableText"/>
            </w:pPr>
            <w:r>
              <w:t>1800</w:t>
            </w:r>
          </w:p>
        </w:tc>
        <w:tc>
          <w:tcPr>
            <w:tcW w:w="0" w:type="auto"/>
            <w:tcBorders>
              <w:top w:val="nil"/>
              <w:left w:val="nil"/>
              <w:bottom w:val="nil"/>
              <w:right w:val="nil"/>
            </w:tcBorders>
          </w:tcPr>
          <w:p w14:paraId="5666A0B2" w14:textId="77777777" w:rsidR="00FD32F4" w:rsidRDefault="00FD32F4" w:rsidP="00377F3A">
            <w:pPr>
              <w:pStyle w:val="TableText"/>
            </w:pPr>
          </w:p>
        </w:tc>
      </w:tr>
      <w:tr w:rsidR="00FD32F4" w14:paraId="1F2868E7" w14:textId="77777777" w:rsidTr="00E078CC">
        <w:tc>
          <w:tcPr>
            <w:tcW w:w="0" w:type="auto"/>
            <w:tcBorders>
              <w:top w:val="nil"/>
              <w:left w:val="nil"/>
              <w:bottom w:val="nil"/>
              <w:right w:val="nil"/>
            </w:tcBorders>
          </w:tcPr>
          <w:p w14:paraId="521908C4" w14:textId="77777777" w:rsidR="00FD32F4" w:rsidRDefault="00FD32F4" w:rsidP="00377F3A">
            <w:pPr>
              <w:pStyle w:val="TableText"/>
            </w:pPr>
            <w:r>
              <w:t>Depth of exposed soil</w:t>
            </w:r>
          </w:p>
        </w:tc>
        <w:tc>
          <w:tcPr>
            <w:tcW w:w="0" w:type="auto"/>
            <w:tcBorders>
              <w:top w:val="nil"/>
              <w:left w:val="nil"/>
              <w:bottom w:val="nil"/>
              <w:right w:val="nil"/>
            </w:tcBorders>
          </w:tcPr>
          <w:p w14:paraId="25722936" w14:textId="77777777" w:rsidR="00FD32F4" w:rsidRPr="00E6422C" w:rsidRDefault="00FD32F4" w:rsidP="00377F3A">
            <w:pPr>
              <w:pStyle w:val="TableText"/>
            </w:pPr>
            <w:r w:rsidRPr="00E6422C">
              <w:t>DEPTH</w:t>
            </w:r>
            <w:r w:rsidRPr="00E6422C">
              <w:rPr>
                <w:vertAlign w:val="subscript"/>
              </w:rPr>
              <w:t>soil</w:t>
            </w:r>
          </w:p>
        </w:tc>
        <w:tc>
          <w:tcPr>
            <w:tcW w:w="0" w:type="auto"/>
            <w:tcBorders>
              <w:top w:val="nil"/>
              <w:left w:val="nil"/>
              <w:bottom w:val="nil"/>
              <w:right w:val="nil"/>
            </w:tcBorders>
          </w:tcPr>
          <w:p w14:paraId="27A3C693" w14:textId="77777777" w:rsidR="00FD32F4" w:rsidRPr="00E6422C" w:rsidRDefault="00FD32F4" w:rsidP="00377F3A">
            <w:pPr>
              <w:pStyle w:val="TableText"/>
            </w:pPr>
            <w:r w:rsidRPr="00E6422C">
              <w:t>m</w:t>
            </w:r>
          </w:p>
        </w:tc>
        <w:tc>
          <w:tcPr>
            <w:tcW w:w="0" w:type="auto"/>
            <w:tcBorders>
              <w:top w:val="nil"/>
              <w:left w:val="nil"/>
              <w:bottom w:val="nil"/>
              <w:right w:val="nil"/>
            </w:tcBorders>
          </w:tcPr>
          <w:p w14:paraId="5105B398" w14:textId="77777777" w:rsidR="00FD32F4" w:rsidRDefault="00FD32F4" w:rsidP="00377F3A">
            <w:pPr>
              <w:pStyle w:val="TableText"/>
            </w:pPr>
            <w:r>
              <w:t>0.05</w:t>
            </w:r>
          </w:p>
        </w:tc>
        <w:tc>
          <w:tcPr>
            <w:tcW w:w="0" w:type="auto"/>
            <w:tcBorders>
              <w:top w:val="nil"/>
              <w:left w:val="nil"/>
              <w:bottom w:val="nil"/>
              <w:right w:val="nil"/>
            </w:tcBorders>
          </w:tcPr>
          <w:p w14:paraId="62C79EEA" w14:textId="77777777" w:rsidR="00FD32F4" w:rsidRDefault="00FD32F4" w:rsidP="00377F3A">
            <w:pPr>
              <w:pStyle w:val="TableText"/>
            </w:pPr>
          </w:p>
        </w:tc>
      </w:tr>
      <w:tr w:rsidR="00FD32F4" w14:paraId="40CDCF80" w14:textId="77777777" w:rsidTr="00FA7FFB">
        <w:tc>
          <w:tcPr>
            <w:tcW w:w="0" w:type="auto"/>
            <w:tcBorders>
              <w:top w:val="nil"/>
              <w:left w:val="nil"/>
              <w:bottom w:val="single" w:sz="4" w:space="0" w:color="auto"/>
              <w:right w:val="nil"/>
            </w:tcBorders>
          </w:tcPr>
          <w:p w14:paraId="6C4D1CFD" w14:textId="77777777" w:rsidR="00FD32F4" w:rsidRDefault="00FD32F4" w:rsidP="00377F3A">
            <w:pPr>
              <w:pStyle w:val="TableText"/>
            </w:pPr>
            <w:r>
              <w:t>Bulk density of dry soil</w:t>
            </w:r>
          </w:p>
        </w:tc>
        <w:tc>
          <w:tcPr>
            <w:tcW w:w="0" w:type="auto"/>
            <w:tcBorders>
              <w:top w:val="nil"/>
              <w:left w:val="nil"/>
              <w:bottom w:val="single" w:sz="4" w:space="0" w:color="auto"/>
              <w:right w:val="nil"/>
            </w:tcBorders>
          </w:tcPr>
          <w:p w14:paraId="655E0327" w14:textId="77777777" w:rsidR="00FD32F4" w:rsidRPr="00E6422C" w:rsidRDefault="00FD32F4" w:rsidP="00377F3A">
            <w:pPr>
              <w:pStyle w:val="TableText"/>
            </w:pPr>
            <w:r w:rsidRPr="00E6422C">
              <w:t>RHO</w:t>
            </w:r>
            <w:r w:rsidRPr="00E6422C">
              <w:rPr>
                <w:vertAlign w:val="subscript"/>
              </w:rPr>
              <w:t>soil</w:t>
            </w:r>
          </w:p>
        </w:tc>
        <w:tc>
          <w:tcPr>
            <w:tcW w:w="0" w:type="auto"/>
            <w:tcBorders>
              <w:top w:val="nil"/>
              <w:left w:val="nil"/>
              <w:bottom w:val="single" w:sz="4" w:space="0" w:color="auto"/>
              <w:right w:val="nil"/>
            </w:tcBorders>
          </w:tcPr>
          <w:p w14:paraId="62ABE913" w14:textId="77777777" w:rsidR="00FD32F4" w:rsidRPr="00E6422C" w:rsidRDefault="00FD32F4" w:rsidP="00377F3A">
            <w:pPr>
              <w:pStyle w:val="TableText"/>
            </w:pPr>
            <w:r w:rsidRPr="00E6422C">
              <w:t>kg</w:t>
            </w:r>
            <w:r w:rsidRPr="00E6422C">
              <w:rPr>
                <w:vertAlign w:val="subscript"/>
              </w:rPr>
              <w:t>ww</w:t>
            </w:r>
            <w:r w:rsidRPr="00E6422C">
              <w:t>/m</w:t>
            </w:r>
            <w:r w:rsidRPr="00E6422C">
              <w:rPr>
                <w:vertAlign w:val="superscript"/>
              </w:rPr>
              <w:t>3</w:t>
            </w:r>
          </w:p>
        </w:tc>
        <w:tc>
          <w:tcPr>
            <w:tcW w:w="0" w:type="auto"/>
            <w:tcBorders>
              <w:top w:val="nil"/>
              <w:left w:val="nil"/>
              <w:bottom w:val="single" w:sz="4" w:space="0" w:color="auto"/>
              <w:right w:val="nil"/>
            </w:tcBorders>
          </w:tcPr>
          <w:p w14:paraId="78196C0B" w14:textId="77777777" w:rsidR="00FD32F4" w:rsidRDefault="00FD32F4" w:rsidP="00377F3A">
            <w:pPr>
              <w:pStyle w:val="TableText"/>
            </w:pPr>
            <w:r>
              <w:t>1500</w:t>
            </w:r>
          </w:p>
        </w:tc>
        <w:tc>
          <w:tcPr>
            <w:tcW w:w="0" w:type="auto"/>
            <w:tcBorders>
              <w:top w:val="nil"/>
              <w:left w:val="nil"/>
              <w:bottom w:val="single" w:sz="4" w:space="0" w:color="auto"/>
              <w:right w:val="nil"/>
            </w:tcBorders>
          </w:tcPr>
          <w:p w14:paraId="0252E2A7" w14:textId="77777777" w:rsidR="00FD32F4" w:rsidRDefault="00FD32F4" w:rsidP="00377F3A">
            <w:pPr>
              <w:pStyle w:val="TableText"/>
            </w:pPr>
          </w:p>
        </w:tc>
      </w:tr>
      <w:tr w:rsidR="00FD32F4" w:rsidRPr="00401380" w14:paraId="789CE0B4" w14:textId="77777777" w:rsidTr="00FA7FFB">
        <w:tc>
          <w:tcPr>
            <w:tcW w:w="0" w:type="auto"/>
            <w:gridSpan w:val="5"/>
            <w:tcBorders>
              <w:top w:val="single" w:sz="4" w:space="0" w:color="auto"/>
              <w:left w:val="nil"/>
              <w:bottom w:val="single" w:sz="4" w:space="0" w:color="000000"/>
              <w:right w:val="nil"/>
            </w:tcBorders>
          </w:tcPr>
          <w:p w14:paraId="329E2923" w14:textId="77777777" w:rsidR="00FD32F4" w:rsidRPr="00FA7FFB" w:rsidRDefault="00FD32F4" w:rsidP="00FA7FFB">
            <w:pPr>
              <w:pStyle w:val="TableSubHead"/>
              <w:rPr>
                <w:bCs w:val="0"/>
                <w:szCs w:val="18"/>
              </w:rPr>
            </w:pPr>
            <w:r w:rsidRPr="00FA7FFB">
              <w:rPr>
                <w:bCs w:val="0"/>
                <w:szCs w:val="18"/>
              </w:rPr>
              <w:t xml:space="preserve">Use </w:t>
            </w:r>
            <w:r w:rsidRPr="00FA7FFB">
              <w:rPr>
                <w:rFonts w:eastAsia="Times New Roman"/>
                <w:bCs w:val="0"/>
                <w:szCs w:val="18"/>
                <w14:ligatures w14:val="none"/>
              </w:rPr>
              <w:t>around</w:t>
            </w:r>
            <w:r w:rsidRPr="00FA7FFB">
              <w:rPr>
                <w:bCs w:val="0"/>
                <w:szCs w:val="18"/>
              </w:rPr>
              <w:t xml:space="preserve"> buildings on unpaved ground</w:t>
            </w:r>
          </w:p>
        </w:tc>
      </w:tr>
      <w:tr w:rsidR="00FD32F4" w:rsidRPr="00401380" w14:paraId="702AFEEE" w14:textId="77777777" w:rsidTr="00FA7FFB">
        <w:tc>
          <w:tcPr>
            <w:tcW w:w="0" w:type="auto"/>
            <w:tcBorders>
              <w:top w:val="single" w:sz="4" w:space="0" w:color="000000"/>
              <w:left w:val="nil"/>
              <w:bottom w:val="nil"/>
              <w:right w:val="nil"/>
            </w:tcBorders>
          </w:tcPr>
          <w:p w14:paraId="3565540D" w14:textId="77777777" w:rsidR="00FD32F4" w:rsidRDefault="00FD32F4" w:rsidP="00377F3A">
            <w:pPr>
              <w:pStyle w:val="TableText"/>
            </w:pPr>
            <w:r>
              <w:t>Number of application sites</w:t>
            </w:r>
          </w:p>
        </w:tc>
        <w:tc>
          <w:tcPr>
            <w:tcW w:w="0" w:type="auto"/>
            <w:tcBorders>
              <w:top w:val="single" w:sz="4" w:space="0" w:color="000000"/>
              <w:left w:val="nil"/>
              <w:bottom w:val="nil"/>
              <w:right w:val="nil"/>
            </w:tcBorders>
          </w:tcPr>
          <w:p w14:paraId="0B56378A" w14:textId="77777777" w:rsidR="00FD32F4" w:rsidRPr="00E6422C" w:rsidRDefault="00FD32F4" w:rsidP="00377F3A">
            <w:pPr>
              <w:pStyle w:val="TableText"/>
            </w:pPr>
            <w:r w:rsidRPr="00E6422C">
              <w:t>N</w:t>
            </w:r>
            <w:r w:rsidRPr="00E6422C">
              <w:rPr>
                <w:vertAlign w:val="subscript"/>
              </w:rPr>
              <w:t>sites</w:t>
            </w:r>
          </w:p>
        </w:tc>
        <w:tc>
          <w:tcPr>
            <w:tcW w:w="0" w:type="auto"/>
            <w:tcBorders>
              <w:top w:val="single" w:sz="4" w:space="0" w:color="000000"/>
              <w:left w:val="nil"/>
              <w:bottom w:val="nil"/>
              <w:right w:val="nil"/>
            </w:tcBorders>
          </w:tcPr>
          <w:p w14:paraId="059D612F" w14:textId="77777777" w:rsidR="00FD32F4" w:rsidRPr="00E6422C" w:rsidRDefault="00FD32F4" w:rsidP="00377F3A">
            <w:pPr>
              <w:pStyle w:val="TableText"/>
            </w:pPr>
            <w:r w:rsidRPr="00E6422C">
              <w:t>[-]</w:t>
            </w:r>
          </w:p>
        </w:tc>
        <w:tc>
          <w:tcPr>
            <w:tcW w:w="0" w:type="auto"/>
            <w:tcBorders>
              <w:top w:val="single" w:sz="4" w:space="0" w:color="000000"/>
              <w:left w:val="nil"/>
              <w:bottom w:val="nil"/>
              <w:right w:val="nil"/>
            </w:tcBorders>
          </w:tcPr>
          <w:p w14:paraId="01A5F675" w14:textId="77777777" w:rsidR="00FD32F4" w:rsidRDefault="00FD32F4" w:rsidP="00377F3A">
            <w:pPr>
              <w:pStyle w:val="TableText"/>
            </w:pPr>
            <w:r>
              <w:t>10</w:t>
            </w:r>
          </w:p>
          <w:p w14:paraId="56ECAAB0" w14:textId="77777777" w:rsidR="00FD32F4" w:rsidRDefault="00FD32F4" w:rsidP="00377F3A">
            <w:pPr>
              <w:pStyle w:val="TableText"/>
            </w:pPr>
            <w:r>
              <w:t>20</w:t>
            </w:r>
          </w:p>
        </w:tc>
        <w:tc>
          <w:tcPr>
            <w:tcW w:w="0" w:type="auto"/>
            <w:tcBorders>
              <w:top w:val="single" w:sz="4" w:space="0" w:color="000000"/>
              <w:left w:val="nil"/>
              <w:bottom w:val="nil"/>
              <w:right w:val="nil"/>
            </w:tcBorders>
          </w:tcPr>
          <w:p w14:paraId="505D0704" w14:textId="77777777" w:rsidR="00FD32F4" w:rsidRDefault="00FD32F4" w:rsidP="00377F3A">
            <w:pPr>
              <w:pStyle w:val="TableText"/>
            </w:pPr>
            <w:r>
              <w:t>Rat control</w:t>
            </w:r>
          </w:p>
          <w:p w14:paraId="1BE30B08" w14:textId="77777777" w:rsidR="00FD32F4" w:rsidRDefault="00FD32F4" w:rsidP="00377F3A">
            <w:pPr>
              <w:pStyle w:val="TableText"/>
            </w:pPr>
            <w:r>
              <w:t>Mouse control</w:t>
            </w:r>
          </w:p>
        </w:tc>
      </w:tr>
      <w:tr w:rsidR="00FD32F4" w:rsidRPr="00401380" w14:paraId="3791DADB" w14:textId="77777777" w:rsidTr="00E078CC">
        <w:tc>
          <w:tcPr>
            <w:tcW w:w="0" w:type="auto"/>
            <w:tcBorders>
              <w:top w:val="nil"/>
              <w:left w:val="nil"/>
              <w:bottom w:val="nil"/>
              <w:right w:val="nil"/>
            </w:tcBorders>
          </w:tcPr>
          <w:p w14:paraId="3C82E62C" w14:textId="77777777" w:rsidR="00FD32F4" w:rsidRDefault="00FD32F4" w:rsidP="00377F3A">
            <w:pPr>
              <w:pStyle w:val="TableText"/>
            </w:pPr>
            <w:r>
              <w:t>Number of applications (initial baiting + refillings)</w:t>
            </w:r>
          </w:p>
        </w:tc>
        <w:tc>
          <w:tcPr>
            <w:tcW w:w="0" w:type="auto"/>
            <w:tcBorders>
              <w:top w:val="nil"/>
              <w:left w:val="nil"/>
              <w:bottom w:val="nil"/>
              <w:right w:val="nil"/>
            </w:tcBorders>
          </w:tcPr>
          <w:p w14:paraId="04C50D9D" w14:textId="77777777" w:rsidR="00FD32F4" w:rsidRPr="00E6422C" w:rsidRDefault="00FD32F4" w:rsidP="00377F3A">
            <w:pPr>
              <w:pStyle w:val="TableText"/>
            </w:pPr>
            <w:r w:rsidRPr="00E6422C">
              <w:t>N</w:t>
            </w:r>
            <w:r w:rsidRPr="00E6422C">
              <w:rPr>
                <w:vertAlign w:val="subscript"/>
              </w:rPr>
              <w:t>appl</w:t>
            </w:r>
          </w:p>
        </w:tc>
        <w:tc>
          <w:tcPr>
            <w:tcW w:w="0" w:type="auto"/>
            <w:tcBorders>
              <w:top w:val="nil"/>
              <w:left w:val="nil"/>
              <w:bottom w:val="nil"/>
              <w:right w:val="nil"/>
            </w:tcBorders>
          </w:tcPr>
          <w:p w14:paraId="16A7FB88"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45694C6C" w14:textId="77777777" w:rsidR="00FD32F4" w:rsidRDefault="00FD32F4" w:rsidP="00377F3A">
            <w:pPr>
              <w:pStyle w:val="TableText"/>
            </w:pPr>
            <w:r>
              <w:t>5</w:t>
            </w:r>
          </w:p>
        </w:tc>
        <w:tc>
          <w:tcPr>
            <w:tcW w:w="0" w:type="auto"/>
            <w:tcBorders>
              <w:top w:val="nil"/>
              <w:left w:val="nil"/>
              <w:bottom w:val="nil"/>
              <w:right w:val="nil"/>
            </w:tcBorders>
          </w:tcPr>
          <w:p w14:paraId="73A5B807" w14:textId="77777777" w:rsidR="00FD32F4" w:rsidRDefault="00FD32F4" w:rsidP="00377F3A">
            <w:pPr>
              <w:pStyle w:val="TableText"/>
            </w:pPr>
          </w:p>
        </w:tc>
      </w:tr>
      <w:tr w:rsidR="00FD32F4" w:rsidRPr="00401380" w14:paraId="6D297DF7" w14:textId="77777777" w:rsidTr="00E078CC">
        <w:tc>
          <w:tcPr>
            <w:tcW w:w="0" w:type="auto"/>
            <w:tcBorders>
              <w:top w:val="nil"/>
              <w:left w:val="nil"/>
              <w:bottom w:val="nil"/>
              <w:right w:val="nil"/>
            </w:tcBorders>
          </w:tcPr>
          <w:p w14:paraId="7185D634" w14:textId="77777777" w:rsidR="00FD32F4" w:rsidRDefault="00FD32F4" w:rsidP="00377F3A">
            <w:pPr>
              <w:pStyle w:val="TableText"/>
            </w:pPr>
            <w:r>
              <w:t>Fraction released directly to soil</w:t>
            </w:r>
          </w:p>
        </w:tc>
        <w:tc>
          <w:tcPr>
            <w:tcW w:w="0" w:type="auto"/>
            <w:tcBorders>
              <w:top w:val="nil"/>
              <w:left w:val="nil"/>
              <w:bottom w:val="nil"/>
              <w:right w:val="nil"/>
            </w:tcBorders>
          </w:tcPr>
          <w:p w14:paraId="36777025" w14:textId="77777777" w:rsidR="00FD32F4" w:rsidRPr="00E6422C" w:rsidRDefault="00FD32F4" w:rsidP="00377F3A">
            <w:pPr>
              <w:pStyle w:val="TableText"/>
            </w:pPr>
            <w:r w:rsidRPr="00E6422C">
              <w:t>F</w:t>
            </w:r>
            <w:r w:rsidRPr="00E6422C">
              <w:rPr>
                <w:vertAlign w:val="subscript"/>
              </w:rPr>
              <w:t>released-D,soil</w:t>
            </w:r>
          </w:p>
        </w:tc>
        <w:tc>
          <w:tcPr>
            <w:tcW w:w="0" w:type="auto"/>
            <w:tcBorders>
              <w:top w:val="nil"/>
              <w:left w:val="nil"/>
              <w:bottom w:val="nil"/>
              <w:right w:val="nil"/>
            </w:tcBorders>
          </w:tcPr>
          <w:p w14:paraId="1F15FA9C"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293BEADF" w14:textId="77777777" w:rsidR="00FD32F4" w:rsidRDefault="00FD32F4" w:rsidP="00377F3A">
            <w:pPr>
              <w:pStyle w:val="TableText"/>
            </w:pPr>
            <w:r>
              <w:t>0.01</w:t>
            </w:r>
          </w:p>
          <w:p w14:paraId="7AAE2953" w14:textId="77777777" w:rsidR="00FD32F4" w:rsidRDefault="00FD32F4" w:rsidP="00377F3A">
            <w:pPr>
              <w:pStyle w:val="TableText"/>
            </w:pPr>
            <w:r>
              <w:t>0.05</w:t>
            </w:r>
          </w:p>
        </w:tc>
        <w:tc>
          <w:tcPr>
            <w:tcW w:w="0" w:type="auto"/>
            <w:tcBorders>
              <w:top w:val="nil"/>
              <w:left w:val="nil"/>
              <w:bottom w:val="nil"/>
              <w:right w:val="nil"/>
            </w:tcBorders>
          </w:tcPr>
          <w:p w14:paraId="06745DD3" w14:textId="77777777" w:rsidR="00FD32F4" w:rsidRDefault="00FD32F4" w:rsidP="00377F3A">
            <w:pPr>
              <w:pStyle w:val="TableText"/>
            </w:pPr>
            <w:r w:rsidRPr="00E52772">
              <w:t>Sachet/block/paste</w:t>
            </w:r>
          </w:p>
          <w:p w14:paraId="3940271E" w14:textId="77777777" w:rsidR="00FD32F4" w:rsidRDefault="00FD32F4" w:rsidP="00377F3A">
            <w:pPr>
              <w:pStyle w:val="TableText"/>
            </w:pPr>
            <w:r w:rsidRPr="00E52772">
              <w:t>Loose grain/fruit</w:t>
            </w:r>
            <w:r>
              <w:t>/pellets</w:t>
            </w:r>
          </w:p>
        </w:tc>
      </w:tr>
      <w:tr w:rsidR="00FD32F4" w:rsidRPr="00401380" w14:paraId="23829D99" w14:textId="77777777" w:rsidTr="00E078CC">
        <w:tc>
          <w:tcPr>
            <w:tcW w:w="0" w:type="auto"/>
            <w:tcBorders>
              <w:top w:val="nil"/>
              <w:left w:val="nil"/>
              <w:bottom w:val="nil"/>
              <w:right w:val="nil"/>
            </w:tcBorders>
          </w:tcPr>
          <w:p w14:paraId="6BD2654A" w14:textId="77777777" w:rsidR="00FD32F4" w:rsidRDefault="00FD32F4" w:rsidP="00377F3A">
            <w:pPr>
              <w:pStyle w:val="TableText"/>
            </w:pPr>
            <w:r>
              <w:t>Fraction released indirectly to soil</w:t>
            </w:r>
          </w:p>
        </w:tc>
        <w:tc>
          <w:tcPr>
            <w:tcW w:w="0" w:type="auto"/>
            <w:tcBorders>
              <w:top w:val="nil"/>
              <w:left w:val="nil"/>
              <w:bottom w:val="nil"/>
              <w:right w:val="nil"/>
            </w:tcBorders>
          </w:tcPr>
          <w:p w14:paraId="0184ABC4" w14:textId="77777777" w:rsidR="00FD32F4" w:rsidRPr="00E6422C" w:rsidRDefault="00FD32F4" w:rsidP="00377F3A">
            <w:pPr>
              <w:pStyle w:val="TableText"/>
            </w:pPr>
            <w:r w:rsidRPr="00E6422C">
              <w:t>F</w:t>
            </w:r>
            <w:r w:rsidRPr="00E6422C">
              <w:rPr>
                <w:vertAlign w:val="subscript"/>
              </w:rPr>
              <w:t>released-ID,soil</w:t>
            </w:r>
          </w:p>
        </w:tc>
        <w:tc>
          <w:tcPr>
            <w:tcW w:w="0" w:type="auto"/>
            <w:tcBorders>
              <w:top w:val="nil"/>
              <w:left w:val="nil"/>
              <w:bottom w:val="nil"/>
              <w:right w:val="nil"/>
            </w:tcBorders>
          </w:tcPr>
          <w:p w14:paraId="59BE369F"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71426959" w14:textId="77777777" w:rsidR="00FD32F4" w:rsidRDefault="00FD32F4" w:rsidP="00377F3A">
            <w:pPr>
              <w:pStyle w:val="TableText"/>
            </w:pPr>
            <w:r>
              <w:t>0.9</w:t>
            </w:r>
          </w:p>
        </w:tc>
        <w:tc>
          <w:tcPr>
            <w:tcW w:w="0" w:type="auto"/>
            <w:tcBorders>
              <w:top w:val="nil"/>
              <w:left w:val="nil"/>
              <w:bottom w:val="nil"/>
              <w:right w:val="nil"/>
            </w:tcBorders>
          </w:tcPr>
          <w:p w14:paraId="1BD05CBE" w14:textId="77777777" w:rsidR="00FD32F4" w:rsidRDefault="00FD32F4" w:rsidP="00377F3A">
            <w:pPr>
              <w:pStyle w:val="TableText"/>
            </w:pPr>
            <w:r>
              <w:t>Assumes no rat metabolism</w:t>
            </w:r>
          </w:p>
        </w:tc>
      </w:tr>
      <w:tr w:rsidR="00FD32F4" w:rsidRPr="00401380" w14:paraId="2B7EF740" w14:textId="77777777" w:rsidTr="00E078CC">
        <w:tc>
          <w:tcPr>
            <w:tcW w:w="0" w:type="auto"/>
            <w:tcBorders>
              <w:top w:val="nil"/>
              <w:left w:val="nil"/>
              <w:bottom w:val="nil"/>
              <w:right w:val="nil"/>
            </w:tcBorders>
          </w:tcPr>
          <w:p w14:paraId="64E4AF60" w14:textId="77777777" w:rsidR="00FD32F4" w:rsidRDefault="00FD32F4" w:rsidP="00377F3A">
            <w:pPr>
              <w:pStyle w:val="TableText"/>
            </w:pPr>
            <w:r>
              <w:lastRenderedPageBreak/>
              <w:t>Soil area exposed directly</w:t>
            </w:r>
          </w:p>
        </w:tc>
        <w:tc>
          <w:tcPr>
            <w:tcW w:w="0" w:type="auto"/>
            <w:tcBorders>
              <w:top w:val="nil"/>
              <w:left w:val="nil"/>
              <w:bottom w:val="nil"/>
              <w:right w:val="nil"/>
            </w:tcBorders>
          </w:tcPr>
          <w:p w14:paraId="3428E9F1" w14:textId="77777777" w:rsidR="00FD32F4" w:rsidRPr="00E6422C" w:rsidRDefault="00FD32F4" w:rsidP="00377F3A">
            <w:pPr>
              <w:pStyle w:val="TableText"/>
            </w:pPr>
            <w:r w:rsidRPr="00E6422C">
              <w:t>AREA</w:t>
            </w:r>
            <w:r w:rsidRPr="00E6422C">
              <w:rPr>
                <w:vertAlign w:val="subscript"/>
              </w:rPr>
              <w:t>exposed-D</w:t>
            </w:r>
          </w:p>
        </w:tc>
        <w:tc>
          <w:tcPr>
            <w:tcW w:w="0" w:type="auto"/>
            <w:tcBorders>
              <w:top w:val="nil"/>
              <w:left w:val="nil"/>
              <w:bottom w:val="nil"/>
              <w:right w:val="nil"/>
            </w:tcBorders>
          </w:tcPr>
          <w:p w14:paraId="20A383E4" w14:textId="77777777" w:rsidR="00FD32F4" w:rsidRPr="00E6422C" w:rsidRDefault="00FD32F4" w:rsidP="00377F3A">
            <w:pPr>
              <w:pStyle w:val="TableText"/>
            </w:pPr>
            <w:r w:rsidRPr="00E6422C">
              <w:t>m</w:t>
            </w:r>
            <w:r w:rsidRPr="00E6422C">
              <w:rPr>
                <w:vertAlign w:val="superscript"/>
              </w:rPr>
              <w:t>2</w:t>
            </w:r>
          </w:p>
        </w:tc>
        <w:tc>
          <w:tcPr>
            <w:tcW w:w="0" w:type="auto"/>
            <w:tcBorders>
              <w:top w:val="nil"/>
              <w:left w:val="nil"/>
              <w:bottom w:val="nil"/>
              <w:right w:val="nil"/>
            </w:tcBorders>
          </w:tcPr>
          <w:p w14:paraId="3C07844A" w14:textId="77777777" w:rsidR="00FD32F4" w:rsidRDefault="00FD32F4" w:rsidP="00377F3A">
            <w:pPr>
              <w:pStyle w:val="TableText"/>
            </w:pPr>
            <w:r>
              <w:t>0.09</w:t>
            </w:r>
          </w:p>
        </w:tc>
        <w:tc>
          <w:tcPr>
            <w:tcW w:w="0" w:type="auto"/>
            <w:tcBorders>
              <w:top w:val="nil"/>
              <w:left w:val="nil"/>
              <w:bottom w:val="nil"/>
              <w:right w:val="nil"/>
            </w:tcBorders>
          </w:tcPr>
          <w:p w14:paraId="076AE925" w14:textId="77777777" w:rsidR="00FD32F4" w:rsidRDefault="00FD32F4" w:rsidP="00377F3A">
            <w:pPr>
              <w:pStyle w:val="TableText"/>
            </w:pPr>
          </w:p>
        </w:tc>
      </w:tr>
      <w:tr w:rsidR="00FD32F4" w:rsidRPr="00401380" w14:paraId="18F3CCD5" w14:textId="77777777" w:rsidTr="00E078CC">
        <w:tc>
          <w:tcPr>
            <w:tcW w:w="0" w:type="auto"/>
            <w:tcBorders>
              <w:top w:val="nil"/>
              <w:left w:val="nil"/>
              <w:bottom w:val="nil"/>
              <w:right w:val="nil"/>
            </w:tcBorders>
          </w:tcPr>
          <w:p w14:paraId="40E01EAD" w14:textId="77777777" w:rsidR="00FD32F4" w:rsidRDefault="00FD32F4" w:rsidP="00377F3A">
            <w:pPr>
              <w:pStyle w:val="TableText"/>
            </w:pPr>
            <w:r>
              <w:t>Soil area exposed indirectly</w:t>
            </w:r>
          </w:p>
        </w:tc>
        <w:tc>
          <w:tcPr>
            <w:tcW w:w="0" w:type="auto"/>
            <w:tcBorders>
              <w:top w:val="nil"/>
              <w:left w:val="nil"/>
              <w:bottom w:val="nil"/>
              <w:right w:val="nil"/>
            </w:tcBorders>
          </w:tcPr>
          <w:p w14:paraId="7105B72D" w14:textId="77777777" w:rsidR="00FD32F4" w:rsidRPr="00E6422C" w:rsidRDefault="00FD32F4" w:rsidP="00377F3A">
            <w:pPr>
              <w:pStyle w:val="TableText"/>
            </w:pPr>
            <w:r w:rsidRPr="00E6422C">
              <w:t>AREA</w:t>
            </w:r>
            <w:r w:rsidRPr="00E6422C">
              <w:rPr>
                <w:vertAlign w:val="subscript"/>
              </w:rPr>
              <w:t>exposed-ID</w:t>
            </w:r>
          </w:p>
        </w:tc>
        <w:tc>
          <w:tcPr>
            <w:tcW w:w="0" w:type="auto"/>
            <w:tcBorders>
              <w:top w:val="nil"/>
              <w:left w:val="nil"/>
              <w:bottom w:val="nil"/>
              <w:right w:val="nil"/>
            </w:tcBorders>
          </w:tcPr>
          <w:p w14:paraId="03511B82" w14:textId="77777777" w:rsidR="00FD32F4" w:rsidRPr="00E6422C" w:rsidRDefault="00FD32F4" w:rsidP="00377F3A">
            <w:pPr>
              <w:pStyle w:val="TableText"/>
            </w:pPr>
            <w:r w:rsidRPr="00E6422C">
              <w:t>m</w:t>
            </w:r>
            <w:r w:rsidRPr="00E6422C">
              <w:rPr>
                <w:vertAlign w:val="superscript"/>
              </w:rPr>
              <w:t>2</w:t>
            </w:r>
          </w:p>
        </w:tc>
        <w:tc>
          <w:tcPr>
            <w:tcW w:w="0" w:type="auto"/>
            <w:tcBorders>
              <w:top w:val="nil"/>
              <w:left w:val="nil"/>
              <w:bottom w:val="nil"/>
              <w:right w:val="nil"/>
            </w:tcBorders>
          </w:tcPr>
          <w:p w14:paraId="5998FBE7" w14:textId="77777777" w:rsidR="00FD32F4" w:rsidRDefault="00FD32F4" w:rsidP="00377F3A">
            <w:pPr>
              <w:pStyle w:val="TableText"/>
            </w:pPr>
            <w:r>
              <w:t>550</w:t>
            </w:r>
          </w:p>
        </w:tc>
        <w:tc>
          <w:tcPr>
            <w:tcW w:w="0" w:type="auto"/>
            <w:tcBorders>
              <w:top w:val="nil"/>
              <w:left w:val="nil"/>
              <w:bottom w:val="nil"/>
              <w:right w:val="nil"/>
            </w:tcBorders>
          </w:tcPr>
          <w:p w14:paraId="5D04B72B" w14:textId="77777777" w:rsidR="00FD32F4" w:rsidRDefault="00FD32F4" w:rsidP="00377F3A">
            <w:pPr>
              <w:pStyle w:val="TableText"/>
            </w:pPr>
          </w:p>
        </w:tc>
      </w:tr>
      <w:tr w:rsidR="00FD32F4" w:rsidRPr="00401380" w14:paraId="2E1316E6" w14:textId="77777777" w:rsidTr="00E078CC">
        <w:tc>
          <w:tcPr>
            <w:tcW w:w="0" w:type="auto"/>
            <w:tcBorders>
              <w:top w:val="nil"/>
              <w:left w:val="nil"/>
              <w:bottom w:val="nil"/>
              <w:right w:val="nil"/>
            </w:tcBorders>
          </w:tcPr>
          <w:p w14:paraId="5C05C38C" w14:textId="77777777" w:rsidR="00FD32F4" w:rsidRDefault="00FD32F4" w:rsidP="00377F3A">
            <w:pPr>
              <w:pStyle w:val="TableText"/>
            </w:pPr>
            <w:r>
              <w:t>Depth of exposed soil</w:t>
            </w:r>
          </w:p>
        </w:tc>
        <w:tc>
          <w:tcPr>
            <w:tcW w:w="0" w:type="auto"/>
            <w:tcBorders>
              <w:top w:val="nil"/>
              <w:left w:val="nil"/>
              <w:bottom w:val="nil"/>
              <w:right w:val="nil"/>
            </w:tcBorders>
          </w:tcPr>
          <w:p w14:paraId="642BA63A" w14:textId="77777777" w:rsidR="00FD32F4" w:rsidRPr="00E6422C" w:rsidRDefault="00FD32F4" w:rsidP="00377F3A">
            <w:pPr>
              <w:pStyle w:val="TableText"/>
            </w:pPr>
            <w:r w:rsidRPr="00E6422C">
              <w:t>DEPTH</w:t>
            </w:r>
            <w:r w:rsidRPr="00E6422C">
              <w:rPr>
                <w:vertAlign w:val="subscript"/>
              </w:rPr>
              <w:t>soil</w:t>
            </w:r>
          </w:p>
        </w:tc>
        <w:tc>
          <w:tcPr>
            <w:tcW w:w="0" w:type="auto"/>
            <w:tcBorders>
              <w:top w:val="nil"/>
              <w:left w:val="nil"/>
              <w:bottom w:val="nil"/>
              <w:right w:val="nil"/>
            </w:tcBorders>
          </w:tcPr>
          <w:p w14:paraId="7994ED23" w14:textId="77777777" w:rsidR="00FD32F4" w:rsidRPr="00E6422C" w:rsidRDefault="00FD32F4" w:rsidP="00377F3A">
            <w:pPr>
              <w:pStyle w:val="TableText"/>
            </w:pPr>
            <w:r w:rsidRPr="00E6422C">
              <w:t>m</w:t>
            </w:r>
          </w:p>
        </w:tc>
        <w:tc>
          <w:tcPr>
            <w:tcW w:w="0" w:type="auto"/>
            <w:tcBorders>
              <w:top w:val="nil"/>
              <w:left w:val="nil"/>
              <w:bottom w:val="nil"/>
              <w:right w:val="nil"/>
            </w:tcBorders>
          </w:tcPr>
          <w:p w14:paraId="615A5166" w14:textId="77777777" w:rsidR="00FD32F4" w:rsidRDefault="00FD32F4" w:rsidP="00377F3A">
            <w:pPr>
              <w:pStyle w:val="TableText"/>
            </w:pPr>
            <w:r>
              <w:t>0.05</w:t>
            </w:r>
          </w:p>
        </w:tc>
        <w:tc>
          <w:tcPr>
            <w:tcW w:w="0" w:type="auto"/>
            <w:tcBorders>
              <w:top w:val="nil"/>
              <w:left w:val="nil"/>
              <w:bottom w:val="nil"/>
              <w:right w:val="nil"/>
            </w:tcBorders>
          </w:tcPr>
          <w:p w14:paraId="60F18F4B" w14:textId="77777777" w:rsidR="00FD32F4" w:rsidRDefault="00FD32F4" w:rsidP="00377F3A">
            <w:pPr>
              <w:pStyle w:val="TableText"/>
            </w:pPr>
          </w:p>
        </w:tc>
      </w:tr>
      <w:tr w:rsidR="00FD32F4" w:rsidRPr="00401380" w14:paraId="202B3ECF" w14:textId="77777777" w:rsidTr="00FA7FFB">
        <w:tc>
          <w:tcPr>
            <w:tcW w:w="0" w:type="auto"/>
            <w:tcBorders>
              <w:top w:val="nil"/>
              <w:left w:val="nil"/>
              <w:bottom w:val="single" w:sz="4" w:space="0" w:color="auto"/>
              <w:right w:val="nil"/>
            </w:tcBorders>
          </w:tcPr>
          <w:p w14:paraId="2D62498D" w14:textId="77777777" w:rsidR="00FD32F4" w:rsidRDefault="00FD32F4" w:rsidP="00377F3A">
            <w:pPr>
              <w:pStyle w:val="TableText"/>
            </w:pPr>
            <w:r>
              <w:t>Bulk density of dry soil</w:t>
            </w:r>
          </w:p>
        </w:tc>
        <w:tc>
          <w:tcPr>
            <w:tcW w:w="0" w:type="auto"/>
            <w:tcBorders>
              <w:top w:val="nil"/>
              <w:left w:val="nil"/>
              <w:bottom w:val="single" w:sz="4" w:space="0" w:color="auto"/>
              <w:right w:val="nil"/>
            </w:tcBorders>
          </w:tcPr>
          <w:p w14:paraId="2EAC7174" w14:textId="77777777" w:rsidR="00FD32F4" w:rsidRPr="00E6422C" w:rsidRDefault="00FD32F4" w:rsidP="00377F3A">
            <w:pPr>
              <w:pStyle w:val="TableText"/>
            </w:pPr>
            <w:r w:rsidRPr="00E6422C">
              <w:t>RHO</w:t>
            </w:r>
            <w:r w:rsidRPr="00E6422C">
              <w:rPr>
                <w:vertAlign w:val="subscript"/>
              </w:rPr>
              <w:t>soil</w:t>
            </w:r>
          </w:p>
        </w:tc>
        <w:tc>
          <w:tcPr>
            <w:tcW w:w="0" w:type="auto"/>
            <w:tcBorders>
              <w:top w:val="nil"/>
              <w:left w:val="nil"/>
              <w:bottom w:val="single" w:sz="4" w:space="0" w:color="auto"/>
              <w:right w:val="nil"/>
            </w:tcBorders>
          </w:tcPr>
          <w:p w14:paraId="288930B4" w14:textId="77777777" w:rsidR="00FD32F4" w:rsidRPr="00E6422C" w:rsidRDefault="00FD32F4" w:rsidP="00377F3A">
            <w:pPr>
              <w:pStyle w:val="TableText"/>
            </w:pPr>
            <w:r w:rsidRPr="00E6422C">
              <w:t>kg</w:t>
            </w:r>
            <w:r w:rsidRPr="00E6422C">
              <w:rPr>
                <w:vertAlign w:val="subscript"/>
              </w:rPr>
              <w:t>ww</w:t>
            </w:r>
            <w:r w:rsidRPr="00E6422C">
              <w:t>/m</w:t>
            </w:r>
            <w:r w:rsidRPr="00E6422C">
              <w:rPr>
                <w:vertAlign w:val="superscript"/>
              </w:rPr>
              <w:t>3</w:t>
            </w:r>
          </w:p>
        </w:tc>
        <w:tc>
          <w:tcPr>
            <w:tcW w:w="0" w:type="auto"/>
            <w:tcBorders>
              <w:top w:val="nil"/>
              <w:left w:val="nil"/>
              <w:bottom w:val="single" w:sz="4" w:space="0" w:color="auto"/>
              <w:right w:val="nil"/>
            </w:tcBorders>
          </w:tcPr>
          <w:p w14:paraId="321E40C2" w14:textId="77777777" w:rsidR="00FD32F4" w:rsidRDefault="00FD32F4" w:rsidP="00377F3A">
            <w:pPr>
              <w:pStyle w:val="TableText"/>
            </w:pPr>
            <w:r>
              <w:t>1500</w:t>
            </w:r>
          </w:p>
        </w:tc>
        <w:tc>
          <w:tcPr>
            <w:tcW w:w="0" w:type="auto"/>
            <w:tcBorders>
              <w:top w:val="nil"/>
              <w:left w:val="nil"/>
              <w:bottom w:val="single" w:sz="4" w:space="0" w:color="auto"/>
              <w:right w:val="nil"/>
            </w:tcBorders>
          </w:tcPr>
          <w:p w14:paraId="4DA7245F" w14:textId="77777777" w:rsidR="00FD32F4" w:rsidRDefault="00FD32F4" w:rsidP="00377F3A">
            <w:pPr>
              <w:pStyle w:val="TableText"/>
            </w:pPr>
          </w:p>
        </w:tc>
      </w:tr>
      <w:tr w:rsidR="00FD32F4" w:rsidRPr="00401380" w14:paraId="6A3A2BB0" w14:textId="77777777" w:rsidTr="00FA7FFB">
        <w:tc>
          <w:tcPr>
            <w:tcW w:w="0" w:type="auto"/>
            <w:gridSpan w:val="5"/>
            <w:tcBorders>
              <w:top w:val="single" w:sz="4" w:space="0" w:color="auto"/>
              <w:left w:val="nil"/>
              <w:bottom w:val="single" w:sz="4" w:space="0" w:color="000000"/>
              <w:right w:val="nil"/>
            </w:tcBorders>
          </w:tcPr>
          <w:p w14:paraId="36154D10" w14:textId="77777777" w:rsidR="00FD32F4" w:rsidRPr="00DA44EF" w:rsidRDefault="00FD32F4" w:rsidP="00FA7FFB">
            <w:pPr>
              <w:pStyle w:val="TableSubHead"/>
              <w:rPr>
                <w:rFonts w:ascii="Arial" w:hAnsi="Arial"/>
                <w:b/>
                <w:bCs w:val="0"/>
                <w:sz w:val="17"/>
                <w:szCs w:val="17"/>
              </w:rPr>
            </w:pPr>
            <w:r w:rsidRPr="00FA7FFB">
              <w:rPr>
                <w:bCs w:val="0"/>
                <w:szCs w:val="18"/>
              </w:rPr>
              <w:t>Use in open areas (agricultural crops)</w:t>
            </w:r>
          </w:p>
        </w:tc>
      </w:tr>
      <w:tr w:rsidR="00FD32F4" w:rsidRPr="00401380" w14:paraId="2F4765D6" w14:textId="77777777" w:rsidTr="00FA7FFB">
        <w:tc>
          <w:tcPr>
            <w:tcW w:w="0" w:type="auto"/>
            <w:tcBorders>
              <w:top w:val="single" w:sz="4" w:space="0" w:color="000000"/>
              <w:left w:val="nil"/>
              <w:bottom w:val="nil"/>
              <w:right w:val="nil"/>
            </w:tcBorders>
          </w:tcPr>
          <w:p w14:paraId="54AAE6B6" w14:textId="77777777" w:rsidR="00FD32F4" w:rsidRDefault="00FD32F4" w:rsidP="00377F3A">
            <w:pPr>
              <w:pStyle w:val="TableText"/>
            </w:pPr>
            <w:r>
              <w:t>Number of applications (initial baiting + refilling’s)</w:t>
            </w:r>
          </w:p>
        </w:tc>
        <w:tc>
          <w:tcPr>
            <w:tcW w:w="0" w:type="auto"/>
            <w:tcBorders>
              <w:top w:val="single" w:sz="4" w:space="0" w:color="000000"/>
              <w:left w:val="nil"/>
              <w:bottom w:val="nil"/>
              <w:right w:val="nil"/>
            </w:tcBorders>
          </w:tcPr>
          <w:p w14:paraId="3B61C3E9" w14:textId="77777777" w:rsidR="00FD32F4" w:rsidRPr="00E6422C" w:rsidRDefault="00FD32F4" w:rsidP="00377F3A">
            <w:pPr>
              <w:pStyle w:val="TableText"/>
            </w:pPr>
            <w:r w:rsidRPr="00E6422C">
              <w:t>N</w:t>
            </w:r>
            <w:r w:rsidRPr="00E6422C">
              <w:rPr>
                <w:vertAlign w:val="subscript"/>
              </w:rPr>
              <w:t>appl</w:t>
            </w:r>
          </w:p>
        </w:tc>
        <w:tc>
          <w:tcPr>
            <w:tcW w:w="0" w:type="auto"/>
            <w:tcBorders>
              <w:top w:val="single" w:sz="4" w:space="0" w:color="000000"/>
              <w:left w:val="nil"/>
              <w:bottom w:val="nil"/>
              <w:right w:val="nil"/>
            </w:tcBorders>
          </w:tcPr>
          <w:p w14:paraId="30A59BC9" w14:textId="77777777" w:rsidR="00FD32F4" w:rsidRPr="00E6422C" w:rsidRDefault="00FD32F4" w:rsidP="00377F3A">
            <w:pPr>
              <w:pStyle w:val="TableText"/>
            </w:pPr>
            <w:r w:rsidRPr="00E6422C">
              <w:t>[-]</w:t>
            </w:r>
          </w:p>
        </w:tc>
        <w:tc>
          <w:tcPr>
            <w:tcW w:w="0" w:type="auto"/>
            <w:tcBorders>
              <w:top w:val="single" w:sz="4" w:space="0" w:color="000000"/>
              <w:left w:val="nil"/>
              <w:bottom w:val="nil"/>
              <w:right w:val="nil"/>
            </w:tcBorders>
          </w:tcPr>
          <w:p w14:paraId="5C563533" w14:textId="77777777" w:rsidR="00FD32F4" w:rsidRDefault="00FD32F4" w:rsidP="00377F3A">
            <w:pPr>
              <w:pStyle w:val="TableText"/>
            </w:pPr>
            <w:r>
              <w:t>5</w:t>
            </w:r>
          </w:p>
        </w:tc>
        <w:tc>
          <w:tcPr>
            <w:tcW w:w="0" w:type="auto"/>
            <w:tcBorders>
              <w:top w:val="single" w:sz="4" w:space="0" w:color="000000"/>
              <w:left w:val="nil"/>
              <w:bottom w:val="nil"/>
              <w:right w:val="nil"/>
            </w:tcBorders>
          </w:tcPr>
          <w:p w14:paraId="7243D4CB" w14:textId="77777777" w:rsidR="00FD32F4" w:rsidRDefault="00FD32F4" w:rsidP="00377F3A">
            <w:pPr>
              <w:pStyle w:val="TableText"/>
            </w:pPr>
          </w:p>
        </w:tc>
      </w:tr>
      <w:tr w:rsidR="00FD32F4" w:rsidRPr="00401380" w14:paraId="6FEB058A" w14:textId="77777777" w:rsidTr="00E078CC">
        <w:tc>
          <w:tcPr>
            <w:tcW w:w="0" w:type="auto"/>
            <w:tcBorders>
              <w:top w:val="nil"/>
              <w:left w:val="nil"/>
              <w:bottom w:val="nil"/>
              <w:right w:val="nil"/>
            </w:tcBorders>
          </w:tcPr>
          <w:p w14:paraId="611A8068" w14:textId="77777777" w:rsidR="00FD32F4" w:rsidRDefault="00FD32F4" w:rsidP="00377F3A">
            <w:pPr>
              <w:pStyle w:val="TableText"/>
            </w:pPr>
            <w:r>
              <w:t>Fraction released directly to soil</w:t>
            </w:r>
          </w:p>
        </w:tc>
        <w:tc>
          <w:tcPr>
            <w:tcW w:w="0" w:type="auto"/>
            <w:tcBorders>
              <w:top w:val="nil"/>
              <w:left w:val="nil"/>
              <w:bottom w:val="nil"/>
              <w:right w:val="nil"/>
            </w:tcBorders>
          </w:tcPr>
          <w:p w14:paraId="50BD026D" w14:textId="77777777" w:rsidR="00FD32F4" w:rsidRPr="00E6422C" w:rsidRDefault="00FD32F4" w:rsidP="00377F3A">
            <w:pPr>
              <w:pStyle w:val="TableText"/>
            </w:pPr>
            <w:r w:rsidRPr="00E6422C">
              <w:t>F</w:t>
            </w:r>
            <w:r w:rsidRPr="00E6422C">
              <w:rPr>
                <w:vertAlign w:val="subscript"/>
              </w:rPr>
              <w:t>released-D,soil</w:t>
            </w:r>
          </w:p>
        </w:tc>
        <w:tc>
          <w:tcPr>
            <w:tcW w:w="0" w:type="auto"/>
            <w:tcBorders>
              <w:top w:val="nil"/>
              <w:left w:val="nil"/>
              <w:bottom w:val="nil"/>
              <w:right w:val="nil"/>
            </w:tcBorders>
          </w:tcPr>
          <w:p w14:paraId="7E12F7F8" w14:textId="77777777" w:rsidR="00FD32F4" w:rsidRPr="00E6422C" w:rsidRDefault="00FD32F4" w:rsidP="00377F3A">
            <w:pPr>
              <w:pStyle w:val="TableText"/>
            </w:pPr>
            <w:r w:rsidRPr="00E6422C">
              <w:t>[-]</w:t>
            </w:r>
          </w:p>
        </w:tc>
        <w:tc>
          <w:tcPr>
            <w:tcW w:w="0" w:type="auto"/>
            <w:tcBorders>
              <w:top w:val="nil"/>
              <w:left w:val="nil"/>
              <w:bottom w:val="nil"/>
              <w:right w:val="nil"/>
            </w:tcBorders>
          </w:tcPr>
          <w:p w14:paraId="38BFE645" w14:textId="77777777" w:rsidR="00FD32F4" w:rsidRDefault="00FD32F4" w:rsidP="00377F3A">
            <w:pPr>
              <w:pStyle w:val="TableText"/>
            </w:pPr>
            <w:r>
              <w:t>0.01</w:t>
            </w:r>
          </w:p>
          <w:p w14:paraId="34F1C49A" w14:textId="77777777" w:rsidR="00FD32F4" w:rsidRDefault="00FD32F4" w:rsidP="00377F3A">
            <w:pPr>
              <w:pStyle w:val="TableText"/>
            </w:pPr>
            <w:r>
              <w:t>0.05</w:t>
            </w:r>
          </w:p>
        </w:tc>
        <w:tc>
          <w:tcPr>
            <w:tcW w:w="0" w:type="auto"/>
            <w:tcBorders>
              <w:top w:val="nil"/>
              <w:left w:val="nil"/>
              <w:bottom w:val="nil"/>
              <w:right w:val="nil"/>
            </w:tcBorders>
          </w:tcPr>
          <w:p w14:paraId="3A101220" w14:textId="77777777" w:rsidR="00FD32F4" w:rsidRDefault="00FD32F4" w:rsidP="00377F3A">
            <w:pPr>
              <w:pStyle w:val="TableText"/>
            </w:pPr>
            <w:r>
              <w:t>Block</w:t>
            </w:r>
          </w:p>
          <w:p w14:paraId="159428B9" w14:textId="77777777" w:rsidR="00FD32F4" w:rsidRDefault="00FD32F4" w:rsidP="00377F3A">
            <w:pPr>
              <w:pStyle w:val="TableText"/>
            </w:pPr>
            <w:r w:rsidRPr="00E52772">
              <w:t>Loose grain/fruit</w:t>
            </w:r>
          </w:p>
        </w:tc>
      </w:tr>
      <w:tr w:rsidR="00FD32F4" w:rsidRPr="00401380" w14:paraId="475BD775" w14:textId="77777777" w:rsidTr="00E078CC">
        <w:tc>
          <w:tcPr>
            <w:tcW w:w="0" w:type="auto"/>
            <w:tcBorders>
              <w:top w:val="nil"/>
              <w:left w:val="nil"/>
              <w:bottom w:val="nil"/>
              <w:right w:val="nil"/>
            </w:tcBorders>
          </w:tcPr>
          <w:p w14:paraId="26407226" w14:textId="77777777" w:rsidR="00FD32F4" w:rsidRDefault="00FD32F4" w:rsidP="00377F3A">
            <w:pPr>
              <w:pStyle w:val="TableText"/>
            </w:pPr>
            <w:r>
              <w:t>Soil area exposed directly</w:t>
            </w:r>
          </w:p>
        </w:tc>
        <w:tc>
          <w:tcPr>
            <w:tcW w:w="0" w:type="auto"/>
            <w:tcBorders>
              <w:top w:val="nil"/>
              <w:left w:val="nil"/>
              <w:bottom w:val="nil"/>
              <w:right w:val="nil"/>
            </w:tcBorders>
          </w:tcPr>
          <w:p w14:paraId="1167EEC1" w14:textId="77777777" w:rsidR="00FD32F4" w:rsidRPr="00E6422C" w:rsidRDefault="00FD32F4" w:rsidP="00377F3A">
            <w:pPr>
              <w:pStyle w:val="TableText"/>
            </w:pPr>
            <w:r w:rsidRPr="00E6422C">
              <w:t>AREA</w:t>
            </w:r>
            <w:r w:rsidRPr="00E6422C">
              <w:rPr>
                <w:vertAlign w:val="subscript"/>
              </w:rPr>
              <w:t>exposed-D</w:t>
            </w:r>
          </w:p>
        </w:tc>
        <w:tc>
          <w:tcPr>
            <w:tcW w:w="0" w:type="auto"/>
            <w:tcBorders>
              <w:top w:val="nil"/>
              <w:left w:val="nil"/>
              <w:bottom w:val="nil"/>
              <w:right w:val="nil"/>
            </w:tcBorders>
          </w:tcPr>
          <w:p w14:paraId="5B3F1883" w14:textId="77777777" w:rsidR="00FD32F4" w:rsidRPr="00E6422C" w:rsidRDefault="00FD32F4" w:rsidP="00377F3A">
            <w:pPr>
              <w:pStyle w:val="TableText"/>
            </w:pPr>
            <w:r w:rsidRPr="00E6422C">
              <w:t>m</w:t>
            </w:r>
            <w:r w:rsidRPr="00E6422C">
              <w:rPr>
                <w:vertAlign w:val="superscript"/>
              </w:rPr>
              <w:t>2</w:t>
            </w:r>
          </w:p>
        </w:tc>
        <w:tc>
          <w:tcPr>
            <w:tcW w:w="0" w:type="auto"/>
            <w:tcBorders>
              <w:top w:val="nil"/>
              <w:left w:val="nil"/>
              <w:bottom w:val="nil"/>
              <w:right w:val="nil"/>
            </w:tcBorders>
          </w:tcPr>
          <w:p w14:paraId="1E9C2E7C" w14:textId="77777777" w:rsidR="00FD32F4" w:rsidRDefault="00FD32F4" w:rsidP="00377F3A">
            <w:pPr>
              <w:pStyle w:val="TableText"/>
            </w:pPr>
            <w:r>
              <w:t>0.14</w:t>
            </w:r>
          </w:p>
        </w:tc>
        <w:tc>
          <w:tcPr>
            <w:tcW w:w="0" w:type="auto"/>
            <w:tcBorders>
              <w:top w:val="nil"/>
              <w:left w:val="nil"/>
              <w:bottom w:val="nil"/>
              <w:right w:val="nil"/>
            </w:tcBorders>
          </w:tcPr>
          <w:p w14:paraId="68B01D2B" w14:textId="77777777" w:rsidR="00FD32F4" w:rsidRDefault="00FD32F4" w:rsidP="00377F3A">
            <w:pPr>
              <w:pStyle w:val="TableText"/>
            </w:pPr>
          </w:p>
        </w:tc>
      </w:tr>
      <w:tr w:rsidR="00FD32F4" w:rsidRPr="00401380" w14:paraId="64F6ADF2" w14:textId="77777777" w:rsidTr="00E078CC">
        <w:tc>
          <w:tcPr>
            <w:tcW w:w="0" w:type="auto"/>
            <w:tcBorders>
              <w:top w:val="nil"/>
              <w:left w:val="nil"/>
              <w:bottom w:val="nil"/>
              <w:right w:val="nil"/>
            </w:tcBorders>
          </w:tcPr>
          <w:p w14:paraId="29657F5E" w14:textId="77777777" w:rsidR="00FD32F4" w:rsidRDefault="00FD32F4" w:rsidP="00377F3A">
            <w:pPr>
              <w:pStyle w:val="TableText"/>
            </w:pPr>
            <w:r>
              <w:t>Depth of exposed soil</w:t>
            </w:r>
          </w:p>
        </w:tc>
        <w:tc>
          <w:tcPr>
            <w:tcW w:w="0" w:type="auto"/>
            <w:tcBorders>
              <w:top w:val="nil"/>
              <w:left w:val="nil"/>
              <w:bottom w:val="nil"/>
              <w:right w:val="nil"/>
            </w:tcBorders>
          </w:tcPr>
          <w:p w14:paraId="35D40726" w14:textId="77777777" w:rsidR="00FD32F4" w:rsidRPr="00E6422C" w:rsidRDefault="00FD32F4" w:rsidP="00377F3A">
            <w:pPr>
              <w:pStyle w:val="TableText"/>
            </w:pPr>
            <w:r w:rsidRPr="00E6422C">
              <w:t>DEPTH</w:t>
            </w:r>
            <w:r w:rsidRPr="00E6422C">
              <w:rPr>
                <w:vertAlign w:val="subscript"/>
              </w:rPr>
              <w:t>soil</w:t>
            </w:r>
          </w:p>
        </w:tc>
        <w:tc>
          <w:tcPr>
            <w:tcW w:w="0" w:type="auto"/>
            <w:tcBorders>
              <w:top w:val="nil"/>
              <w:left w:val="nil"/>
              <w:bottom w:val="nil"/>
              <w:right w:val="nil"/>
            </w:tcBorders>
          </w:tcPr>
          <w:p w14:paraId="22231A05" w14:textId="77777777" w:rsidR="00FD32F4" w:rsidRPr="00E6422C" w:rsidRDefault="00FD32F4" w:rsidP="00377F3A">
            <w:pPr>
              <w:pStyle w:val="TableText"/>
            </w:pPr>
            <w:r w:rsidRPr="00E6422C">
              <w:t>m</w:t>
            </w:r>
          </w:p>
        </w:tc>
        <w:tc>
          <w:tcPr>
            <w:tcW w:w="0" w:type="auto"/>
            <w:tcBorders>
              <w:top w:val="nil"/>
              <w:left w:val="nil"/>
              <w:bottom w:val="nil"/>
              <w:right w:val="nil"/>
            </w:tcBorders>
          </w:tcPr>
          <w:p w14:paraId="37A9E3CB" w14:textId="77777777" w:rsidR="00FD32F4" w:rsidRDefault="00FD32F4" w:rsidP="00377F3A">
            <w:pPr>
              <w:pStyle w:val="TableText"/>
            </w:pPr>
            <w:r>
              <w:t>0.05</w:t>
            </w:r>
          </w:p>
        </w:tc>
        <w:tc>
          <w:tcPr>
            <w:tcW w:w="0" w:type="auto"/>
            <w:tcBorders>
              <w:top w:val="nil"/>
              <w:left w:val="nil"/>
              <w:bottom w:val="nil"/>
              <w:right w:val="nil"/>
            </w:tcBorders>
          </w:tcPr>
          <w:p w14:paraId="0B94C282" w14:textId="77777777" w:rsidR="00FD32F4" w:rsidRDefault="00FD32F4" w:rsidP="00377F3A">
            <w:pPr>
              <w:pStyle w:val="TableText"/>
            </w:pPr>
          </w:p>
        </w:tc>
      </w:tr>
      <w:tr w:rsidR="00FD32F4" w:rsidRPr="00401380" w14:paraId="2E2C4CA3" w14:textId="77777777" w:rsidTr="00E078CC">
        <w:tc>
          <w:tcPr>
            <w:tcW w:w="0" w:type="auto"/>
            <w:tcBorders>
              <w:top w:val="nil"/>
              <w:left w:val="nil"/>
              <w:bottom w:val="single" w:sz="4" w:space="0" w:color="auto"/>
              <w:right w:val="nil"/>
            </w:tcBorders>
          </w:tcPr>
          <w:p w14:paraId="667C0A02" w14:textId="77777777" w:rsidR="00FD32F4" w:rsidRDefault="00FD32F4" w:rsidP="00377F3A">
            <w:pPr>
              <w:pStyle w:val="TableText"/>
            </w:pPr>
            <w:r>
              <w:t>Bulk density of dry soil</w:t>
            </w:r>
          </w:p>
        </w:tc>
        <w:tc>
          <w:tcPr>
            <w:tcW w:w="0" w:type="auto"/>
            <w:tcBorders>
              <w:top w:val="nil"/>
              <w:left w:val="nil"/>
              <w:bottom w:val="single" w:sz="4" w:space="0" w:color="auto"/>
              <w:right w:val="nil"/>
            </w:tcBorders>
          </w:tcPr>
          <w:p w14:paraId="3F98DA8C" w14:textId="77777777" w:rsidR="00FD32F4" w:rsidRPr="00E6422C" w:rsidRDefault="00FD32F4" w:rsidP="00377F3A">
            <w:pPr>
              <w:pStyle w:val="TableText"/>
            </w:pPr>
            <w:r w:rsidRPr="00E6422C">
              <w:t>RHO</w:t>
            </w:r>
            <w:r w:rsidRPr="00E6422C">
              <w:rPr>
                <w:vertAlign w:val="subscript"/>
              </w:rPr>
              <w:t>soil</w:t>
            </w:r>
          </w:p>
        </w:tc>
        <w:tc>
          <w:tcPr>
            <w:tcW w:w="0" w:type="auto"/>
            <w:tcBorders>
              <w:top w:val="nil"/>
              <w:left w:val="nil"/>
              <w:bottom w:val="single" w:sz="4" w:space="0" w:color="auto"/>
              <w:right w:val="nil"/>
            </w:tcBorders>
          </w:tcPr>
          <w:p w14:paraId="6605154F" w14:textId="77777777" w:rsidR="00FD32F4" w:rsidRPr="00E6422C" w:rsidRDefault="00FD32F4" w:rsidP="00377F3A">
            <w:pPr>
              <w:pStyle w:val="TableText"/>
            </w:pPr>
            <w:r w:rsidRPr="00E6422C">
              <w:t>kg</w:t>
            </w:r>
            <w:r w:rsidRPr="00E6422C">
              <w:rPr>
                <w:vertAlign w:val="subscript"/>
              </w:rPr>
              <w:t>ww</w:t>
            </w:r>
            <w:r w:rsidRPr="00E6422C">
              <w:t>/m</w:t>
            </w:r>
            <w:r w:rsidRPr="00E6422C">
              <w:rPr>
                <w:vertAlign w:val="superscript"/>
              </w:rPr>
              <w:t>3</w:t>
            </w:r>
          </w:p>
        </w:tc>
        <w:tc>
          <w:tcPr>
            <w:tcW w:w="0" w:type="auto"/>
            <w:tcBorders>
              <w:top w:val="nil"/>
              <w:left w:val="nil"/>
              <w:bottom w:val="single" w:sz="4" w:space="0" w:color="auto"/>
              <w:right w:val="nil"/>
            </w:tcBorders>
          </w:tcPr>
          <w:p w14:paraId="6C0F597A" w14:textId="77777777" w:rsidR="00FD32F4" w:rsidRDefault="00FD32F4" w:rsidP="00377F3A">
            <w:pPr>
              <w:pStyle w:val="TableText"/>
            </w:pPr>
            <w:r>
              <w:t>1500</w:t>
            </w:r>
          </w:p>
        </w:tc>
        <w:tc>
          <w:tcPr>
            <w:tcW w:w="0" w:type="auto"/>
            <w:tcBorders>
              <w:top w:val="nil"/>
              <w:left w:val="nil"/>
              <w:bottom w:val="single" w:sz="4" w:space="0" w:color="auto"/>
              <w:right w:val="nil"/>
            </w:tcBorders>
          </w:tcPr>
          <w:p w14:paraId="23E89F19" w14:textId="77777777" w:rsidR="00FD32F4" w:rsidRDefault="00FD32F4" w:rsidP="00377F3A">
            <w:pPr>
              <w:pStyle w:val="TableText"/>
            </w:pPr>
          </w:p>
        </w:tc>
      </w:tr>
    </w:tbl>
    <w:p w14:paraId="7484D8C9" w14:textId="7EBEC689" w:rsidR="00FD32F4" w:rsidRDefault="00603108" w:rsidP="00FD32F4">
      <w:pPr>
        <w:pStyle w:val="Caption"/>
      </w:pPr>
      <w:bookmarkStart w:id="1110" w:name="_Toc213946032"/>
      <w:bookmarkStart w:id="1111" w:name="_Toc216695718"/>
      <w:r>
        <w:t xml:space="preserve">Table </w:t>
      </w:r>
      <w:r>
        <w:fldChar w:fldCharType="begin"/>
      </w:r>
      <w:r>
        <w:instrText xml:space="preserve"> SEQ Table \* ARABIC </w:instrText>
      </w:r>
      <w:r>
        <w:fldChar w:fldCharType="separate"/>
      </w:r>
      <w:r w:rsidR="003861AC">
        <w:rPr>
          <w:noProof/>
        </w:rPr>
        <w:t>56</w:t>
      </w:r>
      <w:r>
        <w:fldChar w:fldCharType="end"/>
      </w:r>
      <w:r>
        <w:t xml:space="preserve">: </w:t>
      </w:r>
      <w:r w:rsidR="00FD32F4">
        <w:t>Predicted soil concentrations</w:t>
      </w:r>
      <w:bookmarkEnd w:id="1110"/>
      <w:bookmarkEnd w:id="1111"/>
      <w:r w:rsidR="00FD32F4">
        <w:t xml:space="preserve"> </w:t>
      </w: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62"/>
        <w:gridCol w:w="1603"/>
        <w:gridCol w:w="1996"/>
        <w:gridCol w:w="482"/>
        <w:gridCol w:w="794"/>
        <w:gridCol w:w="858"/>
        <w:gridCol w:w="942"/>
        <w:gridCol w:w="1659"/>
      </w:tblGrid>
      <w:tr w:rsidR="0017134F" w:rsidRPr="00CA558C" w14:paraId="3B314209" w14:textId="77777777" w:rsidTr="0017134F">
        <w:trPr>
          <w:tblHeader/>
        </w:trPr>
        <w:tc>
          <w:tcPr>
            <w:tcW w:w="0" w:type="auto"/>
            <w:tcBorders>
              <w:bottom w:val="single" w:sz="4" w:space="0" w:color="auto"/>
            </w:tcBorders>
            <w:shd w:val="clear" w:color="auto" w:fill="53284F"/>
          </w:tcPr>
          <w:p w14:paraId="277D937A" w14:textId="77777777" w:rsidR="00FD32F4" w:rsidRDefault="00FD32F4" w:rsidP="00377F3A">
            <w:pPr>
              <w:pStyle w:val="TableHead"/>
            </w:pPr>
            <w:r>
              <w:t>Active constituent</w:t>
            </w:r>
          </w:p>
        </w:tc>
        <w:tc>
          <w:tcPr>
            <w:tcW w:w="0" w:type="auto"/>
            <w:tcBorders>
              <w:bottom w:val="single" w:sz="4" w:space="0" w:color="auto"/>
            </w:tcBorders>
            <w:shd w:val="clear" w:color="auto" w:fill="53284F"/>
          </w:tcPr>
          <w:p w14:paraId="178F7DEC" w14:textId="77777777" w:rsidR="00FD32F4" w:rsidRDefault="00FD32F4" w:rsidP="00377F3A">
            <w:pPr>
              <w:pStyle w:val="TableHead"/>
            </w:pPr>
            <w:r>
              <w:t>Scenario</w:t>
            </w:r>
          </w:p>
        </w:tc>
        <w:tc>
          <w:tcPr>
            <w:tcW w:w="3335" w:type="dxa"/>
            <w:gridSpan w:val="3"/>
            <w:tcBorders>
              <w:bottom w:val="single" w:sz="4" w:space="0" w:color="auto"/>
            </w:tcBorders>
            <w:shd w:val="clear" w:color="auto" w:fill="53284F"/>
          </w:tcPr>
          <w:p w14:paraId="76DE8EF6" w14:textId="77777777" w:rsidR="00FD32F4" w:rsidRDefault="00FD32F4" w:rsidP="00377F3A">
            <w:pPr>
              <w:pStyle w:val="TableHead"/>
            </w:pPr>
            <w:r>
              <w:t>Parameter</w:t>
            </w:r>
          </w:p>
        </w:tc>
        <w:tc>
          <w:tcPr>
            <w:tcW w:w="0" w:type="auto"/>
            <w:tcBorders>
              <w:bottom w:val="single" w:sz="4" w:space="0" w:color="auto"/>
            </w:tcBorders>
            <w:shd w:val="clear" w:color="auto" w:fill="53284F"/>
          </w:tcPr>
          <w:p w14:paraId="531F7777" w14:textId="77777777" w:rsidR="00FD32F4" w:rsidRDefault="00FD32F4" w:rsidP="00377F3A">
            <w:pPr>
              <w:pStyle w:val="TableHead"/>
            </w:pPr>
            <w:r>
              <w:t>Rat control</w:t>
            </w:r>
          </w:p>
        </w:tc>
        <w:tc>
          <w:tcPr>
            <w:tcW w:w="0" w:type="auto"/>
            <w:tcBorders>
              <w:bottom w:val="single" w:sz="4" w:space="0" w:color="auto"/>
            </w:tcBorders>
            <w:shd w:val="clear" w:color="auto" w:fill="53284F"/>
          </w:tcPr>
          <w:p w14:paraId="7936F30F" w14:textId="77777777" w:rsidR="00FD32F4" w:rsidRDefault="00FD32F4" w:rsidP="00377F3A">
            <w:pPr>
              <w:pStyle w:val="TableHead"/>
            </w:pPr>
            <w:r>
              <w:t>Mouse control</w:t>
            </w:r>
          </w:p>
        </w:tc>
        <w:tc>
          <w:tcPr>
            <w:tcW w:w="1551" w:type="dxa"/>
            <w:tcBorders>
              <w:bottom w:val="single" w:sz="4" w:space="0" w:color="auto"/>
            </w:tcBorders>
            <w:shd w:val="clear" w:color="auto" w:fill="53284F"/>
          </w:tcPr>
          <w:p w14:paraId="4C1776B1" w14:textId="77777777" w:rsidR="00FD32F4" w:rsidRDefault="00FD32F4" w:rsidP="00377F3A">
            <w:pPr>
              <w:pStyle w:val="TableHead"/>
            </w:pPr>
            <w:r>
              <w:t>Bait type</w:t>
            </w:r>
          </w:p>
        </w:tc>
      </w:tr>
      <w:tr w:rsidR="00FD32F4" w:rsidRPr="007F3CAA" w14:paraId="6D2D3297" w14:textId="77777777" w:rsidTr="00E078CC">
        <w:tc>
          <w:tcPr>
            <w:tcW w:w="0" w:type="auto"/>
            <w:tcBorders>
              <w:top w:val="single" w:sz="4" w:space="0" w:color="auto"/>
              <w:left w:val="nil"/>
              <w:bottom w:val="nil"/>
              <w:right w:val="nil"/>
            </w:tcBorders>
          </w:tcPr>
          <w:p w14:paraId="6BBF3606" w14:textId="77777777" w:rsidR="00FD32F4" w:rsidRDefault="00FD32F4" w:rsidP="00377F3A">
            <w:pPr>
              <w:pStyle w:val="TableText"/>
            </w:pPr>
            <w:r>
              <w:t>Coumatetralyl</w:t>
            </w:r>
          </w:p>
        </w:tc>
        <w:tc>
          <w:tcPr>
            <w:tcW w:w="0" w:type="auto"/>
            <w:tcBorders>
              <w:top w:val="single" w:sz="4" w:space="0" w:color="auto"/>
              <w:left w:val="nil"/>
              <w:bottom w:val="nil"/>
              <w:right w:val="nil"/>
            </w:tcBorders>
          </w:tcPr>
          <w:p w14:paraId="21886D75"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52B72525" w14:textId="4D586A8A"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5718ED5B"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7256B1FE" w14:textId="2339F156"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02F759BC" w14:textId="77777777" w:rsidR="00FD32F4" w:rsidRPr="007F3CAA" w:rsidRDefault="00FD32F4" w:rsidP="00377F3A">
            <w:pPr>
              <w:pStyle w:val="TableText"/>
            </w:pPr>
            <w:r w:rsidRPr="007F3CAA">
              <w:t>0.074</w:t>
            </w:r>
          </w:p>
          <w:p w14:paraId="663A2988" w14:textId="77777777" w:rsidR="00FD32F4" w:rsidRPr="007F3CAA" w:rsidRDefault="00FD32F4" w:rsidP="00377F3A">
            <w:pPr>
              <w:pStyle w:val="TableText"/>
            </w:pPr>
            <w:r w:rsidRPr="007F3CAA">
              <w:t>0.023</w:t>
            </w:r>
          </w:p>
        </w:tc>
        <w:tc>
          <w:tcPr>
            <w:tcW w:w="0" w:type="auto"/>
            <w:tcBorders>
              <w:top w:val="single" w:sz="4" w:space="0" w:color="auto"/>
              <w:left w:val="nil"/>
              <w:bottom w:val="nil"/>
              <w:right w:val="nil"/>
            </w:tcBorders>
          </w:tcPr>
          <w:p w14:paraId="60583500" w14:textId="77777777" w:rsidR="00FD32F4" w:rsidRPr="007F3CAA" w:rsidRDefault="00FD32F4" w:rsidP="00377F3A">
            <w:pPr>
              <w:pStyle w:val="TableText"/>
            </w:pPr>
            <w:r w:rsidRPr="007F3CAA">
              <w:t>0.040</w:t>
            </w:r>
          </w:p>
          <w:p w14:paraId="32F635BD" w14:textId="77777777" w:rsidR="00FD32F4" w:rsidRPr="007F3CAA" w:rsidRDefault="00FD32F4" w:rsidP="00377F3A">
            <w:pPr>
              <w:pStyle w:val="TableText"/>
            </w:pPr>
            <w:r w:rsidRPr="007F3CAA">
              <w:t>0.023</w:t>
            </w:r>
          </w:p>
        </w:tc>
        <w:tc>
          <w:tcPr>
            <w:tcW w:w="1551" w:type="dxa"/>
            <w:tcBorders>
              <w:top w:val="single" w:sz="4" w:space="0" w:color="auto"/>
              <w:left w:val="nil"/>
              <w:bottom w:val="nil"/>
              <w:right w:val="nil"/>
            </w:tcBorders>
          </w:tcPr>
          <w:p w14:paraId="2A786D5A" w14:textId="77777777" w:rsidR="00FD32F4" w:rsidRPr="007F3CAA" w:rsidRDefault="00FD32F4" w:rsidP="00377F3A">
            <w:pPr>
              <w:pStyle w:val="TableText"/>
            </w:pPr>
            <w:r w:rsidRPr="007F3CAA">
              <w:t>Sachet/block/paste</w:t>
            </w:r>
          </w:p>
          <w:p w14:paraId="6907D96E" w14:textId="77777777" w:rsidR="00FD32F4" w:rsidRPr="007F3CAA" w:rsidRDefault="00FD32F4" w:rsidP="00377F3A">
            <w:pPr>
              <w:pStyle w:val="TableText"/>
            </w:pPr>
            <w:r w:rsidRPr="007F3CAA">
              <w:t>Loose grain/fruit</w:t>
            </w:r>
          </w:p>
        </w:tc>
      </w:tr>
      <w:tr w:rsidR="00FD32F4" w:rsidRPr="007F3CAA" w14:paraId="779AE2B8" w14:textId="77777777" w:rsidTr="00E078CC">
        <w:tc>
          <w:tcPr>
            <w:tcW w:w="0" w:type="auto"/>
            <w:tcBorders>
              <w:top w:val="nil"/>
              <w:left w:val="nil"/>
              <w:bottom w:val="nil"/>
              <w:right w:val="nil"/>
            </w:tcBorders>
          </w:tcPr>
          <w:p w14:paraId="79FABEB1" w14:textId="77777777" w:rsidR="00FD32F4" w:rsidRDefault="00FD32F4" w:rsidP="00377F3A">
            <w:pPr>
              <w:pStyle w:val="TableText"/>
            </w:pPr>
          </w:p>
        </w:tc>
        <w:tc>
          <w:tcPr>
            <w:tcW w:w="0" w:type="auto"/>
            <w:tcBorders>
              <w:top w:val="nil"/>
              <w:left w:val="nil"/>
              <w:bottom w:val="nil"/>
              <w:right w:val="nil"/>
            </w:tcBorders>
          </w:tcPr>
          <w:p w14:paraId="2372859D" w14:textId="77777777" w:rsidR="00FD32F4" w:rsidRDefault="00FD32F4" w:rsidP="00377F3A">
            <w:pPr>
              <w:pStyle w:val="TableText"/>
            </w:pPr>
          </w:p>
        </w:tc>
        <w:tc>
          <w:tcPr>
            <w:tcW w:w="0" w:type="auto"/>
            <w:tcBorders>
              <w:top w:val="nil"/>
              <w:left w:val="nil"/>
              <w:bottom w:val="nil"/>
              <w:right w:val="nil"/>
            </w:tcBorders>
          </w:tcPr>
          <w:p w14:paraId="7473ED16" w14:textId="07D51E99"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1E5B5982"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31859516"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6CB5440E" w14:textId="77777777" w:rsidR="00FD32F4" w:rsidRPr="007F3CAA" w:rsidRDefault="00FD32F4" w:rsidP="00377F3A">
            <w:pPr>
              <w:pStyle w:val="TableText"/>
            </w:pPr>
            <w:r w:rsidRPr="007F3CAA">
              <w:t>0.0</w:t>
            </w:r>
            <w:r>
              <w:t>16</w:t>
            </w:r>
          </w:p>
          <w:p w14:paraId="0100CFD7" w14:textId="77777777" w:rsidR="00FD32F4" w:rsidRPr="007F3CAA" w:rsidRDefault="00FD32F4" w:rsidP="00377F3A">
            <w:pPr>
              <w:pStyle w:val="TableText"/>
            </w:pPr>
            <w:r w:rsidRPr="007F3CAA">
              <w:t>0.0094</w:t>
            </w:r>
          </w:p>
        </w:tc>
        <w:tc>
          <w:tcPr>
            <w:tcW w:w="0" w:type="auto"/>
            <w:tcBorders>
              <w:top w:val="nil"/>
              <w:left w:val="nil"/>
              <w:bottom w:val="nil"/>
              <w:right w:val="nil"/>
            </w:tcBorders>
          </w:tcPr>
          <w:p w14:paraId="17321D3C" w14:textId="77777777" w:rsidR="00FD32F4" w:rsidRPr="007F3CAA" w:rsidRDefault="00FD32F4" w:rsidP="00377F3A">
            <w:pPr>
              <w:pStyle w:val="TableText"/>
            </w:pPr>
            <w:r w:rsidRPr="007F3CAA">
              <w:t>0.016</w:t>
            </w:r>
          </w:p>
          <w:p w14:paraId="78984E20" w14:textId="77777777" w:rsidR="00FD32F4" w:rsidRPr="007F3CAA" w:rsidRDefault="00FD32F4" w:rsidP="00377F3A">
            <w:pPr>
              <w:pStyle w:val="TableText"/>
            </w:pPr>
            <w:r w:rsidRPr="007F3CAA">
              <w:t>0.0094</w:t>
            </w:r>
          </w:p>
        </w:tc>
        <w:tc>
          <w:tcPr>
            <w:tcW w:w="1551" w:type="dxa"/>
            <w:tcBorders>
              <w:top w:val="nil"/>
              <w:left w:val="nil"/>
              <w:bottom w:val="nil"/>
              <w:right w:val="nil"/>
            </w:tcBorders>
          </w:tcPr>
          <w:p w14:paraId="05FA2A56" w14:textId="77777777" w:rsidR="00FD32F4" w:rsidRPr="007F3CAA" w:rsidRDefault="00FD32F4" w:rsidP="00377F3A">
            <w:pPr>
              <w:pStyle w:val="TableText"/>
            </w:pPr>
            <w:r w:rsidRPr="007F3CAA">
              <w:t>Sachet/block/paste</w:t>
            </w:r>
          </w:p>
          <w:p w14:paraId="6936D51F" w14:textId="77777777" w:rsidR="00FD32F4" w:rsidRPr="007F3CAA" w:rsidRDefault="00FD32F4" w:rsidP="00377F3A">
            <w:pPr>
              <w:pStyle w:val="TableText"/>
            </w:pPr>
            <w:r w:rsidRPr="007F3CAA">
              <w:t>Loose grain/fruit</w:t>
            </w:r>
          </w:p>
        </w:tc>
      </w:tr>
      <w:tr w:rsidR="00FD32F4" w:rsidRPr="007F3CAA" w14:paraId="3433D4E1" w14:textId="77777777" w:rsidTr="00E078CC">
        <w:tc>
          <w:tcPr>
            <w:tcW w:w="0" w:type="auto"/>
            <w:tcBorders>
              <w:top w:val="nil"/>
              <w:left w:val="nil"/>
              <w:bottom w:val="nil"/>
              <w:right w:val="nil"/>
            </w:tcBorders>
          </w:tcPr>
          <w:p w14:paraId="0BF8B298" w14:textId="77777777" w:rsidR="00FD32F4" w:rsidRDefault="00FD32F4" w:rsidP="00377F3A">
            <w:pPr>
              <w:pStyle w:val="TableText"/>
            </w:pPr>
          </w:p>
        </w:tc>
        <w:tc>
          <w:tcPr>
            <w:tcW w:w="0" w:type="auto"/>
            <w:tcBorders>
              <w:top w:val="nil"/>
              <w:left w:val="nil"/>
              <w:bottom w:val="single" w:sz="4" w:space="0" w:color="auto"/>
              <w:right w:val="nil"/>
            </w:tcBorders>
          </w:tcPr>
          <w:p w14:paraId="5EE82D89" w14:textId="77777777" w:rsidR="00FD32F4" w:rsidRDefault="00FD32F4" w:rsidP="00377F3A">
            <w:pPr>
              <w:pStyle w:val="TableText"/>
            </w:pPr>
          </w:p>
        </w:tc>
        <w:tc>
          <w:tcPr>
            <w:tcW w:w="0" w:type="auto"/>
            <w:tcBorders>
              <w:top w:val="nil"/>
              <w:left w:val="nil"/>
              <w:bottom w:val="single" w:sz="4" w:space="0" w:color="auto"/>
              <w:right w:val="nil"/>
            </w:tcBorders>
          </w:tcPr>
          <w:p w14:paraId="0C27C314"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6C7395BA"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2943FB01"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300127B6" w14:textId="77777777" w:rsidR="00FD32F4" w:rsidRPr="007F3CAA" w:rsidRDefault="00FD32F4" w:rsidP="00377F3A">
            <w:pPr>
              <w:pStyle w:val="TableText"/>
            </w:pPr>
            <w:r w:rsidRPr="007F3CAA">
              <w:t>0.</w:t>
            </w:r>
            <w:r>
              <w:t>34</w:t>
            </w:r>
          </w:p>
          <w:p w14:paraId="375D3C7F" w14:textId="77777777" w:rsidR="00FD32F4" w:rsidRPr="007F3CAA" w:rsidRDefault="00FD32F4" w:rsidP="00377F3A">
            <w:pPr>
              <w:pStyle w:val="TableText"/>
            </w:pPr>
            <w:r w:rsidRPr="007F3CAA">
              <w:t>0.88</w:t>
            </w:r>
          </w:p>
        </w:tc>
        <w:tc>
          <w:tcPr>
            <w:tcW w:w="0" w:type="auto"/>
            <w:tcBorders>
              <w:top w:val="nil"/>
              <w:left w:val="nil"/>
              <w:bottom w:val="single" w:sz="4" w:space="0" w:color="auto"/>
              <w:right w:val="nil"/>
            </w:tcBorders>
          </w:tcPr>
          <w:p w14:paraId="0EE6A3A4" w14:textId="77777777" w:rsidR="00FD32F4" w:rsidRPr="007F3CAA" w:rsidRDefault="00FD32F4" w:rsidP="00377F3A">
            <w:pPr>
              <w:pStyle w:val="TableText"/>
            </w:pPr>
            <w:r w:rsidRPr="007F3CAA">
              <w:t>0.38</w:t>
            </w:r>
          </w:p>
          <w:p w14:paraId="41207357" w14:textId="77777777" w:rsidR="00FD32F4" w:rsidRPr="007F3CAA" w:rsidRDefault="00FD32F4" w:rsidP="00377F3A">
            <w:pPr>
              <w:pStyle w:val="TableText"/>
            </w:pPr>
            <w:r w:rsidRPr="007F3CAA">
              <w:t>0.90</w:t>
            </w:r>
          </w:p>
        </w:tc>
        <w:tc>
          <w:tcPr>
            <w:tcW w:w="1551" w:type="dxa"/>
            <w:tcBorders>
              <w:top w:val="nil"/>
              <w:left w:val="nil"/>
              <w:bottom w:val="single" w:sz="4" w:space="0" w:color="auto"/>
              <w:right w:val="nil"/>
            </w:tcBorders>
          </w:tcPr>
          <w:p w14:paraId="14F5A341" w14:textId="77777777" w:rsidR="00FD32F4" w:rsidRPr="007F3CAA" w:rsidRDefault="00FD32F4" w:rsidP="00377F3A">
            <w:pPr>
              <w:pStyle w:val="TableText"/>
            </w:pPr>
            <w:r w:rsidRPr="007F3CAA">
              <w:t>Sachet/block/paste</w:t>
            </w:r>
          </w:p>
          <w:p w14:paraId="2E84B581" w14:textId="77777777" w:rsidR="00FD32F4" w:rsidRPr="007F3CAA" w:rsidRDefault="00FD32F4" w:rsidP="00377F3A">
            <w:pPr>
              <w:pStyle w:val="TableText"/>
            </w:pPr>
            <w:r w:rsidRPr="007F3CAA">
              <w:t>Loose grain/fruit</w:t>
            </w:r>
          </w:p>
        </w:tc>
      </w:tr>
      <w:tr w:rsidR="00FD32F4" w:rsidRPr="007F3CAA" w14:paraId="13D96D60" w14:textId="77777777" w:rsidTr="00E078CC">
        <w:tc>
          <w:tcPr>
            <w:tcW w:w="0" w:type="auto"/>
            <w:tcBorders>
              <w:top w:val="nil"/>
              <w:left w:val="nil"/>
              <w:bottom w:val="nil"/>
              <w:right w:val="nil"/>
            </w:tcBorders>
          </w:tcPr>
          <w:p w14:paraId="437A8C5C" w14:textId="77777777" w:rsidR="00FD32F4" w:rsidRDefault="00FD32F4" w:rsidP="00377F3A">
            <w:pPr>
              <w:pStyle w:val="TableText"/>
            </w:pPr>
          </w:p>
        </w:tc>
        <w:tc>
          <w:tcPr>
            <w:tcW w:w="0" w:type="auto"/>
            <w:tcBorders>
              <w:top w:val="single" w:sz="4" w:space="0" w:color="auto"/>
              <w:left w:val="nil"/>
              <w:bottom w:val="nil"/>
              <w:right w:val="nil"/>
            </w:tcBorders>
          </w:tcPr>
          <w:p w14:paraId="4F679058" w14:textId="77777777" w:rsidR="00FD32F4" w:rsidRDefault="00FD32F4" w:rsidP="00377F3A">
            <w:pPr>
              <w:pStyle w:val="TableText"/>
            </w:pPr>
            <w:r>
              <w:t>Open areas (agricultural crops)</w:t>
            </w:r>
          </w:p>
        </w:tc>
        <w:tc>
          <w:tcPr>
            <w:tcW w:w="0" w:type="auto"/>
            <w:tcBorders>
              <w:top w:val="single" w:sz="4" w:space="0" w:color="auto"/>
              <w:left w:val="nil"/>
              <w:bottom w:val="nil"/>
              <w:right w:val="nil"/>
            </w:tcBorders>
          </w:tcPr>
          <w:p w14:paraId="0FBF3E8E" w14:textId="1FCBA2D9"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36CF7E24"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5126F987" w14:textId="0849CC37"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5F3F90B3" w14:textId="77777777" w:rsidR="00FD32F4" w:rsidRPr="007F3CAA" w:rsidRDefault="00FD32F4" w:rsidP="00377F3A">
            <w:pPr>
              <w:pStyle w:val="TableText"/>
            </w:pPr>
            <w:r w:rsidRPr="007F3CAA">
              <w:t>0.022</w:t>
            </w:r>
          </w:p>
          <w:p w14:paraId="249F0902" w14:textId="77777777" w:rsidR="00FD32F4" w:rsidRPr="007F3CAA" w:rsidRDefault="00FD32F4" w:rsidP="00377F3A">
            <w:pPr>
              <w:pStyle w:val="TableText"/>
            </w:pPr>
            <w:r w:rsidRPr="007F3CAA">
              <w:t>0.038</w:t>
            </w:r>
          </w:p>
        </w:tc>
        <w:tc>
          <w:tcPr>
            <w:tcW w:w="0" w:type="auto"/>
            <w:tcBorders>
              <w:top w:val="single" w:sz="4" w:space="0" w:color="auto"/>
              <w:left w:val="nil"/>
              <w:bottom w:val="nil"/>
              <w:right w:val="nil"/>
            </w:tcBorders>
          </w:tcPr>
          <w:p w14:paraId="04294D60" w14:textId="77777777" w:rsidR="00FD32F4" w:rsidRPr="007F3CAA" w:rsidRDefault="00FD32F4" w:rsidP="00377F3A">
            <w:pPr>
              <w:pStyle w:val="TableText"/>
            </w:pPr>
            <w:r w:rsidRPr="007F3CAA">
              <w:t>n/a</w:t>
            </w:r>
          </w:p>
          <w:p w14:paraId="3F89FF77" w14:textId="77777777" w:rsidR="00FD32F4" w:rsidRPr="007F3CAA" w:rsidRDefault="00FD32F4" w:rsidP="00377F3A">
            <w:pPr>
              <w:pStyle w:val="TableText"/>
            </w:pPr>
            <w:r w:rsidRPr="007F3CAA">
              <w:t>n/a</w:t>
            </w:r>
          </w:p>
        </w:tc>
        <w:tc>
          <w:tcPr>
            <w:tcW w:w="1551" w:type="dxa"/>
            <w:tcBorders>
              <w:top w:val="single" w:sz="4" w:space="0" w:color="auto"/>
              <w:left w:val="nil"/>
              <w:bottom w:val="nil"/>
              <w:right w:val="nil"/>
            </w:tcBorders>
          </w:tcPr>
          <w:p w14:paraId="2C1A5CC9" w14:textId="77777777" w:rsidR="00FD32F4" w:rsidRPr="007F3CAA" w:rsidRDefault="00FD32F4" w:rsidP="00377F3A">
            <w:pPr>
              <w:pStyle w:val="TableText"/>
            </w:pPr>
            <w:r w:rsidRPr="007F3CAA">
              <w:t>Block</w:t>
            </w:r>
          </w:p>
          <w:p w14:paraId="0A665BB9" w14:textId="77777777" w:rsidR="00FD32F4" w:rsidRPr="007F3CAA" w:rsidRDefault="00FD32F4" w:rsidP="00377F3A">
            <w:pPr>
              <w:pStyle w:val="TableText"/>
            </w:pPr>
            <w:r w:rsidRPr="007F3CAA">
              <w:t>Loose grain/fruit</w:t>
            </w:r>
          </w:p>
        </w:tc>
      </w:tr>
      <w:tr w:rsidR="00FD32F4" w:rsidRPr="007F3CAA" w14:paraId="656608B2" w14:textId="77777777" w:rsidTr="00E078CC">
        <w:tc>
          <w:tcPr>
            <w:tcW w:w="0" w:type="auto"/>
            <w:tcBorders>
              <w:top w:val="nil"/>
              <w:left w:val="nil"/>
              <w:bottom w:val="single" w:sz="4" w:space="0" w:color="auto"/>
              <w:right w:val="nil"/>
            </w:tcBorders>
          </w:tcPr>
          <w:p w14:paraId="1745B2F3" w14:textId="77777777" w:rsidR="00FD32F4" w:rsidRDefault="00FD32F4" w:rsidP="00377F3A">
            <w:pPr>
              <w:pStyle w:val="TableText"/>
            </w:pPr>
          </w:p>
        </w:tc>
        <w:tc>
          <w:tcPr>
            <w:tcW w:w="0" w:type="auto"/>
            <w:tcBorders>
              <w:top w:val="nil"/>
              <w:left w:val="nil"/>
              <w:bottom w:val="single" w:sz="4" w:space="0" w:color="auto"/>
              <w:right w:val="nil"/>
            </w:tcBorders>
          </w:tcPr>
          <w:p w14:paraId="67EEDB28" w14:textId="77777777" w:rsidR="00FD32F4" w:rsidRDefault="00FD32F4" w:rsidP="00377F3A">
            <w:pPr>
              <w:pStyle w:val="TableText"/>
            </w:pPr>
          </w:p>
        </w:tc>
        <w:tc>
          <w:tcPr>
            <w:tcW w:w="0" w:type="auto"/>
            <w:tcBorders>
              <w:top w:val="nil"/>
              <w:left w:val="nil"/>
              <w:bottom w:val="single" w:sz="4" w:space="0" w:color="auto"/>
              <w:right w:val="nil"/>
            </w:tcBorders>
          </w:tcPr>
          <w:p w14:paraId="515A874A" w14:textId="77777777" w:rsidR="00FD32F4" w:rsidRDefault="00FD32F4" w:rsidP="00377F3A">
            <w:pPr>
              <w:pStyle w:val="TableText"/>
            </w:pPr>
            <w:r>
              <w:t xml:space="preserve">Local soil concentration </w:t>
            </w:r>
          </w:p>
        </w:tc>
        <w:tc>
          <w:tcPr>
            <w:tcW w:w="0" w:type="auto"/>
            <w:tcBorders>
              <w:top w:val="nil"/>
              <w:left w:val="nil"/>
              <w:bottom w:val="single" w:sz="4" w:space="0" w:color="auto"/>
              <w:right w:val="nil"/>
            </w:tcBorders>
          </w:tcPr>
          <w:p w14:paraId="19050218"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702E0EE2"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31FDEED6" w14:textId="77777777" w:rsidR="00FD32F4" w:rsidRPr="007F3CAA" w:rsidRDefault="00FD32F4" w:rsidP="00377F3A">
            <w:pPr>
              <w:pStyle w:val="TableText"/>
            </w:pPr>
            <w:r w:rsidRPr="007F3CAA">
              <w:t>0.11</w:t>
            </w:r>
          </w:p>
          <w:p w14:paraId="75C04F98" w14:textId="77777777" w:rsidR="00FD32F4" w:rsidRPr="000C50E1" w:rsidRDefault="00FD32F4" w:rsidP="00377F3A">
            <w:pPr>
              <w:pStyle w:val="TableText"/>
            </w:pPr>
            <w:r w:rsidRPr="000C50E1">
              <w:t>0.90</w:t>
            </w:r>
          </w:p>
        </w:tc>
        <w:tc>
          <w:tcPr>
            <w:tcW w:w="0" w:type="auto"/>
            <w:tcBorders>
              <w:top w:val="nil"/>
              <w:left w:val="nil"/>
              <w:bottom w:val="single" w:sz="4" w:space="0" w:color="auto"/>
              <w:right w:val="nil"/>
            </w:tcBorders>
          </w:tcPr>
          <w:p w14:paraId="6DBA81D6" w14:textId="77777777" w:rsidR="00FD32F4" w:rsidRPr="007F3CAA" w:rsidRDefault="00FD32F4" w:rsidP="00377F3A">
            <w:pPr>
              <w:pStyle w:val="TableText"/>
            </w:pPr>
            <w:r w:rsidRPr="007F3CAA">
              <w:t>n/a</w:t>
            </w:r>
          </w:p>
          <w:p w14:paraId="2713E641" w14:textId="77777777" w:rsidR="00FD32F4" w:rsidRPr="007F3CAA" w:rsidRDefault="00FD32F4" w:rsidP="00377F3A">
            <w:pPr>
              <w:pStyle w:val="TableText"/>
            </w:pPr>
            <w:r w:rsidRPr="007F3CAA">
              <w:t>n/a</w:t>
            </w:r>
          </w:p>
        </w:tc>
        <w:tc>
          <w:tcPr>
            <w:tcW w:w="1551" w:type="dxa"/>
            <w:tcBorders>
              <w:top w:val="nil"/>
              <w:left w:val="nil"/>
              <w:bottom w:val="single" w:sz="4" w:space="0" w:color="auto"/>
              <w:right w:val="nil"/>
            </w:tcBorders>
          </w:tcPr>
          <w:p w14:paraId="41751AAA" w14:textId="77777777" w:rsidR="00FD32F4" w:rsidRPr="007F3CAA" w:rsidRDefault="00FD32F4" w:rsidP="00377F3A">
            <w:pPr>
              <w:pStyle w:val="TableText"/>
            </w:pPr>
            <w:r w:rsidRPr="007F3CAA">
              <w:t>Block</w:t>
            </w:r>
          </w:p>
          <w:p w14:paraId="448CB76F" w14:textId="77777777" w:rsidR="00FD32F4" w:rsidRPr="007F3CAA" w:rsidRDefault="00FD32F4" w:rsidP="00377F3A">
            <w:pPr>
              <w:pStyle w:val="TableText"/>
            </w:pPr>
            <w:r w:rsidRPr="007F3CAA">
              <w:t>Loose grain/fruit</w:t>
            </w:r>
          </w:p>
        </w:tc>
      </w:tr>
      <w:tr w:rsidR="00FD32F4" w:rsidRPr="007F3CAA" w14:paraId="2C815AF3" w14:textId="77777777" w:rsidTr="00E078CC">
        <w:tc>
          <w:tcPr>
            <w:tcW w:w="0" w:type="auto"/>
            <w:tcBorders>
              <w:top w:val="single" w:sz="4" w:space="0" w:color="auto"/>
              <w:left w:val="nil"/>
              <w:bottom w:val="nil"/>
              <w:right w:val="nil"/>
            </w:tcBorders>
          </w:tcPr>
          <w:p w14:paraId="166879AC" w14:textId="77777777" w:rsidR="00FD32F4" w:rsidRDefault="00FD32F4" w:rsidP="00377F3A">
            <w:pPr>
              <w:pStyle w:val="TableText"/>
            </w:pPr>
            <w:r>
              <w:lastRenderedPageBreak/>
              <w:t>Diphacinone</w:t>
            </w:r>
          </w:p>
        </w:tc>
        <w:tc>
          <w:tcPr>
            <w:tcW w:w="0" w:type="auto"/>
            <w:tcBorders>
              <w:top w:val="single" w:sz="4" w:space="0" w:color="auto"/>
              <w:left w:val="nil"/>
              <w:bottom w:val="nil"/>
              <w:right w:val="nil"/>
            </w:tcBorders>
          </w:tcPr>
          <w:p w14:paraId="41106944"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6849DA54" w14:textId="5F9F4C59"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7449C6FE"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4D63EF7D" w14:textId="6EB56998"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0DE779F0" w14:textId="77777777" w:rsidR="00FD32F4" w:rsidRPr="007F3CAA" w:rsidRDefault="00FD32F4" w:rsidP="00377F3A">
            <w:pPr>
              <w:pStyle w:val="TableText"/>
            </w:pPr>
            <w:r w:rsidRPr="007F3CAA">
              <w:t>0.023</w:t>
            </w:r>
          </w:p>
          <w:p w14:paraId="043D9268" w14:textId="77777777" w:rsidR="00FD32F4" w:rsidRPr="007F3CAA" w:rsidRDefault="00FD32F4" w:rsidP="00377F3A">
            <w:pPr>
              <w:pStyle w:val="TableText"/>
            </w:pPr>
            <w:r w:rsidRPr="007F3CAA">
              <w:t>0.023</w:t>
            </w:r>
          </w:p>
        </w:tc>
        <w:tc>
          <w:tcPr>
            <w:tcW w:w="0" w:type="auto"/>
            <w:tcBorders>
              <w:top w:val="single" w:sz="4" w:space="0" w:color="auto"/>
              <w:left w:val="nil"/>
              <w:bottom w:val="nil"/>
              <w:right w:val="nil"/>
            </w:tcBorders>
          </w:tcPr>
          <w:p w14:paraId="49264552" w14:textId="77777777" w:rsidR="00FD32F4" w:rsidRPr="007F3CAA" w:rsidRDefault="00FD32F4" w:rsidP="00377F3A">
            <w:pPr>
              <w:pStyle w:val="TableText"/>
            </w:pPr>
            <w:r w:rsidRPr="007F3CAA">
              <w:t>0.003</w:t>
            </w:r>
          </w:p>
          <w:p w14:paraId="5C3E34B4" w14:textId="77777777" w:rsidR="00FD32F4" w:rsidRPr="007F3CAA" w:rsidRDefault="00FD32F4" w:rsidP="00377F3A">
            <w:pPr>
              <w:pStyle w:val="TableText"/>
            </w:pPr>
            <w:r w:rsidRPr="007F3CAA">
              <w:t>0.003</w:t>
            </w:r>
          </w:p>
        </w:tc>
        <w:tc>
          <w:tcPr>
            <w:tcW w:w="1551" w:type="dxa"/>
            <w:tcBorders>
              <w:top w:val="single" w:sz="4" w:space="0" w:color="auto"/>
              <w:left w:val="nil"/>
              <w:bottom w:val="nil"/>
              <w:right w:val="nil"/>
            </w:tcBorders>
          </w:tcPr>
          <w:p w14:paraId="5978B608" w14:textId="77777777" w:rsidR="00FD32F4" w:rsidRPr="007F3CAA" w:rsidRDefault="00FD32F4" w:rsidP="00377F3A">
            <w:pPr>
              <w:pStyle w:val="TableText"/>
            </w:pPr>
            <w:r w:rsidRPr="007F3CAA">
              <w:t>Sachet/block/paste</w:t>
            </w:r>
          </w:p>
          <w:p w14:paraId="06EC262E" w14:textId="77777777" w:rsidR="00FD32F4" w:rsidRPr="007F3CAA" w:rsidRDefault="00FD32F4" w:rsidP="00377F3A">
            <w:pPr>
              <w:pStyle w:val="TableText"/>
            </w:pPr>
            <w:r w:rsidRPr="007F3CAA">
              <w:t>Loose grain/pellets</w:t>
            </w:r>
          </w:p>
        </w:tc>
      </w:tr>
      <w:tr w:rsidR="00FD32F4" w:rsidRPr="007F3CAA" w14:paraId="28A642BB" w14:textId="77777777" w:rsidTr="00E078CC">
        <w:tc>
          <w:tcPr>
            <w:tcW w:w="0" w:type="auto"/>
            <w:tcBorders>
              <w:top w:val="nil"/>
              <w:left w:val="nil"/>
              <w:bottom w:val="nil"/>
              <w:right w:val="nil"/>
            </w:tcBorders>
          </w:tcPr>
          <w:p w14:paraId="798AE481" w14:textId="77777777" w:rsidR="00FD32F4" w:rsidRDefault="00FD32F4" w:rsidP="00377F3A">
            <w:pPr>
              <w:pStyle w:val="TableText"/>
            </w:pPr>
          </w:p>
        </w:tc>
        <w:tc>
          <w:tcPr>
            <w:tcW w:w="0" w:type="auto"/>
            <w:tcBorders>
              <w:top w:val="nil"/>
              <w:left w:val="nil"/>
              <w:bottom w:val="nil"/>
              <w:right w:val="nil"/>
            </w:tcBorders>
          </w:tcPr>
          <w:p w14:paraId="606D2CF6" w14:textId="77777777" w:rsidR="00FD32F4" w:rsidRDefault="00FD32F4" w:rsidP="00377F3A">
            <w:pPr>
              <w:pStyle w:val="TableText"/>
            </w:pPr>
          </w:p>
        </w:tc>
        <w:tc>
          <w:tcPr>
            <w:tcW w:w="0" w:type="auto"/>
            <w:tcBorders>
              <w:top w:val="nil"/>
              <w:left w:val="nil"/>
              <w:bottom w:val="nil"/>
              <w:right w:val="nil"/>
            </w:tcBorders>
          </w:tcPr>
          <w:p w14:paraId="01DABA69" w14:textId="3C3B6AC2"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3F2E055E"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6390BBF8"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4287FB40" w14:textId="77777777" w:rsidR="00FD32F4" w:rsidRPr="007F3CAA" w:rsidRDefault="00FD32F4" w:rsidP="00377F3A">
            <w:pPr>
              <w:pStyle w:val="TableText"/>
            </w:pPr>
            <w:r w:rsidRPr="007F3CAA">
              <w:t>0.0094</w:t>
            </w:r>
          </w:p>
          <w:p w14:paraId="75BE9E23" w14:textId="77777777" w:rsidR="00FD32F4" w:rsidRPr="007F3CAA" w:rsidRDefault="00FD32F4" w:rsidP="00377F3A">
            <w:pPr>
              <w:pStyle w:val="TableText"/>
            </w:pPr>
            <w:r w:rsidRPr="007F3CAA">
              <w:t>0.0094</w:t>
            </w:r>
          </w:p>
        </w:tc>
        <w:tc>
          <w:tcPr>
            <w:tcW w:w="0" w:type="auto"/>
            <w:tcBorders>
              <w:top w:val="nil"/>
              <w:left w:val="nil"/>
              <w:bottom w:val="nil"/>
              <w:right w:val="nil"/>
            </w:tcBorders>
          </w:tcPr>
          <w:p w14:paraId="2CC5A764" w14:textId="77777777" w:rsidR="00FD32F4" w:rsidRPr="007F3CAA" w:rsidRDefault="00FD32F4" w:rsidP="00377F3A">
            <w:pPr>
              <w:pStyle w:val="TableText"/>
            </w:pPr>
            <w:r w:rsidRPr="007F3CAA">
              <w:t>0.0012</w:t>
            </w:r>
          </w:p>
          <w:p w14:paraId="35B378C7" w14:textId="77777777" w:rsidR="00FD32F4" w:rsidRPr="007F3CAA" w:rsidRDefault="00FD32F4" w:rsidP="00377F3A">
            <w:pPr>
              <w:pStyle w:val="TableText"/>
            </w:pPr>
            <w:r w:rsidRPr="007F3CAA">
              <w:t>0.0012</w:t>
            </w:r>
          </w:p>
        </w:tc>
        <w:tc>
          <w:tcPr>
            <w:tcW w:w="1551" w:type="dxa"/>
            <w:tcBorders>
              <w:top w:val="nil"/>
              <w:left w:val="nil"/>
              <w:bottom w:val="nil"/>
              <w:right w:val="nil"/>
            </w:tcBorders>
          </w:tcPr>
          <w:p w14:paraId="412D2EC7" w14:textId="77777777" w:rsidR="00FD32F4" w:rsidRPr="007F3CAA" w:rsidRDefault="00FD32F4" w:rsidP="00377F3A">
            <w:pPr>
              <w:pStyle w:val="TableText"/>
            </w:pPr>
            <w:r w:rsidRPr="007F3CAA">
              <w:t>Sachet/block/paste</w:t>
            </w:r>
          </w:p>
          <w:p w14:paraId="7D6862E1" w14:textId="77777777" w:rsidR="00FD32F4" w:rsidRPr="007F3CAA" w:rsidRDefault="00FD32F4" w:rsidP="00377F3A">
            <w:pPr>
              <w:pStyle w:val="TableText"/>
            </w:pPr>
            <w:r w:rsidRPr="007F3CAA">
              <w:t>Loose grain/pellets</w:t>
            </w:r>
          </w:p>
        </w:tc>
      </w:tr>
      <w:tr w:rsidR="00FD32F4" w:rsidRPr="007F3CAA" w14:paraId="701D8ACE" w14:textId="77777777" w:rsidTr="00E078CC">
        <w:tc>
          <w:tcPr>
            <w:tcW w:w="0" w:type="auto"/>
            <w:tcBorders>
              <w:top w:val="nil"/>
              <w:left w:val="nil"/>
              <w:bottom w:val="nil"/>
              <w:right w:val="nil"/>
            </w:tcBorders>
          </w:tcPr>
          <w:p w14:paraId="0D5AD67B" w14:textId="77777777" w:rsidR="00FD32F4" w:rsidRDefault="00FD32F4" w:rsidP="00377F3A">
            <w:pPr>
              <w:pStyle w:val="TableText"/>
            </w:pPr>
          </w:p>
        </w:tc>
        <w:tc>
          <w:tcPr>
            <w:tcW w:w="0" w:type="auto"/>
            <w:tcBorders>
              <w:top w:val="nil"/>
              <w:left w:val="nil"/>
              <w:bottom w:val="single" w:sz="4" w:space="0" w:color="auto"/>
              <w:right w:val="nil"/>
            </w:tcBorders>
          </w:tcPr>
          <w:p w14:paraId="70E2D84A" w14:textId="77777777" w:rsidR="00FD32F4" w:rsidRDefault="00FD32F4" w:rsidP="00377F3A">
            <w:pPr>
              <w:pStyle w:val="TableText"/>
            </w:pPr>
          </w:p>
        </w:tc>
        <w:tc>
          <w:tcPr>
            <w:tcW w:w="0" w:type="auto"/>
            <w:tcBorders>
              <w:top w:val="nil"/>
              <w:left w:val="nil"/>
              <w:bottom w:val="single" w:sz="4" w:space="0" w:color="auto"/>
              <w:right w:val="nil"/>
            </w:tcBorders>
          </w:tcPr>
          <w:p w14:paraId="49908425"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482A639F"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1D3C9EFC"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39ABE351" w14:textId="77777777" w:rsidR="00FD32F4" w:rsidRPr="007F3CAA" w:rsidRDefault="00FD32F4" w:rsidP="00377F3A">
            <w:pPr>
              <w:pStyle w:val="TableText"/>
            </w:pPr>
            <w:r w:rsidRPr="007F3CAA">
              <w:t>0.20</w:t>
            </w:r>
          </w:p>
          <w:p w14:paraId="123C75FE" w14:textId="77777777" w:rsidR="00FD32F4" w:rsidRPr="007F3CAA" w:rsidRDefault="00FD32F4" w:rsidP="00377F3A">
            <w:pPr>
              <w:pStyle w:val="TableText"/>
            </w:pPr>
            <w:r w:rsidRPr="007F3CAA">
              <w:t>0.88</w:t>
            </w:r>
          </w:p>
        </w:tc>
        <w:tc>
          <w:tcPr>
            <w:tcW w:w="0" w:type="auto"/>
            <w:tcBorders>
              <w:top w:val="nil"/>
              <w:left w:val="nil"/>
              <w:bottom w:val="single" w:sz="4" w:space="0" w:color="auto"/>
              <w:right w:val="nil"/>
            </w:tcBorders>
          </w:tcPr>
          <w:p w14:paraId="34874367" w14:textId="77777777" w:rsidR="00FD32F4" w:rsidRPr="007F3CAA" w:rsidRDefault="00FD32F4" w:rsidP="00377F3A">
            <w:pPr>
              <w:pStyle w:val="TableText"/>
            </w:pPr>
            <w:r w:rsidRPr="007F3CAA">
              <w:t>0.029</w:t>
            </w:r>
          </w:p>
          <w:p w14:paraId="44318DC0" w14:textId="77777777" w:rsidR="00FD32F4" w:rsidRPr="007F3CAA" w:rsidRDefault="00FD32F4" w:rsidP="00377F3A">
            <w:pPr>
              <w:pStyle w:val="TableText"/>
            </w:pPr>
            <w:r w:rsidRPr="007F3CAA">
              <w:t>0.12</w:t>
            </w:r>
          </w:p>
        </w:tc>
        <w:tc>
          <w:tcPr>
            <w:tcW w:w="1551" w:type="dxa"/>
            <w:tcBorders>
              <w:top w:val="nil"/>
              <w:left w:val="nil"/>
              <w:bottom w:val="single" w:sz="4" w:space="0" w:color="auto"/>
              <w:right w:val="nil"/>
            </w:tcBorders>
          </w:tcPr>
          <w:p w14:paraId="3C17D598" w14:textId="77777777" w:rsidR="00FD32F4" w:rsidRPr="007F3CAA" w:rsidRDefault="00FD32F4" w:rsidP="00377F3A">
            <w:pPr>
              <w:pStyle w:val="TableText"/>
            </w:pPr>
            <w:r w:rsidRPr="007F3CAA">
              <w:t>Sachet/block/paste</w:t>
            </w:r>
          </w:p>
          <w:p w14:paraId="7969EFB2" w14:textId="77777777" w:rsidR="00FD32F4" w:rsidRPr="007F3CAA" w:rsidRDefault="00FD32F4" w:rsidP="00377F3A">
            <w:pPr>
              <w:pStyle w:val="TableText"/>
            </w:pPr>
            <w:r w:rsidRPr="007F3CAA">
              <w:t>Loose grain/pellets</w:t>
            </w:r>
          </w:p>
        </w:tc>
      </w:tr>
      <w:tr w:rsidR="00FD32F4" w:rsidRPr="007F3CAA" w14:paraId="0D4254E5" w14:textId="77777777" w:rsidTr="00E078CC">
        <w:tc>
          <w:tcPr>
            <w:tcW w:w="0" w:type="auto"/>
            <w:tcBorders>
              <w:top w:val="single" w:sz="4" w:space="0" w:color="auto"/>
              <w:left w:val="nil"/>
              <w:bottom w:val="nil"/>
              <w:right w:val="nil"/>
            </w:tcBorders>
          </w:tcPr>
          <w:p w14:paraId="3862E684" w14:textId="77777777" w:rsidR="00FD32F4" w:rsidRDefault="00FD32F4" w:rsidP="00377F3A">
            <w:pPr>
              <w:pStyle w:val="TableText"/>
            </w:pPr>
            <w:r>
              <w:t>Warfarin</w:t>
            </w:r>
          </w:p>
        </w:tc>
        <w:tc>
          <w:tcPr>
            <w:tcW w:w="0" w:type="auto"/>
            <w:tcBorders>
              <w:top w:val="single" w:sz="4" w:space="0" w:color="auto"/>
              <w:left w:val="nil"/>
              <w:bottom w:val="nil"/>
              <w:right w:val="nil"/>
            </w:tcBorders>
          </w:tcPr>
          <w:p w14:paraId="45321C29"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7AE992E7" w14:textId="6E3E8260"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6DB5AD70"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6DCB95E6" w14:textId="48A0F58E"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36428E45" w14:textId="77777777" w:rsidR="00FD32F4" w:rsidRPr="007F3CAA" w:rsidRDefault="00FD32F4" w:rsidP="00377F3A">
            <w:pPr>
              <w:pStyle w:val="TableText"/>
            </w:pPr>
            <w:r>
              <w:t>0.063</w:t>
            </w:r>
          </w:p>
        </w:tc>
        <w:tc>
          <w:tcPr>
            <w:tcW w:w="0" w:type="auto"/>
            <w:tcBorders>
              <w:top w:val="single" w:sz="4" w:space="0" w:color="auto"/>
              <w:left w:val="nil"/>
              <w:bottom w:val="nil"/>
              <w:right w:val="nil"/>
            </w:tcBorders>
          </w:tcPr>
          <w:p w14:paraId="3258AE55" w14:textId="77777777" w:rsidR="00FD32F4" w:rsidRPr="007F3CAA" w:rsidRDefault="00FD32F4" w:rsidP="00377F3A">
            <w:pPr>
              <w:pStyle w:val="TableText"/>
            </w:pPr>
            <w:r>
              <w:t>0.013</w:t>
            </w:r>
          </w:p>
        </w:tc>
        <w:tc>
          <w:tcPr>
            <w:tcW w:w="1551" w:type="dxa"/>
            <w:tcBorders>
              <w:top w:val="single" w:sz="4" w:space="0" w:color="auto"/>
              <w:left w:val="nil"/>
              <w:bottom w:val="nil"/>
              <w:right w:val="nil"/>
            </w:tcBorders>
          </w:tcPr>
          <w:p w14:paraId="0F24AE60" w14:textId="77777777" w:rsidR="00FD32F4" w:rsidRPr="007F3CAA" w:rsidRDefault="00FD32F4" w:rsidP="00377F3A">
            <w:pPr>
              <w:pStyle w:val="TableText"/>
            </w:pPr>
            <w:r w:rsidRPr="007F3CAA">
              <w:t>Loose grain/pellets</w:t>
            </w:r>
          </w:p>
        </w:tc>
      </w:tr>
      <w:tr w:rsidR="00FD32F4" w:rsidRPr="007F3CAA" w14:paraId="4E7DF2BB" w14:textId="77777777" w:rsidTr="00E078CC">
        <w:tc>
          <w:tcPr>
            <w:tcW w:w="0" w:type="auto"/>
            <w:tcBorders>
              <w:top w:val="nil"/>
              <w:left w:val="nil"/>
              <w:bottom w:val="nil"/>
              <w:right w:val="nil"/>
            </w:tcBorders>
          </w:tcPr>
          <w:p w14:paraId="44BF9BA0" w14:textId="77777777" w:rsidR="00FD32F4" w:rsidRDefault="00FD32F4" w:rsidP="00377F3A">
            <w:pPr>
              <w:pStyle w:val="TableText"/>
            </w:pPr>
          </w:p>
        </w:tc>
        <w:tc>
          <w:tcPr>
            <w:tcW w:w="0" w:type="auto"/>
            <w:tcBorders>
              <w:top w:val="nil"/>
              <w:left w:val="nil"/>
              <w:bottom w:val="nil"/>
              <w:right w:val="nil"/>
            </w:tcBorders>
          </w:tcPr>
          <w:p w14:paraId="05C21914" w14:textId="77777777" w:rsidR="00FD32F4" w:rsidRDefault="00FD32F4" w:rsidP="00377F3A">
            <w:pPr>
              <w:pStyle w:val="TableText"/>
            </w:pPr>
          </w:p>
        </w:tc>
        <w:tc>
          <w:tcPr>
            <w:tcW w:w="0" w:type="auto"/>
            <w:tcBorders>
              <w:top w:val="nil"/>
              <w:left w:val="nil"/>
              <w:bottom w:val="nil"/>
              <w:right w:val="nil"/>
            </w:tcBorders>
          </w:tcPr>
          <w:p w14:paraId="3C0CC23E" w14:textId="33E046C3"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508487A9"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075545A6"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6D5DB051" w14:textId="77777777" w:rsidR="00FD32F4" w:rsidRPr="007F3CAA" w:rsidRDefault="00FD32F4" w:rsidP="00377F3A">
            <w:pPr>
              <w:pStyle w:val="TableText"/>
            </w:pPr>
            <w:r w:rsidRPr="007F3CAA">
              <w:t>0.</w:t>
            </w:r>
            <w:r>
              <w:t>026</w:t>
            </w:r>
          </w:p>
        </w:tc>
        <w:tc>
          <w:tcPr>
            <w:tcW w:w="0" w:type="auto"/>
            <w:tcBorders>
              <w:top w:val="nil"/>
              <w:left w:val="nil"/>
              <w:bottom w:val="nil"/>
              <w:right w:val="nil"/>
            </w:tcBorders>
          </w:tcPr>
          <w:p w14:paraId="3E420A6A" w14:textId="77777777" w:rsidR="00FD32F4" w:rsidRPr="007F3CAA" w:rsidRDefault="00FD32F4" w:rsidP="00377F3A">
            <w:pPr>
              <w:pStyle w:val="TableText"/>
            </w:pPr>
            <w:r w:rsidRPr="007F3CAA">
              <w:t>0.</w:t>
            </w:r>
            <w:r>
              <w:t>0053</w:t>
            </w:r>
          </w:p>
        </w:tc>
        <w:tc>
          <w:tcPr>
            <w:tcW w:w="1551" w:type="dxa"/>
            <w:tcBorders>
              <w:top w:val="nil"/>
              <w:left w:val="nil"/>
              <w:bottom w:val="nil"/>
              <w:right w:val="nil"/>
            </w:tcBorders>
          </w:tcPr>
          <w:p w14:paraId="06964912" w14:textId="77777777" w:rsidR="00FD32F4" w:rsidRPr="007F3CAA" w:rsidRDefault="00FD32F4" w:rsidP="00377F3A">
            <w:pPr>
              <w:pStyle w:val="TableText"/>
            </w:pPr>
            <w:r w:rsidRPr="007F3CAA">
              <w:t>Loose grain/pellets</w:t>
            </w:r>
          </w:p>
        </w:tc>
      </w:tr>
      <w:tr w:rsidR="00FD32F4" w:rsidRPr="007F3CAA" w14:paraId="00044936" w14:textId="77777777" w:rsidTr="00E078CC">
        <w:tc>
          <w:tcPr>
            <w:tcW w:w="0" w:type="auto"/>
            <w:tcBorders>
              <w:top w:val="nil"/>
              <w:left w:val="nil"/>
              <w:bottom w:val="nil"/>
              <w:right w:val="nil"/>
            </w:tcBorders>
          </w:tcPr>
          <w:p w14:paraId="50D5DCCE" w14:textId="77777777" w:rsidR="00FD32F4" w:rsidRDefault="00FD32F4" w:rsidP="00377F3A">
            <w:pPr>
              <w:pStyle w:val="TableText"/>
            </w:pPr>
          </w:p>
        </w:tc>
        <w:tc>
          <w:tcPr>
            <w:tcW w:w="0" w:type="auto"/>
            <w:tcBorders>
              <w:top w:val="nil"/>
              <w:left w:val="nil"/>
              <w:bottom w:val="single" w:sz="4" w:space="0" w:color="auto"/>
              <w:right w:val="nil"/>
            </w:tcBorders>
          </w:tcPr>
          <w:p w14:paraId="3784A1C1" w14:textId="77777777" w:rsidR="00FD32F4" w:rsidRDefault="00FD32F4" w:rsidP="00377F3A">
            <w:pPr>
              <w:pStyle w:val="TableText"/>
            </w:pPr>
          </w:p>
        </w:tc>
        <w:tc>
          <w:tcPr>
            <w:tcW w:w="0" w:type="auto"/>
            <w:tcBorders>
              <w:top w:val="nil"/>
              <w:left w:val="nil"/>
              <w:bottom w:val="single" w:sz="4" w:space="0" w:color="auto"/>
              <w:right w:val="nil"/>
            </w:tcBorders>
          </w:tcPr>
          <w:p w14:paraId="763E378F"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4BE66FF8"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62626338"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73854B49" w14:textId="77777777" w:rsidR="00FD32F4" w:rsidRPr="000C50E1" w:rsidRDefault="00FD32F4" w:rsidP="00377F3A">
            <w:pPr>
              <w:pStyle w:val="TableText"/>
            </w:pPr>
            <w:r w:rsidRPr="000C50E1">
              <w:t>2.4</w:t>
            </w:r>
          </w:p>
        </w:tc>
        <w:tc>
          <w:tcPr>
            <w:tcW w:w="0" w:type="auto"/>
            <w:tcBorders>
              <w:top w:val="nil"/>
              <w:left w:val="nil"/>
              <w:bottom w:val="single" w:sz="4" w:space="0" w:color="auto"/>
              <w:right w:val="nil"/>
            </w:tcBorders>
          </w:tcPr>
          <w:p w14:paraId="5BA61798" w14:textId="77777777" w:rsidR="00FD32F4" w:rsidRPr="000C50E1" w:rsidRDefault="00FD32F4" w:rsidP="00377F3A">
            <w:pPr>
              <w:pStyle w:val="TableText"/>
            </w:pPr>
            <w:r w:rsidRPr="000C50E1">
              <w:t>0.51</w:t>
            </w:r>
          </w:p>
        </w:tc>
        <w:tc>
          <w:tcPr>
            <w:tcW w:w="1551" w:type="dxa"/>
            <w:tcBorders>
              <w:top w:val="nil"/>
              <w:left w:val="nil"/>
              <w:bottom w:val="single" w:sz="4" w:space="0" w:color="auto"/>
              <w:right w:val="nil"/>
            </w:tcBorders>
          </w:tcPr>
          <w:p w14:paraId="0DE4079A" w14:textId="77777777" w:rsidR="00FD32F4" w:rsidRPr="007F3CAA" w:rsidRDefault="00FD32F4" w:rsidP="00377F3A">
            <w:pPr>
              <w:pStyle w:val="TableText"/>
            </w:pPr>
            <w:r w:rsidRPr="007F3CAA">
              <w:t>Loose grain/pellets</w:t>
            </w:r>
          </w:p>
        </w:tc>
      </w:tr>
      <w:tr w:rsidR="00FD32F4" w:rsidRPr="007F3CAA" w14:paraId="66EA5B9F" w14:textId="77777777" w:rsidTr="00E078CC">
        <w:tc>
          <w:tcPr>
            <w:tcW w:w="0" w:type="auto"/>
            <w:tcBorders>
              <w:top w:val="single" w:sz="4" w:space="0" w:color="auto"/>
              <w:left w:val="nil"/>
              <w:bottom w:val="nil"/>
              <w:right w:val="nil"/>
            </w:tcBorders>
          </w:tcPr>
          <w:p w14:paraId="3F793AD0" w14:textId="77777777" w:rsidR="00FD32F4" w:rsidRDefault="00FD32F4" w:rsidP="00377F3A">
            <w:pPr>
              <w:pStyle w:val="TableText"/>
            </w:pPr>
            <w:r>
              <w:t>Brodifacoum</w:t>
            </w:r>
          </w:p>
        </w:tc>
        <w:tc>
          <w:tcPr>
            <w:tcW w:w="0" w:type="auto"/>
            <w:tcBorders>
              <w:top w:val="single" w:sz="4" w:space="0" w:color="auto"/>
              <w:left w:val="nil"/>
              <w:bottom w:val="nil"/>
              <w:right w:val="nil"/>
            </w:tcBorders>
          </w:tcPr>
          <w:p w14:paraId="28D21F1F"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57515A8F" w14:textId="3D14D098"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670BF344"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5080774E" w14:textId="2114059E"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6B6DD1FC" w14:textId="77777777" w:rsidR="00FD32F4" w:rsidRPr="007F3CAA" w:rsidRDefault="00FD32F4" w:rsidP="00377F3A">
            <w:pPr>
              <w:pStyle w:val="TableText"/>
            </w:pPr>
            <w:r w:rsidRPr="007F3CAA">
              <w:t>0.00</w:t>
            </w:r>
            <w:r>
              <w:t>6</w:t>
            </w:r>
          </w:p>
          <w:p w14:paraId="6F1DAAE7" w14:textId="77777777" w:rsidR="00FD32F4" w:rsidRPr="007F3CAA" w:rsidRDefault="00FD32F4" w:rsidP="00377F3A">
            <w:pPr>
              <w:pStyle w:val="TableText"/>
            </w:pPr>
            <w:r w:rsidRPr="007F3CAA">
              <w:t>0.010</w:t>
            </w:r>
          </w:p>
        </w:tc>
        <w:tc>
          <w:tcPr>
            <w:tcW w:w="0" w:type="auto"/>
            <w:tcBorders>
              <w:top w:val="single" w:sz="4" w:space="0" w:color="auto"/>
              <w:left w:val="nil"/>
              <w:bottom w:val="nil"/>
              <w:right w:val="nil"/>
            </w:tcBorders>
          </w:tcPr>
          <w:p w14:paraId="60325195" w14:textId="77777777" w:rsidR="00FD32F4" w:rsidRPr="007F3CAA" w:rsidRDefault="00FD32F4" w:rsidP="00377F3A">
            <w:pPr>
              <w:pStyle w:val="TableText"/>
            </w:pPr>
            <w:r w:rsidRPr="007F3CAA">
              <w:t>0.006</w:t>
            </w:r>
          </w:p>
          <w:p w14:paraId="0570B01A" w14:textId="77777777" w:rsidR="00FD32F4" w:rsidRPr="007F3CAA" w:rsidRDefault="00FD32F4" w:rsidP="00377F3A">
            <w:pPr>
              <w:pStyle w:val="TableText"/>
            </w:pPr>
            <w:r w:rsidRPr="007F3CAA">
              <w:t>0.003</w:t>
            </w:r>
          </w:p>
        </w:tc>
        <w:tc>
          <w:tcPr>
            <w:tcW w:w="1551" w:type="dxa"/>
            <w:tcBorders>
              <w:top w:val="single" w:sz="4" w:space="0" w:color="auto"/>
              <w:left w:val="nil"/>
              <w:bottom w:val="nil"/>
              <w:right w:val="nil"/>
            </w:tcBorders>
          </w:tcPr>
          <w:p w14:paraId="4F20894C" w14:textId="77777777" w:rsidR="00FD32F4" w:rsidRPr="007F3CAA" w:rsidRDefault="00FD32F4" w:rsidP="00377F3A">
            <w:pPr>
              <w:pStyle w:val="TableText"/>
            </w:pPr>
            <w:r w:rsidRPr="007F3CAA">
              <w:t>Sachet/block/paste</w:t>
            </w:r>
          </w:p>
          <w:p w14:paraId="2E3FF6C3" w14:textId="77777777" w:rsidR="00FD32F4" w:rsidRPr="007F3CAA" w:rsidRDefault="00FD32F4" w:rsidP="00377F3A">
            <w:pPr>
              <w:pStyle w:val="TableText"/>
            </w:pPr>
            <w:r w:rsidRPr="007F3CAA">
              <w:t>Loose grain/pellets</w:t>
            </w:r>
          </w:p>
        </w:tc>
      </w:tr>
      <w:tr w:rsidR="00FD32F4" w:rsidRPr="007F3CAA" w14:paraId="333AD21D" w14:textId="77777777" w:rsidTr="00E078CC">
        <w:tc>
          <w:tcPr>
            <w:tcW w:w="0" w:type="auto"/>
            <w:tcBorders>
              <w:top w:val="nil"/>
              <w:left w:val="nil"/>
              <w:bottom w:val="nil"/>
              <w:right w:val="nil"/>
            </w:tcBorders>
          </w:tcPr>
          <w:p w14:paraId="47C9D939" w14:textId="77777777" w:rsidR="00FD32F4" w:rsidRDefault="00FD32F4" w:rsidP="00377F3A">
            <w:pPr>
              <w:pStyle w:val="TableText"/>
            </w:pPr>
          </w:p>
        </w:tc>
        <w:tc>
          <w:tcPr>
            <w:tcW w:w="0" w:type="auto"/>
            <w:tcBorders>
              <w:top w:val="nil"/>
              <w:left w:val="nil"/>
              <w:bottom w:val="nil"/>
              <w:right w:val="nil"/>
            </w:tcBorders>
          </w:tcPr>
          <w:p w14:paraId="259F4037" w14:textId="77777777" w:rsidR="00FD32F4" w:rsidRDefault="00FD32F4" w:rsidP="00377F3A">
            <w:pPr>
              <w:pStyle w:val="TableText"/>
            </w:pPr>
          </w:p>
        </w:tc>
        <w:tc>
          <w:tcPr>
            <w:tcW w:w="0" w:type="auto"/>
            <w:tcBorders>
              <w:top w:val="nil"/>
              <w:left w:val="nil"/>
              <w:bottom w:val="nil"/>
              <w:right w:val="nil"/>
            </w:tcBorders>
          </w:tcPr>
          <w:p w14:paraId="6F43E810" w14:textId="4582CA77"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1B2A9D62"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4CE47DE9"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74BF2E28" w14:textId="77777777" w:rsidR="00FD32F4" w:rsidRPr="007F3CAA" w:rsidRDefault="00FD32F4" w:rsidP="00377F3A">
            <w:pPr>
              <w:pStyle w:val="TableText"/>
            </w:pPr>
            <w:r w:rsidRPr="007F3CAA">
              <w:t>0.00</w:t>
            </w:r>
            <w:r>
              <w:t>24</w:t>
            </w:r>
          </w:p>
          <w:p w14:paraId="655A9E8E" w14:textId="77777777" w:rsidR="00FD32F4" w:rsidRPr="007F3CAA" w:rsidRDefault="00FD32F4" w:rsidP="00377F3A">
            <w:pPr>
              <w:pStyle w:val="TableText"/>
            </w:pPr>
            <w:r w:rsidRPr="007F3CAA">
              <w:t>0.0041</w:t>
            </w:r>
          </w:p>
        </w:tc>
        <w:tc>
          <w:tcPr>
            <w:tcW w:w="0" w:type="auto"/>
            <w:tcBorders>
              <w:top w:val="nil"/>
              <w:left w:val="nil"/>
              <w:bottom w:val="nil"/>
              <w:right w:val="nil"/>
            </w:tcBorders>
          </w:tcPr>
          <w:p w14:paraId="60818853" w14:textId="77777777" w:rsidR="00FD32F4" w:rsidRPr="007F3CAA" w:rsidRDefault="00FD32F4" w:rsidP="00377F3A">
            <w:pPr>
              <w:pStyle w:val="TableText"/>
            </w:pPr>
            <w:r w:rsidRPr="007F3CAA">
              <w:t>0.0024</w:t>
            </w:r>
          </w:p>
          <w:p w14:paraId="6457B0B7" w14:textId="77777777" w:rsidR="00FD32F4" w:rsidRPr="007F3CAA" w:rsidRDefault="00FD32F4" w:rsidP="00377F3A">
            <w:pPr>
              <w:pStyle w:val="TableText"/>
            </w:pPr>
            <w:r w:rsidRPr="007F3CAA">
              <w:t>0.0012</w:t>
            </w:r>
          </w:p>
        </w:tc>
        <w:tc>
          <w:tcPr>
            <w:tcW w:w="1551" w:type="dxa"/>
            <w:tcBorders>
              <w:top w:val="nil"/>
              <w:left w:val="nil"/>
              <w:bottom w:val="nil"/>
              <w:right w:val="nil"/>
            </w:tcBorders>
          </w:tcPr>
          <w:p w14:paraId="13235126" w14:textId="77777777" w:rsidR="00FD32F4" w:rsidRPr="007F3CAA" w:rsidRDefault="00FD32F4" w:rsidP="00377F3A">
            <w:pPr>
              <w:pStyle w:val="TableText"/>
            </w:pPr>
            <w:r w:rsidRPr="007F3CAA">
              <w:t>Sachet/block/paste</w:t>
            </w:r>
          </w:p>
          <w:p w14:paraId="4CECCB29" w14:textId="77777777" w:rsidR="00FD32F4" w:rsidRPr="007F3CAA" w:rsidRDefault="00FD32F4" w:rsidP="00377F3A">
            <w:pPr>
              <w:pStyle w:val="TableText"/>
            </w:pPr>
            <w:r w:rsidRPr="007F3CAA">
              <w:t>Loose grain/pellets</w:t>
            </w:r>
          </w:p>
        </w:tc>
      </w:tr>
      <w:tr w:rsidR="00FD32F4" w:rsidRPr="007F3CAA" w14:paraId="42191254" w14:textId="77777777" w:rsidTr="00E078CC">
        <w:tc>
          <w:tcPr>
            <w:tcW w:w="0" w:type="auto"/>
            <w:tcBorders>
              <w:top w:val="nil"/>
              <w:left w:val="nil"/>
              <w:bottom w:val="nil"/>
              <w:right w:val="nil"/>
            </w:tcBorders>
          </w:tcPr>
          <w:p w14:paraId="729B83CA" w14:textId="77777777" w:rsidR="00FD32F4" w:rsidRDefault="00FD32F4" w:rsidP="00377F3A">
            <w:pPr>
              <w:pStyle w:val="TableText"/>
            </w:pPr>
          </w:p>
        </w:tc>
        <w:tc>
          <w:tcPr>
            <w:tcW w:w="0" w:type="auto"/>
            <w:tcBorders>
              <w:top w:val="nil"/>
              <w:left w:val="nil"/>
              <w:bottom w:val="single" w:sz="4" w:space="0" w:color="auto"/>
              <w:right w:val="nil"/>
            </w:tcBorders>
          </w:tcPr>
          <w:p w14:paraId="531BD3BE" w14:textId="77777777" w:rsidR="00FD32F4" w:rsidRDefault="00FD32F4" w:rsidP="00377F3A">
            <w:pPr>
              <w:pStyle w:val="TableText"/>
            </w:pPr>
          </w:p>
        </w:tc>
        <w:tc>
          <w:tcPr>
            <w:tcW w:w="0" w:type="auto"/>
            <w:tcBorders>
              <w:top w:val="nil"/>
              <w:left w:val="nil"/>
              <w:bottom w:val="single" w:sz="4" w:space="0" w:color="auto"/>
              <w:right w:val="nil"/>
            </w:tcBorders>
          </w:tcPr>
          <w:p w14:paraId="6D97077F"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56078D6B"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7AC92C7E"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12BCC9D3" w14:textId="77777777" w:rsidR="00FD32F4" w:rsidRPr="007F3CAA" w:rsidRDefault="00FD32F4" w:rsidP="00377F3A">
            <w:pPr>
              <w:pStyle w:val="TableText"/>
            </w:pPr>
            <w:r w:rsidRPr="007F3CAA">
              <w:t>0.0</w:t>
            </w:r>
            <w:r>
              <w:t>51</w:t>
            </w:r>
          </w:p>
          <w:p w14:paraId="6F97546E" w14:textId="77777777" w:rsidR="00FD32F4" w:rsidRPr="007F3CAA" w:rsidRDefault="00FD32F4" w:rsidP="00377F3A">
            <w:pPr>
              <w:pStyle w:val="TableText"/>
            </w:pPr>
            <w:r w:rsidRPr="007F3CAA">
              <w:t>0.38</w:t>
            </w:r>
          </w:p>
        </w:tc>
        <w:tc>
          <w:tcPr>
            <w:tcW w:w="0" w:type="auto"/>
            <w:tcBorders>
              <w:top w:val="nil"/>
              <w:left w:val="nil"/>
              <w:bottom w:val="single" w:sz="4" w:space="0" w:color="auto"/>
              <w:right w:val="nil"/>
            </w:tcBorders>
          </w:tcPr>
          <w:p w14:paraId="1B8EE352" w14:textId="77777777" w:rsidR="00FD32F4" w:rsidRPr="007F3CAA" w:rsidRDefault="00FD32F4" w:rsidP="00377F3A">
            <w:pPr>
              <w:pStyle w:val="TableText"/>
            </w:pPr>
            <w:r w:rsidRPr="007F3CAA">
              <w:t>0.058</w:t>
            </w:r>
          </w:p>
          <w:p w14:paraId="53B36EDE" w14:textId="77777777" w:rsidR="00FD32F4" w:rsidRPr="007F3CAA" w:rsidRDefault="00FD32F4" w:rsidP="00377F3A">
            <w:pPr>
              <w:pStyle w:val="TableText"/>
            </w:pPr>
            <w:r w:rsidRPr="007F3CAA">
              <w:t>0.12</w:t>
            </w:r>
          </w:p>
        </w:tc>
        <w:tc>
          <w:tcPr>
            <w:tcW w:w="1551" w:type="dxa"/>
            <w:tcBorders>
              <w:top w:val="nil"/>
              <w:left w:val="nil"/>
              <w:bottom w:val="single" w:sz="4" w:space="0" w:color="auto"/>
              <w:right w:val="nil"/>
            </w:tcBorders>
          </w:tcPr>
          <w:p w14:paraId="25B12FB0" w14:textId="77777777" w:rsidR="00FD32F4" w:rsidRPr="007F3CAA" w:rsidRDefault="00FD32F4" w:rsidP="00377F3A">
            <w:pPr>
              <w:pStyle w:val="TableText"/>
            </w:pPr>
            <w:r w:rsidRPr="007F3CAA">
              <w:t>Sachet/block/paste</w:t>
            </w:r>
          </w:p>
          <w:p w14:paraId="197F4224" w14:textId="77777777" w:rsidR="00FD32F4" w:rsidRPr="007F3CAA" w:rsidRDefault="00FD32F4" w:rsidP="00377F3A">
            <w:pPr>
              <w:pStyle w:val="TableText"/>
            </w:pPr>
            <w:r w:rsidRPr="007F3CAA">
              <w:t>Loose grain/pellets</w:t>
            </w:r>
          </w:p>
        </w:tc>
      </w:tr>
      <w:tr w:rsidR="00FD32F4" w:rsidRPr="007F3CAA" w14:paraId="26B2F503" w14:textId="77777777" w:rsidTr="00E078CC">
        <w:tc>
          <w:tcPr>
            <w:tcW w:w="0" w:type="auto"/>
            <w:tcBorders>
              <w:top w:val="single" w:sz="4" w:space="0" w:color="auto"/>
              <w:left w:val="nil"/>
              <w:bottom w:val="nil"/>
              <w:right w:val="nil"/>
            </w:tcBorders>
          </w:tcPr>
          <w:p w14:paraId="56E103A5" w14:textId="77777777" w:rsidR="00FD32F4" w:rsidRDefault="00FD32F4" w:rsidP="00377F3A">
            <w:pPr>
              <w:pStyle w:val="TableText"/>
            </w:pPr>
            <w:r>
              <w:t>Bromadiolone</w:t>
            </w:r>
          </w:p>
        </w:tc>
        <w:tc>
          <w:tcPr>
            <w:tcW w:w="0" w:type="auto"/>
            <w:tcBorders>
              <w:top w:val="single" w:sz="4" w:space="0" w:color="auto"/>
              <w:left w:val="nil"/>
              <w:bottom w:val="nil"/>
              <w:right w:val="nil"/>
            </w:tcBorders>
          </w:tcPr>
          <w:p w14:paraId="1155B6B2"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02211086" w14:textId="5A0D87B6"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4983A1BF"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59E0F7A7" w14:textId="0D2CB38F"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2689954A" w14:textId="77777777" w:rsidR="00FD32F4" w:rsidRPr="007F3CAA" w:rsidRDefault="00FD32F4" w:rsidP="00377F3A">
            <w:pPr>
              <w:pStyle w:val="TableText"/>
            </w:pPr>
            <w:r w:rsidRPr="007F3CAA">
              <w:t>0.023</w:t>
            </w:r>
          </w:p>
          <w:p w14:paraId="073106A3" w14:textId="77777777" w:rsidR="00FD32F4" w:rsidRPr="007F3CAA" w:rsidRDefault="00FD32F4" w:rsidP="00377F3A">
            <w:pPr>
              <w:pStyle w:val="TableText"/>
            </w:pPr>
            <w:r w:rsidRPr="007F3CAA">
              <w:t>0.025</w:t>
            </w:r>
          </w:p>
        </w:tc>
        <w:tc>
          <w:tcPr>
            <w:tcW w:w="0" w:type="auto"/>
            <w:tcBorders>
              <w:top w:val="single" w:sz="4" w:space="0" w:color="auto"/>
              <w:left w:val="nil"/>
              <w:bottom w:val="nil"/>
              <w:right w:val="nil"/>
            </w:tcBorders>
          </w:tcPr>
          <w:p w14:paraId="7ED84B04" w14:textId="77777777" w:rsidR="00FD32F4" w:rsidRPr="007F3CAA" w:rsidRDefault="00FD32F4" w:rsidP="00377F3A">
            <w:pPr>
              <w:pStyle w:val="TableText"/>
            </w:pPr>
            <w:r w:rsidRPr="007F3CAA">
              <w:t>0.023</w:t>
            </w:r>
          </w:p>
          <w:p w14:paraId="4AC2D44F" w14:textId="77777777" w:rsidR="00FD32F4" w:rsidRPr="007F3CAA" w:rsidRDefault="00FD32F4" w:rsidP="00377F3A">
            <w:pPr>
              <w:pStyle w:val="TableText"/>
            </w:pPr>
            <w:r w:rsidRPr="007F3CAA">
              <w:t>0.025</w:t>
            </w:r>
          </w:p>
        </w:tc>
        <w:tc>
          <w:tcPr>
            <w:tcW w:w="1551" w:type="dxa"/>
            <w:tcBorders>
              <w:top w:val="single" w:sz="4" w:space="0" w:color="auto"/>
              <w:left w:val="nil"/>
              <w:bottom w:val="nil"/>
              <w:right w:val="nil"/>
            </w:tcBorders>
          </w:tcPr>
          <w:p w14:paraId="2F57BE48" w14:textId="77777777" w:rsidR="00FD32F4" w:rsidRPr="007F3CAA" w:rsidRDefault="00FD32F4" w:rsidP="00377F3A">
            <w:pPr>
              <w:pStyle w:val="TableText"/>
            </w:pPr>
            <w:r w:rsidRPr="007F3CAA">
              <w:t>Sachet/block/paste</w:t>
            </w:r>
          </w:p>
          <w:p w14:paraId="542B92FE" w14:textId="77777777" w:rsidR="00FD32F4" w:rsidRPr="007F3CAA" w:rsidRDefault="00FD32F4" w:rsidP="00377F3A">
            <w:pPr>
              <w:pStyle w:val="TableText"/>
            </w:pPr>
            <w:r w:rsidRPr="007F3CAA">
              <w:t>Loose grain/pellets</w:t>
            </w:r>
          </w:p>
        </w:tc>
      </w:tr>
      <w:tr w:rsidR="00FD32F4" w:rsidRPr="007F3CAA" w14:paraId="573B6717" w14:textId="77777777" w:rsidTr="00E078CC">
        <w:tc>
          <w:tcPr>
            <w:tcW w:w="0" w:type="auto"/>
            <w:tcBorders>
              <w:top w:val="nil"/>
              <w:left w:val="nil"/>
              <w:bottom w:val="nil"/>
              <w:right w:val="nil"/>
            </w:tcBorders>
          </w:tcPr>
          <w:p w14:paraId="3A6E4CA8" w14:textId="77777777" w:rsidR="00FD32F4" w:rsidRDefault="00FD32F4" w:rsidP="00377F3A">
            <w:pPr>
              <w:pStyle w:val="TableText"/>
            </w:pPr>
          </w:p>
        </w:tc>
        <w:tc>
          <w:tcPr>
            <w:tcW w:w="0" w:type="auto"/>
            <w:tcBorders>
              <w:top w:val="nil"/>
              <w:left w:val="nil"/>
              <w:bottom w:val="nil"/>
              <w:right w:val="nil"/>
            </w:tcBorders>
          </w:tcPr>
          <w:p w14:paraId="347F9755" w14:textId="77777777" w:rsidR="00FD32F4" w:rsidRDefault="00FD32F4" w:rsidP="00377F3A">
            <w:pPr>
              <w:pStyle w:val="TableText"/>
            </w:pPr>
          </w:p>
        </w:tc>
        <w:tc>
          <w:tcPr>
            <w:tcW w:w="0" w:type="auto"/>
            <w:tcBorders>
              <w:top w:val="nil"/>
              <w:left w:val="nil"/>
              <w:bottom w:val="nil"/>
              <w:right w:val="nil"/>
            </w:tcBorders>
          </w:tcPr>
          <w:p w14:paraId="524F5DCD" w14:textId="5B911DAB"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49CE62BB"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0DAE70EF"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782F41DC" w14:textId="77777777" w:rsidR="00FD32F4" w:rsidRPr="007F3CAA" w:rsidRDefault="00FD32F4" w:rsidP="00377F3A">
            <w:pPr>
              <w:pStyle w:val="TableText"/>
            </w:pPr>
            <w:r w:rsidRPr="007F3CAA">
              <w:t>0.0094</w:t>
            </w:r>
          </w:p>
          <w:p w14:paraId="47FE883D" w14:textId="77777777" w:rsidR="00FD32F4" w:rsidRPr="007F3CAA" w:rsidRDefault="00FD32F4" w:rsidP="00377F3A">
            <w:pPr>
              <w:pStyle w:val="TableText"/>
            </w:pPr>
            <w:r w:rsidRPr="007F3CAA">
              <w:t>0.010</w:t>
            </w:r>
          </w:p>
        </w:tc>
        <w:tc>
          <w:tcPr>
            <w:tcW w:w="0" w:type="auto"/>
            <w:tcBorders>
              <w:top w:val="nil"/>
              <w:left w:val="nil"/>
              <w:bottom w:val="nil"/>
              <w:right w:val="nil"/>
            </w:tcBorders>
          </w:tcPr>
          <w:p w14:paraId="0ABD549F" w14:textId="77777777" w:rsidR="00FD32F4" w:rsidRPr="007F3CAA" w:rsidRDefault="00FD32F4" w:rsidP="00377F3A">
            <w:pPr>
              <w:pStyle w:val="TableText"/>
            </w:pPr>
            <w:r w:rsidRPr="007F3CAA">
              <w:t>0.0094</w:t>
            </w:r>
          </w:p>
          <w:p w14:paraId="1C63FDAE" w14:textId="77777777" w:rsidR="00FD32F4" w:rsidRPr="007F3CAA" w:rsidRDefault="00FD32F4" w:rsidP="00377F3A">
            <w:pPr>
              <w:pStyle w:val="TableText"/>
            </w:pPr>
            <w:r w:rsidRPr="007F3CAA">
              <w:t>0.010</w:t>
            </w:r>
          </w:p>
        </w:tc>
        <w:tc>
          <w:tcPr>
            <w:tcW w:w="1551" w:type="dxa"/>
            <w:tcBorders>
              <w:top w:val="nil"/>
              <w:left w:val="nil"/>
              <w:bottom w:val="nil"/>
              <w:right w:val="nil"/>
            </w:tcBorders>
          </w:tcPr>
          <w:p w14:paraId="4307AC3D" w14:textId="77777777" w:rsidR="00FD32F4" w:rsidRPr="007F3CAA" w:rsidRDefault="00FD32F4" w:rsidP="00377F3A">
            <w:pPr>
              <w:pStyle w:val="TableText"/>
            </w:pPr>
            <w:r w:rsidRPr="007F3CAA">
              <w:t>Sachet/block/paste</w:t>
            </w:r>
          </w:p>
          <w:p w14:paraId="18678A90" w14:textId="77777777" w:rsidR="00FD32F4" w:rsidRPr="007F3CAA" w:rsidRDefault="00FD32F4" w:rsidP="00377F3A">
            <w:pPr>
              <w:pStyle w:val="TableText"/>
            </w:pPr>
            <w:r w:rsidRPr="007F3CAA">
              <w:t>Loose grain/pellets</w:t>
            </w:r>
          </w:p>
        </w:tc>
      </w:tr>
      <w:tr w:rsidR="00FD32F4" w:rsidRPr="007F3CAA" w14:paraId="58CFFADF" w14:textId="77777777" w:rsidTr="00E078CC">
        <w:tc>
          <w:tcPr>
            <w:tcW w:w="0" w:type="auto"/>
            <w:tcBorders>
              <w:top w:val="nil"/>
              <w:left w:val="nil"/>
              <w:bottom w:val="nil"/>
              <w:right w:val="nil"/>
            </w:tcBorders>
          </w:tcPr>
          <w:p w14:paraId="1CEEC0B6" w14:textId="77777777" w:rsidR="00FD32F4" w:rsidRDefault="00FD32F4" w:rsidP="00377F3A">
            <w:pPr>
              <w:pStyle w:val="TableText"/>
            </w:pPr>
          </w:p>
        </w:tc>
        <w:tc>
          <w:tcPr>
            <w:tcW w:w="0" w:type="auto"/>
            <w:tcBorders>
              <w:top w:val="nil"/>
              <w:left w:val="nil"/>
              <w:bottom w:val="single" w:sz="4" w:space="0" w:color="auto"/>
              <w:right w:val="nil"/>
            </w:tcBorders>
          </w:tcPr>
          <w:p w14:paraId="0E63DA6A" w14:textId="77777777" w:rsidR="00FD32F4" w:rsidRDefault="00FD32F4" w:rsidP="00377F3A">
            <w:pPr>
              <w:pStyle w:val="TableText"/>
            </w:pPr>
          </w:p>
        </w:tc>
        <w:tc>
          <w:tcPr>
            <w:tcW w:w="0" w:type="auto"/>
            <w:tcBorders>
              <w:top w:val="nil"/>
              <w:left w:val="nil"/>
              <w:bottom w:val="single" w:sz="4" w:space="0" w:color="auto"/>
              <w:right w:val="nil"/>
            </w:tcBorders>
          </w:tcPr>
          <w:p w14:paraId="27BED53F"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5F07A954"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43F7D461"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159B776A" w14:textId="77777777" w:rsidR="00FD32F4" w:rsidRPr="007F3CAA" w:rsidRDefault="00FD32F4" w:rsidP="00377F3A">
            <w:pPr>
              <w:pStyle w:val="TableText"/>
            </w:pPr>
            <w:r w:rsidRPr="007F3CAA">
              <w:t>0.20</w:t>
            </w:r>
          </w:p>
          <w:p w14:paraId="0840DFC0" w14:textId="77777777" w:rsidR="00FD32F4" w:rsidRPr="007F3CAA" w:rsidRDefault="00FD32F4" w:rsidP="00377F3A">
            <w:pPr>
              <w:pStyle w:val="TableText"/>
            </w:pPr>
            <w:r w:rsidRPr="007F3CAA">
              <w:t>0.95</w:t>
            </w:r>
          </w:p>
        </w:tc>
        <w:tc>
          <w:tcPr>
            <w:tcW w:w="0" w:type="auto"/>
            <w:tcBorders>
              <w:top w:val="nil"/>
              <w:left w:val="nil"/>
              <w:bottom w:val="single" w:sz="4" w:space="0" w:color="auto"/>
              <w:right w:val="nil"/>
            </w:tcBorders>
          </w:tcPr>
          <w:p w14:paraId="3BD46BBE" w14:textId="77777777" w:rsidR="00FD32F4" w:rsidRPr="007F3CAA" w:rsidRDefault="00FD32F4" w:rsidP="00377F3A">
            <w:pPr>
              <w:pStyle w:val="TableText"/>
            </w:pPr>
            <w:r w:rsidRPr="007F3CAA">
              <w:t>0.22</w:t>
            </w:r>
          </w:p>
          <w:p w14:paraId="5F362B31" w14:textId="77777777" w:rsidR="00FD32F4" w:rsidRPr="007F3CAA" w:rsidRDefault="00FD32F4" w:rsidP="00377F3A">
            <w:pPr>
              <w:pStyle w:val="TableText"/>
            </w:pPr>
            <w:r w:rsidRPr="007F3CAA">
              <w:t>0.98</w:t>
            </w:r>
          </w:p>
        </w:tc>
        <w:tc>
          <w:tcPr>
            <w:tcW w:w="1551" w:type="dxa"/>
            <w:tcBorders>
              <w:top w:val="nil"/>
              <w:left w:val="nil"/>
              <w:bottom w:val="single" w:sz="4" w:space="0" w:color="auto"/>
              <w:right w:val="nil"/>
            </w:tcBorders>
          </w:tcPr>
          <w:p w14:paraId="3C23E878" w14:textId="77777777" w:rsidR="00FD32F4" w:rsidRPr="007F3CAA" w:rsidRDefault="00FD32F4" w:rsidP="00377F3A">
            <w:pPr>
              <w:pStyle w:val="TableText"/>
            </w:pPr>
            <w:r w:rsidRPr="007F3CAA">
              <w:t>Sachet/block/paste</w:t>
            </w:r>
          </w:p>
          <w:p w14:paraId="489A0C20" w14:textId="77777777" w:rsidR="00FD32F4" w:rsidRPr="007F3CAA" w:rsidRDefault="00FD32F4" w:rsidP="00377F3A">
            <w:pPr>
              <w:pStyle w:val="TableText"/>
            </w:pPr>
            <w:r w:rsidRPr="007F3CAA">
              <w:t>Loose grain/pellets</w:t>
            </w:r>
          </w:p>
        </w:tc>
      </w:tr>
      <w:tr w:rsidR="00FD32F4" w:rsidRPr="007F3CAA" w14:paraId="51966CE8" w14:textId="77777777" w:rsidTr="00E078CC">
        <w:tc>
          <w:tcPr>
            <w:tcW w:w="0" w:type="auto"/>
            <w:tcBorders>
              <w:top w:val="single" w:sz="4" w:space="0" w:color="auto"/>
              <w:left w:val="nil"/>
              <w:bottom w:val="nil"/>
              <w:right w:val="nil"/>
            </w:tcBorders>
          </w:tcPr>
          <w:p w14:paraId="3DD80F49" w14:textId="77777777" w:rsidR="00FD32F4" w:rsidRDefault="00FD32F4" w:rsidP="00377F3A">
            <w:pPr>
              <w:pStyle w:val="TableText"/>
            </w:pPr>
            <w:r>
              <w:lastRenderedPageBreak/>
              <w:t>Difenacoum</w:t>
            </w:r>
          </w:p>
        </w:tc>
        <w:tc>
          <w:tcPr>
            <w:tcW w:w="0" w:type="auto"/>
            <w:tcBorders>
              <w:top w:val="single" w:sz="4" w:space="0" w:color="auto"/>
              <w:left w:val="nil"/>
              <w:bottom w:val="nil"/>
              <w:right w:val="nil"/>
            </w:tcBorders>
          </w:tcPr>
          <w:p w14:paraId="24CF27EE"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1DD25962" w14:textId="5BF580F2"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29BBB468"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2104CF47" w14:textId="70A5EC9B"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509093EF" w14:textId="77777777" w:rsidR="00FD32F4" w:rsidRPr="007F3CAA" w:rsidRDefault="00FD32F4" w:rsidP="00377F3A">
            <w:pPr>
              <w:pStyle w:val="TableText"/>
            </w:pPr>
            <w:r w:rsidRPr="007F3CAA">
              <w:t>0.02</w:t>
            </w:r>
          </w:p>
          <w:p w14:paraId="55881A0E" w14:textId="77777777" w:rsidR="00FD32F4" w:rsidRPr="007F3CAA" w:rsidRDefault="00FD32F4" w:rsidP="00377F3A">
            <w:pPr>
              <w:pStyle w:val="TableText"/>
            </w:pPr>
            <w:r w:rsidRPr="007F3CAA">
              <w:t>0.01</w:t>
            </w:r>
          </w:p>
        </w:tc>
        <w:tc>
          <w:tcPr>
            <w:tcW w:w="0" w:type="auto"/>
            <w:tcBorders>
              <w:top w:val="single" w:sz="4" w:space="0" w:color="auto"/>
              <w:left w:val="nil"/>
              <w:bottom w:val="nil"/>
              <w:right w:val="nil"/>
            </w:tcBorders>
          </w:tcPr>
          <w:p w14:paraId="615C69F2" w14:textId="77777777" w:rsidR="00FD32F4" w:rsidRPr="007F3CAA" w:rsidRDefault="00FD32F4" w:rsidP="00377F3A">
            <w:pPr>
              <w:pStyle w:val="TableText"/>
            </w:pPr>
            <w:r w:rsidRPr="007F3CAA">
              <w:t>0.02</w:t>
            </w:r>
          </w:p>
          <w:p w14:paraId="3159411B" w14:textId="77777777" w:rsidR="00FD32F4" w:rsidRPr="007F3CAA" w:rsidRDefault="00FD32F4" w:rsidP="00377F3A">
            <w:pPr>
              <w:pStyle w:val="TableText"/>
            </w:pPr>
            <w:r w:rsidRPr="007F3CAA">
              <w:t>0.0015</w:t>
            </w:r>
          </w:p>
        </w:tc>
        <w:tc>
          <w:tcPr>
            <w:tcW w:w="1551" w:type="dxa"/>
            <w:tcBorders>
              <w:top w:val="single" w:sz="4" w:space="0" w:color="auto"/>
              <w:left w:val="nil"/>
              <w:bottom w:val="nil"/>
              <w:right w:val="nil"/>
            </w:tcBorders>
          </w:tcPr>
          <w:p w14:paraId="48237AA1" w14:textId="77777777" w:rsidR="00FD32F4" w:rsidRPr="007F3CAA" w:rsidRDefault="00FD32F4" w:rsidP="00377F3A">
            <w:pPr>
              <w:pStyle w:val="TableText"/>
            </w:pPr>
            <w:r w:rsidRPr="007F3CAA">
              <w:t>Sachet/block/paste</w:t>
            </w:r>
          </w:p>
          <w:p w14:paraId="142459D1" w14:textId="77777777" w:rsidR="00FD32F4" w:rsidRPr="007F3CAA" w:rsidRDefault="00FD32F4" w:rsidP="00377F3A">
            <w:pPr>
              <w:pStyle w:val="TableText"/>
            </w:pPr>
            <w:r w:rsidRPr="007F3CAA">
              <w:t>Loose grain/pellets</w:t>
            </w:r>
          </w:p>
        </w:tc>
      </w:tr>
      <w:tr w:rsidR="00FD32F4" w:rsidRPr="007F3CAA" w14:paraId="64E5E085" w14:textId="77777777" w:rsidTr="00E078CC">
        <w:tc>
          <w:tcPr>
            <w:tcW w:w="0" w:type="auto"/>
            <w:tcBorders>
              <w:top w:val="nil"/>
              <w:left w:val="nil"/>
              <w:bottom w:val="nil"/>
              <w:right w:val="nil"/>
            </w:tcBorders>
          </w:tcPr>
          <w:p w14:paraId="12DCF326" w14:textId="77777777" w:rsidR="00FD32F4" w:rsidRDefault="00FD32F4" w:rsidP="00377F3A">
            <w:pPr>
              <w:pStyle w:val="TableText"/>
            </w:pPr>
          </w:p>
        </w:tc>
        <w:tc>
          <w:tcPr>
            <w:tcW w:w="0" w:type="auto"/>
            <w:tcBorders>
              <w:top w:val="nil"/>
              <w:left w:val="nil"/>
              <w:bottom w:val="nil"/>
              <w:right w:val="nil"/>
            </w:tcBorders>
          </w:tcPr>
          <w:p w14:paraId="4168BDBD" w14:textId="77777777" w:rsidR="00FD32F4" w:rsidRDefault="00FD32F4" w:rsidP="00377F3A">
            <w:pPr>
              <w:pStyle w:val="TableText"/>
            </w:pPr>
          </w:p>
        </w:tc>
        <w:tc>
          <w:tcPr>
            <w:tcW w:w="0" w:type="auto"/>
            <w:tcBorders>
              <w:top w:val="nil"/>
              <w:left w:val="nil"/>
              <w:bottom w:val="nil"/>
              <w:right w:val="nil"/>
            </w:tcBorders>
          </w:tcPr>
          <w:p w14:paraId="480359EE" w14:textId="3D849943"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439DD840"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197DF275"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0FCB38DD" w14:textId="77777777" w:rsidR="00FD32F4" w:rsidRPr="007F3CAA" w:rsidRDefault="00FD32F4" w:rsidP="00377F3A">
            <w:pPr>
              <w:pStyle w:val="TableText"/>
            </w:pPr>
            <w:r w:rsidRPr="007F3CAA">
              <w:t>0.0082</w:t>
            </w:r>
          </w:p>
          <w:p w14:paraId="02513F45" w14:textId="77777777" w:rsidR="00FD32F4" w:rsidRPr="007F3CAA" w:rsidRDefault="00FD32F4" w:rsidP="00377F3A">
            <w:pPr>
              <w:pStyle w:val="TableText"/>
            </w:pPr>
            <w:r w:rsidRPr="007F3CAA">
              <w:t>0.0041</w:t>
            </w:r>
          </w:p>
        </w:tc>
        <w:tc>
          <w:tcPr>
            <w:tcW w:w="0" w:type="auto"/>
            <w:tcBorders>
              <w:top w:val="nil"/>
              <w:left w:val="nil"/>
              <w:bottom w:val="nil"/>
              <w:right w:val="nil"/>
            </w:tcBorders>
          </w:tcPr>
          <w:p w14:paraId="01F4EA66" w14:textId="77777777" w:rsidR="00FD32F4" w:rsidRPr="007F3CAA" w:rsidRDefault="00FD32F4" w:rsidP="00377F3A">
            <w:pPr>
              <w:pStyle w:val="TableText"/>
            </w:pPr>
            <w:r w:rsidRPr="007F3CAA">
              <w:t>0.0082</w:t>
            </w:r>
          </w:p>
          <w:p w14:paraId="2BD1049B" w14:textId="77777777" w:rsidR="00FD32F4" w:rsidRPr="007F3CAA" w:rsidRDefault="00FD32F4" w:rsidP="00377F3A">
            <w:pPr>
              <w:pStyle w:val="TableText"/>
            </w:pPr>
            <w:r w:rsidRPr="007F3CAA">
              <w:t>0.00061</w:t>
            </w:r>
          </w:p>
        </w:tc>
        <w:tc>
          <w:tcPr>
            <w:tcW w:w="1551" w:type="dxa"/>
            <w:tcBorders>
              <w:top w:val="nil"/>
              <w:left w:val="nil"/>
              <w:bottom w:val="nil"/>
              <w:right w:val="nil"/>
            </w:tcBorders>
          </w:tcPr>
          <w:p w14:paraId="0CAA659B" w14:textId="77777777" w:rsidR="00FD32F4" w:rsidRPr="007F3CAA" w:rsidRDefault="00FD32F4" w:rsidP="00377F3A">
            <w:pPr>
              <w:pStyle w:val="TableText"/>
            </w:pPr>
            <w:r w:rsidRPr="007F3CAA">
              <w:t>Sachet/block/paste</w:t>
            </w:r>
          </w:p>
          <w:p w14:paraId="00089918" w14:textId="77777777" w:rsidR="00FD32F4" w:rsidRPr="007F3CAA" w:rsidRDefault="00FD32F4" w:rsidP="00377F3A">
            <w:pPr>
              <w:pStyle w:val="TableText"/>
            </w:pPr>
            <w:r w:rsidRPr="007F3CAA">
              <w:t>Loose grain/pellets</w:t>
            </w:r>
          </w:p>
        </w:tc>
      </w:tr>
      <w:tr w:rsidR="00FD32F4" w:rsidRPr="007F3CAA" w14:paraId="3CB0F045" w14:textId="77777777" w:rsidTr="00E078CC">
        <w:tc>
          <w:tcPr>
            <w:tcW w:w="0" w:type="auto"/>
            <w:tcBorders>
              <w:top w:val="nil"/>
              <w:left w:val="nil"/>
              <w:bottom w:val="nil"/>
              <w:right w:val="nil"/>
            </w:tcBorders>
          </w:tcPr>
          <w:p w14:paraId="61E32E00" w14:textId="77777777" w:rsidR="00FD32F4" w:rsidRDefault="00FD32F4" w:rsidP="00377F3A">
            <w:pPr>
              <w:pStyle w:val="TableText"/>
            </w:pPr>
          </w:p>
        </w:tc>
        <w:tc>
          <w:tcPr>
            <w:tcW w:w="0" w:type="auto"/>
            <w:tcBorders>
              <w:top w:val="nil"/>
              <w:left w:val="nil"/>
              <w:bottom w:val="single" w:sz="4" w:space="0" w:color="auto"/>
              <w:right w:val="nil"/>
            </w:tcBorders>
          </w:tcPr>
          <w:p w14:paraId="63689BC0" w14:textId="77777777" w:rsidR="00FD32F4" w:rsidRDefault="00FD32F4" w:rsidP="00377F3A">
            <w:pPr>
              <w:pStyle w:val="TableText"/>
            </w:pPr>
          </w:p>
        </w:tc>
        <w:tc>
          <w:tcPr>
            <w:tcW w:w="0" w:type="auto"/>
            <w:tcBorders>
              <w:top w:val="nil"/>
              <w:left w:val="nil"/>
              <w:bottom w:val="single" w:sz="4" w:space="0" w:color="auto"/>
              <w:right w:val="nil"/>
            </w:tcBorders>
          </w:tcPr>
          <w:p w14:paraId="3F2C0837"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1743FC4D"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2632D30B"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06D701E6" w14:textId="77777777" w:rsidR="00FD32F4" w:rsidRPr="007F3CAA" w:rsidRDefault="00FD32F4" w:rsidP="00377F3A">
            <w:pPr>
              <w:pStyle w:val="TableText"/>
            </w:pPr>
            <w:r w:rsidRPr="007F3CAA">
              <w:t>0.17</w:t>
            </w:r>
          </w:p>
          <w:p w14:paraId="0170912D" w14:textId="77777777" w:rsidR="00FD32F4" w:rsidRPr="007F3CAA" w:rsidRDefault="00FD32F4" w:rsidP="00377F3A">
            <w:pPr>
              <w:pStyle w:val="TableText"/>
            </w:pPr>
            <w:r w:rsidRPr="007F3CAA">
              <w:t>0.38</w:t>
            </w:r>
          </w:p>
        </w:tc>
        <w:tc>
          <w:tcPr>
            <w:tcW w:w="0" w:type="auto"/>
            <w:tcBorders>
              <w:top w:val="nil"/>
              <w:left w:val="nil"/>
              <w:bottom w:val="single" w:sz="4" w:space="0" w:color="auto"/>
              <w:right w:val="nil"/>
            </w:tcBorders>
          </w:tcPr>
          <w:p w14:paraId="567E1CCD" w14:textId="77777777" w:rsidR="00FD32F4" w:rsidRPr="007F3CAA" w:rsidRDefault="00FD32F4" w:rsidP="00377F3A">
            <w:pPr>
              <w:pStyle w:val="TableText"/>
            </w:pPr>
            <w:r w:rsidRPr="007F3CAA">
              <w:t>0.19</w:t>
            </w:r>
          </w:p>
          <w:p w14:paraId="3F23B9D1" w14:textId="77777777" w:rsidR="00FD32F4" w:rsidRPr="007F3CAA" w:rsidRDefault="00FD32F4" w:rsidP="00377F3A">
            <w:pPr>
              <w:pStyle w:val="TableText"/>
            </w:pPr>
            <w:r w:rsidRPr="007F3CAA">
              <w:t>0.059</w:t>
            </w:r>
          </w:p>
        </w:tc>
        <w:tc>
          <w:tcPr>
            <w:tcW w:w="1551" w:type="dxa"/>
            <w:tcBorders>
              <w:top w:val="nil"/>
              <w:left w:val="nil"/>
              <w:bottom w:val="single" w:sz="4" w:space="0" w:color="auto"/>
              <w:right w:val="nil"/>
            </w:tcBorders>
          </w:tcPr>
          <w:p w14:paraId="589C67F5" w14:textId="77777777" w:rsidR="00FD32F4" w:rsidRPr="007F3CAA" w:rsidRDefault="00FD32F4" w:rsidP="00377F3A">
            <w:pPr>
              <w:pStyle w:val="TableText"/>
            </w:pPr>
            <w:r w:rsidRPr="007F3CAA">
              <w:t>Sachet/block/paste</w:t>
            </w:r>
          </w:p>
          <w:p w14:paraId="034D0477" w14:textId="77777777" w:rsidR="00FD32F4" w:rsidRPr="007F3CAA" w:rsidRDefault="00FD32F4" w:rsidP="00377F3A">
            <w:pPr>
              <w:pStyle w:val="TableText"/>
            </w:pPr>
            <w:r w:rsidRPr="007F3CAA">
              <w:t>Loose grain/pellets</w:t>
            </w:r>
          </w:p>
        </w:tc>
      </w:tr>
      <w:tr w:rsidR="00FD32F4" w:rsidRPr="007F3CAA" w14:paraId="21B8DE54" w14:textId="77777777" w:rsidTr="00E078CC">
        <w:tc>
          <w:tcPr>
            <w:tcW w:w="0" w:type="auto"/>
            <w:tcBorders>
              <w:top w:val="single" w:sz="4" w:space="0" w:color="auto"/>
              <w:left w:val="nil"/>
              <w:bottom w:val="nil"/>
              <w:right w:val="nil"/>
            </w:tcBorders>
          </w:tcPr>
          <w:p w14:paraId="6AFE52E5" w14:textId="77777777" w:rsidR="00FD32F4" w:rsidRDefault="00FD32F4" w:rsidP="00377F3A">
            <w:pPr>
              <w:pStyle w:val="TableText"/>
            </w:pPr>
            <w:r>
              <w:t>Difethialone</w:t>
            </w:r>
          </w:p>
        </w:tc>
        <w:tc>
          <w:tcPr>
            <w:tcW w:w="0" w:type="auto"/>
            <w:tcBorders>
              <w:top w:val="single" w:sz="4" w:space="0" w:color="auto"/>
              <w:left w:val="nil"/>
              <w:bottom w:val="nil"/>
              <w:right w:val="nil"/>
            </w:tcBorders>
          </w:tcPr>
          <w:p w14:paraId="39BF0524"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3DCA8664" w14:textId="32561F7C"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1D927449"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1683D2B6" w14:textId="486F1D28"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5A3760D0" w14:textId="77777777" w:rsidR="00FD32F4" w:rsidRPr="007F3CAA" w:rsidRDefault="00FD32F4" w:rsidP="00377F3A">
            <w:pPr>
              <w:pStyle w:val="TableText"/>
            </w:pPr>
            <w:r w:rsidRPr="007F3CAA">
              <w:t>0.0041</w:t>
            </w:r>
          </w:p>
          <w:p w14:paraId="1989FD75" w14:textId="77777777" w:rsidR="00FD32F4" w:rsidRPr="007F3CAA" w:rsidRDefault="00FD32F4" w:rsidP="00377F3A">
            <w:pPr>
              <w:pStyle w:val="TableText"/>
            </w:pPr>
            <w:r w:rsidRPr="007F3CAA">
              <w:t>0.0038</w:t>
            </w:r>
          </w:p>
        </w:tc>
        <w:tc>
          <w:tcPr>
            <w:tcW w:w="0" w:type="auto"/>
            <w:tcBorders>
              <w:top w:val="single" w:sz="4" w:space="0" w:color="auto"/>
              <w:left w:val="nil"/>
              <w:bottom w:val="nil"/>
              <w:right w:val="nil"/>
            </w:tcBorders>
          </w:tcPr>
          <w:p w14:paraId="5DCD2893" w14:textId="77777777" w:rsidR="00FD32F4" w:rsidRPr="007F3CAA" w:rsidRDefault="00FD32F4" w:rsidP="00377F3A">
            <w:pPr>
              <w:pStyle w:val="TableText"/>
            </w:pPr>
            <w:r w:rsidRPr="007F3CAA">
              <w:t>0.0015</w:t>
            </w:r>
          </w:p>
          <w:p w14:paraId="229A7CA6" w14:textId="77777777" w:rsidR="00FD32F4" w:rsidRPr="007F3CAA" w:rsidRDefault="00FD32F4" w:rsidP="00377F3A">
            <w:pPr>
              <w:pStyle w:val="TableText"/>
            </w:pPr>
            <w:r w:rsidRPr="007F3CAA">
              <w:t>0.0015</w:t>
            </w:r>
          </w:p>
        </w:tc>
        <w:tc>
          <w:tcPr>
            <w:tcW w:w="1551" w:type="dxa"/>
            <w:tcBorders>
              <w:top w:val="single" w:sz="4" w:space="0" w:color="auto"/>
              <w:left w:val="nil"/>
              <w:bottom w:val="nil"/>
              <w:right w:val="nil"/>
            </w:tcBorders>
          </w:tcPr>
          <w:p w14:paraId="1BACBFB4" w14:textId="77777777" w:rsidR="00FD32F4" w:rsidRPr="007F3CAA" w:rsidRDefault="00FD32F4" w:rsidP="00377F3A">
            <w:pPr>
              <w:pStyle w:val="TableText"/>
            </w:pPr>
            <w:r w:rsidRPr="007F3CAA">
              <w:t>Sachet/block/paste</w:t>
            </w:r>
          </w:p>
          <w:p w14:paraId="4D43163C" w14:textId="77777777" w:rsidR="00FD32F4" w:rsidRPr="007F3CAA" w:rsidRDefault="00FD32F4" w:rsidP="00377F3A">
            <w:pPr>
              <w:pStyle w:val="TableText"/>
            </w:pPr>
            <w:r w:rsidRPr="007F3CAA">
              <w:t>Loose grain/pellets</w:t>
            </w:r>
          </w:p>
        </w:tc>
      </w:tr>
      <w:tr w:rsidR="00FD32F4" w:rsidRPr="007F3CAA" w14:paraId="50A18FD8" w14:textId="77777777" w:rsidTr="00E078CC">
        <w:tc>
          <w:tcPr>
            <w:tcW w:w="0" w:type="auto"/>
            <w:tcBorders>
              <w:top w:val="nil"/>
              <w:left w:val="nil"/>
              <w:bottom w:val="nil"/>
              <w:right w:val="nil"/>
            </w:tcBorders>
          </w:tcPr>
          <w:p w14:paraId="4C3610E2" w14:textId="77777777" w:rsidR="00FD32F4" w:rsidRDefault="00FD32F4" w:rsidP="00377F3A">
            <w:pPr>
              <w:pStyle w:val="TableText"/>
            </w:pPr>
          </w:p>
        </w:tc>
        <w:tc>
          <w:tcPr>
            <w:tcW w:w="0" w:type="auto"/>
            <w:tcBorders>
              <w:top w:val="nil"/>
              <w:left w:val="nil"/>
              <w:bottom w:val="nil"/>
              <w:right w:val="nil"/>
            </w:tcBorders>
          </w:tcPr>
          <w:p w14:paraId="51329C2C" w14:textId="77777777" w:rsidR="00FD32F4" w:rsidRDefault="00FD32F4" w:rsidP="00377F3A">
            <w:pPr>
              <w:pStyle w:val="TableText"/>
            </w:pPr>
          </w:p>
        </w:tc>
        <w:tc>
          <w:tcPr>
            <w:tcW w:w="0" w:type="auto"/>
            <w:tcBorders>
              <w:top w:val="nil"/>
              <w:left w:val="nil"/>
              <w:bottom w:val="nil"/>
              <w:right w:val="nil"/>
            </w:tcBorders>
          </w:tcPr>
          <w:p w14:paraId="54F0E493" w14:textId="5C0A5C27"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387DC20E"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4B8A6715"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17A15BDC" w14:textId="77777777" w:rsidR="00FD32F4" w:rsidRPr="007F3CAA" w:rsidRDefault="00FD32F4" w:rsidP="00377F3A">
            <w:pPr>
              <w:pStyle w:val="TableText"/>
            </w:pPr>
            <w:r w:rsidRPr="007F3CAA">
              <w:t>0.0017</w:t>
            </w:r>
          </w:p>
          <w:p w14:paraId="244DC87C" w14:textId="77777777" w:rsidR="00FD32F4" w:rsidRPr="007F3CAA" w:rsidRDefault="00FD32F4" w:rsidP="00377F3A">
            <w:pPr>
              <w:pStyle w:val="TableText"/>
            </w:pPr>
            <w:r w:rsidRPr="007F3CAA">
              <w:t>0.0016</w:t>
            </w:r>
          </w:p>
        </w:tc>
        <w:tc>
          <w:tcPr>
            <w:tcW w:w="0" w:type="auto"/>
            <w:tcBorders>
              <w:top w:val="nil"/>
              <w:left w:val="nil"/>
              <w:bottom w:val="nil"/>
              <w:right w:val="nil"/>
            </w:tcBorders>
          </w:tcPr>
          <w:p w14:paraId="5711146A" w14:textId="77777777" w:rsidR="00FD32F4" w:rsidRPr="007F3CAA" w:rsidRDefault="00FD32F4" w:rsidP="00377F3A">
            <w:pPr>
              <w:pStyle w:val="TableText"/>
            </w:pPr>
            <w:r w:rsidRPr="007F3CAA">
              <w:t>0.00061</w:t>
            </w:r>
          </w:p>
          <w:p w14:paraId="4548F868" w14:textId="77777777" w:rsidR="00FD32F4" w:rsidRPr="007F3CAA" w:rsidRDefault="00FD32F4" w:rsidP="00377F3A">
            <w:pPr>
              <w:pStyle w:val="TableText"/>
            </w:pPr>
            <w:r w:rsidRPr="007F3CAA">
              <w:t>0.00061</w:t>
            </w:r>
          </w:p>
        </w:tc>
        <w:tc>
          <w:tcPr>
            <w:tcW w:w="1551" w:type="dxa"/>
            <w:tcBorders>
              <w:top w:val="nil"/>
              <w:left w:val="nil"/>
              <w:bottom w:val="nil"/>
              <w:right w:val="nil"/>
            </w:tcBorders>
          </w:tcPr>
          <w:p w14:paraId="1B6E75B7" w14:textId="77777777" w:rsidR="00FD32F4" w:rsidRPr="007F3CAA" w:rsidRDefault="00FD32F4" w:rsidP="00377F3A">
            <w:pPr>
              <w:pStyle w:val="TableText"/>
            </w:pPr>
            <w:r w:rsidRPr="007F3CAA">
              <w:t>Sachet/block/paste</w:t>
            </w:r>
          </w:p>
          <w:p w14:paraId="77A6AF57" w14:textId="77777777" w:rsidR="00FD32F4" w:rsidRPr="007F3CAA" w:rsidRDefault="00FD32F4" w:rsidP="00377F3A">
            <w:pPr>
              <w:pStyle w:val="TableText"/>
            </w:pPr>
            <w:r w:rsidRPr="007F3CAA">
              <w:t>Loose grain/pellets</w:t>
            </w:r>
          </w:p>
        </w:tc>
      </w:tr>
      <w:tr w:rsidR="00FD32F4" w:rsidRPr="007F3CAA" w14:paraId="7AE2E31E" w14:textId="77777777" w:rsidTr="00E078CC">
        <w:tc>
          <w:tcPr>
            <w:tcW w:w="0" w:type="auto"/>
            <w:tcBorders>
              <w:top w:val="nil"/>
              <w:left w:val="nil"/>
              <w:bottom w:val="nil"/>
              <w:right w:val="nil"/>
            </w:tcBorders>
          </w:tcPr>
          <w:p w14:paraId="61183965" w14:textId="77777777" w:rsidR="00FD32F4" w:rsidRDefault="00FD32F4" w:rsidP="00377F3A">
            <w:pPr>
              <w:pStyle w:val="TableText"/>
            </w:pPr>
          </w:p>
        </w:tc>
        <w:tc>
          <w:tcPr>
            <w:tcW w:w="0" w:type="auto"/>
            <w:tcBorders>
              <w:top w:val="nil"/>
              <w:left w:val="nil"/>
              <w:bottom w:val="single" w:sz="4" w:space="0" w:color="auto"/>
              <w:right w:val="nil"/>
            </w:tcBorders>
          </w:tcPr>
          <w:p w14:paraId="795EAF0E" w14:textId="77777777" w:rsidR="00FD32F4" w:rsidRDefault="00FD32F4" w:rsidP="00377F3A">
            <w:pPr>
              <w:pStyle w:val="TableText"/>
            </w:pPr>
          </w:p>
        </w:tc>
        <w:tc>
          <w:tcPr>
            <w:tcW w:w="0" w:type="auto"/>
            <w:tcBorders>
              <w:top w:val="nil"/>
              <w:left w:val="nil"/>
              <w:bottom w:val="single" w:sz="4" w:space="0" w:color="auto"/>
              <w:right w:val="nil"/>
            </w:tcBorders>
          </w:tcPr>
          <w:p w14:paraId="406EA459"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6FA3B256"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75FD7C6F"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189B9D72" w14:textId="77777777" w:rsidR="00FD32F4" w:rsidRPr="007F3CAA" w:rsidRDefault="00FD32F4" w:rsidP="00377F3A">
            <w:pPr>
              <w:pStyle w:val="TableText"/>
            </w:pPr>
            <w:r w:rsidRPr="007F3CAA">
              <w:t>0.035</w:t>
            </w:r>
          </w:p>
          <w:p w14:paraId="24F3E047" w14:textId="77777777" w:rsidR="00FD32F4" w:rsidRPr="007F3CAA" w:rsidRDefault="00FD32F4" w:rsidP="00377F3A">
            <w:pPr>
              <w:pStyle w:val="TableText"/>
            </w:pPr>
            <w:r w:rsidRPr="007F3CAA">
              <w:t>0.15</w:t>
            </w:r>
          </w:p>
        </w:tc>
        <w:tc>
          <w:tcPr>
            <w:tcW w:w="0" w:type="auto"/>
            <w:tcBorders>
              <w:top w:val="nil"/>
              <w:left w:val="nil"/>
              <w:bottom w:val="single" w:sz="4" w:space="0" w:color="auto"/>
              <w:right w:val="nil"/>
            </w:tcBorders>
          </w:tcPr>
          <w:p w14:paraId="3AEFD0AC" w14:textId="77777777" w:rsidR="00FD32F4" w:rsidRPr="007F3CAA" w:rsidRDefault="00FD32F4" w:rsidP="00377F3A">
            <w:pPr>
              <w:pStyle w:val="TableText"/>
            </w:pPr>
            <w:r w:rsidRPr="007F3CAA">
              <w:t>0.014</w:t>
            </w:r>
          </w:p>
          <w:p w14:paraId="1D2517E6" w14:textId="77777777" w:rsidR="00FD32F4" w:rsidRPr="007F3CAA" w:rsidRDefault="00FD32F4" w:rsidP="00377F3A">
            <w:pPr>
              <w:pStyle w:val="TableText"/>
            </w:pPr>
            <w:r w:rsidRPr="007F3CAA">
              <w:t>0.059</w:t>
            </w:r>
          </w:p>
        </w:tc>
        <w:tc>
          <w:tcPr>
            <w:tcW w:w="1551" w:type="dxa"/>
            <w:tcBorders>
              <w:top w:val="nil"/>
              <w:left w:val="nil"/>
              <w:bottom w:val="single" w:sz="4" w:space="0" w:color="auto"/>
              <w:right w:val="nil"/>
            </w:tcBorders>
          </w:tcPr>
          <w:p w14:paraId="33129BFC" w14:textId="77777777" w:rsidR="00FD32F4" w:rsidRPr="007F3CAA" w:rsidRDefault="00FD32F4" w:rsidP="00377F3A">
            <w:pPr>
              <w:pStyle w:val="TableText"/>
            </w:pPr>
            <w:r w:rsidRPr="007F3CAA">
              <w:t>Sachet/block/paste</w:t>
            </w:r>
          </w:p>
          <w:p w14:paraId="6BF6ECAF" w14:textId="77777777" w:rsidR="00FD32F4" w:rsidRPr="007F3CAA" w:rsidRDefault="00FD32F4" w:rsidP="00377F3A">
            <w:pPr>
              <w:pStyle w:val="TableText"/>
            </w:pPr>
            <w:r w:rsidRPr="007F3CAA">
              <w:t>Loose grain/pellets</w:t>
            </w:r>
          </w:p>
        </w:tc>
      </w:tr>
      <w:tr w:rsidR="00FD32F4" w:rsidRPr="007F3CAA" w14:paraId="62DEBB4A" w14:textId="77777777" w:rsidTr="00E078CC">
        <w:tc>
          <w:tcPr>
            <w:tcW w:w="0" w:type="auto"/>
            <w:tcBorders>
              <w:top w:val="single" w:sz="4" w:space="0" w:color="auto"/>
              <w:left w:val="nil"/>
              <w:bottom w:val="nil"/>
              <w:right w:val="nil"/>
            </w:tcBorders>
          </w:tcPr>
          <w:p w14:paraId="6D2FE550" w14:textId="77777777" w:rsidR="00FD32F4" w:rsidRDefault="00FD32F4" w:rsidP="00377F3A">
            <w:pPr>
              <w:pStyle w:val="TableText"/>
            </w:pPr>
            <w:r>
              <w:t>Flocoumafen</w:t>
            </w:r>
          </w:p>
        </w:tc>
        <w:tc>
          <w:tcPr>
            <w:tcW w:w="0" w:type="auto"/>
            <w:tcBorders>
              <w:top w:val="single" w:sz="4" w:space="0" w:color="auto"/>
              <w:left w:val="nil"/>
              <w:bottom w:val="nil"/>
              <w:right w:val="nil"/>
            </w:tcBorders>
          </w:tcPr>
          <w:p w14:paraId="617D3229" w14:textId="77777777" w:rsidR="00FD32F4" w:rsidRDefault="00FD32F4" w:rsidP="00377F3A">
            <w:pPr>
              <w:pStyle w:val="TableText"/>
            </w:pPr>
            <w:r>
              <w:t>In and around buildings</w:t>
            </w:r>
          </w:p>
        </w:tc>
        <w:tc>
          <w:tcPr>
            <w:tcW w:w="0" w:type="auto"/>
            <w:tcBorders>
              <w:top w:val="single" w:sz="4" w:space="0" w:color="auto"/>
              <w:left w:val="nil"/>
              <w:bottom w:val="nil"/>
              <w:right w:val="nil"/>
            </w:tcBorders>
          </w:tcPr>
          <w:p w14:paraId="0B527674" w14:textId="4665F7FC" w:rsidR="00FD32F4" w:rsidRDefault="00FD32F4" w:rsidP="00023AC9">
            <w:pPr>
              <w:pStyle w:val="TableText"/>
            </w:pPr>
            <w:r>
              <w:t xml:space="preserve">Amount used at each refill </w:t>
            </w:r>
            <w:r w:rsidR="00023AC9">
              <w:br/>
            </w:r>
            <w:r>
              <w:t>for one bait station</w:t>
            </w:r>
          </w:p>
        </w:tc>
        <w:tc>
          <w:tcPr>
            <w:tcW w:w="0" w:type="auto"/>
            <w:tcBorders>
              <w:top w:val="single" w:sz="4" w:space="0" w:color="auto"/>
              <w:left w:val="nil"/>
              <w:bottom w:val="nil"/>
              <w:right w:val="nil"/>
            </w:tcBorders>
          </w:tcPr>
          <w:p w14:paraId="7596F75C" w14:textId="77777777" w:rsidR="00FD32F4" w:rsidRPr="005D6879" w:rsidRDefault="00FD32F4" w:rsidP="00377F3A">
            <w:pPr>
              <w:pStyle w:val="TableText"/>
            </w:pPr>
            <w:r w:rsidRPr="005D6879">
              <w:t>Q</w:t>
            </w:r>
            <w:r w:rsidRPr="005D6879">
              <w:rPr>
                <w:vertAlign w:val="subscript"/>
              </w:rPr>
              <w:t>ac</w:t>
            </w:r>
          </w:p>
        </w:tc>
        <w:tc>
          <w:tcPr>
            <w:tcW w:w="794" w:type="dxa"/>
            <w:tcBorders>
              <w:top w:val="single" w:sz="4" w:space="0" w:color="auto"/>
              <w:left w:val="nil"/>
              <w:bottom w:val="nil"/>
              <w:right w:val="nil"/>
            </w:tcBorders>
          </w:tcPr>
          <w:p w14:paraId="3B9C7F9B" w14:textId="557E1BCF" w:rsidR="00FD32F4" w:rsidRPr="005D6879" w:rsidRDefault="00FD32F4" w:rsidP="00377F3A">
            <w:pPr>
              <w:pStyle w:val="TableText"/>
            </w:pPr>
            <w:r w:rsidRPr="005D6879">
              <w:t>g a</w:t>
            </w:r>
            <w:r w:rsidR="00C874AD">
              <w:t>.</w:t>
            </w:r>
            <w:r w:rsidRPr="005D6879">
              <w:t>c</w:t>
            </w:r>
            <w:r w:rsidR="00C874AD">
              <w:t>.</w:t>
            </w:r>
          </w:p>
        </w:tc>
        <w:tc>
          <w:tcPr>
            <w:tcW w:w="0" w:type="auto"/>
            <w:tcBorders>
              <w:top w:val="single" w:sz="4" w:space="0" w:color="auto"/>
              <w:left w:val="nil"/>
              <w:bottom w:val="nil"/>
              <w:right w:val="nil"/>
            </w:tcBorders>
          </w:tcPr>
          <w:p w14:paraId="7DD82875" w14:textId="77777777" w:rsidR="00FD32F4" w:rsidRPr="007F3CAA" w:rsidRDefault="00FD32F4" w:rsidP="00377F3A">
            <w:pPr>
              <w:pStyle w:val="TableText"/>
            </w:pPr>
            <w:r w:rsidRPr="007F3CAA">
              <w:t>0.0040</w:t>
            </w:r>
          </w:p>
          <w:p w14:paraId="689517D2" w14:textId="77777777" w:rsidR="00FD32F4" w:rsidRPr="007F3CAA" w:rsidRDefault="00FD32F4" w:rsidP="00377F3A">
            <w:pPr>
              <w:pStyle w:val="TableText"/>
            </w:pPr>
            <w:r w:rsidRPr="007F3CAA">
              <w:t>0.0023</w:t>
            </w:r>
          </w:p>
        </w:tc>
        <w:tc>
          <w:tcPr>
            <w:tcW w:w="0" w:type="auto"/>
            <w:tcBorders>
              <w:top w:val="single" w:sz="4" w:space="0" w:color="auto"/>
              <w:left w:val="nil"/>
              <w:bottom w:val="nil"/>
              <w:right w:val="nil"/>
            </w:tcBorders>
          </w:tcPr>
          <w:p w14:paraId="3ABFD54A" w14:textId="77777777" w:rsidR="00FD32F4" w:rsidRPr="007F3CAA" w:rsidRDefault="00FD32F4" w:rsidP="00377F3A">
            <w:pPr>
              <w:pStyle w:val="TableText"/>
            </w:pPr>
            <w:r w:rsidRPr="007F3CAA">
              <w:t>0.0023</w:t>
            </w:r>
          </w:p>
          <w:p w14:paraId="6C665757" w14:textId="77777777" w:rsidR="00FD32F4" w:rsidRPr="007F3CAA" w:rsidRDefault="00FD32F4" w:rsidP="00377F3A">
            <w:pPr>
              <w:pStyle w:val="TableText"/>
            </w:pPr>
            <w:r w:rsidRPr="007F3CAA">
              <w:t>0.00076</w:t>
            </w:r>
          </w:p>
        </w:tc>
        <w:tc>
          <w:tcPr>
            <w:tcW w:w="1551" w:type="dxa"/>
            <w:tcBorders>
              <w:top w:val="single" w:sz="4" w:space="0" w:color="auto"/>
              <w:left w:val="nil"/>
              <w:bottom w:val="nil"/>
              <w:right w:val="nil"/>
            </w:tcBorders>
          </w:tcPr>
          <w:p w14:paraId="2D318E2E" w14:textId="77777777" w:rsidR="00FD32F4" w:rsidRPr="007F3CAA" w:rsidRDefault="00FD32F4" w:rsidP="00377F3A">
            <w:pPr>
              <w:pStyle w:val="TableText"/>
            </w:pPr>
            <w:r w:rsidRPr="007F3CAA">
              <w:t>Sachet/block/paste</w:t>
            </w:r>
          </w:p>
          <w:p w14:paraId="61285200" w14:textId="77777777" w:rsidR="00FD32F4" w:rsidRPr="007F3CAA" w:rsidRDefault="00FD32F4" w:rsidP="00377F3A">
            <w:pPr>
              <w:pStyle w:val="TableText"/>
            </w:pPr>
            <w:r w:rsidRPr="007F3CAA">
              <w:t>Loose grain/pellets</w:t>
            </w:r>
          </w:p>
        </w:tc>
      </w:tr>
      <w:tr w:rsidR="00FD32F4" w:rsidRPr="007F3CAA" w14:paraId="22F3AC4E" w14:textId="77777777" w:rsidTr="00E078CC">
        <w:tc>
          <w:tcPr>
            <w:tcW w:w="0" w:type="auto"/>
            <w:tcBorders>
              <w:top w:val="nil"/>
              <w:left w:val="nil"/>
              <w:bottom w:val="nil"/>
              <w:right w:val="nil"/>
            </w:tcBorders>
          </w:tcPr>
          <w:p w14:paraId="15C3F84D" w14:textId="77777777" w:rsidR="00FD32F4" w:rsidRDefault="00FD32F4" w:rsidP="00377F3A">
            <w:pPr>
              <w:pStyle w:val="TableText"/>
            </w:pPr>
          </w:p>
        </w:tc>
        <w:tc>
          <w:tcPr>
            <w:tcW w:w="0" w:type="auto"/>
            <w:tcBorders>
              <w:top w:val="nil"/>
              <w:left w:val="nil"/>
              <w:bottom w:val="nil"/>
              <w:right w:val="nil"/>
            </w:tcBorders>
          </w:tcPr>
          <w:p w14:paraId="1A196376" w14:textId="77777777" w:rsidR="00FD32F4" w:rsidRDefault="00FD32F4" w:rsidP="00377F3A">
            <w:pPr>
              <w:pStyle w:val="TableText"/>
            </w:pPr>
          </w:p>
        </w:tc>
        <w:tc>
          <w:tcPr>
            <w:tcW w:w="0" w:type="auto"/>
            <w:tcBorders>
              <w:top w:val="nil"/>
              <w:left w:val="nil"/>
              <w:bottom w:val="nil"/>
              <w:right w:val="nil"/>
            </w:tcBorders>
          </w:tcPr>
          <w:p w14:paraId="150AE4B9" w14:textId="5459751B" w:rsidR="00FD32F4" w:rsidRDefault="00FD32F4" w:rsidP="00023AC9">
            <w:pPr>
              <w:pStyle w:val="TableText"/>
            </w:pPr>
            <w:r>
              <w:t xml:space="preserve">Local soil concentration </w:t>
            </w:r>
            <w:r w:rsidR="00023AC9">
              <w:br/>
            </w:r>
            <w:r>
              <w:t>(in buildings)</w:t>
            </w:r>
          </w:p>
        </w:tc>
        <w:tc>
          <w:tcPr>
            <w:tcW w:w="0" w:type="auto"/>
            <w:tcBorders>
              <w:top w:val="nil"/>
              <w:left w:val="nil"/>
              <w:bottom w:val="nil"/>
              <w:right w:val="nil"/>
            </w:tcBorders>
          </w:tcPr>
          <w:p w14:paraId="5DF554C3" w14:textId="77777777" w:rsidR="00FD32F4" w:rsidRPr="005D6879" w:rsidRDefault="00FD32F4" w:rsidP="00377F3A">
            <w:pPr>
              <w:pStyle w:val="TableText"/>
            </w:pPr>
            <w:r w:rsidRPr="005D6879">
              <w:t>PEC</w:t>
            </w:r>
          </w:p>
        </w:tc>
        <w:tc>
          <w:tcPr>
            <w:tcW w:w="794" w:type="dxa"/>
            <w:tcBorders>
              <w:top w:val="nil"/>
              <w:left w:val="nil"/>
              <w:bottom w:val="nil"/>
              <w:right w:val="nil"/>
            </w:tcBorders>
          </w:tcPr>
          <w:p w14:paraId="27C1A897" w14:textId="77777777" w:rsidR="00FD32F4" w:rsidRPr="005D6879" w:rsidRDefault="00FD32F4" w:rsidP="00377F3A">
            <w:pPr>
              <w:pStyle w:val="TableText"/>
            </w:pPr>
            <w:r w:rsidRPr="005D6879">
              <w:t>mg/kg ds</w:t>
            </w:r>
          </w:p>
        </w:tc>
        <w:tc>
          <w:tcPr>
            <w:tcW w:w="0" w:type="auto"/>
            <w:tcBorders>
              <w:top w:val="nil"/>
              <w:left w:val="nil"/>
              <w:bottom w:val="nil"/>
              <w:right w:val="nil"/>
            </w:tcBorders>
          </w:tcPr>
          <w:p w14:paraId="4B6D63F9" w14:textId="77777777" w:rsidR="00FD32F4" w:rsidRPr="007F3CAA" w:rsidRDefault="00FD32F4" w:rsidP="00377F3A">
            <w:pPr>
              <w:pStyle w:val="TableText"/>
            </w:pPr>
            <w:r w:rsidRPr="007F3CAA">
              <w:t>0.0016</w:t>
            </w:r>
          </w:p>
          <w:p w14:paraId="3EA12D5C" w14:textId="77777777" w:rsidR="00FD32F4" w:rsidRPr="007F3CAA" w:rsidRDefault="00FD32F4" w:rsidP="00377F3A">
            <w:pPr>
              <w:pStyle w:val="TableText"/>
            </w:pPr>
            <w:r w:rsidRPr="007F3CAA">
              <w:t>0.00094</w:t>
            </w:r>
          </w:p>
        </w:tc>
        <w:tc>
          <w:tcPr>
            <w:tcW w:w="0" w:type="auto"/>
            <w:tcBorders>
              <w:top w:val="nil"/>
              <w:left w:val="nil"/>
              <w:bottom w:val="nil"/>
              <w:right w:val="nil"/>
            </w:tcBorders>
          </w:tcPr>
          <w:p w14:paraId="4855FD76" w14:textId="77777777" w:rsidR="00FD32F4" w:rsidRPr="007F3CAA" w:rsidRDefault="00FD32F4" w:rsidP="00377F3A">
            <w:pPr>
              <w:pStyle w:val="TableText"/>
            </w:pPr>
            <w:r w:rsidRPr="007F3CAA">
              <w:t>0.00094</w:t>
            </w:r>
          </w:p>
          <w:p w14:paraId="25E965F2" w14:textId="77777777" w:rsidR="00FD32F4" w:rsidRPr="007F3CAA" w:rsidRDefault="00FD32F4" w:rsidP="00377F3A">
            <w:pPr>
              <w:pStyle w:val="TableText"/>
            </w:pPr>
            <w:r w:rsidRPr="007F3CAA">
              <w:t>0.00031</w:t>
            </w:r>
          </w:p>
        </w:tc>
        <w:tc>
          <w:tcPr>
            <w:tcW w:w="1551" w:type="dxa"/>
            <w:tcBorders>
              <w:top w:val="nil"/>
              <w:left w:val="nil"/>
              <w:bottom w:val="nil"/>
              <w:right w:val="nil"/>
            </w:tcBorders>
          </w:tcPr>
          <w:p w14:paraId="05F8B2BC" w14:textId="77777777" w:rsidR="00FD32F4" w:rsidRPr="007F3CAA" w:rsidRDefault="00FD32F4" w:rsidP="00377F3A">
            <w:pPr>
              <w:pStyle w:val="TableText"/>
            </w:pPr>
            <w:r w:rsidRPr="007F3CAA">
              <w:t>Sachet/block/paste</w:t>
            </w:r>
          </w:p>
          <w:p w14:paraId="30ED8427" w14:textId="77777777" w:rsidR="00FD32F4" w:rsidRPr="007F3CAA" w:rsidRDefault="00FD32F4" w:rsidP="00377F3A">
            <w:pPr>
              <w:pStyle w:val="TableText"/>
            </w:pPr>
            <w:r w:rsidRPr="007F3CAA">
              <w:t>Loose grain/pellets</w:t>
            </w:r>
          </w:p>
        </w:tc>
      </w:tr>
      <w:tr w:rsidR="00FD32F4" w:rsidRPr="007F3CAA" w14:paraId="6DF7772F" w14:textId="77777777" w:rsidTr="00E078CC">
        <w:tc>
          <w:tcPr>
            <w:tcW w:w="0" w:type="auto"/>
            <w:tcBorders>
              <w:top w:val="nil"/>
              <w:left w:val="nil"/>
              <w:bottom w:val="nil"/>
              <w:right w:val="nil"/>
            </w:tcBorders>
          </w:tcPr>
          <w:p w14:paraId="7925E188" w14:textId="77777777" w:rsidR="00FD32F4" w:rsidRDefault="00FD32F4" w:rsidP="00377F3A">
            <w:pPr>
              <w:pStyle w:val="TableText"/>
            </w:pPr>
          </w:p>
        </w:tc>
        <w:tc>
          <w:tcPr>
            <w:tcW w:w="0" w:type="auto"/>
            <w:tcBorders>
              <w:top w:val="nil"/>
              <w:left w:val="nil"/>
              <w:bottom w:val="single" w:sz="4" w:space="0" w:color="auto"/>
              <w:right w:val="nil"/>
            </w:tcBorders>
          </w:tcPr>
          <w:p w14:paraId="3D4A1D43" w14:textId="77777777" w:rsidR="00FD32F4" w:rsidRDefault="00FD32F4" w:rsidP="00377F3A">
            <w:pPr>
              <w:pStyle w:val="TableText"/>
            </w:pPr>
          </w:p>
        </w:tc>
        <w:tc>
          <w:tcPr>
            <w:tcW w:w="0" w:type="auto"/>
            <w:tcBorders>
              <w:top w:val="nil"/>
              <w:left w:val="nil"/>
              <w:bottom w:val="single" w:sz="4" w:space="0" w:color="auto"/>
              <w:right w:val="nil"/>
            </w:tcBorders>
          </w:tcPr>
          <w:p w14:paraId="5F515ABF" w14:textId="77777777" w:rsidR="00FD32F4" w:rsidRDefault="00FD32F4" w:rsidP="00377F3A">
            <w:pPr>
              <w:pStyle w:val="TableText"/>
            </w:pPr>
            <w:r>
              <w:t>Local soil concentration (around buildings)</w:t>
            </w:r>
          </w:p>
        </w:tc>
        <w:tc>
          <w:tcPr>
            <w:tcW w:w="0" w:type="auto"/>
            <w:tcBorders>
              <w:top w:val="nil"/>
              <w:left w:val="nil"/>
              <w:bottom w:val="single" w:sz="4" w:space="0" w:color="auto"/>
              <w:right w:val="nil"/>
            </w:tcBorders>
          </w:tcPr>
          <w:p w14:paraId="4F132F32" w14:textId="77777777" w:rsidR="00FD32F4" w:rsidRPr="005D6879" w:rsidRDefault="00FD32F4" w:rsidP="00377F3A">
            <w:pPr>
              <w:pStyle w:val="TableText"/>
            </w:pPr>
            <w:r w:rsidRPr="005D6879">
              <w:t>PEC</w:t>
            </w:r>
          </w:p>
        </w:tc>
        <w:tc>
          <w:tcPr>
            <w:tcW w:w="794" w:type="dxa"/>
            <w:tcBorders>
              <w:top w:val="nil"/>
              <w:left w:val="nil"/>
              <w:bottom w:val="single" w:sz="4" w:space="0" w:color="auto"/>
              <w:right w:val="nil"/>
            </w:tcBorders>
          </w:tcPr>
          <w:p w14:paraId="2E067AE4" w14:textId="77777777" w:rsidR="00FD32F4" w:rsidRPr="005D6879" w:rsidRDefault="00FD32F4" w:rsidP="00377F3A">
            <w:pPr>
              <w:pStyle w:val="TableText"/>
            </w:pPr>
            <w:r w:rsidRPr="005D6879">
              <w:t>mg/kg ds</w:t>
            </w:r>
          </w:p>
        </w:tc>
        <w:tc>
          <w:tcPr>
            <w:tcW w:w="0" w:type="auto"/>
            <w:tcBorders>
              <w:top w:val="nil"/>
              <w:left w:val="nil"/>
              <w:bottom w:val="single" w:sz="4" w:space="0" w:color="auto"/>
              <w:right w:val="nil"/>
            </w:tcBorders>
          </w:tcPr>
          <w:p w14:paraId="49A53B9E" w14:textId="77777777" w:rsidR="00FD32F4" w:rsidRPr="007F3CAA" w:rsidRDefault="00FD32F4" w:rsidP="00377F3A">
            <w:pPr>
              <w:pStyle w:val="TableText"/>
            </w:pPr>
            <w:r w:rsidRPr="007F3CAA">
              <w:t>0.034</w:t>
            </w:r>
          </w:p>
          <w:p w14:paraId="62ECFE7A" w14:textId="77777777" w:rsidR="00FD32F4" w:rsidRPr="007F3CAA" w:rsidRDefault="00FD32F4" w:rsidP="00377F3A">
            <w:pPr>
              <w:pStyle w:val="TableText"/>
            </w:pPr>
            <w:r w:rsidRPr="007F3CAA">
              <w:t>0.088</w:t>
            </w:r>
          </w:p>
        </w:tc>
        <w:tc>
          <w:tcPr>
            <w:tcW w:w="0" w:type="auto"/>
            <w:tcBorders>
              <w:top w:val="nil"/>
              <w:left w:val="nil"/>
              <w:bottom w:val="single" w:sz="4" w:space="0" w:color="auto"/>
              <w:right w:val="nil"/>
            </w:tcBorders>
          </w:tcPr>
          <w:p w14:paraId="38EB859B" w14:textId="77777777" w:rsidR="00FD32F4" w:rsidRPr="007F3CAA" w:rsidRDefault="00FD32F4" w:rsidP="00377F3A">
            <w:pPr>
              <w:pStyle w:val="TableText"/>
            </w:pPr>
            <w:r w:rsidRPr="007F3CAA">
              <w:t>0.022</w:t>
            </w:r>
          </w:p>
          <w:p w14:paraId="3E716BBE" w14:textId="77777777" w:rsidR="00FD32F4" w:rsidRPr="007F3CAA" w:rsidRDefault="00FD32F4" w:rsidP="00377F3A">
            <w:pPr>
              <w:pStyle w:val="TableText"/>
            </w:pPr>
            <w:r w:rsidRPr="007F3CAA">
              <w:t>0.030</w:t>
            </w:r>
          </w:p>
        </w:tc>
        <w:tc>
          <w:tcPr>
            <w:tcW w:w="1551" w:type="dxa"/>
            <w:tcBorders>
              <w:top w:val="nil"/>
              <w:left w:val="nil"/>
              <w:bottom w:val="single" w:sz="4" w:space="0" w:color="auto"/>
              <w:right w:val="nil"/>
            </w:tcBorders>
          </w:tcPr>
          <w:p w14:paraId="203F2919" w14:textId="77777777" w:rsidR="00FD32F4" w:rsidRPr="007F3CAA" w:rsidRDefault="00FD32F4" w:rsidP="00377F3A">
            <w:pPr>
              <w:pStyle w:val="TableText"/>
            </w:pPr>
            <w:r w:rsidRPr="007F3CAA">
              <w:t>Sachet/block/paste</w:t>
            </w:r>
          </w:p>
          <w:p w14:paraId="32186C17" w14:textId="77777777" w:rsidR="00FD32F4" w:rsidRPr="007F3CAA" w:rsidRDefault="00FD32F4" w:rsidP="00377F3A">
            <w:pPr>
              <w:pStyle w:val="TableText"/>
            </w:pPr>
            <w:r w:rsidRPr="007F3CAA">
              <w:t>Loose grain/pellets</w:t>
            </w:r>
          </w:p>
        </w:tc>
      </w:tr>
      <w:tr w:rsidR="00FD32F4" w:rsidRPr="00401380" w14:paraId="0824BFBD" w14:textId="77777777" w:rsidTr="00E078CC">
        <w:tc>
          <w:tcPr>
            <w:tcW w:w="9696" w:type="dxa"/>
            <w:gridSpan w:val="8"/>
            <w:tcBorders>
              <w:top w:val="single" w:sz="4" w:space="0" w:color="auto"/>
              <w:left w:val="nil"/>
              <w:bottom w:val="nil"/>
              <w:right w:val="nil"/>
            </w:tcBorders>
          </w:tcPr>
          <w:p w14:paraId="49A43531" w14:textId="0A20BFFE" w:rsidR="00FD32F4" w:rsidRPr="00FA7FFB" w:rsidRDefault="00FD32F4" w:rsidP="00E078CC">
            <w:pPr>
              <w:pStyle w:val="BodyText"/>
              <w:widowControl w:val="0"/>
              <w:spacing w:after="0"/>
              <w:rPr>
                <w:rFonts w:ascii="Arial" w:hAnsi="Arial" w:cs="Arial"/>
                <w:sz w:val="17"/>
                <w:szCs w:val="17"/>
              </w:rPr>
            </w:pPr>
            <w:r w:rsidRPr="00FA7FFB">
              <w:rPr>
                <w:rFonts w:ascii="Arial" w:hAnsi="Arial" w:cs="Arial"/>
                <w:sz w:val="17"/>
                <w:szCs w:val="17"/>
              </w:rPr>
              <w:t>Q</w:t>
            </w:r>
            <w:r w:rsidRPr="00FA7FFB">
              <w:rPr>
                <w:rFonts w:ascii="Arial" w:hAnsi="Arial" w:cs="Arial"/>
                <w:sz w:val="17"/>
                <w:szCs w:val="17"/>
                <w:vertAlign w:val="subscript"/>
              </w:rPr>
              <w:t>ac</w:t>
            </w:r>
            <w:r w:rsidRPr="00FA7FFB">
              <w:rPr>
                <w:rFonts w:ascii="Arial" w:hAnsi="Arial" w:cs="Arial"/>
                <w:sz w:val="17"/>
                <w:szCs w:val="17"/>
              </w:rPr>
              <w:t xml:space="preserve"> values from</w:t>
            </w:r>
            <w:r w:rsidR="00261C70">
              <w:rPr>
                <w:rFonts w:ascii="Arial" w:hAnsi="Arial" w:cs="Arial"/>
                <w:sz w:val="17"/>
                <w:szCs w:val="17"/>
              </w:rPr>
              <w:t xml:space="preserve"> </w:t>
            </w:r>
            <w:r w:rsidR="00261C70">
              <w:rPr>
                <w:rFonts w:ascii="Arial" w:hAnsi="Arial" w:cs="Arial"/>
                <w:sz w:val="17"/>
                <w:szCs w:val="17"/>
              </w:rPr>
              <w:fldChar w:fldCharType="begin"/>
            </w:r>
            <w:r w:rsidR="00261C70">
              <w:rPr>
                <w:rFonts w:ascii="Arial" w:hAnsi="Arial" w:cs="Arial"/>
                <w:sz w:val="17"/>
                <w:szCs w:val="17"/>
              </w:rPr>
              <w:instrText xml:space="preserve"> REF _Ref213317887 \h  \* MERGEFORMAT </w:instrText>
            </w:r>
            <w:r w:rsidR="00261C70">
              <w:rPr>
                <w:rFonts w:ascii="Arial" w:hAnsi="Arial" w:cs="Arial"/>
                <w:sz w:val="17"/>
                <w:szCs w:val="17"/>
              </w:rPr>
            </w:r>
            <w:r w:rsidR="00261C70">
              <w:rPr>
                <w:rFonts w:ascii="Arial" w:hAnsi="Arial" w:cs="Arial"/>
                <w:sz w:val="17"/>
                <w:szCs w:val="17"/>
              </w:rPr>
              <w:fldChar w:fldCharType="separate"/>
            </w:r>
            <w:r w:rsidR="003861AC" w:rsidRPr="003861AC">
              <w:rPr>
                <w:rFonts w:ascii="Arial" w:hAnsi="Arial" w:cs="Arial"/>
                <w:sz w:val="17"/>
                <w:szCs w:val="17"/>
              </w:rPr>
              <w:t>Table 46</w:t>
            </w:r>
            <w:r w:rsidR="00261C70">
              <w:rPr>
                <w:rFonts w:ascii="Arial" w:hAnsi="Arial" w:cs="Arial"/>
                <w:sz w:val="17"/>
                <w:szCs w:val="17"/>
              </w:rPr>
              <w:fldChar w:fldCharType="end"/>
            </w:r>
            <w:r w:rsidR="00261C70">
              <w:rPr>
                <w:rFonts w:ascii="Arial" w:hAnsi="Arial" w:cs="Arial"/>
                <w:sz w:val="17"/>
                <w:szCs w:val="17"/>
              </w:rPr>
              <w:t xml:space="preserve"> and </w:t>
            </w:r>
            <w:r w:rsidR="00261C70">
              <w:rPr>
                <w:rFonts w:ascii="Arial" w:hAnsi="Arial" w:cs="Arial"/>
                <w:sz w:val="17"/>
                <w:szCs w:val="17"/>
              </w:rPr>
              <w:fldChar w:fldCharType="begin"/>
            </w:r>
            <w:r w:rsidR="00261C70">
              <w:rPr>
                <w:rFonts w:ascii="Arial" w:hAnsi="Arial" w:cs="Arial"/>
                <w:sz w:val="17"/>
                <w:szCs w:val="17"/>
              </w:rPr>
              <w:instrText xml:space="preserve"> REF _Ref213317938 \h  \* MERGEFORMAT </w:instrText>
            </w:r>
            <w:r w:rsidR="00261C70">
              <w:rPr>
                <w:rFonts w:ascii="Arial" w:hAnsi="Arial" w:cs="Arial"/>
                <w:sz w:val="17"/>
                <w:szCs w:val="17"/>
              </w:rPr>
            </w:r>
            <w:r w:rsidR="00261C70">
              <w:rPr>
                <w:rFonts w:ascii="Arial" w:hAnsi="Arial" w:cs="Arial"/>
                <w:sz w:val="17"/>
                <w:szCs w:val="17"/>
              </w:rPr>
              <w:fldChar w:fldCharType="separate"/>
            </w:r>
            <w:r w:rsidR="003861AC" w:rsidRPr="003861AC">
              <w:rPr>
                <w:rFonts w:ascii="Arial" w:hAnsi="Arial" w:cs="Arial"/>
                <w:sz w:val="17"/>
                <w:szCs w:val="17"/>
              </w:rPr>
              <w:t>Table 47</w:t>
            </w:r>
            <w:r w:rsidR="00261C70">
              <w:rPr>
                <w:rFonts w:ascii="Arial" w:hAnsi="Arial" w:cs="Arial"/>
                <w:sz w:val="17"/>
                <w:szCs w:val="17"/>
              </w:rPr>
              <w:fldChar w:fldCharType="end"/>
            </w:r>
          </w:p>
          <w:p w14:paraId="3B998107" w14:textId="06A0F46D" w:rsidR="00FD32F4" w:rsidRPr="00FA7FFB" w:rsidRDefault="00FD32F4" w:rsidP="00E078CC">
            <w:pPr>
              <w:pStyle w:val="BodyText"/>
              <w:widowControl w:val="0"/>
              <w:spacing w:after="0"/>
              <w:rPr>
                <w:rFonts w:ascii="Arial" w:hAnsi="Arial" w:cs="Arial"/>
                <w:sz w:val="17"/>
                <w:szCs w:val="17"/>
              </w:rPr>
            </w:pPr>
            <w:r w:rsidRPr="00FA7FFB">
              <w:rPr>
                <w:rFonts w:ascii="Arial" w:hAnsi="Arial" w:cs="Arial"/>
                <w:sz w:val="17"/>
                <w:szCs w:val="17"/>
              </w:rPr>
              <w:t>Use in buildings PEC = Q</w:t>
            </w:r>
            <w:r w:rsidRPr="00FA7FFB">
              <w:rPr>
                <w:rFonts w:ascii="Arial" w:hAnsi="Arial" w:cs="Arial"/>
                <w:sz w:val="17"/>
                <w:szCs w:val="17"/>
                <w:vertAlign w:val="subscript"/>
              </w:rPr>
              <w:t>ac</w:t>
            </w:r>
            <w:r w:rsidRPr="00FA7FFB">
              <w:rPr>
                <w:rFonts w:ascii="Arial" w:hAnsi="Arial" w:cs="Arial"/>
                <w:sz w:val="17"/>
                <w:szCs w:val="17"/>
              </w:rPr>
              <w:t xml:space="preserve"> * N</w:t>
            </w:r>
            <w:r w:rsidRPr="00FA7FFB">
              <w:rPr>
                <w:rFonts w:ascii="Arial" w:hAnsi="Arial" w:cs="Arial"/>
                <w:sz w:val="17"/>
                <w:szCs w:val="17"/>
                <w:vertAlign w:val="subscript"/>
              </w:rPr>
              <w:t>sites</w:t>
            </w:r>
            <w:r w:rsidRPr="00FA7FFB">
              <w:rPr>
                <w:rFonts w:ascii="Arial" w:hAnsi="Arial" w:cs="Arial"/>
                <w:sz w:val="17"/>
                <w:szCs w:val="17"/>
              </w:rPr>
              <w:t xml:space="preserve"> * N</w:t>
            </w:r>
            <w:r w:rsidRPr="00FA7FFB">
              <w:rPr>
                <w:rFonts w:ascii="Arial" w:hAnsi="Arial" w:cs="Arial"/>
                <w:sz w:val="17"/>
                <w:szCs w:val="17"/>
                <w:vertAlign w:val="subscript"/>
              </w:rPr>
              <w:t>appl</w:t>
            </w:r>
            <w:r w:rsidRPr="00FA7FFB">
              <w:rPr>
                <w:rFonts w:ascii="Arial" w:hAnsi="Arial" w:cs="Arial"/>
                <w:sz w:val="17"/>
                <w:szCs w:val="17"/>
              </w:rPr>
              <w:t xml:space="preserve"> * F</w:t>
            </w:r>
            <w:r w:rsidRPr="00FA7FFB">
              <w:rPr>
                <w:rFonts w:ascii="Arial" w:hAnsi="Arial" w:cs="Arial"/>
                <w:sz w:val="17"/>
                <w:szCs w:val="17"/>
                <w:vertAlign w:val="subscript"/>
              </w:rPr>
              <w:t>released-ID,soil</w:t>
            </w:r>
            <w:r w:rsidRPr="00FA7FFB">
              <w:rPr>
                <w:rFonts w:ascii="Arial" w:hAnsi="Arial" w:cs="Arial"/>
                <w:sz w:val="17"/>
                <w:szCs w:val="17"/>
              </w:rPr>
              <w:t xml:space="preserve"> * 10</w:t>
            </w:r>
            <w:r w:rsidRPr="00FA7FFB">
              <w:rPr>
                <w:rFonts w:ascii="Arial" w:hAnsi="Arial" w:cs="Arial"/>
                <w:sz w:val="17"/>
                <w:szCs w:val="17"/>
                <w:vertAlign w:val="superscript"/>
              </w:rPr>
              <w:t>3</w:t>
            </w:r>
            <w:r w:rsidRPr="00FA7FFB">
              <w:rPr>
                <w:rFonts w:ascii="Arial" w:hAnsi="Arial" w:cs="Arial"/>
                <w:sz w:val="17"/>
                <w:szCs w:val="17"/>
              </w:rPr>
              <w:t xml:space="preserve"> / (AREA</w:t>
            </w:r>
            <w:r w:rsidRPr="00FA7FFB">
              <w:rPr>
                <w:rFonts w:ascii="Arial" w:hAnsi="Arial" w:cs="Arial"/>
                <w:sz w:val="17"/>
                <w:szCs w:val="17"/>
                <w:vertAlign w:val="subscript"/>
              </w:rPr>
              <w:t xml:space="preserve">exposed-ID </w:t>
            </w:r>
            <w:r w:rsidRPr="00FA7FFB">
              <w:rPr>
                <w:rFonts w:ascii="Arial" w:hAnsi="Arial" w:cs="Arial"/>
                <w:sz w:val="17"/>
                <w:szCs w:val="17"/>
              </w:rPr>
              <w:t>* DEPTH</w:t>
            </w:r>
            <w:r w:rsidRPr="00FA7FFB">
              <w:rPr>
                <w:rFonts w:ascii="Arial" w:hAnsi="Arial" w:cs="Arial"/>
                <w:sz w:val="17"/>
                <w:szCs w:val="17"/>
                <w:vertAlign w:val="subscript"/>
              </w:rPr>
              <w:t>soil</w:t>
            </w:r>
            <w:r w:rsidRPr="00FA7FFB">
              <w:rPr>
                <w:rFonts w:ascii="Arial" w:hAnsi="Arial" w:cs="Arial"/>
                <w:sz w:val="17"/>
                <w:szCs w:val="17"/>
              </w:rPr>
              <w:t xml:space="preserve"> * RHO</w:t>
            </w:r>
            <w:r w:rsidRPr="00FA7FFB">
              <w:rPr>
                <w:rFonts w:ascii="Arial" w:hAnsi="Arial" w:cs="Arial"/>
                <w:sz w:val="17"/>
                <w:szCs w:val="17"/>
                <w:vertAlign w:val="subscript"/>
              </w:rPr>
              <w:t>soil</w:t>
            </w:r>
            <w:r w:rsidRPr="00FA7FFB">
              <w:rPr>
                <w:rFonts w:ascii="Arial" w:hAnsi="Arial" w:cs="Arial"/>
                <w:sz w:val="17"/>
                <w:szCs w:val="17"/>
              </w:rPr>
              <w:t>)</w:t>
            </w:r>
          </w:p>
          <w:p w14:paraId="0AF7B66C" w14:textId="67CDAC66" w:rsidR="00FD32F4" w:rsidRPr="00FA7FFB" w:rsidRDefault="00FD32F4" w:rsidP="00E078CC">
            <w:pPr>
              <w:pStyle w:val="BodyText"/>
              <w:widowControl w:val="0"/>
              <w:spacing w:after="0"/>
              <w:rPr>
                <w:rFonts w:ascii="Arial" w:hAnsi="Arial" w:cs="Arial"/>
                <w:sz w:val="17"/>
                <w:szCs w:val="17"/>
              </w:rPr>
            </w:pPr>
            <w:r w:rsidRPr="00FA7FFB">
              <w:rPr>
                <w:rFonts w:ascii="Arial" w:hAnsi="Arial" w:cs="Arial"/>
                <w:sz w:val="17"/>
                <w:szCs w:val="17"/>
              </w:rPr>
              <w:t>Around buildings PEC = (Q</w:t>
            </w:r>
            <w:r w:rsidRPr="00FA7FFB">
              <w:rPr>
                <w:rFonts w:ascii="Arial" w:hAnsi="Arial" w:cs="Arial"/>
                <w:sz w:val="17"/>
                <w:szCs w:val="17"/>
                <w:vertAlign w:val="subscript"/>
              </w:rPr>
              <w:t>ac</w:t>
            </w:r>
            <w:r w:rsidRPr="00FA7FFB">
              <w:rPr>
                <w:rFonts w:ascii="Arial" w:hAnsi="Arial" w:cs="Arial"/>
                <w:sz w:val="17"/>
                <w:szCs w:val="17"/>
              </w:rPr>
              <w:t xml:space="preserve"> * N</w:t>
            </w:r>
            <w:r w:rsidRPr="00FA7FFB">
              <w:rPr>
                <w:rFonts w:ascii="Arial" w:hAnsi="Arial" w:cs="Arial"/>
                <w:sz w:val="17"/>
                <w:szCs w:val="17"/>
                <w:vertAlign w:val="subscript"/>
              </w:rPr>
              <w:t>appl</w:t>
            </w:r>
            <w:r w:rsidRPr="00FA7FFB">
              <w:rPr>
                <w:rFonts w:ascii="Arial" w:hAnsi="Arial" w:cs="Arial"/>
                <w:sz w:val="17"/>
                <w:szCs w:val="17"/>
              </w:rPr>
              <w:t xml:space="preserve"> * F</w:t>
            </w:r>
            <w:r w:rsidRPr="00FA7FFB">
              <w:rPr>
                <w:rFonts w:ascii="Arial" w:hAnsi="Arial" w:cs="Arial"/>
                <w:sz w:val="17"/>
                <w:szCs w:val="17"/>
                <w:vertAlign w:val="subscript"/>
              </w:rPr>
              <w:t>released-D,soil</w:t>
            </w:r>
            <w:r w:rsidRPr="00FA7FFB">
              <w:rPr>
                <w:rFonts w:ascii="Arial" w:hAnsi="Arial" w:cs="Arial"/>
                <w:sz w:val="17"/>
                <w:szCs w:val="17"/>
              </w:rPr>
              <w:t xml:space="preserve"> * 10</w:t>
            </w:r>
            <w:r w:rsidRPr="00FA7FFB">
              <w:rPr>
                <w:rFonts w:ascii="Arial" w:hAnsi="Arial" w:cs="Arial"/>
                <w:sz w:val="17"/>
                <w:szCs w:val="17"/>
                <w:vertAlign w:val="superscript"/>
              </w:rPr>
              <w:t>3</w:t>
            </w:r>
            <w:r w:rsidRPr="00FA7FFB">
              <w:rPr>
                <w:rFonts w:ascii="Arial" w:hAnsi="Arial" w:cs="Arial"/>
                <w:sz w:val="17"/>
                <w:szCs w:val="17"/>
              </w:rPr>
              <w:t xml:space="preserve"> / (AREA</w:t>
            </w:r>
            <w:r w:rsidRPr="00FA7FFB">
              <w:rPr>
                <w:rFonts w:ascii="Arial" w:hAnsi="Arial" w:cs="Arial"/>
                <w:sz w:val="17"/>
                <w:szCs w:val="17"/>
                <w:vertAlign w:val="subscript"/>
              </w:rPr>
              <w:t xml:space="preserve">exposed-D </w:t>
            </w:r>
            <w:r w:rsidRPr="00FA7FFB">
              <w:rPr>
                <w:rFonts w:ascii="Arial" w:hAnsi="Arial" w:cs="Arial"/>
                <w:sz w:val="17"/>
                <w:szCs w:val="17"/>
              </w:rPr>
              <w:t>* DEPTH</w:t>
            </w:r>
            <w:r w:rsidRPr="00FA7FFB">
              <w:rPr>
                <w:rFonts w:ascii="Arial" w:hAnsi="Arial" w:cs="Arial"/>
                <w:sz w:val="17"/>
                <w:szCs w:val="17"/>
                <w:vertAlign w:val="subscript"/>
              </w:rPr>
              <w:t>soil</w:t>
            </w:r>
            <w:r w:rsidRPr="00FA7FFB">
              <w:rPr>
                <w:rFonts w:ascii="Arial" w:hAnsi="Arial" w:cs="Arial"/>
                <w:sz w:val="17"/>
                <w:szCs w:val="17"/>
              </w:rPr>
              <w:t xml:space="preserve"> * RHO</w:t>
            </w:r>
            <w:r w:rsidRPr="00FA7FFB">
              <w:rPr>
                <w:rFonts w:ascii="Arial" w:hAnsi="Arial" w:cs="Arial"/>
                <w:sz w:val="17"/>
                <w:szCs w:val="17"/>
                <w:vertAlign w:val="subscript"/>
              </w:rPr>
              <w:t>soil</w:t>
            </w:r>
            <w:r w:rsidRPr="00FA7FFB">
              <w:rPr>
                <w:rFonts w:ascii="Arial" w:hAnsi="Arial" w:cs="Arial"/>
                <w:sz w:val="17"/>
                <w:szCs w:val="17"/>
              </w:rPr>
              <w:t>)) + (Q</w:t>
            </w:r>
            <w:r w:rsidRPr="00FA7FFB">
              <w:rPr>
                <w:rFonts w:ascii="Arial" w:hAnsi="Arial" w:cs="Arial"/>
                <w:sz w:val="17"/>
                <w:szCs w:val="17"/>
                <w:vertAlign w:val="subscript"/>
              </w:rPr>
              <w:t>ac</w:t>
            </w:r>
            <w:r w:rsidRPr="00FA7FFB">
              <w:rPr>
                <w:rFonts w:ascii="Arial" w:hAnsi="Arial" w:cs="Arial"/>
                <w:sz w:val="17"/>
                <w:szCs w:val="17"/>
              </w:rPr>
              <w:t xml:space="preserve"> * N</w:t>
            </w:r>
            <w:r w:rsidRPr="00FA7FFB">
              <w:rPr>
                <w:rFonts w:ascii="Arial" w:hAnsi="Arial" w:cs="Arial"/>
                <w:sz w:val="17"/>
                <w:szCs w:val="17"/>
                <w:vertAlign w:val="subscript"/>
              </w:rPr>
              <w:t>sites</w:t>
            </w:r>
            <w:r w:rsidRPr="00FA7FFB">
              <w:rPr>
                <w:rFonts w:ascii="Arial" w:hAnsi="Arial" w:cs="Arial"/>
                <w:sz w:val="17"/>
                <w:szCs w:val="17"/>
              </w:rPr>
              <w:t xml:space="preserve"> * N</w:t>
            </w:r>
            <w:r w:rsidRPr="00FA7FFB">
              <w:rPr>
                <w:rFonts w:ascii="Arial" w:hAnsi="Arial" w:cs="Arial"/>
                <w:sz w:val="17"/>
                <w:szCs w:val="17"/>
                <w:vertAlign w:val="subscript"/>
              </w:rPr>
              <w:t>appl</w:t>
            </w:r>
            <w:r w:rsidRPr="00FA7FFB">
              <w:rPr>
                <w:rFonts w:ascii="Arial" w:hAnsi="Arial" w:cs="Arial"/>
                <w:sz w:val="17"/>
                <w:szCs w:val="17"/>
              </w:rPr>
              <w:t xml:space="preserve"> * F</w:t>
            </w:r>
            <w:r w:rsidRPr="00FA7FFB">
              <w:rPr>
                <w:rFonts w:ascii="Arial" w:hAnsi="Arial" w:cs="Arial"/>
                <w:sz w:val="17"/>
                <w:szCs w:val="17"/>
                <w:vertAlign w:val="subscript"/>
              </w:rPr>
              <w:t>released-ID,soil</w:t>
            </w:r>
            <w:r w:rsidRPr="00FA7FFB">
              <w:rPr>
                <w:rFonts w:ascii="Arial" w:hAnsi="Arial" w:cs="Arial"/>
                <w:sz w:val="17"/>
                <w:szCs w:val="17"/>
              </w:rPr>
              <w:t xml:space="preserve"> * 10</w:t>
            </w:r>
            <w:r w:rsidRPr="00FA7FFB">
              <w:rPr>
                <w:rFonts w:ascii="Arial" w:hAnsi="Arial" w:cs="Arial"/>
                <w:sz w:val="17"/>
                <w:szCs w:val="17"/>
                <w:vertAlign w:val="superscript"/>
              </w:rPr>
              <w:t>3</w:t>
            </w:r>
            <w:r w:rsidRPr="00FA7FFB">
              <w:rPr>
                <w:rFonts w:ascii="Arial" w:hAnsi="Arial" w:cs="Arial"/>
                <w:sz w:val="17"/>
                <w:szCs w:val="17"/>
              </w:rPr>
              <w:t xml:space="preserve"> / (AREA</w:t>
            </w:r>
            <w:r w:rsidRPr="00FA7FFB">
              <w:rPr>
                <w:rFonts w:ascii="Arial" w:hAnsi="Arial" w:cs="Arial"/>
                <w:sz w:val="17"/>
                <w:szCs w:val="17"/>
                <w:vertAlign w:val="subscript"/>
              </w:rPr>
              <w:t xml:space="preserve">exposed-ID </w:t>
            </w:r>
            <w:r w:rsidRPr="00FA7FFB">
              <w:rPr>
                <w:rFonts w:ascii="Arial" w:hAnsi="Arial" w:cs="Arial"/>
                <w:sz w:val="17"/>
                <w:szCs w:val="17"/>
              </w:rPr>
              <w:t>* DEPTH</w:t>
            </w:r>
            <w:r w:rsidRPr="00FA7FFB">
              <w:rPr>
                <w:rFonts w:ascii="Arial" w:hAnsi="Arial" w:cs="Arial"/>
                <w:sz w:val="17"/>
                <w:szCs w:val="17"/>
                <w:vertAlign w:val="subscript"/>
              </w:rPr>
              <w:t>soil</w:t>
            </w:r>
            <w:r w:rsidRPr="00FA7FFB">
              <w:rPr>
                <w:rFonts w:ascii="Arial" w:hAnsi="Arial" w:cs="Arial"/>
                <w:sz w:val="17"/>
                <w:szCs w:val="17"/>
              </w:rPr>
              <w:t xml:space="preserve"> * RHO</w:t>
            </w:r>
            <w:r w:rsidRPr="00FA7FFB">
              <w:rPr>
                <w:rFonts w:ascii="Arial" w:hAnsi="Arial" w:cs="Arial"/>
                <w:sz w:val="17"/>
                <w:szCs w:val="17"/>
                <w:vertAlign w:val="subscript"/>
              </w:rPr>
              <w:t>soil</w:t>
            </w:r>
            <w:r w:rsidRPr="00FA7FFB">
              <w:rPr>
                <w:rFonts w:ascii="Arial" w:hAnsi="Arial" w:cs="Arial"/>
                <w:sz w:val="17"/>
                <w:szCs w:val="17"/>
              </w:rPr>
              <w:t>))</w:t>
            </w:r>
          </w:p>
          <w:p w14:paraId="5C1E0EA5" w14:textId="585BA4BD" w:rsidR="00FD32F4" w:rsidRPr="00E6422C" w:rsidRDefault="00FD32F4" w:rsidP="00E078CC">
            <w:pPr>
              <w:pStyle w:val="BodyText"/>
              <w:widowControl w:val="0"/>
              <w:spacing w:after="0"/>
              <w:rPr>
                <w:rFonts w:ascii="Arial" w:hAnsi="Arial" w:cs="Arial"/>
                <w:szCs w:val="16"/>
              </w:rPr>
            </w:pPr>
            <w:r w:rsidRPr="00FA7FFB">
              <w:rPr>
                <w:rFonts w:ascii="Arial" w:hAnsi="Arial" w:cs="Arial"/>
                <w:sz w:val="17"/>
                <w:szCs w:val="17"/>
              </w:rPr>
              <w:t>Open areas PEC = PEC = Q</w:t>
            </w:r>
            <w:r w:rsidRPr="00FA7FFB">
              <w:rPr>
                <w:rFonts w:ascii="Arial" w:hAnsi="Arial" w:cs="Arial"/>
                <w:sz w:val="17"/>
                <w:szCs w:val="17"/>
                <w:vertAlign w:val="subscript"/>
              </w:rPr>
              <w:t>ac</w:t>
            </w:r>
            <w:r w:rsidRPr="00FA7FFB">
              <w:rPr>
                <w:rFonts w:ascii="Arial" w:hAnsi="Arial" w:cs="Arial"/>
                <w:sz w:val="17"/>
                <w:szCs w:val="17"/>
              </w:rPr>
              <w:t xml:space="preserve"> * N</w:t>
            </w:r>
            <w:r w:rsidRPr="00FA7FFB">
              <w:rPr>
                <w:rFonts w:ascii="Arial" w:hAnsi="Arial" w:cs="Arial"/>
                <w:sz w:val="17"/>
                <w:szCs w:val="17"/>
                <w:vertAlign w:val="subscript"/>
              </w:rPr>
              <w:t>appl</w:t>
            </w:r>
            <w:r w:rsidRPr="00FA7FFB">
              <w:rPr>
                <w:rFonts w:ascii="Arial" w:hAnsi="Arial" w:cs="Arial"/>
                <w:sz w:val="17"/>
                <w:szCs w:val="17"/>
              </w:rPr>
              <w:t xml:space="preserve"> * F</w:t>
            </w:r>
            <w:r w:rsidRPr="00FA7FFB">
              <w:rPr>
                <w:rFonts w:ascii="Arial" w:hAnsi="Arial" w:cs="Arial"/>
                <w:sz w:val="17"/>
                <w:szCs w:val="17"/>
                <w:vertAlign w:val="subscript"/>
              </w:rPr>
              <w:t>released-D,soil</w:t>
            </w:r>
            <w:r w:rsidRPr="00FA7FFB">
              <w:rPr>
                <w:rFonts w:ascii="Arial" w:hAnsi="Arial" w:cs="Arial"/>
                <w:sz w:val="17"/>
                <w:szCs w:val="17"/>
              </w:rPr>
              <w:t xml:space="preserve"> * 10</w:t>
            </w:r>
            <w:r w:rsidRPr="00FA7FFB">
              <w:rPr>
                <w:rFonts w:ascii="Arial" w:hAnsi="Arial" w:cs="Arial"/>
                <w:sz w:val="17"/>
                <w:szCs w:val="17"/>
                <w:vertAlign w:val="superscript"/>
              </w:rPr>
              <w:t>3</w:t>
            </w:r>
            <w:r w:rsidRPr="00FA7FFB">
              <w:rPr>
                <w:rFonts w:ascii="Arial" w:hAnsi="Arial" w:cs="Arial"/>
                <w:sz w:val="17"/>
                <w:szCs w:val="17"/>
              </w:rPr>
              <w:t xml:space="preserve"> / (AREA</w:t>
            </w:r>
            <w:r w:rsidRPr="00FA7FFB">
              <w:rPr>
                <w:rFonts w:ascii="Arial" w:hAnsi="Arial" w:cs="Arial"/>
                <w:sz w:val="17"/>
                <w:szCs w:val="17"/>
                <w:vertAlign w:val="subscript"/>
              </w:rPr>
              <w:t xml:space="preserve">exposed-D </w:t>
            </w:r>
            <w:r w:rsidRPr="00FA7FFB">
              <w:rPr>
                <w:rFonts w:ascii="Arial" w:hAnsi="Arial" w:cs="Arial"/>
                <w:sz w:val="17"/>
                <w:szCs w:val="17"/>
              </w:rPr>
              <w:t>* DEPTH</w:t>
            </w:r>
            <w:r w:rsidRPr="00FA7FFB">
              <w:rPr>
                <w:rFonts w:ascii="Arial" w:hAnsi="Arial" w:cs="Arial"/>
                <w:sz w:val="17"/>
                <w:szCs w:val="17"/>
                <w:vertAlign w:val="subscript"/>
              </w:rPr>
              <w:t>soil</w:t>
            </w:r>
            <w:r w:rsidRPr="00FA7FFB">
              <w:rPr>
                <w:rFonts w:ascii="Arial" w:hAnsi="Arial" w:cs="Arial"/>
                <w:sz w:val="17"/>
                <w:szCs w:val="17"/>
              </w:rPr>
              <w:t xml:space="preserve"> * RHO</w:t>
            </w:r>
            <w:r w:rsidRPr="00FA7FFB">
              <w:rPr>
                <w:rFonts w:ascii="Arial" w:hAnsi="Arial" w:cs="Arial"/>
                <w:sz w:val="17"/>
                <w:szCs w:val="17"/>
                <w:vertAlign w:val="subscript"/>
              </w:rPr>
              <w:t>soil</w:t>
            </w:r>
            <w:r w:rsidRPr="00FA7FFB">
              <w:rPr>
                <w:rFonts w:ascii="Arial" w:hAnsi="Arial" w:cs="Arial"/>
                <w:sz w:val="17"/>
                <w:szCs w:val="17"/>
              </w:rPr>
              <w:t>)</w:t>
            </w:r>
          </w:p>
        </w:tc>
      </w:tr>
    </w:tbl>
    <w:p w14:paraId="04DC6971" w14:textId="4483496B" w:rsidR="00FD32F4" w:rsidRDefault="00603108" w:rsidP="00603108">
      <w:pPr>
        <w:pStyle w:val="Caption"/>
      </w:pPr>
      <w:bookmarkStart w:id="1112" w:name="_Ref213163993"/>
      <w:bookmarkStart w:id="1113" w:name="_Ref213163983"/>
      <w:bookmarkStart w:id="1114" w:name="_Toc213946033"/>
      <w:bookmarkStart w:id="1115" w:name="_Toc216695719"/>
      <w:r>
        <w:lastRenderedPageBreak/>
        <w:t xml:space="preserve">Table </w:t>
      </w:r>
      <w:r>
        <w:fldChar w:fldCharType="begin"/>
      </w:r>
      <w:r>
        <w:instrText xml:space="preserve"> SEQ Table \* ARABIC </w:instrText>
      </w:r>
      <w:r>
        <w:fldChar w:fldCharType="separate"/>
      </w:r>
      <w:r w:rsidR="003861AC">
        <w:rPr>
          <w:noProof/>
        </w:rPr>
        <w:t>57</w:t>
      </w:r>
      <w:r>
        <w:fldChar w:fldCharType="end"/>
      </w:r>
      <w:bookmarkEnd w:id="1112"/>
      <w:r>
        <w:t xml:space="preserve">: </w:t>
      </w:r>
      <w:r w:rsidR="00FD32F4">
        <w:t>Risks of anticoagulant rodenticides to soil organisms</w:t>
      </w:r>
      <w:bookmarkEnd w:id="1113"/>
      <w:bookmarkEnd w:id="1114"/>
      <w:bookmarkEnd w:id="1115"/>
      <w:r w:rsidR="00FD32F4">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4"/>
        <w:gridCol w:w="1419"/>
        <w:gridCol w:w="3259"/>
        <w:gridCol w:w="1559"/>
        <w:gridCol w:w="1418"/>
        <w:gridCol w:w="1411"/>
      </w:tblGrid>
      <w:tr w:rsidR="00FD32F4" w:rsidRPr="00CA558C" w14:paraId="2BFB7C0A" w14:textId="77777777" w:rsidTr="0017134F">
        <w:trPr>
          <w:cantSplit/>
          <w:tblHeader/>
        </w:trPr>
        <w:tc>
          <w:tcPr>
            <w:tcW w:w="624" w:type="dxa"/>
            <w:tcBorders>
              <w:bottom w:val="single" w:sz="4" w:space="0" w:color="auto"/>
            </w:tcBorders>
            <w:shd w:val="clear" w:color="auto" w:fill="53284F"/>
          </w:tcPr>
          <w:p w14:paraId="16C5B4DF" w14:textId="77777777" w:rsidR="00FD32F4" w:rsidRDefault="00FD32F4" w:rsidP="00377F3A">
            <w:pPr>
              <w:pStyle w:val="TableHead"/>
            </w:pPr>
            <w:r>
              <w:t>Group</w:t>
            </w:r>
          </w:p>
        </w:tc>
        <w:tc>
          <w:tcPr>
            <w:tcW w:w="1419" w:type="dxa"/>
            <w:tcBorders>
              <w:bottom w:val="single" w:sz="4" w:space="0" w:color="auto"/>
            </w:tcBorders>
            <w:shd w:val="clear" w:color="auto" w:fill="53284F"/>
          </w:tcPr>
          <w:p w14:paraId="39B897EB" w14:textId="77777777" w:rsidR="00FD32F4" w:rsidRDefault="00FD32F4" w:rsidP="00377F3A">
            <w:pPr>
              <w:pStyle w:val="TableHead"/>
            </w:pPr>
            <w:r>
              <w:t>Active constituent</w:t>
            </w:r>
          </w:p>
        </w:tc>
        <w:tc>
          <w:tcPr>
            <w:tcW w:w="3259" w:type="dxa"/>
            <w:tcBorders>
              <w:bottom w:val="single" w:sz="4" w:space="0" w:color="auto"/>
            </w:tcBorders>
            <w:shd w:val="clear" w:color="auto" w:fill="53284F"/>
          </w:tcPr>
          <w:p w14:paraId="79A8E217" w14:textId="77777777" w:rsidR="00FD32F4" w:rsidRDefault="00FD32F4" w:rsidP="00377F3A">
            <w:pPr>
              <w:pStyle w:val="TableHead"/>
            </w:pPr>
            <w:r>
              <w:t>Worst-case scenario</w:t>
            </w:r>
          </w:p>
        </w:tc>
        <w:tc>
          <w:tcPr>
            <w:tcW w:w="1559" w:type="dxa"/>
            <w:tcBorders>
              <w:bottom w:val="single" w:sz="4" w:space="0" w:color="auto"/>
            </w:tcBorders>
            <w:shd w:val="clear" w:color="auto" w:fill="53284F"/>
          </w:tcPr>
          <w:p w14:paraId="5EF696BF" w14:textId="77777777" w:rsidR="00FD32F4" w:rsidRDefault="00FD32F4" w:rsidP="00377F3A">
            <w:pPr>
              <w:pStyle w:val="TableHead"/>
            </w:pPr>
            <w:r>
              <w:t>PEC</w:t>
            </w:r>
          </w:p>
          <w:p w14:paraId="35020A1C" w14:textId="77777777" w:rsidR="00FD32F4" w:rsidRDefault="00FD32F4" w:rsidP="00377F3A">
            <w:pPr>
              <w:pStyle w:val="TableHead"/>
            </w:pPr>
            <w:r w:rsidRPr="00D17B00">
              <w:t>(mg/kg dry soil)</w:t>
            </w:r>
          </w:p>
        </w:tc>
        <w:tc>
          <w:tcPr>
            <w:tcW w:w="1418" w:type="dxa"/>
            <w:tcBorders>
              <w:bottom w:val="single" w:sz="4" w:space="0" w:color="auto"/>
            </w:tcBorders>
            <w:shd w:val="clear" w:color="auto" w:fill="53284F"/>
          </w:tcPr>
          <w:p w14:paraId="2A4A9D27" w14:textId="77777777" w:rsidR="00FD32F4" w:rsidRDefault="00FD32F4" w:rsidP="00377F3A">
            <w:pPr>
              <w:pStyle w:val="TableHead"/>
            </w:pPr>
            <w:r>
              <w:t>RAL</w:t>
            </w:r>
          </w:p>
          <w:p w14:paraId="0B7BB7DD" w14:textId="77777777" w:rsidR="00FD32F4" w:rsidRDefault="00FD32F4" w:rsidP="00377F3A">
            <w:pPr>
              <w:pStyle w:val="TableHead"/>
            </w:pPr>
            <w:r w:rsidRPr="00D17B00">
              <w:t>(mg/kg dry soil)</w:t>
            </w:r>
          </w:p>
        </w:tc>
        <w:tc>
          <w:tcPr>
            <w:tcW w:w="1411" w:type="dxa"/>
            <w:tcBorders>
              <w:bottom w:val="single" w:sz="4" w:space="0" w:color="auto"/>
            </w:tcBorders>
            <w:shd w:val="clear" w:color="auto" w:fill="53284F"/>
          </w:tcPr>
          <w:p w14:paraId="244952D5" w14:textId="77777777" w:rsidR="00FD32F4" w:rsidRDefault="00FD32F4" w:rsidP="00377F3A">
            <w:pPr>
              <w:pStyle w:val="TableHead"/>
            </w:pPr>
            <w:r>
              <w:t>RQ</w:t>
            </w:r>
          </w:p>
        </w:tc>
      </w:tr>
      <w:tr w:rsidR="00FD32F4" w:rsidRPr="00401380" w14:paraId="1B1848C3" w14:textId="77777777" w:rsidTr="00FA7FFB">
        <w:trPr>
          <w:cantSplit/>
        </w:trPr>
        <w:tc>
          <w:tcPr>
            <w:tcW w:w="624" w:type="dxa"/>
            <w:tcBorders>
              <w:top w:val="single" w:sz="4" w:space="0" w:color="auto"/>
              <w:left w:val="nil"/>
              <w:bottom w:val="nil"/>
              <w:right w:val="nil"/>
            </w:tcBorders>
          </w:tcPr>
          <w:p w14:paraId="69D24A1F" w14:textId="77777777" w:rsidR="00FD32F4" w:rsidRDefault="00FD32F4" w:rsidP="00FA7FFB">
            <w:pPr>
              <w:pStyle w:val="TableText"/>
            </w:pPr>
            <w:r>
              <w:t>FGAR</w:t>
            </w:r>
          </w:p>
        </w:tc>
        <w:tc>
          <w:tcPr>
            <w:tcW w:w="1419" w:type="dxa"/>
            <w:tcBorders>
              <w:top w:val="single" w:sz="4" w:space="0" w:color="auto"/>
              <w:left w:val="nil"/>
              <w:bottom w:val="nil"/>
              <w:right w:val="nil"/>
            </w:tcBorders>
          </w:tcPr>
          <w:p w14:paraId="437273D5" w14:textId="77777777" w:rsidR="00FD32F4" w:rsidRDefault="00FD32F4" w:rsidP="00FA7FFB">
            <w:pPr>
              <w:pStyle w:val="TableText"/>
            </w:pPr>
            <w:r>
              <w:t>Coumatetralyl</w:t>
            </w:r>
          </w:p>
        </w:tc>
        <w:tc>
          <w:tcPr>
            <w:tcW w:w="3259" w:type="dxa"/>
            <w:tcBorders>
              <w:top w:val="single" w:sz="4" w:space="0" w:color="auto"/>
              <w:left w:val="nil"/>
              <w:bottom w:val="nil"/>
              <w:right w:val="nil"/>
            </w:tcBorders>
          </w:tcPr>
          <w:p w14:paraId="18D293CA" w14:textId="77777777" w:rsidR="00FD32F4" w:rsidRDefault="00FD32F4" w:rsidP="00FA7FFB">
            <w:pPr>
              <w:pStyle w:val="TableText"/>
            </w:pPr>
            <w:r>
              <w:t>Mouse control using loose grain/fruit bait in stations around buildings</w:t>
            </w:r>
          </w:p>
        </w:tc>
        <w:tc>
          <w:tcPr>
            <w:tcW w:w="1559" w:type="dxa"/>
            <w:tcBorders>
              <w:top w:val="single" w:sz="4" w:space="0" w:color="auto"/>
              <w:left w:val="nil"/>
              <w:bottom w:val="nil"/>
              <w:right w:val="nil"/>
            </w:tcBorders>
          </w:tcPr>
          <w:p w14:paraId="617C64F4" w14:textId="77777777" w:rsidR="00FD32F4" w:rsidRDefault="00FD32F4" w:rsidP="00FA7FFB">
            <w:pPr>
              <w:pStyle w:val="TableText"/>
            </w:pPr>
            <w:r>
              <w:t>0.90</w:t>
            </w:r>
          </w:p>
        </w:tc>
        <w:tc>
          <w:tcPr>
            <w:tcW w:w="1418" w:type="dxa"/>
            <w:tcBorders>
              <w:top w:val="single" w:sz="4" w:space="0" w:color="auto"/>
              <w:left w:val="nil"/>
              <w:bottom w:val="nil"/>
              <w:right w:val="nil"/>
            </w:tcBorders>
          </w:tcPr>
          <w:p w14:paraId="7C39C3CC" w14:textId="77777777" w:rsidR="00FD32F4" w:rsidRDefault="00FD32F4" w:rsidP="00FA7FFB">
            <w:pPr>
              <w:pStyle w:val="TableText"/>
            </w:pPr>
            <w:r>
              <w:t>23</w:t>
            </w:r>
          </w:p>
        </w:tc>
        <w:tc>
          <w:tcPr>
            <w:tcW w:w="1411" w:type="dxa"/>
            <w:tcBorders>
              <w:top w:val="single" w:sz="4" w:space="0" w:color="auto"/>
              <w:left w:val="nil"/>
              <w:bottom w:val="nil"/>
              <w:right w:val="nil"/>
            </w:tcBorders>
          </w:tcPr>
          <w:p w14:paraId="4F195D2C" w14:textId="77777777" w:rsidR="00FD32F4" w:rsidRDefault="00FD32F4" w:rsidP="00FA7FFB">
            <w:pPr>
              <w:pStyle w:val="TableText"/>
            </w:pPr>
            <w:r>
              <w:t>0.04</w:t>
            </w:r>
          </w:p>
        </w:tc>
      </w:tr>
      <w:tr w:rsidR="00FD32F4" w14:paraId="21AED395" w14:textId="77777777" w:rsidTr="00FA7FFB">
        <w:trPr>
          <w:cantSplit/>
        </w:trPr>
        <w:tc>
          <w:tcPr>
            <w:tcW w:w="624" w:type="dxa"/>
            <w:tcBorders>
              <w:top w:val="nil"/>
              <w:left w:val="nil"/>
              <w:bottom w:val="nil"/>
              <w:right w:val="nil"/>
            </w:tcBorders>
          </w:tcPr>
          <w:p w14:paraId="0DAC2A46" w14:textId="77777777" w:rsidR="00FD32F4" w:rsidRDefault="00FD32F4" w:rsidP="00FA7FFB">
            <w:pPr>
              <w:pStyle w:val="TableText"/>
            </w:pPr>
          </w:p>
        </w:tc>
        <w:tc>
          <w:tcPr>
            <w:tcW w:w="1419" w:type="dxa"/>
            <w:tcBorders>
              <w:top w:val="nil"/>
              <w:left w:val="nil"/>
              <w:bottom w:val="nil"/>
              <w:right w:val="nil"/>
            </w:tcBorders>
          </w:tcPr>
          <w:p w14:paraId="20DE7335" w14:textId="77777777" w:rsidR="00FD32F4" w:rsidRDefault="00FD32F4" w:rsidP="00FA7FFB">
            <w:pPr>
              <w:pStyle w:val="TableText"/>
            </w:pPr>
            <w:r>
              <w:t>Diphacinone</w:t>
            </w:r>
          </w:p>
        </w:tc>
        <w:tc>
          <w:tcPr>
            <w:tcW w:w="3259" w:type="dxa"/>
            <w:tcBorders>
              <w:top w:val="nil"/>
              <w:left w:val="nil"/>
              <w:bottom w:val="nil"/>
              <w:right w:val="nil"/>
            </w:tcBorders>
          </w:tcPr>
          <w:p w14:paraId="10F67F70" w14:textId="77777777" w:rsidR="00FD32F4" w:rsidRDefault="00FD32F4" w:rsidP="00FA7FFB">
            <w:pPr>
              <w:pStyle w:val="TableText"/>
            </w:pPr>
            <w:r>
              <w:t>Rat control using loose grain/pellet bait in stations around buildings</w:t>
            </w:r>
          </w:p>
        </w:tc>
        <w:tc>
          <w:tcPr>
            <w:tcW w:w="1559" w:type="dxa"/>
            <w:tcBorders>
              <w:top w:val="nil"/>
              <w:left w:val="nil"/>
              <w:bottom w:val="nil"/>
              <w:right w:val="nil"/>
            </w:tcBorders>
          </w:tcPr>
          <w:p w14:paraId="5B83B497" w14:textId="77777777" w:rsidR="00FD32F4" w:rsidRDefault="00FD32F4" w:rsidP="00FA7FFB">
            <w:pPr>
              <w:pStyle w:val="TableText"/>
            </w:pPr>
            <w:r>
              <w:t>0.88</w:t>
            </w:r>
          </w:p>
        </w:tc>
        <w:tc>
          <w:tcPr>
            <w:tcW w:w="2829" w:type="dxa"/>
            <w:gridSpan w:val="2"/>
            <w:tcBorders>
              <w:top w:val="nil"/>
              <w:left w:val="nil"/>
              <w:bottom w:val="nil"/>
              <w:right w:val="nil"/>
            </w:tcBorders>
          </w:tcPr>
          <w:p w14:paraId="66B3FAF1" w14:textId="77777777" w:rsidR="00FD32F4" w:rsidRDefault="00FD32F4" w:rsidP="00FA7FFB">
            <w:pPr>
              <w:pStyle w:val="TableText"/>
            </w:pPr>
            <w:r>
              <w:t>No effects data</w:t>
            </w:r>
          </w:p>
        </w:tc>
      </w:tr>
      <w:tr w:rsidR="00FD32F4" w14:paraId="2D82E7E4" w14:textId="77777777" w:rsidTr="00FA7FFB">
        <w:trPr>
          <w:cantSplit/>
        </w:trPr>
        <w:tc>
          <w:tcPr>
            <w:tcW w:w="624" w:type="dxa"/>
            <w:tcBorders>
              <w:top w:val="nil"/>
              <w:left w:val="nil"/>
              <w:bottom w:val="single" w:sz="4" w:space="0" w:color="auto"/>
              <w:right w:val="nil"/>
            </w:tcBorders>
          </w:tcPr>
          <w:p w14:paraId="4AF7C169" w14:textId="77777777" w:rsidR="00FD32F4" w:rsidRDefault="00FD32F4" w:rsidP="00FA7FFB">
            <w:pPr>
              <w:pStyle w:val="TableText"/>
            </w:pPr>
          </w:p>
        </w:tc>
        <w:tc>
          <w:tcPr>
            <w:tcW w:w="1419" w:type="dxa"/>
            <w:tcBorders>
              <w:top w:val="nil"/>
              <w:left w:val="nil"/>
              <w:bottom w:val="single" w:sz="4" w:space="0" w:color="auto"/>
              <w:right w:val="nil"/>
            </w:tcBorders>
          </w:tcPr>
          <w:p w14:paraId="1DC3C186" w14:textId="77777777" w:rsidR="00FD32F4" w:rsidRDefault="00FD32F4" w:rsidP="00FA7FFB">
            <w:pPr>
              <w:pStyle w:val="TableText"/>
            </w:pPr>
            <w:r>
              <w:t>Warfarin</w:t>
            </w:r>
          </w:p>
        </w:tc>
        <w:tc>
          <w:tcPr>
            <w:tcW w:w="3259" w:type="dxa"/>
            <w:tcBorders>
              <w:top w:val="nil"/>
              <w:left w:val="nil"/>
              <w:bottom w:val="single" w:sz="4" w:space="0" w:color="auto"/>
              <w:right w:val="nil"/>
            </w:tcBorders>
          </w:tcPr>
          <w:p w14:paraId="79E3E620" w14:textId="77777777" w:rsidR="00FD32F4" w:rsidRDefault="00FD32F4" w:rsidP="00FA7FFB">
            <w:pPr>
              <w:pStyle w:val="TableText"/>
            </w:pPr>
            <w:r>
              <w:t>Rate control using loose grain/pellet bait in stations around buildings</w:t>
            </w:r>
          </w:p>
        </w:tc>
        <w:tc>
          <w:tcPr>
            <w:tcW w:w="1559" w:type="dxa"/>
            <w:tcBorders>
              <w:top w:val="nil"/>
              <w:left w:val="nil"/>
              <w:bottom w:val="single" w:sz="4" w:space="0" w:color="auto"/>
              <w:right w:val="nil"/>
            </w:tcBorders>
          </w:tcPr>
          <w:p w14:paraId="37005F86" w14:textId="77777777" w:rsidR="00FD32F4" w:rsidRDefault="00FD32F4" w:rsidP="00FA7FFB">
            <w:pPr>
              <w:pStyle w:val="TableText"/>
            </w:pPr>
            <w:r>
              <w:t>2.4</w:t>
            </w:r>
          </w:p>
        </w:tc>
        <w:tc>
          <w:tcPr>
            <w:tcW w:w="2829" w:type="dxa"/>
            <w:gridSpan w:val="2"/>
            <w:tcBorders>
              <w:top w:val="nil"/>
              <w:left w:val="nil"/>
              <w:bottom w:val="single" w:sz="4" w:space="0" w:color="auto"/>
              <w:right w:val="nil"/>
            </w:tcBorders>
          </w:tcPr>
          <w:p w14:paraId="245D61F0" w14:textId="77777777" w:rsidR="00FD32F4" w:rsidRDefault="00FD32F4" w:rsidP="00FA7FFB">
            <w:pPr>
              <w:pStyle w:val="TableText"/>
            </w:pPr>
            <w:r>
              <w:t>No effects data</w:t>
            </w:r>
          </w:p>
        </w:tc>
      </w:tr>
      <w:tr w:rsidR="00FD32F4" w14:paraId="47E67EE7" w14:textId="77777777" w:rsidTr="00FA7FFB">
        <w:trPr>
          <w:cantSplit/>
        </w:trPr>
        <w:tc>
          <w:tcPr>
            <w:tcW w:w="624" w:type="dxa"/>
            <w:tcBorders>
              <w:top w:val="single" w:sz="4" w:space="0" w:color="auto"/>
              <w:left w:val="nil"/>
              <w:bottom w:val="nil"/>
              <w:right w:val="nil"/>
            </w:tcBorders>
          </w:tcPr>
          <w:p w14:paraId="1206D60B" w14:textId="77777777" w:rsidR="00FD32F4" w:rsidRDefault="00FD32F4" w:rsidP="00FA7FFB">
            <w:pPr>
              <w:pStyle w:val="TableText"/>
            </w:pPr>
            <w:r>
              <w:t>SGAR</w:t>
            </w:r>
          </w:p>
        </w:tc>
        <w:tc>
          <w:tcPr>
            <w:tcW w:w="1419" w:type="dxa"/>
            <w:tcBorders>
              <w:top w:val="single" w:sz="4" w:space="0" w:color="auto"/>
              <w:left w:val="nil"/>
              <w:bottom w:val="nil"/>
              <w:right w:val="nil"/>
            </w:tcBorders>
          </w:tcPr>
          <w:p w14:paraId="2B4E3106" w14:textId="77777777" w:rsidR="00FD32F4" w:rsidRDefault="00FD32F4" w:rsidP="00FA7FFB">
            <w:pPr>
              <w:pStyle w:val="TableText"/>
            </w:pPr>
            <w:r>
              <w:t>Brodifacoum</w:t>
            </w:r>
          </w:p>
        </w:tc>
        <w:tc>
          <w:tcPr>
            <w:tcW w:w="3259" w:type="dxa"/>
            <w:tcBorders>
              <w:top w:val="single" w:sz="4" w:space="0" w:color="auto"/>
              <w:left w:val="nil"/>
              <w:bottom w:val="nil"/>
              <w:right w:val="nil"/>
            </w:tcBorders>
          </w:tcPr>
          <w:p w14:paraId="71BB8287" w14:textId="77777777" w:rsidR="00FD32F4" w:rsidRDefault="00FD32F4" w:rsidP="00FA7FFB">
            <w:pPr>
              <w:pStyle w:val="TableText"/>
            </w:pPr>
            <w:r>
              <w:t>Rat control using loose grain/pellet bait in stations around buildings</w:t>
            </w:r>
          </w:p>
        </w:tc>
        <w:tc>
          <w:tcPr>
            <w:tcW w:w="1559" w:type="dxa"/>
            <w:tcBorders>
              <w:top w:val="single" w:sz="4" w:space="0" w:color="auto"/>
              <w:left w:val="nil"/>
              <w:bottom w:val="nil"/>
              <w:right w:val="nil"/>
            </w:tcBorders>
          </w:tcPr>
          <w:p w14:paraId="418B5C98" w14:textId="77777777" w:rsidR="00FD32F4" w:rsidRDefault="00FD32F4" w:rsidP="00FA7FFB">
            <w:pPr>
              <w:pStyle w:val="TableText"/>
            </w:pPr>
            <w:r>
              <w:t>0.38</w:t>
            </w:r>
          </w:p>
        </w:tc>
        <w:tc>
          <w:tcPr>
            <w:tcW w:w="1418" w:type="dxa"/>
            <w:tcBorders>
              <w:top w:val="single" w:sz="4" w:space="0" w:color="auto"/>
              <w:left w:val="nil"/>
              <w:bottom w:val="nil"/>
              <w:right w:val="nil"/>
            </w:tcBorders>
          </w:tcPr>
          <w:p w14:paraId="1A6C0E42" w14:textId="77777777" w:rsidR="00FD32F4" w:rsidRDefault="00FD32F4" w:rsidP="00FA7FFB">
            <w:pPr>
              <w:pStyle w:val="TableText"/>
            </w:pPr>
            <w:r>
              <w:t>50</w:t>
            </w:r>
          </w:p>
        </w:tc>
        <w:tc>
          <w:tcPr>
            <w:tcW w:w="1411" w:type="dxa"/>
            <w:tcBorders>
              <w:top w:val="single" w:sz="4" w:space="0" w:color="auto"/>
              <w:left w:val="nil"/>
              <w:bottom w:val="nil"/>
              <w:right w:val="nil"/>
            </w:tcBorders>
          </w:tcPr>
          <w:p w14:paraId="3E6BC80D" w14:textId="77777777" w:rsidR="00FD32F4" w:rsidRDefault="00FD32F4" w:rsidP="00FA7FFB">
            <w:pPr>
              <w:pStyle w:val="TableText"/>
            </w:pPr>
            <w:r>
              <w:t>&lt;0.01</w:t>
            </w:r>
          </w:p>
        </w:tc>
      </w:tr>
      <w:tr w:rsidR="00FD32F4" w14:paraId="32E71BD9" w14:textId="77777777" w:rsidTr="00FA7FFB">
        <w:trPr>
          <w:cantSplit/>
        </w:trPr>
        <w:tc>
          <w:tcPr>
            <w:tcW w:w="624" w:type="dxa"/>
            <w:tcBorders>
              <w:top w:val="nil"/>
              <w:left w:val="nil"/>
              <w:bottom w:val="nil"/>
              <w:right w:val="nil"/>
            </w:tcBorders>
          </w:tcPr>
          <w:p w14:paraId="709F3822" w14:textId="77777777" w:rsidR="00FD32F4" w:rsidRDefault="00FD32F4" w:rsidP="00FA7FFB">
            <w:pPr>
              <w:pStyle w:val="TableText"/>
            </w:pPr>
          </w:p>
        </w:tc>
        <w:tc>
          <w:tcPr>
            <w:tcW w:w="1419" w:type="dxa"/>
            <w:tcBorders>
              <w:top w:val="nil"/>
              <w:left w:val="nil"/>
              <w:bottom w:val="nil"/>
              <w:right w:val="nil"/>
            </w:tcBorders>
          </w:tcPr>
          <w:p w14:paraId="273976DA" w14:textId="77777777" w:rsidR="00FD32F4" w:rsidRDefault="00FD32F4" w:rsidP="00FA7FFB">
            <w:pPr>
              <w:pStyle w:val="TableText"/>
            </w:pPr>
            <w:r>
              <w:t>Bromadiolone</w:t>
            </w:r>
          </w:p>
        </w:tc>
        <w:tc>
          <w:tcPr>
            <w:tcW w:w="3259" w:type="dxa"/>
            <w:tcBorders>
              <w:top w:val="nil"/>
              <w:left w:val="nil"/>
              <w:bottom w:val="nil"/>
              <w:right w:val="nil"/>
            </w:tcBorders>
          </w:tcPr>
          <w:p w14:paraId="62913E78" w14:textId="77777777" w:rsidR="00FD32F4" w:rsidRDefault="00FD32F4" w:rsidP="00FA7FFB">
            <w:pPr>
              <w:pStyle w:val="TableText"/>
            </w:pPr>
            <w:r>
              <w:t>Mouse control using loose grain/pellet bait in stations around buildings</w:t>
            </w:r>
          </w:p>
        </w:tc>
        <w:tc>
          <w:tcPr>
            <w:tcW w:w="1559" w:type="dxa"/>
            <w:tcBorders>
              <w:top w:val="nil"/>
              <w:left w:val="nil"/>
              <w:bottom w:val="nil"/>
              <w:right w:val="nil"/>
            </w:tcBorders>
          </w:tcPr>
          <w:p w14:paraId="7916610D" w14:textId="77777777" w:rsidR="00FD32F4" w:rsidRDefault="00FD32F4" w:rsidP="00FA7FFB">
            <w:pPr>
              <w:pStyle w:val="TableText"/>
            </w:pPr>
            <w:r>
              <w:t>0.98</w:t>
            </w:r>
          </w:p>
        </w:tc>
        <w:tc>
          <w:tcPr>
            <w:tcW w:w="1418" w:type="dxa"/>
            <w:tcBorders>
              <w:top w:val="nil"/>
              <w:left w:val="nil"/>
              <w:bottom w:val="nil"/>
              <w:right w:val="nil"/>
            </w:tcBorders>
          </w:tcPr>
          <w:p w14:paraId="6A96194B" w14:textId="77777777" w:rsidR="00FD32F4" w:rsidRDefault="00FD32F4" w:rsidP="00FA7FFB">
            <w:pPr>
              <w:pStyle w:val="TableText"/>
            </w:pPr>
            <w:r>
              <w:t>67</w:t>
            </w:r>
          </w:p>
        </w:tc>
        <w:tc>
          <w:tcPr>
            <w:tcW w:w="1411" w:type="dxa"/>
            <w:tcBorders>
              <w:top w:val="nil"/>
              <w:left w:val="nil"/>
              <w:bottom w:val="nil"/>
              <w:right w:val="nil"/>
            </w:tcBorders>
          </w:tcPr>
          <w:p w14:paraId="1B554FE7" w14:textId="77777777" w:rsidR="00FD32F4" w:rsidRDefault="00FD32F4" w:rsidP="00FA7FFB">
            <w:pPr>
              <w:pStyle w:val="TableText"/>
            </w:pPr>
            <w:r>
              <w:t>0.01</w:t>
            </w:r>
          </w:p>
        </w:tc>
      </w:tr>
      <w:tr w:rsidR="00FD32F4" w14:paraId="7A3571D2" w14:textId="77777777" w:rsidTr="00FA7FFB">
        <w:trPr>
          <w:cantSplit/>
        </w:trPr>
        <w:tc>
          <w:tcPr>
            <w:tcW w:w="624" w:type="dxa"/>
            <w:tcBorders>
              <w:top w:val="nil"/>
              <w:left w:val="nil"/>
              <w:bottom w:val="nil"/>
              <w:right w:val="nil"/>
            </w:tcBorders>
          </w:tcPr>
          <w:p w14:paraId="67241FE2" w14:textId="77777777" w:rsidR="00FD32F4" w:rsidRDefault="00FD32F4" w:rsidP="00FA7FFB">
            <w:pPr>
              <w:pStyle w:val="TableText"/>
            </w:pPr>
          </w:p>
        </w:tc>
        <w:tc>
          <w:tcPr>
            <w:tcW w:w="1419" w:type="dxa"/>
            <w:tcBorders>
              <w:top w:val="nil"/>
              <w:left w:val="nil"/>
              <w:bottom w:val="nil"/>
              <w:right w:val="nil"/>
            </w:tcBorders>
          </w:tcPr>
          <w:p w14:paraId="6FE808F3" w14:textId="77777777" w:rsidR="00FD32F4" w:rsidRDefault="00FD32F4" w:rsidP="00FA7FFB">
            <w:pPr>
              <w:pStyle w:val="TableText"/>
            </w:pPr>
            <w:r>
              <w:t>Difenacoum</w:t>
            </w:r>
          </w:p>
        </w:tc>
        <w:tc>
          <w:tcPr>
            <w:tcW w:w="3259" w:type="dxa"/>
            <w:tcBorders>
              <w:top w:val="nil"/>
              <w:left w:val="nil"/>
              <w:bottom w:val="nil"/>
              <w:right w:val="nil"/>
            </w:tcBorders>
          </w:tcPr>
          <w:p w14:paraId="33AC490A" w14:textId="77777777" w:rsidR="00FD32F4" w:rsidRDefault="00FD32F4" w:rsidP="00FA7FFB">
            <w:pPr>
              <w:pStyle w:val="TableText"/>
            </w:pPr>
            <w:r>
              <w:t>Rat control using loose grain/pellet bait in stations around buildings</w:t>
            </w:r>
          </w:p>
        </w:tc>
        <w:tc>
          <w:tcPr>
            <w:tcW w:w="1559" w:type="dxa"/>
            <w:tcBorders>
              <w:top w:val="nil"/>
              <w:left w:val="nil"/>
              <w:bottom w:val="nil"/>
              <w:right w:val="nil"/>
            </w:tcBorders>
          </w:tcPr>
          <w:p w14:paraId="737ADAB9" w14:textId="77777777" w:rsidR="00FD32F4" w:rsidRDefault="00FD32F4" w:rsidP="00FA7FFB">
            <w:pPr>
              <w:pStyle w:val="TableText"/>
            </w:pPr>
            <w:r>
              <w:t>0.38</w:t>
            </w:r>
          </w:p>
        </w:tc>
        <w:tc>
          <w:tcPr>
            <w:tcW w:w="1418" w:type="dxa"/>
            <w:tcBorders>
              <w:top w:val="nil"/>
              <w:left w:val="nil"/>
              <w:bottom w:val="nil"/>
              <w:right w:val="nil"/>
            </w:tcBorders>
          </w:tcPr>
          <w:p w14:paraId="4B25E018" w14:textId="77777777" w:rsidR="00FD32F4" w:rsidRDefault="00FD32F4" w:rsidP="00FA7FFB">
            <w:pPr>
              <w:pStyle w:val="TableText"/>
            </w:pPr>
            <w:r>
              <w:t>50</w:t>
            </w:r>
          </w:p>
        </w:tc>
        <w:tc>
          <w:tcPr>
            <w:tcW w:w="1411" w:type="dxa"/>
            <w:tcBorders>
              <w:top w:val="nil"/>
              <w:left w:val="nil"/>
              <w:bottom w:val="nil"/>
              <w:right w:val="nil"/>
            </w:tcBorders>
          </w:tcPr>
          <w:p w14:paraId="0712E059" w14:textId="77777777" w:rsidR="00FD32F4" w:rsidRDefault="00FD32F4" w:rsidP="00FA7FFB">
            <w:pPr>
              <w:pStyle w:val="TableText"/>
            </w:pPr>
            <w:r>
              <w:t>&lt;0.01</w:t>
            </w:r>
          </w:p>
        </w:tc>
      </w:tr>
      <w:tr w:rsidR="00FD32F4" w14:paraId="190D1D70" w14:textId="77777777" w:rsidTr="00FA7FFB">
        <w:trPr>
          <w:cantSplit/>
        </w:trPr>
        <w:tc>
          <w:tcPr>
            <w:tcW w:w="624" w:type="dxa"/>
            <w:tcBorders>
              <w:top w:val="nil"/>
              <w:left w:val="nil"/>
              <w:bottom w:val="nil"/>
              <w:right w:val="nil"/>
            </w:tcBorders>
          </w:tcPr>
          <w:p w14:paraId="6F5C8E08" w14:textId="77777777" w:rsidR="00FD32F4" w:rsidRDefault="00FD32F4" w:rsidP="00FA7FFB">
            <w:pPr>
              <w:pStyle w:val="TableText"/>
            </w:pPr>
          </w:p>
        </w:tc>
        <w:tc>
          <w:tcPr>
            <w:tcW w:w="1419" w:type="dxa"/>
            <w:tcBorders>
              <w:top w:val="nil"/>
              <w:left w:val="nil"/>
              <w:bottom w:val="nil"/>
              <w:right w:val="nil"/>
            </w:tcBorders>
          </w:tcPr>
          <w:p w14:paraId="4CC1B5C7" w14:textId="77777777" w:rsidR="00FD32F4" w:rsidRDefault="00FD32F4" w:rsidP="00FA7FFB">
            <w:pPr>
              <w:pStyle w:val="TableText"/>
            </w:pPr>
            <w:r>
              <w:t>Difethialone</w:t>
            </w:r>
          </w:p>
        </w:tc>
        <w:tc>
          <w:tcPr>
            <w:tcW w:w="3259" w:type="dxa"/>
            <w:tcBorders>
              <w:top w:val="nil"/>
              <w:left w:val="nil"/>
              <w:bottom w:val="nil"/>
              <w:right w:val="nil"/>
            </w:tcBorders>
          </w:tcPr>
          <w:p w14:paraId="3E676A49" w14:textId="77777777" w:rsidR="00FD32F4" w:rsidRDefault="00FD32F4" w:rsidP="00FA7FFB">
            <w:pPr>
              <w:pStyle w:val="TableText"/>
            </w:pPr>
            <w:r>
              <w:t>Rat control using loose grain/pellet bait in stations around buildings</w:t>
            </w:r>
          </w:p>
        </w:tc>
        <w:tc>
          <w:tcPr>
            <w:tcW w:w="1559" w:type="dxa"/>
            <w:tcBorders>
              <w:top w:val="nil"/>
              <w:left w:val="nil"/>
              <w:bottom w:val="nil"/>
              <w:right w:val="nil"/>
            </w:tcBorders>
          </w:tcPr>
          <w:p w14:paraId="206547F1" w14:textId="77777777" w:rsidR="00FD32F4" w:rsidRDefault="00FD32F4" w:rsidP="00FA7FFB">
            <w:pPr>
              <w:pStyle w:val="TableText"/>
            </w:pPr>
            <w:r>
              <w:t>0.15</w:t>
            </w:r>
          </w:p>
        </w:tc>
        <w:tc>
          <w:tcPr>
            <w:tcW w:w="1418" w:type="dxa"/>
            <w:tcBorders>
              <w:top w:val="nil"/>
              <w:left w:val="nil"/>
              <w:bottom w:val="nil"/>
              <w:right w:val="nil"/>
            </w:tcBorders>
          </w:tcPr>
          <w:p w14:paraId="68859EB9" w14:textId="77777777" w:rsidR="00FD32F4" w:rsidRDefault="00FD32F4" w:rsidP="00FA7FFB">
            <w:pPr>
              <w:pStyle w:val="TableText"/>
            </w:pPr>
            <w:r>
              <w:t>50</w:t>
            </w:r>
          </w:p>
        </w:tc>
        <w:tc>
          <w:tcPr>
            <w:tcW w:w="1411" w:type="dxa"/>
            <w:tcBorders>
              <w:top w:val="nil"/>
              <w:left w:val="nil"/>
              <w:bottom w:val="nil"/>
              <w:right w:val="nil"/>
            </w:tcBorders>
          </w:tcPr>
          <w:p w14:paraId="6927058F" w14:textId="77777777" w:rsidR="00FD32F4" w:rsidRDefault="00FD32F4" w:rsidP="00FA7FFB">
            <w:pPr>
              <w:pStyle w:val="TableText"/>
            </w:pPr>
            <w:r>
              <w:t>&lt;0.01</w:t>
            </w:r>
          </w:p>
        </w:tc>
      </w:tr>
      <w:tr w:rsidR="00FD32F4" w14:paraId="5F756D35" w14:textId="77777777" w:rsidTr="00FA7FFB">
        <w:trPr>
          <w:cantSplit/>
        </w:trPr>
        <w:tc>
          <w:tcPr>
            <w:tcW w:w="624" w:type="dxa"/>
            <w:tcBorders>
              <w:top w:val="nil"/>
              <w:left w:val="nil"/>
              <w:bottom w:val="nil"/>
              <w:right w:val="nil"/>
            </w:tcBorders>
          </w:tcPr>
          <w:p w14:paraId="272F070A" w14:textId="77777777" w:rsidR="00FD32F4" w:rsidRDefault="00FD32F4" w:rsidP="00FA7FFB">
            <w:pPr>
              <w:pStyle w:val="TableText"/>
            </w:pPr>
          </w:p>
        </w:tc>
        <w:tc>
          <w:tcPr>
            <w:tcW w:w="1419" w:type="dxa"/>
            <w:tcBorders>
              <w:top w:val="nil"/>
              <w:left w:val="nil"/>
              <w:bottom w:val="nil"/>
              <w:right w:val="nil"/>
            </w:tcBorders>
          </w:tcPr>
          <w:p w14:paraId="522DCAB2" w14:textId="77777777" w:rsidR="00FD32F4" w:rsidRDefault="00FD32F4" w:rsidP="00FA7FFB">
            <w:pPr>
              <w:pStyle w:val="TableText"/>
            </w:pPr>
            <w:r>
              <w:t>Flocoumafen</w:t>
            </w:r>
          </w:p>
        </w:tc>
        <w:tc>
          <w:tcPr>
            <w:tcW w:w="3259" w:type="dxa"/>
            <w:tcBorders>
              <w:top w:val="nil"/>
              <w:left w:val="nil"/>
              <w:bottom w:val="nil"/>
              <w:right w:val="nil"/>
            </w:tcBorders>
          </w:tcPr>
          <w:p w14:paraId="41C5F41E" w14:textId="77777777" w:rsidR="00FD32F4" w:rsidRDefault="00FD32F4" w:rsidP="00FA7FFB">
            <w:pPr>
              <w:pStyle w:val="TableText"/>
            </w:pPr>
            <w:r>
              <w:t>Rat control using loose grain/pellet bait in stations around buildings</w:t>
            </w:r>
          </w:p>
        </w:tc>
        <w:tc>
          <w:tcPr>
            <w:tcW w:w="1559" w:type="dxa"/>
            <w:tcBorders>
              <w:top w:val="nil"/>
              <w:left w:val="nil"/>
              <w:bottom w:val="nil"/>
              <w:right w:val="nil"/>
            </w:tcBorders>
          </w:tcPr>
          <w:p w14:paraId="6232FA7D" w14:textId="77777777" w:rsidR="00FD32F4" w:rsidRDefault="00FD32F4" w:rsidP="00FA7FFB">
            <w:pPr>
              <w:pStyle w:val="TableText"/>
            </w:pPr>
            <w:r>
              <w:t>0.088</w:t>
            </w:r>
          </w:p>
        </w:tc>
        <w:tc>
          <w:tcPr>
            <w:tcW w:w="1418" w:type="dxa"/>
            <w:tcBorders>
              <w:top w:val="nil"/>
              <w:left w:val="nil"/>
              <w:bottom w:val="nil"/>
              <w:right w:val="nil"/>
            </w:tcBorders>
          </w:tcPr>
          <w:p w14:paraId="58C07436" w14:textId="77777777" w:rsidR="00FD32F4" w:rsidRDefault="00FD32F4" w:rsidP="00FA7FFB">
            <w:pPr>
              <w:pStyle w:val="TableText"/>
            </w:pPr>
            <w:r>
              <w:t>2.8</w:t>
            </w:r>
          </w:p>
        </w:tc>
        <w:tc>
          <w:tcPr>
            <w:tcW w:w="1411" w:type="dxa"/>
            <w:tcBorders>
              <w:top w:val="nil"/>
              <w:left w:val="nil"/>
              <w:bottom w:val="nil"/>
              <w:right w:val="nil"/>
            </w:tcBorders>
          </w:tcPr>
          <w:p w14:paraId="6A371D8C" w14:textId="77777777" w:rsidR="00FD32F4" w:rsidRDefault="00FD32F4" w:rsidP="00FA7FFB">
            <w:pPr>
              <w:pStyle w:val="TableText"/>
            </w:pPr>
            <w:r>
              <w:t>0.03</w:t>
            </w:r>
          </w:p>
        </w:tc>
      </w:tr>
      <w:tr w:rsidR="00FD32F4" w14:paraId="7BC6F837" w14:textId="77777777" w:rsidTr="00E078CC">
        <w:tc>
          <w:tcPr>
            <w:tcW w:w="9690" w:type="dxa"/>
            <w:gridSpan w:val="6"/>
            <w:tcBorders>
              <w:top w:val="single" w:sz="4" w:space="0" w:color="auto"/>
              <w:left w:val="nil"/>
              <w:bottom w:val="nil"/>
              <w:right w:val="nil"/>
            </w:tcBorders>
          </w:tcPr>
          <w:p w14:paraId="36EB72EE" w14:textId="62324EF1" w:rsidR="00FD32F4" w:rsidRPr="0084222C" w:rsidRDefault="00FD32F4" w:rsidP="00377F3A">
            <w:pPr>
              <w:pStyle w:val="TableText"/>
            </w:pPr>
            <w:r w:rsidRPr="0084222C">
              <w:t xml:space="preserve">PEC (predicted environmental concentration) in soil for each worst-case scenario from </w:t>
            </w:r>
            <w:r w:rsidR="00603108">
              <w:fldChar w:fldCharType="begin"/>
            </w:r>
            <w:r w:rsidR="00603108">
              <w:instrText xml:space="preserve"> REF _Ref213163993 \h </w:instrText>
            </w:r>
            <w:r w:rsidR="005B464D">
              <w:instrText xml:space="preserve"> \* MERGEFORMAT </w:instrText>
            </w:r>
            <w:r w:rsidR="00603108">
              <w:fldChar w:fldCharType="separate"/>
            </w:r>
            <w:r w:rsidR="003861AC">
              <w:t xml:space="preserve">Table </w:t>
            </w:r>
            <w:r w:rsidR="003861AC">
              <w:rPr>
                <w:noProof/>
              </w:rPr>
              <w:t>57</w:t>
            </w:r>
            <w:r w:rsidR="00603108">
              <w:fldChar w:fldCharType="end"/>
            </w:r>
          </w:p>
          <w:p w14:paraId="01A4E4CA" w14:textId="215FDD2B" w:rsidR="00FD32F4" w:rsidRPr="000C50E1" w:rsidRDefault="00FD32F4" w:rsidP="00377F3A">
            <w:pPr>
              <w:pStyle w:val="TableText"/>
            </w:pPr>
            <w:r w:rsidRPr="0084222C">
              <w:t xml:space="preserve">RAL (regulatory acceptable level) </w:t>
            </w:r>
            <w:r>
              <w:t xml:space="preserve">based on </w:t>
            </w:r>
            <w:r w:rsidRPr="000C50E1">
              <w:t>earthworm LC</w:t>
            </w:r>
            <w:r w:rsidRPr="000C50E1">
              <w:rPr>
                <w:vertAlign w:val="subscript"/>
              </w:rPr>
              <w:t>50</w:t>
            </w:r>
            <w:r w:rsidRPr="000C50E1">
              <w:t xml:space="preserve"> / assessment factor 10</w:t>
            </w:r>
            <w:r>
              <w:t>, where LC</w:t>
            </w:r>
            <w:r w:rsidRPr="00DE66E7">
              <w:rPr>
                <w:vertAlign w:val="subscript"/>
              </w:rPr>
              <w:t>50</w:t>
            </w:r>
            <w:r>
              <w:t xml:space="preserve"> values from </w:t>
            </w:r>
            <w:r w:rsidR="005B464D">
              <w:fldChar w:fldCharType="begin"/>
            </w:r>
            <w:r w:rsidR="005B464D">
              <w:instrText xml:space="preserve"> REF _Ref213315852 \h  \* MERGEFORMAT </w:instrText>
            </w:r>
            <w:r w:rsidR="005B464D">
              <w:fldChar w:fldCharType="separate"/>
            </w:r>
            <w:r w:rsidR="003861AC">
              <w:t xml:space="preserve">Table </w:t>
            </w:r>
            <w:r w:rsidR="003861AC">
              <w:rPr>
                <w:noProof/>
              </w:rPr>
              <w:t>93</w:t>
            </w:r>
            <w:r w:rsidR="005B464D">
              <w:fldChar w:fldCharType="end"/>
            </w:r>
            <w:r w:rsidR="005B464D">
              <w:t xml:space="preserve"> </w:t>
            </w:r>
            <w:r>
              <w:t xml:space="preserve">(coumatetralyl), </w:t>
            </w:r>
            <w:r w:rsidR="005B464D">
              <w:fldChar w:fldCharType="begin"/>
            </w:r>
            <w:r w:rsidR="005B464D">
              <w:instrText xml:space="preserve"> REF _Ref213315870 \h  \* MERGEFORMAT </w:instrText>
            </w:r>
            <w:r w:rsidR="005B464D">
              <w:fldChar w:fldCharType="separate"/>
            </w:r>
            <w:r w:rsidR="003861AC">
              <w:t xml:space="preserve">Table </w:t>
            </w:r>
            <w:r w:rsidR="003861AC">
              <w:rPr>
                <w:noProof/>
              </w:rPr>
              <w:t>115</w:t>
            </w:r>
            <w:r w:rsidR="005B464D">
              <w:fldChar w:fldCharType="end"/>
            </w:r>
            <w:r w:rsidR="005B464D">
              <w:t xml:space="preserve"> </w:t>
            </w:r>
            <w:r>
              <w:t xml:space="preserve">(brodifacoum), </w:t>
            </w:r>
            <w:r w:rsidR="005B464D">
              <w:fldChar w:fldCharType="begin"/>
            </w:r>
            <w:r w:rsidR="005B464D">
              <w:instrText xml:space="preserve"> REF _Ref213315890 \h  \* MERGEFORMAT </w:instrText>
            </w:r>
            <w:r w:rsidR="005B464D">
              <w:fldChar w:fldCharType="separate"/>
            </w:r>
            <w:r w:rsidR="003861AC">
              <w:t xml:space="preserve">Table </w:t>
            </w:r>
            <w:r w:rsidR="003861AC">
              <w:rPr>
                <w:noProof/>
              </w:rPr>
              <w:t>124</w:t>
            </w:r>
            <w:r w:rsidR="005B464D">
              <w:fldChar w:fldCharType="end"/>
            </w:r>
            <w:r>
              <w:t xml:space="preserve"> (bromadiolone), </w:t>
            </w:r>
            <w:r w:rsidR="005B464D">
              <w:fldChar w:fldCharType="begin"/>
            </w:r>
            <w:r w:rsidR="005B464D">
              <w:instrText xml:space="preserve"> REF _Ref213315915 \h  \* MERGEFORMAT </w:instrText>
            </w:r>
            <w:r w:rsidR="005B464D">
              <w:fldChar w:fldCharType="separate"/>
            </w:r>
            <w:r w:rsidR="003861AC">
              <w:t xml:space="preserve">Table </w:t>
            </w:r>
            <w:r w:rsidR="003861AC">
              <w:rPr>
                <w:noProof/>
              </w:rPr>
              <w:t>133</w:t>
            </w:r>
            <w:r w:rsidR="005B464D">
              <w:fldChar w:fldCharType="end"/>
            </w:r>
            <w:r>
              <w:t xml:space="preserve"> (difenacoum), </w:t>
            </w:r>
            <w:r w:rsidR="005B464D">
              <w:fldChar w:fldCharType="begin"/>
            </w:r>
            <w:r w:rsidR="005B464D">
              <w:instrText xml:space="preserve"> REF _Ref213315931 \h  \* MERGEFORMAT </w:instrText>
            </w:r>
            <w:r w:rsidR="005B464D">
              <w:fldChar w:fldCharType="separate"/>
            </w:r>
            <w:r w:rsidR="003861AC">
              <w:t xml:space="preserve">Table </w:t>
            </w:r>
            <w:r w:rsidR="003861AC">
              <w:rPr>
                <w:noProof/>
              </w:rPr>
              <w:t>140</w:t>
            </w:r>
            <w:r w:rsidR="005B464D">
              <w:fldChar w:fldCharType="end"/>
            </w:r>
            <w:r>
              <w:t xml:space="preserve"> (difethialone), and </w:t>
            </w:r>
            <w:r w:rsidR="005B464D">
              <w:fldChar w:fldCharType="begin"/>
            </w:r>
            <w:r w:rsidR="005B464D">
              <w:instrText xml:space="preserve"> REF _Ref213315950 \h  \* MERGEFORMAT </w:instrText>
            </w:r>
            <w:r w:rsidR="005B464D">
              <w:fldChar w:fldCharType="separate"/>
            </w:r>
            <w:r w:rsidR="003861AC">
              <w:t xml:space="preserve">Table </w:t>
            </w:r>
            <w:r w:rsidR="003861AC">
              <w:rPr>
                <w:noProof/>
              </w:rPr>
              <w:t>149</w:t>
            </w:r>
            <w:r w:rsidR="005B464D">
              <w:fldChar w:fldCharType="end"/>
            </w:r>
            <w:r>
              <w:t xml:space="preserve"> (flocoumafen) in Appendix </w:t>
            </w:r>
            <w:r w:rsidR="00FA4E31">
              <w:t>A</w:t>
            </w:r>
          </w:p>
          <w:p w14:paraId="2DE9C212" w14:textId="77777777" w:rsidR="00FD32F4" w:rsidRPr="0084222C" w:rsidRDefault="00FD32F4" w:rsidP="00377F3A">
            <w:pPr>
              <w:pStyle w:val="TableText"/>
              <w:rPr>
                <w:szCs w:val="17"/>
              </w:rPr>
            </w:pPr>
            <w:r w:rsidRPr="0084222C">
              <w:t>RQ (risk quotient) = PEC / RAL, where acceptable RQ ≤1</w:t>
            </w:r>
          </w:p>
        </w:tc>
      </w:tr>
    </w:tbl>
    <w:p w14:paraId="1B2D4CDB" w14:textId="493A75FF" w:rsidR="00FD32F4" w:rsidRDefault="00603108" w:rsidP="00FD32F4">
      <w:pPr>
        <w:pStyle w:val="Caption"/>
      </w:pPr>
      <w:bookmarkStart w:id="1116" w:name="_Toc213946034"/>
      <w:bookmarkStart w:id="1117" w:name="_Toc216695720"/>
      <w:r>
        <w:t xml:space="preserve">Table </w:t>
      </w:r>
      <w:r>
        <w:fldChar w:fldCharType="begin"/>
      </w:r>
      <w:r>
        <w:instrText xml:space="preserve"> SEQ Table \* ARABIC </w:instrText>
      </w:r>
      <w:r>
        <w:fldChar w:fldCharType="separate"/>
      </w:r>
      <w:r w:rsidR="003861AC">
        <w:rPr>
          <w:noProof/>
        </w:rPr>
        <w:t>58</w:t>
      </w:r>
      <w:r>
        <w:fldChar w:fldCharType="end"/>
      </w:r>
      <w:r w:rsidR="00FD32F4">
        <w:t>:</w:t>
      </w:r>
      <w:r>
        <w:t xml:space="preserve"> </w:t>
      </w:r>
      <w:r w:rsidR="00FD32F4">
        <w:t>Relevant scenarios for exposure of sewage treatment plant (STP)</w:t>
      </w:r>
      <w:r w:rsidR="00FD32F4">
        <w:rPr>
          <w:rStyle w:val="FootnoteReference"/>
        </w:rPr>
        <w:footnoteReference w:id="13"/>
      </w:r>
      <w:bookmarkEnd w:id="1116"/>
      <w:bookmarkEnd w:id="1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733"/>
        <w:gridCol w:w="3895"/>
      </w:tblGrid>
      <w:tr w:rsidR="00FD32F4" w:rsidRPr="00CA558C" w14:paraId="50EE401C" w14:textId="77777777" w:rsidTr="0017134F">
        <w:trPr>
          <w:tblHeader/>
        </w:trPr>
        <w:tc>
          <w:tcPr>
            <w:tcW w:w="2977" w:type="pct"/>
            <w:tcBorders>
              <w:bottom w:val="single" w:sz="4" w:space="0" w:color="auto"/>
            </w:tcBorders>
            <w:shd w:val="clear" w:color="auto" w:fill="53284F"/>
          </w:tcPr>
          <w:p w14:paraId="33EA3AF6" w14:textId="77777777" w:rsidR="00FD32F4" w:rsidRDefault="00FD32F4" w:rsidP="00377F3A">
            <w:pPr>
              <w:pStyle w:val="TableHead"/>
            </w:pPr>
            <w:r>
              <w:t>Scenario</w:t>
            </w:r>
          </w:p>
        </w:tc>
        <w:tc>
          <w:tcPr>
            <w:tcW w:w="2023" w:type="pct"/>
            <w:tcBorders>
              <w:bottom w:val="single" w:sz="4" w:space="0" w:color="auto"/>
            </w:tcBorders>
            <w:shd w:val="clear" w:color="auto" w:fill="53284F"/>
          </w:tcPr>
          <w:p w14:paraId="3BE4BB32" w14:textId="77777777" w:rsidR="00FD32F4" w:rsidRDefault="00FD32F4" w:rsidP="00377F3A">
            <w:pPr>
              <w:pStyle w:val="TableHead"/>
            </w:pPr>
            <w:r>
              <w:t>STP exposure</w:t>
            </w:r>
          </w:p>
        </w:tc>
      </w:tr>
      <w:tr w:rsidR="00FD32F4" w:rsidRPr="00401380" w14:paraId="74B393F6" w14:textId="77777777" w:rsidTr="00E078CC">
        <w:tc>
          <w:tcPr>
            <w:tcW w:w="2977" w:type="pct"/>
            <w:tcBorders>
              <w:top w:val="single" w:sz="4" w:space="0" w:color="auto"/>
              <w:left w:val="nil"/>
              <w:bottom w:val="nil"/>
              <w:right w:val="nil"/>
            </w:tcBorders>
          </w:tcPr>
          <w:p w14:paraId="5F1E4EEE" w14:textId="77777777" w:rsidR="00FD32F4" w:rsidRDefault="00FD32F4" w:rsidP="00377F3A">
            <w:pPr>
              <w:pStyle w:val="TableText"/>
            </w:pPr>
            <w:r>
              <w:t>In buildings</w:t>
            </w:r>
          </w:p>
        </w:tc>
        <w:tc>
          <w:tcPr>
            <w:tcW w:w="2023" w:type="pct"/>
            <w:tcBorders>
              <w:top w:val="single" w:sz="4" w:space="0" w:color="auto"/>
              <w:left w:val="nil"/>
              <w:bottom w:val="nil"/>
              <w:right w:val="nil"/>
            </w:tcBorders>
          </w:tcPr>
          <w:p w14:paraId="28C6FBB8" w14:textId="77777777" w:rsidR="00FD32F4" w:rsidRDefault="00FD32F4" w:rsidP="00377F3A">
            <w:pPr>
              <w:pStyle w:val="TableText"/>
            </w:pPr>
            <w:r>
              <w:t>Not relevant</w:t>
            </w:r>
          </w:p>
        </w:tc>
      </w:tr>
      <w:tr w:rsidR="00FD32F4" w:rsidRPr="00401380" w14:paraId="20DB9902" w14:textId="77777777" w:rsidTr="00E078CC">
        <w:tc>
          <w:tcPr>
            <w:tcW w:w="2977" w:type="pct"/>
            <w:tcBorders>
              <w:top w:val="nil"/>
              <w:left w:val="nil"/>
              <w:bottom w:val="nil"/>
              <w:right w:val="nil"/>
            </w:tcBorders>
          </w:tcPr>
          <w:p w14:paraId="28404792" w14:textId="77777777" w:rsidR="00FD32F4" w:rsidRDefault="00FD32F4" w:rsidP="00377F3A">
            <w:pPr>
              <w:pStyle w:val="TableText"/>
            </w:pPr>
            <w:r>
              <w:t>Around buildings</w:t>
            </w:r>
          </w:p>
        </w:tc>
        <w:tc>
          <w:tcPr>
            <w:tcW w:w="2023" w:type="pct"/>
            <w:tcBorders>
              <w:top w:val="nil"/>
              <w:left w:val="nil"/>
              <w:bottom w:val="nil"/>
              <w:right w:val="nil"/>
            </w:tcBorders>
          </w:tcPr>
          <w:p w14:paraId="4506619D" w14:textId="77777777" w:rsidR="00FD32F4" w:rsidRDefault="00FD32F4" w:rsidP="00377F3A">
            <w:pPr>
              <w:pStyle w:val="TableText"/>
            </w:pPr>
            <w:r>
              <w:t>Not relevant</w:t>
            </w:r>
          </w:p>
        </w:tc>
      </w:tr>
      <w:tr w:rsidR="00FD32F4" w:rsidRPr="00401380" w14:paraId="570DF3CB" w14:textId="77777777" w:rsidTr="00E078CC">
        <w:tc>
          <w:tcPr>
            <w:tcW w:w="2977" w:type="pct"/>
            <w:tcBorders>
              <w:top w:val="nil"/>
              <w:left w:val="nil"/>
              <w:bottom w:val="nil"/>
              <w:right w:val="nil"/>
            </w:tcBorders>
          </w:tcPr>
          <w:p w14:paraId="23899475" w14:textId="77777777" w:rsidR="00FD32F4" w:rsidRDefault="00FD32F4" w:rsidP="00377F3A">
            <w:pPr>
              <w:pStyle w:val="TableText"/>
            </w:pPr>
            <w:r>
              <w:lastRenderedPageBreak/>
              <w:t>Bait stations in open areas (agricultural crops)</w:t>
            </w:r>
          </w:p>
        </w:tc>
        <w:tc>
          <w:tcPr>
            <w:tcW w:w="2023" w:type="pct"/>
            <w:tcBorders>
              <w:top w:val="nil"/>
              <w:left w:val="nil"/>
              <w:bottom w:val="nil"/>
              <w:right w:val="nil"/>
            </w:tcBorders>
          </w:tcPr>
          <w:p w14:paraId="7010FEDA" w14:textId="77777777" w:rsidR="00FD32F4" w:rsidRDefault="00FD32F4" w:rsidP="00377F3A">
            <w:pPr>
              <w:pStyle w:val="TableText"/>
            </w:pPr>
            <w:r>
              <w:t>Not relevant</w:t>
            </w:r>
          </w:p>
        </w:tc>
      </w:tr>
      <w:tr w:rsidR="00FD32F4" w:rsidRPr="00401380" w14:paraId="04ED12FA" w14:textId="77777777" w:rsidTr="00E078CC">
        <w:tc>
          <w:tcPr>
            <w:tcW w:w="2977" w:type="pct"/>
            <w:tcBorders>
              <w:top w:val="nil"/>
              <w:left w:val="nil"/>
              <w:bottom w:val="single" w:sz="4" w:space="0" w:color="auto"/>
              <w:right w:val="nil"/>
            </w:tcBorders>
          </w:tcPr>
          <w:p w14:paraId="4D4EA3AA" w14:textId="77777777" w:rsidR="00FD32F4" w:rsidRDefault="00FD32F4" w:rsidP="00377F3A">
            <w:pPr>
              <w:pStyle w:val="TableText"/>
            </w:pPr>
            <w:r>
              <w:t>Sewers</w:t>
            </w:r>
          </w:p>
        </w:tc>
        <w:tc>
          <w:tcPr>
            <w:tcW w:w="2023" w:type="pct"/>
            <w:tcBorders>
              <w:top w:val="nil"/>
              <w:left w:val="nil"/>
              <w:bottom w:val="single" w:sz="4" w:space="0" w:color="auto"/>
              <w:right w:val="nil"/>
            </w:tcBorders>
          </w:tcPr>
          <w:p w14:paraId="5CE98055" w14:textId="77777777" w:rsidR="00FD32F4" w:rsidRDefault="00FD32F4" w:rsidP="00377F3A">
            <w:pPr>
              <w:pStyle w:val="TableText"/>
            </w:pPr>
            <w:r>
              <w:t>Relevant</w:t>
            </w:r>
          </w:p>
        </w:tc>
      </w:tr>
    </w:tbl>
    <w:p w14:paraId="15FDA8FC" w14:textId="5EC4DF33" w:rsidR="00FD32F4" w:rsidRDefault="00603108" w:rsidP="00603108">
      <w:pPr>
        <w:pStyle w:val="Caption"/>
      </w:pPr>
      <w:bookmarkStart w:id="1118" w:name="_Ref213318266"/>
      <w:bookmarkStart w:id="1119" w:name="_Toc213946035"/>
      <w:bookmarkStart w:id="1120" w:name="_Toc216695721"/>
      <w:r>
        <w:t xml:space="preserve">Table </w:t>
      </w:r>
      <w:r>
        <w:fldChar w:fldCharType="begin"/>
      </w:r>
      <w:r>
        <w:instrText xml:space="preserve"> SEQ Table \* ARABIC </w:instrText>
      </w:r>
      <w:r>
        <w:fldChar w:fldCharType="separate"/>
      </w:r>
      <w:r w:rsidR="003861AC">
        <w:rPr>
          <w:noProof/>
        </w:rPr>
        <w:t>59</w:t>
      </w:r>
      <w:r>
        <w:fldChar w:fldCharType="end"/>
      </w:r>
      <w:bookmarkEnd w:id="1118"/>
      <w:r>
        <w:t xml:space="preserve">: </w:t>
      </w:r>
      <w:r w:rsidR="00FD32F4">
        <w:t>Risks of anticoagulant rodenticides to biological methods of sewage treatment</w:t>
      </w:r>
      <w:bookmarkEnd w:id="1119"/>
      <w:bookmarkEnd w:id="1120"/>
      <w:r w:rsidR="00FD32F4">
        <w:t xml:space="preserve">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4"/>
        <w:gridCol w:w="1419"/>
        <w:gridCol w:w="3117"/>
        <w:gridCol w:w="1510"/>
        <w:gridCol w:w="1510"/>
        <w:gridCol w:w="1510"/>
      </w:tblGrid>
      <w:tr w:rsidR="00FD32F4" w:rsidRPr="00CA558C" w14:paraId="4BAAE1FF" w14:textId="77777777" w:rsidTr="0017134F">
        <w:trPr>
          <w:cantSplit/>
          <w:tblHeader/>
        </w:trPr>
        <w:tc>
          <w:tcPr>
            <w:tcW w:w="624" w:type="dxa"/>
            <w:tcBorders>
              <w:bottom w:val="single" w:sz="4" w:space="0" w:color="auto"/>
            </w:tcBorders>
            <w:shd w:val="clear" w:color="auto" w:fill="53284F"/>
          </w:tcPr>
          <w:p w14:paraId="3F488CCF" w14:textId="77777777" w:rsidR="00FD32F4" w:rsidRDefault="00FD32F4" w:rsidP="00377F3A">
            <w:pPr>
              <w:pStyle w:val="TableHead"/>
            </w:pPr>
            <w:r>
              <w:t>Group</w:t>
            </w:r>
          </w:p>
        </w:tc>
        <w:tc>
          <w:tcPr>
            <w:tcW w:w="1419" w:type="dxa"/>
            <w:tcBorders>
              <w:bottom w:val="single" w:sz="4" w:space="0" w:color="auto"/>
            </w:tcBorders>
            <w:shd w:val="clear" w:color="auto" w:fill="53284F"/>
          </w:tcPr>
          <w:p w14:paraId="5D4EC30E" w14:textId="77777777" w:rsidR="00FD32F4" w:rsidRDefault="00FD32F4" w:rsidP="00377F3A">
            <w:pPr>
              <w:pStyle w:val="TableHead"/>
            </w:pPr>
            <w:r>
              <w:t>Active constituent</w:t>
            </w:r>
          </w:p>
        </w:tc>
        <w:tc>
          <w:tcPr>
            <w:tcW w:w="3117" w:type="dxa"/>
            <w:tcBorders>
              <w:bottom w:val="single" w:sz="4" w:space="0" w:color="auto"/>
            </w:tcBorders>
            <w:shd w:val="clear" w:color="auto" w:fill="53284F"/>
          </w:tcPr>
          <w:p w14:paraId="319DD278" w14:textId="77777777" w:rsidR="00FD32F4" w:rsidRDefault="00FD32F4" w:rsidP="00377F3A">
            <w:pPr>
              <w:pStyle w:val="TableHead"/>
            </w:pPr>
            <w:r>
              <w:t>Worst-case scenario</w:t>
            </w:r>
          </w:p>
        </w:tc>
        <w:tc>
          <w:tcPr>
            <w:tcW w:w="1510" w:type="dxa"/>
            <w:tcBorders>
              <w:bottom w:val="single" w:sz="4" w:space="0" w:color="auto"/>
            </w:tcBorders>
            <w:shd w:val="clear" w:color="auto" w:fill="53284F"/>
          </w:tcPr>
          <w:p w14:paraId="0EA00C08" w14:textId="77777777" w:rsidR="00FD32F4" w:rsidRDefault="00FD32F4" w:rsidP="00377F3A">
            <w:pPr>
              <w:pStyle w:val="TableHead"/>
            </w:pPr>
            <w:r>
              <w:t>PEC</w:t>
            </w:r>
          </w:p>
          <w:p w14:paraId="2CFA387E" w14:textId="77777777" w:rsidR="00FD32F4" w:rsidRDefault="00FD32F4" w:rsidP="00377F3A">
            <w:pPr>
              <w:pStyle w:val="TableHead"/>
            </w:pPr>
            <w:r w:rsidRPr="00D17B00">
              <w:t>(mg/</w:t>
            </w:r>
            <w:r>
              <w:t>L</w:t>
            </w:r>
            <w:r w:rsidRPr="00D17B00">
              <w:t>)</w:t>
            </w:r>
          </w:p>
        </w:tc>
        <w:tc>
          <w:tcPr>
            <w:tcW w:w="1510" w:type="dxa"/>
            <w:tcBorders>
              <w:bottom w:val="single" w:sz="4" w:space="0" w:color="auto"/>
            </w:tcBorders>
            <w:shd w:val="clear" w:color="auto" w:fill="53284F"/>
          </w:tcPr>
          <w:p w14:paraId="16560C59" w14:textId="77777777" w:rsidR="00FD32F4" w:rsidRDefault="00FD32F4" w:rsidP="00377F3A">
            <w:pPr>
              <w:pStyle w:val="TableHead"/>
            </w:pPr>
            <w:r>
              <w:t>RAL</w:t>
            </w:r>
          </w:p>
          <w:p w14:paraId="7E246C40" w14:textId="77777777" w:rsidR="00FD32F4" w:rsidRDefault="00FD32F4" w:rsidP="00377F3A">
            <w:pPr>
              <w:pStyle w:val="TableHead"/>
            </w:pPr>
            <w:r w:rsidRPr="00D17B00">
              <w:t>(mg/</w:t>
            </w:r>
            <w:r>
              <w:t>L</w:t>
            </w:r>
            <w:r w:rsidRPr="00D17B00">
              <w:t>)</w:t>
            </w:r>
          </w:p>
        </w:tc>
        <w:tc>
          <w:tcPr>
            <w:tcW w:w="1510" w:type="dxa"/>
            <w:tcBorders>
              <w:bottom w:val="single" w:sz="4" w:space="0" w:color="auto"/>
            </w:tcBorders>
            <w:shd w:val="clear" w:color="auto" w:fill="53284F"/>
          </w:tcPr>
          <w:p w14:paraId="5659BCBF" w14:textId="77777777" w:rsidR="00FD32F4" w:rsidRDefault="00FD32F4" w:rsidP="00377F3A">
            <w:pPr>
              <w:pStyle w:val="TableHead"/>
            </w:pPr>
            <w:r>
              <w:t>RQ</w:t>
            </w:r>
          </w:p>
        </w:tc>
      </w:tr>
      <w:tr w:rsidR="00FD32F4" w:rsidRPr="00401380" w14:paraId="2261E9AA" w14:textId="77777777" w:rsidTr="00E078CC">
        <w:trPr>
          <w:cantSplit/>
        </w:trPr>
        <w:tc>
          <w:tcPr>
            <w:tcW w:w="624" w:type="dxa"/>
            <w:tcBorders>
              <w:top w:val="single" w:sz="4" w:space="0" w:color="auto"/>
              <w:left w:val="nil"/>
              <w:bottom w:val="nil"/>
              <w:right w:val="nil"/>
            </w:tcBorders>
          </w:tcPr>
          <w:p w14:paraId="75ACE214" w14:textId="77777777" w:rsidR="00FD32F4" w:rsidRDefault="00FD32F4" w:rsidP="00377F3A">
            <w:pPr>
              <w:pStyle w:val="TableText"/>
            </w:pPr>
            <w:r>
              <w:t>FGAR</w:t>
            </w:r>
          </w:p>
        </w:tc>
        <w:tc>
          <w:tcPr>
            <w:tcW w:w="1419" w:type="dxa"/>
            <w:tcBorders>
              <w:top w:val="single" w:sz="4" w:space="0" w:color="auto"/>
              <w:left w:val="nil"/>
              <w:bottom w:val="nil"/>
              <w:right w:val="nil"/>
            </w:tcBorders>
          </w:tcPr>
          <w:p w14:paraId="046A0F6E" w14:textId="77777777" w:rsidR="00FD32F4" w:rsidRDefault="00FD32F4" w:rsidP="00377F3A">
            <w:pPr>
              <w:pStyle w:val="TableText"/>
            </w:pPr>
            <w:r>
              <w:t>Coumatetralyl</w:t>
            </w:r>
          </w:p>
        </w:tc>
        <w:tc>
          <w:tcPr>
            <w:tcW w:w="3117" w:type="dxa"/>
            <w:tcBorders>
              <w:top w:val="single" w:sz="4" w:space="0" w:color="auto"/>
              <w:left w:val="nil"/>
              <w:bottom w:val="nil"/>
              <w:right w:val="nil"/>
            </w:tcBorders>
          </w:tcPr>
          <w:p w14:paraId="73DEB3AB" w14:textId="77777777" w:rsidR="00FD32F4" w:rsidRDefault="00FD32F4" w:rsidP="00377F3A">
            <w:pPr>
              <w:pStyle w:val="TableText"/>
            </w:pPr>
            <w:r>
              <w:t>In and around buildings; agricultural crops</w:t>
            </w:r>
          </w:p>
        </w:tc>
        <w:tc>
          <w:tcPr>
            <w:tcW w:w="4530" w:type="dxa"/>
            <w:gridSpan w:val="3"/>
            <w:tcBorders>
              <w:top w:val="single" w:sz="4" w:space="0" w:color="auto"/>
              <w:left w:val="nil"/>
              <w:bottom w:val="nil"/>
              <w:right w:val="nil"/>
            </w:tcBorders>
          </w:tcPr>
          <w:p w14:paraId="419F969D" w14:textId="77777777" w:rsidR="00FD32F4" w:rsidRDefault="00FD32F4" w:rsidP="00377F3A">
            <w:pPr>
              <w:pStyle w:val="TableText"/>
            </w:pPr>
            <w:r>
              <w:t>Acceptable risk due to negligible exposure</w:t>
            </w:r>
          </w:p>
        </w:tc>
      </w:tr>
      <w:tr w:rsidR="00FD32F4" w14:paraId="27696CE9" w14:textId="77777777" w:rsidTr="00E078CC">
        <w:trPr>
          <w:cantSplit/>
        </w:trPr>
        <w:tc>
          <w:tcPr>
            <w:tcW w:w="624" w:type="dxa"/>
            <w:tcBorders>
              <w:top w:val="nil"/>
              <w:left w:val="nil"/>
              <w:bottom w:val="nil"/>
              <w:right w:val="nil"/>
            </w:tcBorders>
          </w:tcPr>
          <w:p w14:paraId="214DF66D" w14:textId="77777777" w:rsidR="00FD32F4" w:rsidRDefault="00FD32F4" w:rsidP="00377F3A">
            <w:pPr>
              <w:pStyle w:val="TableText"/>
            </w:pPr>
          </w:p>
        </w:tc>
        <w:tc>
          <w:tcPr>
            <w:tcW w:w="1419" w:type="dxa"/>
            <w:tcBorders>
              <w:top w:val="nil"/>
              <w:left w:val="nil"/>
              <w:bottom w:val="nil"/>
              <w:right w:val="nil"/>
            </w:tcBorders>
          </w:tcPr>
          <w:p w14:paraId="46F37B01" w14:textId="77777777" w:rsidR="00FD32F4" w:rsidRDefault="00FD32F4" w:rsidP="00377F3A">
            <w:pPr>
              <w:pStyle w:val="TableText"/>
            </w:pPr>
            <w:r>
              <w:t>Diphacinone</w:t>
            </w:r>
          </w:p>
        </w:tc>
        <w:tc>
          <w:tcPr>
            <w:tcW w:w="3117" w:type="dxa"/>
            <w:tcBorders>
              <w:top w:val="nil"/>
              <w:left w:val="nil"/>
              <w:bottom w:val="nil"/>
              <w:right w:val="nil"/>
            </w:tcBorders>
          </w:tcPr>
          <w:p w14:paraId="05C2B32D"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196088B6" w14:textId="77777777" w:rsidR="00FD32F4" w:rsidRDefault="00FD32F4" w:rsidP="00377F3A">
            <w:pPr>
              <w:pStyle w:val="TableText"/>
            </w:pPr>
            <w:r>
              <w:t>Acceptable risk due to negligible exposure</w:t>
            </w:r>
          </w:p>
        </w:tc>
      </w:tr>
      <w:tr w:rsidR="00FD32F4" w14:paraId="5F3865BF" w14:textId="77777777" w:rsidTr="00E078CC">
        <w:trPr>
          <w:cantSplit/>
        </w:trPr>
        <w:tc>
          <w:tcPr>
            <w:tcW w:w="624" w:type="dxa"/>
            <w:tcBorders>
              <w:top w:val="nil"/>
              <w:left w:val="nil"/>
              <w:bottom w:val="single" w:sz="4" w:space="0" w:color="auto"/>
              <w:right w:val="nil"/>
            </w:tcBorders>
          </w:tcPr>
          <w:p w14:paraId="1283E25E" w14:textId="77777777" w:rsidR="00FD32F4" w:rsidRDefault="00FD32F4" w:rsidP="00377F3A">
            <w:pPr>
              <w:pStyle w:val="TableText"/>
            </w:pPr>
          </w:p>
        </w:tc>
        <w:tc>
          <w:tcPr>
            <w:tcW w:w="1419" w:type="dxa"/>
            <w:tcBorders>
              <w:top w:val="nil"/>
              <w:left w:val="nil"/>
              <w:bottom w:val="single" w:sz="4" w:space="0" w:color="auto"/>
              <w:right w:val="nil"/>
            </w:tcBorders>
          </w:tcPr>
          <w:p w14:paraId="688FDAB5" w14:textId="77777777" w:rsidR="00FD32F4" w:rsidRDefault="00FD32F4" w:rsidP="00377F3A">
            <w:pPr>
              <w:pStyle w:val="TableText"/>
            </w:pPr>
            <w:r>
              <w:t>Warfarin</w:t>
            </w:r>
          </w:p>
        </w:tc>
        <w:tc>
          <w:tcPr>
            <w:tcW w:w="3117" w:type="dxa"/>
            <w:tcBorders>
              <w:top w:val="nil"/>
              <w:left w:val="nil"/>
              <w:bottom w:val="single" w:sz="4" w:space="0" w:color="auto"/>
              <w:right w:val="nil"/>
            </w:tcBorders>
          </w:tcPr>
          <w:p w14:paraId="71C6322F" w14:textId="77777777" w:rsidR="00FD32F4" w:rsidRDefault="00FD32F4" w:rsidP="00377F3A">
            <w:pPr>
              <w:pStyle w:val="TableText"/>
            </w:pPr>
            <w:r>
              <w:t>In and around buildings</w:t>
            </w:r>
          </w:p>
        </w:tc>
        <w:tc>
          <w:tcPr>
            <w:tcW w:w="4530" w:type="dxa"/>
            <w:gridSpan w:val="3"/>
            <w:tcBorders>
              <w:top w:val="nil"/>
              <w:left w:val="nil"/>
              <w:bottom w:val="single" w:sz="4" w:space="0" w:color="auto"/>
              <w:right w:val="nil"/>
            </w:tcBorders>
          </w:tcPr>
          <w:p w14:paraId="5B802C82" w14:textId="77777777" w:rsidR="00FD32F4" w:rsidRDefault="00FD32F4" w:rsidP="00377F3A">
            <w:pPr>
              <w:pStyle w:val="TableText"/>
            </w:pPr>
            <w:r>
              <w:t>Acceptable risk due to negligible exposure</w:t>
            </w:r>
          </w:p>
        </w:tc>
      </w:tr>
      <w:tr w:rsidR="00FD32F4" w14:paraId="58D59FEB" w14:textId="77777777" w:rsidTr="00E078CC">
        <w:trPr>
          <w:cantSplit/>
        </w:trPr>
        <w:tc>
          <w:tcPr>
            <w:tcW w:w="624" w:type="dxa"/>
            <w:tcBorders>
              <w:top w:val="single" w:sz="4" w:space="0" w:color="auto"/>
              <w:left w:val="nil"/>
              <w:bottom w:val="nil"/>
              <w:right w:val="nil"/>
            </w:tcBorders>
          </w:tcPr>
          <w:p w14:paraId="11A42728" w14:textId="77777777" w:rsidR="00FD32F4" w:rsidRDefault="00FD32F4" w:rsidP="00377F3A">
            <w:pPr>
              <w:pStyle w:val="TableText"/>
            </w:pPr>
            <w:r>
              <w:t>SGAR</w:t>
            </w:r>
          </w:p>
        </w:tc>
        <w:tc>
          <w:tcPr>
            <w:tcW w:w="1419" w:type="dxa"/>
            <w:tcBorders>
              <w:top w:val="single" w:sz="4" w:space="0" w:color="auto"/>
              <w:left w:val="nil"/>
              <w:bottom w:val="nil"/>
              <w:right w:val="nil"/>
            </w:tcBorders>
          </w:tcPr>
          <w:p w14:paraId="617EEA0B" w14:textId="77777777" w:rsidR="00FD32F4" w:rsidRDefault="00FD32F4" w:rsidP="00377F3A">
            <w:pPr>
              <w:pStyle w:val="TableText"/>
            </w:pPr>
            <w:r>
              <w:t>Brodifacoum</w:t>
            </w:r>
          </w:p>
        </w:tc>
        <w:tc>
          <w:tcPr>
            <w:tcW w:w="3117" w:type="dxa"/>
            <w:tcBorders>
              <w:top w:val="single" w:sz="4" w:space="0" w:color="auto"/>
              <w:left w:val="nil"/>
              <w:bottom w:val="nil"/>
              <w:right w:val="nil"/>
            </w:tcBorders>
          </w:tcPr>
          <w:p w14:paraId="5CE590E5" w14:textId="77777777" w:rsidR="00FD32F4" w:rsidRDefault="00FD32F4" w:rsidP="00377F3A">
            <w:pPr>
              <w:pStyle w:val="TableText"/>
            </w:pPr>
            <w:r>
              <w:t>In and around buildings</w:t>
            </w:r>
          </w:p>
        </w:tc>
        <w:tc>
          <w:tcPr>
            <w:tcW w:w="4530" w:type="dxa"/>
            <w:gridSpan w:val="3"/>
            <w:tcBorders>
              <w:top w:val="single" w:sz="4" w:space="0" w:color="auto"/>
              <w:left w:val="nil"/>
              <w:bottom w:val="nil"/>
              <w:right w:val="nil"/>
            </w:tcBorders>
          </w:tcPr>
          <w:p w14:paraId="6DF4866B" w14:textId="77777777" w:rsidR="00FD32F4" w:rsidRDefault="00FD32F4" w:rsidP="00377F3A">
            <w:pPr>
              <w:pStyle w:val="TableText"/>
            </w:pPr>
            <w:r>
              <w:t>Acceptable risk due to negligible exposure</w:t>
            </w:r>
          </w:p>
        </w:tc>
      </w:tr>
      <w:tr w:rsidR="00FD32F4" w14:paraId="7965523D" w14:textId="77777777" w:rsidTr="00E078CC">
        <w:trPr>
          <w:cantSplit/>
        </w:trPr>
        <w:tc>
          <w:tcPr>
            <w:tcW w:w="624" w:type="dxa"/>
            <w:tcBorders>
              <w:top w:val="nil"/>
              <w:left w:val="nil"/>
              <w:bottom w:val="nil"/>
              <w:right w:val="nil"/>
            </w:tcBorders>
          </w:tcPr>
          <w:p w14:paraId="1664EDB0" w14:textId="77777777" w:rsidR="00FD32F4" w:rsidRDefault="00FD32F4" w:rsidP="00377F3A">
            <w:pPr>
              <w:pStyle w:val="TableText"/>
            </w:pPr>
          </w:p>
        </w:tc>
        <w:tc>
          <w:tcPr>
            <w:tcW w:w="1419" w:type="dxa"/>
            <w:tcBorders>
              <w:top w:val="nil"/>
              <w:left w:val="nil"/>
              <w:bottom w:val="nil"/>
              <w:right w:val="nil"/>
            </w:tcBorders>
          </w:tcPr>
          <w:p w14:paraId="38FF4152" w14:textId="77777777" w:rsidR="00FD32F4" w:rsidRDefault="00FD32F4" w:rsidP="00377F3A">
            <w:pPr>
              <w:pStyle w:val="TableText"/>
            </w:pPr>
            <w:r>
              <w:t>Bromadiolone</w:t>
            </w:r>
          </w:p>
        </w:tc>
        <w:tc>
          <w:tcPr>
            <w:tcW w:w="3117" w:type="dxa"/>
            <w:tcBorders>
              <w:top w:val="nil"/>
              <w:left w:val="nil"/>
              <w:bottom w:val="nil"/>
              <w:right w:val="nil"/>
            </w:tcBorders>
          </w:tcPr>
          <w:p w14:paraId="3379AC19"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5DCC1598" w14:textId="77777777" w:rsidR="00FD32F4" w:rsidRDefault="00FD32F4" w:rsidP="00377F3A">
            <w:pPr>
              <w:pStyle w:val="TableText"/>
            </w:pPr>
            <w:r>
              <w:t>Acceptable risk due to negligible exposure</w:t>
            </w:r>
          </w:p>
        </w:tc>
      </w:tr>
      <w:tr w:rsidR="00FD32F4" w14:paraId="6EB03516" w14:textId="77777777" w:rsidTr="00E078CC">
        <w:trPr>
          <w:cantSplit/>
        </w:trPr>
        <w:tc>
          <w:tcPr>
            <w:tcW w:w="624" w:type="dxa"/>
            <w:tcBorders>
              <w:top w:val="nil"/>
              <w:left w:val="nil"/>
              <w:bottom w:val="nil"/>
              <w:right w:val="nil"/>
            </w:tcBorders>
          </w:tcPr>
          <w:p w14:paraId="3F10EF30" w14:textId="77777777" w:rsidR="00FD32F4" w:rsidRDefault="00FD32F4" w:rsidP="00377F3A">
            <w:pPr>
              <w:pStyle w:val="TableText"/>
            </w:pPr>
          </w:p>
        </w:tc>
        <w:tc>
          <w:tcPr>
            <w:tcW w:w="1419" w:type="dxa"/>
            <w:tcBorders>
              <w:top w:val="nil"/>
              <w:left w:val="nil"/>
              <w:bottom w:val="nil"/>
              <w:right w:val="nil"/>
            </w:tcBorders>
          </w:tcPr>
          <w:p w14:paraId="07B4D630" w14:textId="77777777" w:rsidR="00FD32F4" w:rsidRDefault="00FD32F4" w:rsidP="00377F3A">
            <w:pPr>
              <w:pStyle w:val="TableText"/>
            </w:pPr>
            <w:r>
              <w:t>Difenacoum</w:t>
            </w:r>
          </w:p>
        </w:tc>
        <w:tc>
          <w:tcPr>
            <w:tcW w:w="3117" w:type="dxa"/>
            <w:tcBorders>
              <w:top w:val="nil"/>
              <w:left w:val="nil"/>
              <w:bottom w:val="nil"/>
              <w:right w:val="nil"/>
            </w:tcBorders>
          </w:tcPr>
          <w:p w14:paraId="3F89A96F" w14:textId="77777777" w:rsidR="00FD32F4" w:rsidRDefault="00FD32F4" w:rsidP="00377F3A">
            <w:pPr>
              <w:pStyle w:val="TableText"/>
            </w:pPr>
            <w:r>
              <w:t>In and around buildings</w:t>
            </w:r>
          </w:p>
        </w:tc>
        <w:tc>
          <w:tcPr>
            <w:tcW w:w="4530" w:type="dxa"/>
            <w:gridSpan w:val="3"/>
            <w:tcBorders>
              <w:top w:val="nil"/>
              <w:left w:val="nil"/>
              <w:bottom w:val="nil"/>
              <w:right w:val="nil"/>
            </w:tcBorders>
          </w:tcPr>
          <w:p w14:paraId="1F35D16E" w14:textId="77777777" w:rsidR="00FD32F4" w:rsidRDefault="00FD32F4" w:rsidP="00377F3A">
            <w:pPr>
              <w:pStyle w:val="TableText"/>
            </w:pPr>
            <w:r>
              <w:t>Acceptable risk due to negligible exposure</w:t>
            </w:r>
          </w:p>
        </w:tc>
      </w:tr>
      <w:tr w:rsidR="00FD32F4" w14:paraId="38C7E0F1" w14:textId="77777777" w:rsidTr="00E078CC">
        <w:trPr>
          <w:cantSplit/>
        </w:trPr>
        <w:tc>
          <w:tcPr>
            <w:tcW w:w="624" w:type="dxa"/>
            <w:tcBorders>
              <w:top w:val="nil"/>
              <w:left w:val="nil"/>
              <w:bottom w:val="nil"/>
              <w:right w:val="nil"/>
            </w:tcBorders>
          </w:tcPr>
          <w:p w14:paraId="78F17BCF" w14:textId="77777777" w:rsidR="00FD32F4" w:rsidRDefault="00FD32F4" w:rsidP="00377F3A">
            <w:pPr>
              <w:pStyle w:val="TableText"/>
            </w:pPr>
          </w:p>
        </w:tc>
        <w:tc>
          <w:tcPr>
            <w:tcW w:w="1419" w:type="dxa"/>
            <w:tcBorders>
              <w:top w:val="nil"/>
              <w:left w:val="nil"/>
              <w:bottom w:val="nil"/>
              <w:right w:val="nil"/>
            </w:tcBorders>
          </w:tcPr>
          <w:p w14:paraId="6327A6EA" w14:textId="77777777" w:rsidR="00FD32F4" w:rsidRDefault="00FD32F4" w:rsidP="00377F3A">
            <w:pPr>
              <w:pStyle w:val="TableText"/>
            </w:pPr>
            <w:r>
              <w:t>Difethialone</w:t>
            </w:r>
          </w:p>
        </w:tc>
        <w:tc>
          <w:tcPr>
            <w:tcW w:w="3117" w:type="dxa"/>
            <w:tcBorders>
              <w:top w:val="nil"/>
              <w:left w:val="nil"/>
              <w:bottom w:val="nil"/>
              <w:right w:val="nil"/>
            </w:tcBorders>
          </w:tcPr>
          <w:p w14:paraId="033B3C73" w14:textId="77777777" w:rsidR="00FD32F4" w:rsidRDefault="00FD32F4" w:rsidP="00377F3A">
            <w:pPr>
              <w:pStyle w:val="TableText"/>
            </w:pPr>
            <w:r>
              <w:t>Rainwater sewer systems</w:t>
            </w:r>
          </w:p>
        </w:tc>
        <w:tc>
          <w:tcPr>
            <w:tcW w:w="1510" w:type="dxa"/>
            <w:tcBorders>
              <w:top w:val="nil"/>
              <w:left w:val="nil"/>
              <w:bottom w:val="nil"/>
              <w:right w:val="nil"/>
            </w:tcBorders>
          </w:tcPr>
          <w:p w14:paraId="128AA84D" w14:textId="77777777" w:rsidR="00FD32F4" w:rsidRDefault="00FD32F4" w:rsidP="00377F3A">
            <w:pPr>
              <w:pStyle w:val="TableText"/>
            </w:pPr>
            <w:r w:rsidRPr="00E74AB7">
              <w:t>1.6×10</w:t>
            </w:r>
            <w:r w:rsidRPr="00E74AB7">
              <w:rPr>
                <w:vertAlign w:val="superscript"/>
              </w:rPr>
              <w:t>-</w:t>
            </w:r>
            <w:r>
              <w:rPr>
                <w:vertAlign w:val="superscript"/>
              </w:rPr>
              <w:t>5</w:t>
            </w:r>
          </w:p>
        </w:tc>
        <w:tc>
          <w:tcPr>
            <w:tcW w:w="1510" w:type="dxa"/>
            <w:tcBorders>
              <w:top w:val="nil"/>
              <w:left w:val="nil"/>
              <w:bottom w:val="nil"/>
              <w:right w:val="nil"/>
            </w:tcBorders>
          </w:tcPr>
          <w:p w14:paraId="6C673F01" w14:textId="77777777" w:rsidR="00FD32F4" w:rsidRDefault="00FD32F4" w:rsidP="00377F3A">
            <w:pPr>
              <w:pStyle w:val="TableText"/>
            </w:pPr>
            <w:r>
              <w:t>10</w:t>
            </w:r>
          </w:p>
        </w:tc>
        <w:tc>
          <w:tcPr>
            <w:tcW w:w="1510" w:type="dxa"/>
            <w:tcBorders>
              <w:top w:val="nil"/>
              <w:left w:val="nil"/>
              <w:bottom w:val="nil"/>
              <w:right w:val="nil"/>
            </w:tcBorders>
          </w:tcPr>
          <w:p w14:paraId="4FE90093" w14:textId="77777777" w:rsidR="00FD32F4" w:rsidRDefault="00FD32F4" w:rsidP="00377F3A">
            <w:pPr>
              <w:pStyle w:val="TableText"/>
            </w:pPr>
            <w:r>
              <w:t>&lt;0.01</w:t>
            </w:r>
          </w:p>
        </w:tc>
      </w:tr>
      <w:tr w:rsidR="00FD32F4" w14:paraId="119915E1" w14:textId="77777777" w:rsidTr="00E078CC">
        <w:trPr>
          <w:cantSplit/>
        </w:trPr>
        <w:tc>
          <w:tcPr>
            <w:tcW w:w="624" w:type="dxa"/>
            <w:tcBorders>
              <w:top w:val="nil"/>
              <w:left w:val="nil"/>
              <w:bottom w:val="nil"/>
              <w:right w:val="nil"/>
            </w:tcBorders>
          </w:tcPr>
          <w:p w14:paraId="670D59B6" w14:textId="77777777" w:rsidR="00FD32F4" w:rsidRDefault="00FD32F4" w:rsidP="00377F3A">
            <w:pPr>
              <w:pStyle w:val="TableText"/>
            </w:pPr>
          </w:p>
        </w:tc>
        <w:tc>
          <w:tcPr>
            <w:tcW w:w="1419" w:type="dxa"/>
            <w:tcBorders>
              <w:top w:val="nil"/>
              <w:left w:val="nil"/>
              <w:bottom w:val="nil"/>
              <w:right w:val="nil"/>
            </w:tcBorders>
          </w:tcPr>
          <w:p w14:paraId="063784FF" w14:textId="77777777" w:rsidR="00FD32F4" w:rsidRDefault="00FD32F4" w:rsidP="00377F3A">
            <w:pPr>
              <w:pStyle w:val="TableText"/>
            </w:pPr>
            <w:r>
              <w:t>Flocoumafen</w:t>
            </w:r>
          </w:p>
        </w:tc>
        <w:tc>
          <w:tcPr>
            <w:tcW w:w="3117" w:type="dxa"/>
            <w:tcBorders>
              <w:top w:val="nil"/>
              <w:left w:val="nil"/>
              <w:bottom w:val="nil"/>
              <w:right w:val="nil"/>
            </w:tcBorders>
          </w:tcPr>
          <w:p w14:paraId="1AF5D101" w14:textId="77777777" w:rsidR="00FD32F4" w:rsidRDefault="00FD32F4" w:rsidP="00377F3A">
            <w:pPr>
              <w:pStyle w:val="TableText"/>
            </w:pPr>
            <w:r>
              <w:t>Rainwater sewer systems</w:t>
            </w:r>
          </w:p>
        </w:tc>
        <w:tc>
          <w:tcPr>
            <w:tcW w:w="1510" w:type="dxa"/>
            <w:tcBorders>
              <w:top w:val="nil"/>
              <w:left w:val="nil"/>
              <w:bottom w:val="nil"/>
              <w:right w:val="nil"/>
            </w:tcBorders>
          </w:tcPr>
          <w:p w14:paraId="635FC6D6" w14:textId="77777777" w:rsidR="00FD32F4" w:rsidRDefault="00FD32F4" w:rsidP="00377F3A">
            <w:pPr>
              <w:pStyle w:val="TableText"/>
            </w:pPr>
            <w:r>
              <w:t>0.052</w:t>
            </w:r>
          </w:p>
        </w:tc>
        <w:tc>
          <w:tcPr>
            <w:tcW w:w="1510" w:type="dxa"/>
            <w:tcBorders>
              <w:top w:val="nil"/>
              <w:left w:val="nil"/>
              <w:bottom w:val="nil"/>
              <w:right w:val="nil"/>
            </w:tcBorders>
          </w:tcPr>
          <w:p w14:paraId="6C5BF7C6" w14:textId="77777777" w:rsidR="00FD32F4" w:rsidRDefault="00FD32F4" w:rsidP="00377F3A">
            <w:pPr>
              <w:pStyle w:val="TableText"/>
            </w:pPr>
            <w:r>
              <w:t>0.40</w:t>
            </w:r>
          </w:p>
        </w:tc>
        <w:tc>
          <w:tcPr>
            <w:tcW w:w="1510" w:type="dxa"/>
            <w:tcBorders>
              <w:top w:val="nil"/>
              <w:left w:val="nil"/>
              <w:bottom w:val="nil"/>
              <w:right w:val="nil"/>
            </w:tcBorders>
          </w:tcPr>
          <w:p w14:paraId="1F3D66AF" w14:textId="77777777" w:rsidR="00FD32F4" w:rsidRDefault="00FD32F4" w:rsidP="00377F3A">
            <w:pPr>
              <w:pStyle w:val="TableText"/>
            </w:pPr>
            <w:r>
              <w:t>0.13</w:t>
            </w:r>
          </w:p>
        </w:tc>
      </w:tr>
      <w:tr w:rsidR="00FD32F4" w14:paraId="7048AD69" w14:textId="77777777" w:rsidTr="00E078CC">
        <w:tc>
          <w:tcPr>
            <w:tcW w:w="9690" w:type="dxa"/>
            <w:gridSpan w:val="6"/>
            <w:tcBorders>
              <w:top w:val="single" w:sz="4" w:space="0" w:color="auto"/>
              <w:left w:val="nil"/>
              <w:bottom w:val="nil"/>
              <w:right w:val="nil"/>
            </w:tcBorders>
          </w:tcPr>
          <w:p w14:paraId="38E90519" w14:textId="394C3384" w:rsidR="00FD32F4" w:rsidRPr="00A5093B" w:rsidRDefault="00FD32F4" w:rsidP="00377F3A">
            <w:pPr>
              <w:pStyle w:val="TableText"/>
            </w:pPr>
            <w:r w:rsidRPr="00A5093B">
              <w:t xml:space="preserve">PEC (predicted environmental concentration) in STP = worst-case surface water PEC from </w:t>
            </w:r>
            <w:r w:rsidR="005B464D" w:rsidRPr="00A5093B">
              <w:fldChar w:fldCharType="begin"/>
            </w:r>
            <w:r w:rsidR="005B464D" w:rsidRPr="00A5093B">
              <w:instrText xml:space="preserve"> REF _Ref213315246 \h  \* MERGEFORMAT </w:instrText>
            </w:r>
            <w:r w:rsidR="005B464D" w:rsidRPr="00A5093B">
              <w:fldChar w:fldCharType="separate"/>
            </w:r>
            <w:r w:rsidR="003861AC">
              <w:t>Table 52</w:t>
            </w:r>
            <w:r w:rsidR="005B464D" w:rsidRPr="00A5093B">
              <w:fldChar w:fldCharType="end"/>
            </w:r>
            <w:r w:rsidRPr="00A5093B">
              <w:t xml:space="preserve"> * DILUTION 10</w:t>
            </w:r>
          </w:p>
          <w:p w14:paraId="5E7557F0" w14:textId="7845AF68" w:rsidR="00FD32F4" w:rsidRPr="00A5093B" w:rsidRDefault="00FD32F4" w:rsidP="00377F3A">
            <w:pPr>
              <w:pStyle w:val="TableText"/>
            </w:pPr>
            <w:r w:rsidRPr="00A5093B">
              <w:t>RAL (regulatory acceptable level) based on activated sludge EC</w:t>
            </w:r>
            <w:r w:rsidRPr="00377F3A">
              <w:t>50</w:t>
            </w:r>
            <w:r w:rsidRPr="00A5093B">
              <w:t xml:space="preserve"> / assessment factor 10, where EC</w:t>
            </w:r>
            <w:r w:rsidRPr="00377F3A">
              <w:t>50</w:t>
            </w:r>
            <w:r w:rsidRPr="00A5093B">
              <w:t xml:space="preserve"> values from </w:t>
            </w:r>
            <w:r w:rsidR="005B464D" w:rsidRPr="00A5093B">
              <w:fldChar w:fldCharType="begin"/>
            </w:r>
            <w:r w:rsidR="005B464D" w:rsidRPr="00A5093B">
              <w:instrText xml:space="preserve"> REF _Ref213316068 \h  \* MERGEFORMAT </w:instrText>
            </w:r>
            <w:r w:rsidR="005B464D" w:rsidRPr="00A5093B">
              <w:fldChar w:fldCharType="separate"/>
            </w:r>
            <w:r w:rsidR="003861AC">
              <w:t>Table 141</w:t>
            </w:r>
            <w:r w:rsidR="005B464D" w:rsidRPr="00A5093B">
              <w:fldChar w:fldCharType="end"/>
            </w:r>
            <w:r w:rsidR="005B464D" w:rsidRPr="00A5093B">
              <w:t xml:space="preserve"> </w:t>
            </w:r>
            <w:r w:rsidRPr="00A5093B">
              <w:t xml:space="preserve">(difethialone) and </w:t>
            </w:r>
            <w:r w:rsidR="005B464D" w:rsidRPr="00A5093B">
              <w:fldChar w:fldCharType="begin"/>
            </w:r>
            <w:r w:rsidR="005B464D" w:rsidRPr="00A5093B">
              <w:instrText xml:space="preserve"> REF _Ref213316079 \h  \* MERGEFORMAT </w:instrText>
            </w:r>
            <w:r w:rsidR="005B464D" w:rsidRPr="00A5093B">
              <w:fldChar w:fldCharType="separate"/>
            </w:r>
            <w:r w:rsidR="003861AC">
              <w:t>Table 150</w:t>
            </w:r>
            <w:r w:rsidR="005B464D" w:rsidRPr="00A5093B">
              <w:fldChar w:fldCharType="end"/>
            </w:r>
            <w:r w:rsidR="005B464D" w:rsidRPr="00A5093B">
              <w:t xml:space="preserve"> </w:t>
            </w:r>
            <w:r w:rsidRPr="00A5093B">
              <w:t xml:space="preserve">(flocoumafen) in Appendix </w:t>
            </w:r>
            <w:r w:rsidR="00FA4E31">
              <w:t>A</w:t>
            </w:r>
          </w:p>
          <w:p w14:paraId="56BB7372" w14:textId="77777777" w:rsidR="00FD32F4" w:rsidRPr="0084222C" w:rsidRDefault="00FD32F4" w:rsidP="00377F3A">
            <w:pPr>
              <w:pStyle w:val="TableText"/>
              <w:rPr>
                <w:szCs w:val="17"/>
              </w:rPr>
            </w:pPr>
            <w:r w:rsidRPr="00A5093B">
              <w:t>RQ (risk quotient) = PEC / RAL, where acceptable RQ ≤1</w:t>
            </w:r>
          </w:p>
        </w:tc>
      </w:tr>
    </w:tbl>
    <w:p w14:paraId="1883D3D0" w14:textId="77777777" w:rsidR="00FD32F4" w:rsidRPr="004F075B" w:rsidRDefault="00FD32F4" w:rsidP="00FD32F4">
      <w:pPr>
        <w:pStyle w:val="Heading2"/>
      </w:pPr>
      <w:bookmarkStart w:id="1121" w:name="_Toc213335131"/>
      <w:bookmarkStart w:id="1122" w:name="_Toc213771926"/>
      <w:bookmarkStart w:id="1123" w:name="_Toc213943684"/>
      <w:bookmarkStart w:id="1124" w:name="_Toc213945464"/>
      <w:bookmarkStart w:id="1125" w:name="_Ref213940104"/>
      <w:bookmarkStart w:id="1126" w:name="_Toc214025488"/>
      <w:bookmarkStart w:id="1127" w:name="_Toc216695572"/>
      <w:bookmarkEnd w:id="1121"/>
      <w:bookmarkEnd w:id="1122"/>
      <w:bookmarkEnd w:id="1123"/>
      <w:bookmarkEnd w:id="1124"/>
      <w:r>
        <w:t>Recommendations</w:t>
      </w:r>
      <w:bookmarkEnd w:id="1125"/>
      <w:bookmarkEnd w:id="1126"/>
      <w:bookmarkEnd w:id="1127"/>
    </w:p>
    <w:p w14:paraId="14619AF2" w14:textId="77777777" w:rsidR="00FD32F4" w:rsidRDefault="00FD32F4" w:rsidP="00EB460A">
      <w:pPr>
        <w:pStyle w:val="Heading3"/>
        <w:tabs>
          <w:tab w:val="num" w:pos="907"/>
        </w:tabs>
      </w:pPr>
      <w:bookmarkStart w:id="1128" w:name="_Ref213159569"/>
      <w:bookmarkStart w:id="1129" w:name="_Toc214025489"/>
      <w:bookmarkStart w:id="1130" w:name="_Toc216695573"/>
      <w:r>
        <w:t>Products and uses not supported</w:t>
      </w:r>
      <w:bookmarkEnd w:id="1128"/>
      <w:bookmarkEnd w:id="1129"/>
      <w:bookmarkEnd w:id="1130"/>
    </w:p>
    <w:p w14:paraId="7F81FB38" w14:textId="06EE5FC2" w:rsidR="00FD32F4" w:rsidRDefault="00FD32F4" w:rsidP="00377F3A">
      <w:pPr>
        <w:pStyle w:val="NormalText"/>
      </w:pPr>
      <w:r>
        <w:t xml:space="preserve">To mitigate risks of primary poisoning, products </w:t>
      </w:r>
      <w:r w:rsidR="00B05995">
        <w:t>that do not contain</w:t>
      </w:r>
      <w:r>
        <w:t xml:space="preserve"> a </w:t>
      </w:r>
      <w:r w:rsidR="009F790C">
        <w:t xml:space="preserve">bittering </w:t>
      </w:r>
      <w:r>
        <w:t xml:space="preserve">agent (e.g., denatonium benzoate, bitrix) or </w:t>
      </w:r>
      <w:r w:rsidR="00B05995">
        <w:t xml:space="preserve">a </w:t>
      </w:r>
      <w:r>
        <w:t>dye are not supported</w:t>
      </w:r>
      <w:r w:rsidR="00B05995">
        <w:t>.</w:t>
      </w:r>
    </w:p>
    <w:p w14:paraId="388F9439" w14:textId="4C20371E" w:rsidR="00FD32F4" w:rsidRDefault="00C4080D" w:rsidP="00377F3A">
      <w:pPr>
        <w:pStyle w:val="NormalText"/>
      </w:pPr>
      <w:r>
        <w:t>Four</w:t>
      </w:r>
      <w:r w:rsidR="00FD32F4">
        <w:t xml:space="preserve"> flocoumafen products </w:t>
      </w:r>
      <w:r w:rsidRPr="00C4080D">
        <w:t>(54191, 80663, 90839, 90840)</w:t>
      </w:r>
      <w:r>
        <w:t xml:space="preserve"> </w:t>
      </w:r>
      <w:r w:rsidR="00FD32F4">
        <w:t xml:space="preserve">have directions for burrow baiting around buildings, which involves the direct placement of baits in rodent burrows (described as ‘rat holes’ on some labels). Burrow baiting may result in spillage of baits outside the treated burrow, because baits may be ejected by rodents from the </w:t>
      </w:r>
      <w:r w:rsidR="00FD32F4">
        <w:lastRenderedPageBreak/>
        <w:t>baited burrow, leading to an enhanced risk of primary poisoning of non-target species. Burrow baiting is not appropriate around buildings, where risk of primary poisoning of livestock or pets (particularly dogs) is of concern.</w:t>
      </w:r>
    </w:p>
    <w:p w14:paraId="7736125D" w14:textId="0AB7EC00" w:rsidR="00FD32F4" w:rsidRPr="007E6530" w:rsidRDefault="00FD32F4" w:rsidP="00377F3A">
      <w:pPr>
        <w:pStyle w:val="NormalText"/>
      </w:pPr>
      <w:r>
        <w:t>Tracking powders (contact dusts) have high concentrations of active constituents and have the potential to become airborne. Furthermore, tracking powders, liquids, and p</w:t>
      </w:r>
      <w:r w:rsidRPr="00FC7C7C">
        <w:t xml:space="preserve">roducts that are not ready-to-use are considered to have </w:t>
      </w:r>
      <w:r>
        <w:t>high</w:t>
      </w:r>
      <w:r w:rsidRPr="00FC7C7C">
        <w:t xml:space="preserve"> risk of unintentional </w:t>
      </w:r>
      <w:r>
        <w:t xml:space="preserve">exposure and </w:t>
      </w:r>
      <w:r w:rsidRPr="00FC7C7C">
        <w:t xml:space="preserve">misuse; therefore, </w:t>
      </w:r>
      <w:r w:rsidR="00B05995">
        <w:t xml:space="preserve">continued registration and use of </w:t>
      </w:r>
      <w:r>
        <w:t>these types of products</w:t>
      </w:r>
      <w:r w:rsidRPr="00FC7C7C">
        <w:t xml:space="preserve"> are not supported.</w:t>
      </w:r>
      <w:r>
        <w:t xml:space="preserve"> For the same reasons, large pack sizes are not recommended for supply as domestic pest control products. In addition, h</w:t>
      </w:r>
      <w:r w:rsidRPr="00FC7C7C">
        <w:t xml:space="preserve">igh bait concentrations pose greater risk of primary poisoning of terrestrial vertebrates and subsequently, secondary poisoning of their predators. </w:t>
      </w:r>
      <w:r w:rsidR="00B05995">
        <w:t>T</w:t>
      </w:r>
      <w:r>
        <w:t xml:space="preserve">he following sections </w:t>
      </w:r>
      <w:r w:rsidR="00B05995">
        <w:t>detail the recommended</w:t>
      </w:r>
      <w:r>
        <w:t xml:space="preserve"> limits and conditions on </w:t>
      </w:r>
      <w:r w:rsidR="00B05995">
        <w:t>the use of</w:t>
      </w:r>
      <w:r>
        <w:t xml:space="preserve"> anticoagulant rodenticide products.</w:t>
      </w:r>
    </w:p>
    <w:p w14:paraId="706B7ACF" w14:textId="77777777" w:rsidR="00FD32F4" w:rsidRDefault="00FD32F4" w:rsidP="00EB460A">
      <w:pPr>
        <w:pStyle w:val="Heading3"/>
        <w:tabs>
          <w:tab w:val="num" w:pos="907"/>
        </w:tabs>
      </w:pPr>
      <w:bookmarkStart w:id="1131" w:name="_Ref214833903"/>
      <w:bookmarkStart w:id="1132" w:name="_Toc214025490"/>
      <w:bookmarkStart w:id="1133" w:name="_Toc216695574"/>
      <w:r>
        <w:t>Supported products and uses</w:t>
      </w:r>
      <w:bookmarkEnd w:id="1131"/>
      <w:bookmarkEnd w:id="1132"/>
      <w:bookmarkEnd w:id="1133"/>
    </w:p>
    <w:p w14:paraId="66534F4F" w14:textId="481A9AE5" w:rsidR="00FD32F4" w:rsidRDefault="00FD32F4" w:rsidP="00377F3A">
      <w:pPr>
        <w:pStyle w:val="NormalText"/>
      </w:pPr>
      <w:r>
        <w:t xml:space="preserve">With the exceptions described in the previous section, </w:t>
      </w:r>
      <w:r w:rsidR="00A2219F">
        <w:t xml:space="preserve">the use of </w:t>
      </w:r>
      <w:r>
        <w:t xml:space="preserve">anticoagulant rodenticide products </w:t>
      </w:r>
      <w:r w:rsidR="00A2219F">
        <w:t xml:space="preserve">is </w:t>
      </w:r>
      <w:r>
        <w:t xml:space="preserve">supported in and around buildings, in agricultural crops, and in sewers </w:t>
      </w:r>
      <w:r w:rsidR="00A2219F">
        <w:t>only if</w:t>
      </w:r>
      <w:r>
        <w:t xml:space="preserve"> additional restrictions </w:t>
      </w:r>
      <w:r w:rsidR="00A2219F">
        <w:t>are applied</w:t>
      </w:r>
      <w:r>
        <w:t xml:space="preserve"> to minimise </w:t>
      </w:r>
      <w:r w:rsidR="00CF6505">
        <w:t xml:space="preserve">the risk of </w:t>
      </w:r>
      <w:r>
        <w:t xml:space="preserve">exposure </w:t>
      </w:r>
      <w:r w:rsidR="00CF6505">
        <w:t>to</w:t>
      </w:r>
      <w:r>
        <w:t xml:space="preserve"> non-target species. The recommended restrictions are as follows</w:t>
      </w:r>
      <w:r w:rsidR="00CF6505">
        <w:t>:</w:t>
      </w:r>
    </w:p>
    <w:p w14:paraId="25166A22" w14:textId="24E9C545" w:rsidR="00FD32F4" w:rsidRDefault="00FD32F4" w:rsidP="00377F3A">
      <w:pPr>
        <w:pStyle w:val="NormalText"/>
      </w:pPr>
      <w:r>
        <w:t>Based on the intrinsic toxicity (EC</w:t>
      </w:r>
      <w:r w:rsidR="00261C70" w:rsidRPr="006B51E7">
        <w:rPr>
          <w:vertAlign w:val="subscript"/>
        </w:rPr>
        <w:t>50</w:t>
      </w:r>
      <w:r w:rsidR="00261C70">
        <w:t xml:space="preserve"> or </w:t>
      </w:r>
      <w:r>
        <w:t>LC</w:t>
      </w:r>
      <w:r w:rsidRPr="006B51E7">
        <w:rPr>
          <w:vertAlign w:val="subscript"/>
        </w:rPr>
        <w:t>50</w:t>
      </w:r>
      <w:r>
        <w:t>) of the active constituents to aquatic species</w:t>
      </w:r>
      <w:r w:rsidR="00261C70">
        <w:t xml:space="preserve"> (see section </w:t>
      </w:r>
      <w:r w:rsidR="00261C70" w:rsidRPr="004C37DE">
        <w:rPr>
          <w:b/>
          <w:bCs/>
        </w:rPr>
        <w:fldChar w:fldCharType="begin"/>
      </w:r>
      <w:r w:rsidR="00261C70" w:rsidRPr="004C37DE">
        <w:rPr>
          <w:b/>
          <w:bCs/>
        </w:rPr>
        <w:instrText xml:space="preserve"> REF _Ref213163467 \r \h </w:instrText>
      </w:r>
      <w:r w:rsidR="001737D2">
        <w:rPr>
          <w:b/>
          <w:bCs/>
        </w:rPr>
        <w:instrText xml:space="preserve"> \* MERGEFORMAT </w:instrText>
      </w:r>
      <w:r w:rsidR="00261C70" w:rsidRPr="004C37DE">
        <w:rPr>
          <w:b/>
          <w:bCs/>
        </w:rPr>
      </w:r>
      <w:r w:rsidR="00261C70" w:rsidRPr="004C37DE">
        <w:rPr>
          <w:b/>
          <w:bCs/>
        </w:rPr>
        <w:fldChar w:fldCharType="separate"/>
      </w:r>
      <w:r w:rsidR="003861AC">
        <w:rPr>
          <w:b/>
          <w:bCs/>
        </w:rPr>
        <w:t>3.2.2</w:t>
      </w:r>
      <w:r w:rsidR="00261C70" w:rsidRPr="004C37DE">
        <w:rPr>
          <w:b/>
          <w:bCs/>
        </w:rPr>
        <w:fldChar w:fldCharType="end"/>
      </w:r>
      <w:r w:rsidR="001737D2" w:rsidRPr="004C37DE">
        <w:rPr>
          <w:b/>
          <w:bCs/>
        </w:rPr>
        <w:t xml:space="preserve"> Effects on other non-target species</w:t>
      </w:r>
      <w:r w:rsidR="00261C70">
        <w:t>)</w:t>
      </w:r>
      <w:r>
        <w:t>, the following hazard statements are required on the labels of products containing these substances.</w:t>
      </w:r>
    </w:p>
    <w:p w14:paraId="67F26B6C" w14:textId="6D6B045C" w:rsidR="00FD32F4" w:rsidRPr="00FA7FFB" w:rsidRDefault="00FD32F4" w:rsidP="00FD32F4">
      <w:pPr>
        <w:tabs>
          <w:tab w:val="left" w:pos="2552"/>
          <w:tab w:val="left" w:pos="4962"/>
        </w:tabs>
        <w:ind w:left="567"/>
        <w:rPr>
          <w:rFonts w:ascii="Arial" w:hAnsi="Arial" w:cs="Arial"/>
          <w:sz w:val="18"/>
          <w:szCs w:val="18"/>
        </w:rPr>
      </w:pPr>
      <w:r w:rsidRPr="00FA7FFB">
        <w:rPr>
          <w:rFonts w:ascii="Arial" w:hAnsi="Arial" w:cs="Arial"/>
          <w:sz w:val="18"/>
          <w:szCs w:val="18"/>
        </w:rPr>
        <w:t>EC</w:t>
      </w:r>
      <w:r w:rsidR="00261C70" w:rsidRPr="00FA7FFB">
        <w:rPr>
          <w:rFonts w:ascii="Arial" w:hAnsi="Arial" w:cs="Arial"/>
          <w:sz w:val="18"/>
          <w:szCs w:val="18"/>
          <w:vertAlign w:val="subscript"/>
        </w:rPr>
        <w:t>50</w:t>
      </w:r>
      <w:r w:rsidR="00261C70">
        <w:rPr>
          <w:rFonts w:ascii="Arial" w:hAnsi="Arial" w:cs="Arial"/>
          <w:sz w:val="18"/>
          <w:szCs w:val="18"/>
        </w:rPr>
        <w:t xml:space="preserve"> or </w:t>
      </w:r>
      <w:r w:rsidRPr="00FA7FFB">
        <w:rPr>
          <w:rFonts w:ascii="Arial" w:hAnsi="Arial" w:cs="Arial"/>
          <w:sz w:val="18"/>
          <w:szCs w:val="18"/>
        </w:rPr>
        <w:t>LC</w:t>
      </w:r>
      <w:r w:rsidRPr="00FA7FFB">
        <w:rPr>
          <w:rFonts w:ascii="Arial" w:hAnsi="Arial" w:cs="Arial"/>
          <w:sz w:val="18"/>
          <w:szCs w:val="18"/>
          <w:vertAlign w:val="subscript"/>
        </w:rPr>
        <w:t>50</w:t>
      </w:r>
      <w:r w:rsidRPr="00FA7FFB">
        <w:rPr>
          <w:rFonts w:ascii="Arial" w:hAnsi="Arial" w:cs="Arial"/>
          <w:sz w:val="18"/>
          <w:szCs w:val="18"/>
        </w:rPr>
        <w:t xml:space="preserve"> &gt;10 mg/L:</w:t>
      </w:r>
      <w:r w:rsidRPr="00FA7FFB">
        <w:rPr>
          <w:rFonts w:ascii="Arial" w:hAnsi="Arial" w:cs="Arial"/>
          <w:sz w:val="18"/>
          <w:szCs w:val="18"/>
        </w:rPr>
        <w:tab/>
        <w:t>(No hazard statement)</w:t>
      </w:r>
      <w:r w:rsidRPr="00FA7FFB">
        <w:rPr>
          <w:rFonts w:ascii="Arial" w:hAnsi="Arial" w:cs="Arial"/>
          <w:sz w:val="18"/>
          <w:szCs w:val="18"/>
        </w:rPr>
        <w:tab/>
        <w:t>(coumatetralyl, warfarin)</w:t>
      </w:r>
    </w:p>
    <w:p w14:paraId="5A0FFC9A" w14:textId="29EAF7DE" w:rsidR="00FD32F4" w:rsidRPr="00FA7FFB" w:rsidRDefault="00FD32F4" w:rsidP="00FD32F4">
      <w:pPr>
        <w:tabs>
          <w:tab w:val="left" w:pos="2552"/>
          <w:tab w:val="left" w:pos="4962"/>
        </w:tabs>
        <w:ind w:left="567"/>
        <w:rPr>
          <w:rFonts w:ascii="Arial" w:hAnsi="Arial" w:cs="Arial"/>
          <w:sz w:val="18"/>
          <w:szCs w:val="18"/>
        </w:rPr>
      </w:pPr>
      <w:r w:rsidRPr="00FA7FFB">
        <w:rPr>
          <w:rFonts w:ascii="Arial" w:hAnsi="Arial" w:cs="Arial"/>
          <w:sz w:val="18"/>
          <w:szCs w:val="18"/>
        </w:rPr>
        <w:t>EC</w:t>
      </w:r>
      <w:r w:rsidR="00261C70" w:rsidRPr="00FA7FFB">
        <w:rPr>
          <w:rFonts w:ascii="Arial" w:hAnsi="Arial" w:cs="Arial"/>
          <w:sz w:val="18"/>
          <w:szCs w:val="18"/>
          <w:vertAlign w:val="subscript"/>
        </w:rPr>
        <w:t>50</w:t>
      </w:r>
      <w:r w:rsidR="00261C70">
        <w:rPr>
          <w:rFonts w:ascii="Arial" w:hAnsi="Arial" w:cs="Arial"/>
          <w:sz w:val="18"/>
          <w:szCs w:val="18"/>
        </w:rPr>
        <w:t xml:space="preserve"> or</w:t>
      </w:r>
      <w:r w:rsidRPr="00FA7FFB">
        <w:rPr>
          <w:rFonts w:ascii="Arial" w:hAnsi="Arial" w:cs="Arial"/>
          <w:sz w:val="18"/>
          <w:szCs w:val="18"/>
        </w:rPr>
        <w:t>LC</w:t>
      </w:r>
      <w:r w:rsidRPr="00FA7FFB">
        <w:rPr>
          <w:rFonts w:ascii="Arial" w:hAnsi="Arial" w:cs="Arial"/>
          <w:sz w:val="18"/>
          <w:szCs w:val="18"/>
          <w:vertAlign w:val="subscript"/>
        </w:rPr>
        <w:t>50</w:t>
      </w:r>
      <w:r w:rsidRPr="00FA7FFB">
        <w:rPr>
          <w:rFonts w:ascii="Arial" w:hAnsi="Arial" w:cs="Arial"/>
          <w:sz w:val="18"/>
          <w:szCs w:val="18"/>
        </w:rPr>
        <w:t xml:space="preserve"> 1-10 mg/L:</w:t>
      </w:r>
      <w:r w:rsidRPr="00FA7FFB">
        <w:rPr>
          <w:rFonts w:ascii="Arial" w:hAnsi="Arial" w:cs="Arial"/>
          <w:sz w:val="18"/>
          <w:szCs w:val="18"/>
        </w:rPr>
        <w:tab/>
        <w:t>Toxic to aquatic life.</w:t>
      </w:r>
      <w:r w:rsidRPr="00FA7FFB">
        <w:rPr>
          <w:rFonts w:ascii="Arial" w:hAnsi="Arial" w:cs="Arial"/>
          <w:sz w:val="18"/>
          <w:szCs w:val="18"/>
        </w:rPr>
        <w:tab/>
        <w:t>(diphacinone, bromadiolone)</w:t>
      </w:r>
    </w:p>
    <w:p w14:paraId="325A8F24" w14:textId="17896211" w:rsidR="00FD32F4" w:rsidRPr="00FA7FFB" w:rsidRDefault="00FD32F4" w:rsidP="00FD32F4">
      <w:pPr>
        <w:tabs>
          <w:tab w:val="left" w:pos="2552"/>
          <w:tab w:val="left" w:pos="4962"/>
        </w:tabs>
        <w:ind w:left="567"/>
        <w:rPr>
          <w:rFonts w:ascii="Arial" w:hAnsi="Arial" w:cs="Arial"/>
          <w:sz w:val="19"/>
          <w:szCs w:val="19"/>
        </w:rPr>
      </w:pPr>
      <w:r w:rsidRPr="00FA7FFB">
        <w:rPr>
          <w:rFonts w:ascii="Arial" w:hAnsi="Arial" w:cs="Arial"/>
          <w:sz w:val="18"/>
          <w:szCs w:val="18"/>
        </w:rPr>
        <w:t>EC</w:t>
      </w:r>
      <w:r w:rsidR="00261C70" w:rsidRPr="00FA7FFB">
        <w:rPr>
          <w:rFonts w:ascii="Arial" w:hAnsi="Arial" w:cs="Arial"/>
          <w:sz w:val="18"/>
          <w:szCs w:val="18"/>
          <w:vertAlign w:val="subscript"/>
        </w:rPr>
        <w:t>50</w:t>
      </w:r>
      <w:r w:rsidR="00261C70">
        <w:rPr>
          <w:rFonts w:ascii="Arial" w:hAnsi="Arial" w:cs="Arial"/>
          <w:sz w:val="18"/>
          <w:szCs w:val="18"/>
        </w:rPr>
        <w:t xml:space="preserve"> or</w:t>
      </w:r>
      <w:r w:rsidRPr="00FA7FFB">
        <w:rPr>
          <w:rFonts w:ascii="Arial" w:hAnsi="Arial" w:cs="Arial"/>
          <w:sz w:val="18"/>
          <w:szCs w:val="18"/>
        </w:rPr>
        <w:t>LC</w:t>
      </w:r>
      <w:r w:rsidRPr="00FA7FFB">
        <w:rPr>
          <w:rFonts w:ascii="Arial" w:hAnsi="Arial" w:cs="Arial"/>
          <w:sz w:val="18"/>
          <w:szCs w:val="18"/>
          <w:vertAlign w:val="subscript"/>
        </w:rPr>
        <w:t>50</w:t>
      </w:r>
      <w:r w:rsidRPr="00FA7FFB">
        <w:rPr>
          <w:rFonts w:ascii="Arial" w:hAnsi="Arial" w:cs="Arial"/>
          <w:sz w:val="18"/>
          <w:szCs w:val="18"/>
        </w:rPr>
        <w:t xml:space="preserve"> &lt;1 mg/L:</w:t>
      </w:r>
      <w:r w:rsidRPr="00FA7FFB">
        <w:rPr>
          <w:rFonts w:ascii="Arial" w:hAnsi="Arial" w:cs="Arial"/>
          <w:sz w:val="18"/>
          <w:szCs w:val="18"/>
        </w:rPr>
        <w:tab/>
        <w:t>Very toxic to aquatic life.</w:t>
      </w:r>
      <w:r w:rsidRPr="00FA7FFB">
        <w:rPr>
          <w:rFonts w:ascii="Arial" w:hAnsi="Arial" w:cs="Arial"/>
          <w:sz w:val="18"/>
          <w:szCs w:val="18"/>
        </w:rPr>
        <w:tab/>
        <w:t>(brodifacoum, difenacoum, difethialone, flocoumafen)</w:t>
      </w:r>
    </w:p>
    <w:p w14:paraId="573220D5" w14:textId="77777777" w:rsidR="00FD32F4" w:rsidRDefault="00FD32F4" w:rsidP="00377F3A">
      <w:pPr>
        <w:pStyle w:val="NormalText"/>
      </w:pPr>
      <w:r>
        <w:t>The following standard protection measure is also required for all agricultural chemical products.</w:t>
      </w:r>
    </w:p>
    <w:p w14:paraId="39227388" w14:textId="77777777" w:rsidR="00FD32F4" w:rsidRPr="00FA7FFB" w:rsidRDefault="00FD32F4" w:rsidP="00FD32F4">
      <w:pPr>
        <w:ind w:left="567"/>
        <w:rPr>
          <w:rFonts w:ascii="Arial" w:hAnsi="Arial" w:cs="Arial"/>
          <w:i/>
          <w:iCs/>
          <w:sz w:val="18"/>
          <w:szCs w:val="18"/>
        </w:rPr>
      </w:pPr>
      <w:r w:rsidRPr="00FA7FFB">
        <w:rPr>
          <w:rFonts w:ascii="Arial" w:hAnsi="Arial" w:cs="Arial"/>
          <w:i/>
          <w:iCs/>
          <w:sz w:val="18"/>
          <w:szCs w:val="18"/>
        </w:rPr>
        <w:t>DO NOT contaminate wetlands or watercourses with this product or used containers.</w:t>
      </w:r>
    </w:p>
    <w:p w14:paraId="79B6EE50" w14:textId="77777777" w:rsidR="00FD32F4" w:rsidRPr="00D53B1E" w:rsidRDefault="00FD32F4" w:rsidP="00377F3A">
      <w:pPr>
        <w:pStyle w:val="NormalText"/>
      </w:pPr>
      <w:r w:rsidRPr="00D53B1E">
        <w:t>In addition, the following precautionary measure is required for bait products in and around buildings and in agricultural crops (</w:t>
      </w:r>
      <w:r>
        <w:t xml:space="preserve">but </w:t>
      </w:r>
      <w:r w:rsidRPr="00D53B1E">
        <w:t>not required for use</w:t>
      </w:r>
      <w:r>
        <w:t xml:space="preserve"> in</w:t>
      </w:r>
      <w:r w:rsidRPr="00CD3FF9">
        <w:t xml:space="preserve"> </w:t>
      </w:r>
      <w:r w:rsidRPr="00D53B1E">
        <w:t>sewer</w:t>
      </w:r>
      <w:r>
        <w:t>s</w:t>
      </w:r>
      <w:r w:rsidRPr="00D53B1E">
        <w:t>).</w:t>
      </w:r>
    </w:p>
    <w:p w14:paraId="79E15EF5" w14:textId="77777777" w:rsidR="00FD32F4" w:rsidRPr="00FA7FFB" w:rsidRDefault="00FD32F4" w:rsidP="00FA7FFB">
      <w:pPr>
        <w:pStyle w:val="NormalText"/>
        <w:ind w:left="567"/>
        <w:rPr>
          <w:i/>
          <w:iCs/>
          <w:sz w:val="18"/>
          <w:szCs w:val="20"/>
        </w:rPr>
      </w:pPr>
      <w:r w:rsidRPr="00FA7FFB">
        <w:rPr>
          <w:i/>
          <w:iCs/>
          <w:sz w:val="18"/>
          <w:szCs w:val="20"/>
        </w:rPr>
        <w:t>Place the bait stations in areas not liable to flooding. When placing bait stations close to water drainage systems, ensure that bait contact with water is avoided.</w:t>
      </w:r>
    </w:p>
    <w:p w14:paraId="5604CC6C" w14:textId="5AC6650B" w:rsidR="00FD32F4" w:rsidRDefault="00CF6505" w:rsidP="00377F3A">
      <w:pPr>
        <w:pStyle w:val="NormalText"/>
      </w:pPr>
      <w:r>
        <w:t>Several</w:t>
      </w:r>
      <w:r w:rsidR="00FD32F4">
        <w:t xml:space="preserve"> mitigation measures are proposed to mitigate risks of primary and secondary poisoning of wildlife. Berny </w:t>
      </w:r>
      <w:r w:rsidR="00B7183A" w:rsidRPr="00B7183A">
        <w:rPr>
          <w:i/>
          <w:iCs/>
        </w:rPr>
        <w:t>et al</w:t>
      </w:r>
      <w:r w:rsidR="00FD32F4">
        <w:t xml:space="preserve">. (2014) provide recommendations on conditions that will reduce the overall risks of anticoagulant rodenticides including: (1) restrictions on pack size for domestic pest control products; (2) mandatory use of tamper-resistant bait boxes for domestic pest control products, and recommended (covered) bait points for commercial products; (3) development of non-commercial website to provide adequate information on anticoagulant rodenticides. These recommendations have been reiterated in the UK Code of Pest Practice (CRRU 2015). Restricting pack sizes and </w:t>
      </w:r>
      <w:r>
        <w:t>requiring the use</w:t>
      </w:r>
      <w:r w:rsidR="00FD32F4">
        <w:t xml:space="preserve"> of tamper-resistant bait boxes for domestic uses are </w:t>
      </w:r>
      <w:r>
        <w:t>reasonable and</w:t>
      </w:r>
      <w:r w:rsidR="00FD32F4">
        <w:t xml:space="preserve"> feasible in the Australian market.</w:t>
      </w:r>
    </w:p>
    <w:p w14:paraId="112328F9" w14:textId="77777777" w:rsidR="00FD32F4" w:rsidRDefault="00FD32F4" w:rsidP="00377F3A">
      <w:pPr>
        <w:pStyle w:val="NormalText"/>
      </w:pPr>
      <w:r>
        <w:t>C</w:t>
      </w:r>
      <w:r w:rsidRPr="00C5313B">
        <w:t>ontinued rodent activity after 35 days</w:t>
      </w:r>
      <w:r>
        <w:t xml:space="preserve"> of treatment</w:t>
      </w:r>
      <w:r w:rsidRPr="00C5313B">
        <w:t xml:space="preserve"> could indicate that the rodents are resistant to the rodenticide, or that a significant proportion of the infestation </w:t>
      </w:r>
      <w:r>
        <w:t xml:space="preserve">is </w:t>
      </w:r>
      <w:r w:rsidRPr="00C5313B">
        <w:t xml:space="preserve">not being treated and </w:t>
      </w:r>
      <w:r>
        <w:t xml:space="preserve">that unexposed rodents are </w:t>
      </w:r>
      <w:r w:rsidRPr="00C5313B">
        <w:t xml:space="preserve">continually </w:t>
      </w:r>
      <w:r w:rsidRPr="00C5313B">
        <w:lastRenderedPageBreak/>
        <w:t>moving into the treated area.</w:t>
      </w:r>
      <w:r>
        <w:t xml:space="preserve"> Labels should advise the domestic user to contact a professional if rodent activity is still observed after 35 days.</w:t>
      </w:r>
    </w:p>
    <w:p w14:paraId="0CE794DA" w14:textId="646372D3" w:rsidR="00FD32F4" w:rsidRDefault="00FD32F4" w:rsidP="00377F3A">
      <w:pPr>
        <w:pStyle w:val="NormalText"/>
      </w:pPr>
      <w:r w:rsidRPr="00D7359C">
        <w:t>The primary purpose of the pulsed baiting technique is to</w:t>
      </w:r>
      <w:r>
        <w:t xml:space="preserve"> </w:t>
      </w:r>
      <w:r w:rsidRPr="00D7359C">
        <w:t>permit effective rodent control while reducing the quantities of rodenticide used and, thereby, the</w:t>
      </w:r>
      <w:r>
        <w:t xml:space="preserve"> </w:t>
      </w:r>
      <w:r w:rsidRPr="00D7359C">
        <w:t>quantity of the active substance released into the environment</w:t>
      </w:r>
      <w:r>
        <w:t xml:space="preserve">. </w:t>
      </w:r>
      <w:r w:rsidRPr="000107BC">
        <w:t>This application</w:t>
      </w:r>
      <w:r>
        <w:t xml:space="preserve"> </w:t>
      </w:r>
      <w:r w:rsidRPr="000107BC">
        <w:t xml:space="preserve">technique is </w:t>
      </w:r>
      <w:r>
        <w:t>applicable</w:t>
      </w:r>
      <w:r w:rsidRPr="000107BC">
        <w:t xml:space="preserve"> for the most potent, single-feed second-generation anticoagulant rodenticides (i.e.</w:t>
      </w:r>
      <w:r w:rsidR="00D63DEA">
        <w:t>,</w:t>
      </w:r>
      <w:r>
        <w:t xml:space="preserve"> </w:t>
      </w:r>
      <w:r w:rsidRPr="000107BC">
        <w:t>brodifacoum</w:t>
      </w:r>
      <w:r>
        <w:t>, difethialone, difenacoum, flocoumafen</w:t>
      </w:r>
      <w:r w:rsidRPr="000107BC">
        <w:t>)</w:t>
      </w:r>
      <w:r>
        <w:t xml:space="preserve">. </w:t>
      </w:r>
      <w:r w:rsidRPr="000107BC">
        <w:t>It has been observed that dominant or less neophobic rodents consume the baits completely when they</w:t>
      </w:r>
      <w:r>
        <w:t xml:space="preserve"> </w:t>
      </w:r>
      <w:r w:rsidRPr="000107BC">
        <w:t>are first put out. These animals die before the next pulse of baits is applied where more neophobic or</w:t>
      </w:r>
      <w:r>
        <w:t xml:space="preserve"> </w:t>
      </w:r>
      <w:r w:rsidRPr="000107BC">
        <w:t xml:space="preserve">less dominant rodents encounter and consume the baits (Buckle </w:t>
      </w:r>
      <w:r>
        <w:t>&amp;</w:t>
      </w:r>
      <w:r w:rsidRPr="000107BC">
        <w:t xml:space="preserve"> Eason 2015).</w:t>
      </w:r>
      <w:r>
        <w:t xml:space="preserve"> Considering the advanced knowledge required, the pulsed baiting technique should only be applied by trained professionals.</w:t>
      </w:r>
      <w:r w:rsidR="00910F88">
        <w:t xml:space="preserve"> The pulsed baiting technique is also not appropriate for use with FGARs due to the increased risk of rodents receiving a non-lethal dose of the bait, given that an FGAR requires multiple feeds for a rodent to receive a lethal dose. </w:t>
      </w:r>
    </w:p>
    <w:p w14:paraId="2B46321C" w14:textId="7962A325" w:rsidR="00FD32F4" w:rsidRDefault="000A72A4" w:rsidP="00377F3A">
      <w:pPr>
        <w:pStyle w:val="NormalText"/>
      </w:pPr>
      <w:r>
        <w:t>The use of c</w:t>
      </w:r>
      <w:r w:rsidR="00FD32F4">
        <w:t xml:space="preserve">ommercial products by trained professional users </w:t>
      </w:r>
      <w:r>
        <w:t>is supported</w:t>
      </w:r>
      <w:r w:rsidR="00FD32F4">
        <w:t xml:space="preserve"> without limits on pack sizes</w:t>
      </w:r>
      <w:r w:rsidR="009700BC">
        <w:t xml:space="preserve"> and with placement in tamper-resistant bait stations (or covered and protected bait points as long as they provide the same level of protection for non-target species as tamper-resistant bait stations).</w:t>
      </w:r>
      <w:r w:rsidR="00FD32F4">
        <w:t xml:space="preserve"> Trained professionals are expected to have advanced knowledge in rodent behaviour and risks to local non-target species</w:t>
      </w:r>
      <w:r w:rsidR="009700BC">
        <w:t>; however, currently there is no restriction on whether untrained persons are able to commercial products</w:t>
      </w:r>
      <w:r w:rsidR="00FD32F4">
        <w:t>.</w:t>
      </w:r>
      <w:r w:rsidR="009700BC">
        <w:t xml:space="preserve"> Therefore, it is the recommendation on this environment risk assessment that all commercial products containing anticoagulant rodenticides</w:t>
      </w:r>
      <w:r w:rsidR="00CB467B">
        <w:t xml:space="preserve"> should</w:t>
      </w:r>
      <w:r w:rsidR="009700BC">
        <w:t xml:space="preserve"> be </w:t>
      </w:r>
      <w:r w:rsidR="00CB467B">
        <w:t xml:space="preserve">declared </w:t>
      </w:r>
      <w:r w:rsidR="009700BC">
        <w:t>as RESTRICTED CHEMICAL PRODUCTS.</w:t>
      </w:r>
    </w:p>
    <w:p w14:paraId="3EFD1784" w14:textId="77777777" w:rsidR="00FD32F4" w:rsidRDefault="00FD32F4" w:rsidP="00377F3A">
      <w:pPr>
        <w:pStyle w:val="NormalText"/>
      </w:pPr>
      <w:r>
        <w:t>In summary, to mitigate risks to non-target wildlife, the following labelling is advised for all products containing anticoagulant rodenticides.</w:t>
      </w:r>
    </w:p>
    <w:p w14:paraId="0E7BF767" w14:textId="77777777" w:rsidR="00FD32F4" w:rsidRPr="00377F3A" w:rsidRDefault="00FD32F4" w:rsidP="00377F3A">
      <w:pPr>
        <w:pStyle w:val="NormalText"/>
        <w:ind w:left="567"/>
        <w:rPr>
          <w:i/>
          <w:iCs/>
        </w:rPr>
      </w:pPr>
      <w:r w:rsidRPr="00377F3A">
        <w:rPr>
          <w:i/>
          <w:iCs/>
        </w:rPr>
        <w:t>DO NOT place bait stations outdoors around buildings for control of mice.</w:t>
      </w:r>
    </w:p>
    <w:p w14:paraId="44CED2BB" w14:textId="77777777" w:rsidR="00FD32F4" w:rsidRPr="00377F3A" w:rsidRDefault="00FD32F4" w:rsidP="00377F3A">
      <w:pPr>
        <w:pStyle w:val="NormalText"/>
        <w:ind w:left="567"/>
        <w:rPr>
          <w:i/>
          <w:iCs/>
        </w:rPr>
      </w:pPr>
      <w:r w:rsidRPr="00377F3A">
        <w:rPr>
          <w:i/>
          <w:iCs/>
        </w:rPr>
        <w:t>Outdoor bait stations for control of rats must be placed within 2 metres of buildings.</w:t>
      </w:r>
      <w:r w:rsidRPr="00377F3A">
        <w:rPr>
          <w:rStyle w:val="FootnoteReference"/>
          <w:i/>
          <w:iCs/>
          <w:sz w:val="17"/>
          <w:szCs w:val="17"/>
        </w:rPr>
        <w:footnoteReference w:id="14"/>
      </w:r>
      <w:r w:rsidRPr="00377F3A">
        <w:rPr>
          <w:i/>
          <w:iCs/>
        </w:rPr>
        <w:t xml:space="preserve"> DO NOT apply this product directly into burrows.</w:t>
      </w:r>
    </w:p>
    <w:p w14:paraId="4D771F22" w14:textId="081F49A4" w:rsidR="00FD32F4" w:rsidRPr="00C5313B" w:rsidRDefault="00FD32F4" w:rsidP="00377F3A">
      <w:pPr>
        <w:pStyle w:val="NormalText"/>
        <w:ind w:left="567"/>
      </w:pPr>
      <w:r w:rsidRPr="00377F3A">
        <w:rPr>
          <w:i/>
          <w:iCs/>
        </w:rPr>
        <w:t>Hazardous to wildlife. Search for and dispose of dead rodents and slugs/snails in the infested area at each visit to prevent secondary poisoning. In case slugs/snails are present, move bait station to another location within the rodent infested site, away from slugs/snails. Dispose of slugs/snails in a way that non-target animals are not exposed. Dispose of dead rodents and uneaten bait in compliance with local, state or territory government regulations.</w:t>
      </w:r>
    </w:p>
    <w:p w14:paraId="6DF234F7" w14:textId="073DEAEA" w:rsidR="00023AC9" w:rsidRDefault="00FD32F4" w:rsidP="00377F3A">
      <w:pPr>
        <w:pStyle w:val="NormalText"/>
      </w:pPr>
      <w:r w:rsidRPr="00390593">
        <w:t>To align with overseas (European) restrictions to limit exposure of non-target wildlife</w:t>
      </w:r>
      <w:r w:rsidRPr="00E078CC">
        <w:t xml:space="preserve">, the following limits on pack sizes </w:t>
      </w:r>
      <w:r w:rsidR="009E1340">
        <w:t xml:space="preserve">for domestic products (i.e., non-commercial products that are available to the general public) </w:t>
      </w:r>
      <w:r w:rsidRPr="00E078CC">
        <w:t>are advised for products containing anticoagulant rodenticides</w:t>
      </w:r>
      <w:r w:rsidR="009E1340">
        <w:t>.</w:t>
      </w:r>
      <w:r w:rsidR="00023AC9">
        <w:br w:type="page"/>
      </w:r>
    </w:p>
    <w:p w14:paraId="7FE6CADB" w14:textId="77777777" w:rsidR="00FD32F4" w:rsidRPr="00FA7FFB" w:rsidRDefault="00FD32F4" w:rsidP="00FD32F4">
      <w:pPr>
        <w:widowControl w:val="0"/>
        <w:tabs>
          <w:tab w:val="left" w:pos="567"/>
          <w:tab w:val="left" w:pos="1418"/>
          <w:tab w:val="left" w:pos="3544"/>
        </w:tabs>
        <w:spacing w:before="240" w:after="240" w:line="280" w:lineRule="exact"/>
        <w:rPr>
          <w:rFonts w:ascii="Arial" w:hAnsi="Arial" w:cs="Arial"/>
          <w:sz w:val="18"/>
          <w:szCs w:val="18"/>
        </w:rPr>
      </w:pPr>
      <w:r>
        <w:rPr>
          <w:sz w:val="18"/>
          <w:szCs w:val="18"/>
        </w:rPr>
        <w:lastRenderedPageBreak/>
        <w:tab/>
      </w:r>
      <w:r w:rsidRPr="00FA7FFB">
        <w:rPr>
          <w:rFonts w:ascii="Arial" w:hAnsi="Arial" w:cs="Arial"/>
          <w:sz w:val="18"/>
          <w:szCs w:val="18"/>
        </w:rPr>
        <w:t>FGARs</w:t>
      </w:r>
      <w:r w:rsidRPr="00FA7FFB">
        <w:rPr>
          <w:rFonts w:ascii="Arial" w:hAnsi="Arial" w:cs="Arial"/>
          <w:sz w:val="18"/>
          <w:szCs w:val="18"/>
        </w:rPr>
        <w:tab/>
        <w:t>Mice only</w:t>
      </w:r>
      <w:r w:rsidRPr="00FA7FFB">
        <w:rPr>
          <w:rFonts w:ascii="Arial" w:hAnsi="Arial" w:cs="Arial"/>
          <w:sz w:val="18"/>
          <w:szCs w:val="18"/>
        </w:rPr>
        <w:tab/>
        <w:t>250 g (grain, pellet or paste), 500 g (wax block)</w:t>
      </w:r>
    </w:p>
    <w:p w14:paraId="54013FC0" w14:textId="77777777" w:rsidR="00FD32F4" w:rsidRPr="00FA7FFB" w:rsidRDefault="00FD32F4" w:rsidP="00FD32F4">
      <w:pPr>
        <w:widowControl w:val="0"/>
        <w:tabs>
          <w:tab w:val="left" w:pos="567"/>
          <w:tab w:val="left" w:pos="1418"/>
          <w:tab w:val="left" w:pos="3544"/>
        </w:tabs>
        <w:spacing w:before="240" w:after="240" w:line="280" w:lineRule="exact"/>
        <w:rPr>
          <w:rFonts w:ascii="Arial" w:hAnsi="Arial" w:cs="Arial"/>
          <w:sz w:val="18"/>
          <w:szCs w:val="18"/>
        </w:rPr>
      </w:pPr>
      <w:r w:rsidRPr="00FA7FFB">
        <w:rPr>
          <w:rFonts w:ascii="Arial" w:hAnsi="Arial" w:cs="Arial"/>
          <w:sz w:val="18"/>
          <w:szCs w:val="18"/>
        </w:rPr>
        <w:tab/>
      </w:r>
      <w:r w:rsidRPr="00FA7FFB">
        <w:rPr>
          <w:rFonts w:ascii="Arial" w:hAnsi="Arial" w:cs="Arial"/>
          <w:sz w:val="18"/>
          <w:szCs w:val="18"/>
        </w:rPr>
        <w:tab/>
        <w:t>Rats only or mice &amp; rats</w:t>
      </w:r>
      <w:r w:rsidRPr="00FA7FFB">
        <w:rPr>
          <w:rFonts w:ascii="Arial" w:hAnsi="Arial" w:cs="Arial"/>
          <w:sz w:val="18"/>
          <w:szCs w:val="18"/>
        </w:rPr>
        <w:tab/>
        <w:t>750 g (grain, pellet or paste), 1500 g (wax block)</w:t>
      </w:r>
    </w:p>
    <w:p w14:paraId="4EF77CE5" w14:textId="77777777" w:rsidR="00FD32F4" w:rsidRPr="00FA7FFB" w:rsidRDefault="00FD32F4" w:rsidP="00FD32F4">
      <w:pPr>
        <w:widowControl w:val="0"/>
        <w:tabs>
          <w:tab w:val="left" w:pos="567"/>
          <w:tab w:val="left" w:pos="1418"/>
          <w:tab w:val="left" w:pos="3544"/>
        </w:tabs>
        <w:spacing w:before="240" w:after="240" w:line="280" w:lineRule="exact"/>
        <w:rPr>
          <w:rFonts w:ascii="Arial" w:hAnsi="Arial" w:cs="Arial"/>
          <w:sz w:val="18"/>
          <w:szCs w:val="18"/>
        </w:rPr>
      </w:pPr>
      <w:r w:rsidRPr="00FA7FFB">
        <w:rPr>
          <w:rFonts w:ascii="Arial" w:hAnsi="Arial" w:cs="Arial"/>
          <w:sz w:val="18"/>
          <w:szCs w:val="18"/>
        </w:rPr>
        <w:tab/>
        <w:t>SGARs</w:t>
      </w:r>
      <w:r w:rsidRPr="00FA7FFB">
        <w:rPr>
          <w:rFonts w:ascii="Arial" w:hAnsi="Arial" w:cs="Arial"/>
          <w:sz w:val="18"/>
          <w:szCs w:val="18"/>
        </w:rPr>
        <w:tab/>
        <w:t>Mice only</w:t>
      </w:r>
      <w:r w:rsidRPr="00FA7FFB">
        <w:rPr>
          <w:rFonts w:ascii="Arial" w:hAnsi="Arial" w:cs="Arial"/>
          <w:sz w:val="18"/>
          <w:szCs w:val="18"/>
        </w:rPr>
        <w:tab/>
        <w:t>50 g (grain, pellet or paste), 100 g (wax block)</w:t>
      </w:r>
    </w:p>
    <w:p w14:paraId="077F365C" w14:textId="0C4F8779" w:rsidR="00FD32F4" w:rsidRPr="00FA7FFB" w:rsidRDefault="00FD32F4" w:rsidP="00FD32F4">
      <w:pPr>
        <w:widowControl w:val="0"/>
        <w:tabs>
          <w:tab w:val="left" w:pos="567"/>
          <w:tab w:val="left" w:pos="1418"/>
          <w:tab w:val="left" w:pos="3544"/>
        </w:tabs>
        <w:spacing w:before="240" w:after="240" w:line="280" w:lineRule="exact"/>
        <w:rPr>
          <w:rFonts w:ascii="Arial" w:hAnsi="Arial" w:cs="Arial"/>
        </w:rPr>
      </w:pPr>
      <w:r w:rsidRPr="00FA7FFB">
        <w:rPr>
          <w:rFonts w:ascii="Arial" w:hAnsi="Arial" w:cs="Arial"/>
          <w:sz w:val="18"/>
          <w:szCs w:val="18"/>
        </w:rPr>
        <w:tab/>
      </w:r>
      <w:r w:rsidRPr="00FA7FFB">
        <w:rPr>
          <w:rFonts w:ascii="Arial" w:hAnsi="Arial" w:cs="Arial"/>
          <w:sz w:val="18"/>
          <w:szCs w:val="18"/>
        </w:rPr>
        <w:tab/>
        <w:t>Rats only or mice &amp; rats</w:t>
      </w:r>
      <w:r w:rsidRPr="00FA7FFB">
        <w:rPr>
          <w:rFonts w:ascii="Arial" w:hAnsi="Arial" w:cs="Arial"/>
          <w:sz w:val="18"/>
          <w:szCs w:val="18"/>
        </w:rPr>
        <w:tab/>
        <w:t>150 g (grain, pellet or paste), 300 g (wax block)</w:t>
      </w:r>
    </w:p>
    <w:p w14:paraId="365520BE" w14:textId="1C77C875" w:rsidR="00FD32F4" w:rsidRPr="0043717B" w:rsidRDefault="00FD32F4" w:rsidP="00377F3A">
      <w:pPr>
        <w:pStyle w:val="NormalText"/>
      </w:pPr>
      <w:r w:rsidRPr="0043717B">
        <w:t xml:space="preserve">In addition, the following labelling is advised for all </w:t>
      </w:r>
      <w:r w:rsidR="00FC535C">
        <w:t xml:space="preserve">domestic </w:t>
      </w:r>
      <w:r w:rsidRPr="00377F3A">
        <w:t>products containing anticoagulant rodenticides</w:t>
      </w:r>
      <w:r w:rsidR="00B0231D">
        <w:t>:</w:t>
      </w:r>
    </w:p>
    <w:p w14:paraId="7AD5F123" w14:textId="77777777" w:rsidR="00FD32F4" w:rsidRPr="00377F3A" w:rsidRDefault="00FD32F4" w:rsidP="00377F3A">
      <w:pPr>
        <w:pStyle w:val="NormalText"/>
        <w:ind w:left="567"/>
        <w:rPr>
          <w:i/>
          <w:iCs/>
        </w:rPr>
      </w:pPr>
      <w:r w:rsidRPr="00377F3A">
        <w:rPr>
          <w:i/>
          <w:iCs/>
        </w:rPr>
        <w:t>Use in tamper resistant bait stations only. Where possible, fix tamper-resistant bait stations to the ground or other structures.</w:t>
      </w:r>
    </w:p>
    <w:p w14:paraId="7C90BCEE" w14:textId="77777777" w:rsidR="00FD32F4" w:rsidRPr="00377F3A" w:rsidRDefault="00FD32F4" w:rsidP="00377F3A">
      <w:pPr>
        <w:pStyle w:val="NormalText"/>
        <w:ind w:left="567"/>
        <w:rPr>
          <w:i/>
          <w:iCs/>
        </w:rPr>
      </w:pPr>
      <w:r w:rsidRPr="00377F3A">
        <w:rPr>
          <w:i/>
          <w:iCs/>
        </w:rPr>
        <w:t>DO NOT use the product in pulsed baiting treatments.</w:t>
      </w:r>
    </w:p>
    <w:p w14:paraId="57ACE1FB" w14:textId="77777777" w:rsidR="00FD32F4" w:rsidRPr="007E322C" w:rsidRDefault="00FD32F4" w:rsidP="00377F3A">
      <w:pPr>
        <w:pStyle w:val="NormalText"/>
        <w:ind w:left="567"/>
      </w:pPr>
      <w:r w:rsidRPr="00377F3A">
        <w:rPr>
          <w:i/>
          <w:iCs/>
        </w:rPr>
        <w:t>DO NOT use the product continuously for more than 35 days. If rodent activity is still observed after 35 days, seek advice from the product supplier or call a pest control service.</w:t>
      </w:r>
    </w:p>
    <w:p w14:paraId="1E664D33" w14:textId="620CF629" w:rsidR="00FD32F4" w:rsidRDefault="00FD32F4" w:rsidP="00377F3A">
      <w:pPr>
        <w:pStyle w:val="NormalText"/>
      </w:pPr>
      <w:r>
        <w:t xml:space="preserve">The following labelling is advised for all </w:t>
      </w:r>
      <w:r w:rsidR="00FC535C">
        <w:t>commercial products containing anticoagulant rodenticides</w:t>
      </w:r>
      <w:r>
        <w:t>.</w:t>
      </w:r>
    </w:p>
    <w:p w14:paraId="55AC7066" w14:textId="77777777" w:rsidR="00FD32F4" w:rsidRPr="00FA7FFB" w:rsidRDefault="00FD32F4" w:rsidP="00377F3A">
      <w:pPr>
        <w:pStyle w:val="NormalText"/>
        <w:ind w:left="567"/>
        <w:rPr>
          <w:i/>
          <w:iCs/>
          <w:sz w:val="18"/>
          <w:szCs w:val="18"/>
        </w:rPr>
      </w:pPr>
      <w:r w:rsidRPr="00FA7FFB">
        <w:rPr>
          <w:i/>
          <w:iCs/>
          <w:sz w:val="18"/>
          <w:szCs w:val="18"/>
        </w:rPr>
        <w:t>RESTRICTED CHEMICAL PRODUCT – ONLY TO BE SUPPLIED TO OR USED BY AN AUTHORISED PERSON</w:t>
      </w:r>
    </w:p>
    <w:p w14:paraId="5360CED9" w14:textId="77777777" w:rsidR="00FD32F4" w:rsidRPr="00FA7FFB" w:rsidRDefault="00FD32F4" w:rsidP="00377F3A">
      <w:pPr>
        <w:pStyle w:val="NormalText"/>
        <w:ind w:left="567"/>
        <w:rPr>
          <w:i/>
          <w:iCs/>
          <w:sz w:val="18"/>
          <w:szCs w:val="18"/>
        </w:rPr>
      </w:pPr>
      <w:r w:rsidRPr="00FA7FFB">
        <w:rPr>
          <w:i/>
          <w:iCs/>
          <w:sz w:val="18"/>
          <w:szCs w:val="18"/>
        </w:rPr>
        <w:t>Where possible, bait stations must be fixed to the ground or other structures. Covered or protected bait points may be used as long as they provide the same level of protection for non-target species and humans as tamper-resistant bait stations.</w:t>
      </w:r>
    </w:p>
    <w:p w14:paraId="43EC33D9" w14:textId="77777777" w:rsidR="00FD32F4" w:rsidRPr="00FA7FFB" w:rsidRDefault="00FD32F4" w:rsidP="00377F3A">
      <w:pPr>
        <w:pStyle w:val="NormalText"/>
        <w:ind w:left="567"/>
        <w:rPr>
          <w:i/>
          <w:iCs/>
          <w:sz w:val="18"/>
          <w:szCs w:val="18"/>
        </w:rPr>
      </w:pPr>
      <w:r w:rsidRPr="00FA7FFB">
        <w:rPr>
          <w:i/>
          <w:iCs/>
          <w:sz w:val="18"/>
          <w:szCs w:val="18"/>
        </w:rPr>
        <w:t>DO NOT use the product continuously for more than 35 days without an evaluation of the state of the infestation and of the efficacy of the treatment.</w:t>
      </w:r>
    </w:p>
    <w:p w14:paraId="578DDD94" w14:textId="5D0E5424" w:rsidR="00FD32F4" w:rsidRDefault="00FD32F4" w:rsidP="00377F3A">
      <w:pPr>
        <w:pStyle w:val="NormalText"/>
        <w:rPr>
          <w:i/>
          <w:iCs/>
        </w:rPr>
      </w:pPr>
      <w:r>
        <w:t xml:space="preserve">The following labelling is also advised for all </w:t>
      </w:r>
      <w:r w:rsidR="00FC535C">
        <w:t>commercial products</w:t>
      </w:r>
      <w:r>
        <w:t xml:space="preserve"> containing </w:t>
      </w:r>
      <w:r w:rsidR="00FC535C">
        <w:t xml:space="preserve">the </w:t>
      </w:r>
      <w:r>
        <w:t>FGARs coumatetralyl, diphacinone, warfarin.</w:t>
      </w:r>
    </w:p>
    <w:p w14:paraId="5D37AB51" w14:textId="77777777" w:rsidR="00023AC9" w:rsidRDefault="00FD32F4" w:rsidP="00377F3A">
      <w:pPr>
        <w:pStyle w:val="NormalText"/>
        <w:ind w:firstLine="432"/>
        <w:rPr>
          <w:i/>
          <w:iCs/>
          <w:sz w:val="18"/>
          <w:szCs w:val="18"/>
        </w:rPr>
        <w:sectPr w:rsidR="00023AC9">
          <w:headerReference w:type="even" r:id="rId37"/>
          <w:pgSz w:w="11906" w:h="16838" w:code="9"/>
          <w:pgMar w:top="2835" w:right="1134" w:bottom="1134" w:left="1134" w:header="1701" w:footer="680" w:gutter="0"/>
          <w:cols w:space="708"/>
          <w:docGrid w:linePitch="360"/>
        </w:sectPr>
      </w:pPr>
      <w:r w:rsidRPr="00FA7FFB">
        <w:rPr>
          <w:i/>
          <w:iCs/>
          <w:sz w:val="18"/>
          <w:szCs w:val="18"/>
        </w:rPr>
        <w:t>DO NOT use the product in pulsed baiting treatments.</w:t>
      </w:r>
    </w:p>
    <w:p w14:paraId="6155B7BE" w14:textId="2294EB70" w:rsidR="002239F2" w:rsidRPr="00923024" w:rsidRDefault="002239F2" w:rsidP="00923024">
      <w:pPr>
        <w:pStyle w:val="Heading1"/>
      </w:pPr>
      <w:bookmarkStart w:id="1134" w:name="_Toc214025491"/>
      <w:bookmarkStart w:id="1135" w:name="_Toc216695575"/>
      <w:r w:rsidRPr="00923024">
        <w:lastRenderedPageBreak/>
        <w:t>Toxicology</w:t>
      </w:r>
      <w:r w:rsidR="00A31E5D">
        <w:t xml:space="preserve"> and Human Health</w:t>
      </w:r>
      <w:bookmarkEnd w:id="1134"/>
      <w:bookmarkEnd w:id="1135"/>
    </w:p>
    <w:p w14:paraId="4C2F17A4" w14:textId="700BCE0A" w:rsidR="00607CB8" w:rsidRPr="00580F2B" w:rsidRDefault="00A31C95" w:rsidP="00C96D85">
      <w:pPr>
        <w:pStyle w:val="Heading2"/>
      </w:pPr>
      <w:bookmarkStart w:id="1136" w:name="_Toc214025492"/>
      <w:bookmarkStart w:id="1137" w:name="_Toc216695576"/>
      <w:r w:rsidRPr="00580F2B">
        <w:t>Introduction</w:t>
      </w:r>
      <w:bookmarkEnd w:id="1136"/>
      <w:bookmarkEnd w:id="1137"/>
    </w:p>
    <w:p w14:paraId="45AAC558" w14:textId="3BB43092" w:rsidR="00607CB8" w:rsidRPr="00C93E95" w:rsidRDefault="00607CB8" w:rsidP="00377F3A">
      <w:pPr>
        <w:pStyle w:val="NormalText"/>
      </w:pPr>
      <w:r w:rsidRPr="00C93E95">
        <w:t xml:space="preserve">The APVMA has reviewed the human health risks posed by currently registered first-generation anticoagulant rodenticides (coumatetralyl, diphacinone and warfarin), and second-generation anticoagulant rodenticides (brodifacoum, bromadiolone, difenacoum, difethialone and flocoumafen). The review includes a reconsideration of the toxicology of the various active constituents, and relevant new information. Contemporary exposure and </w:t>
      </w:r>
      <w:bookmarkStart w:id="1138" w:name="_Hlk143175515"/>
      <w:r w:rsidRPr="00C93E95">
        <w:t xml:space="preserve">risk assessments for all uses of registered anticoagulant rodenticides </w:t>
      </w:r>
      <w:bookmarkEnd w:id="1138"/>
      <w:r w:rsidRPr="00C93E95">
        <w:t>were also performed.</w:t>
      </w:r>
      <w:bookmarkStart w:id="1139" w:name="_Hlk185347472"/>
    </w:p>
    <w:p w14:paraId="51D35BAF" w14:textId="1E2E8BA3" w:rsidR="00607CB8" w:rsidRDefault="00FF49F2" w:rsidP="00EF1177">
      <w:pPr>
        <w:pStyle w:val="Heading2"/>
      </w:pPr>
      <w:bookmarkStart w:id="1140" w:name="_Toc213771932"/>
      <w:bookmarkStart w:id="1141" w:name="_Toc213943690"/>
      <w:bookmarkStart w:id="1142" w:name="_Toc213945470"/>
      <w:bookmarkStart w:id="1143" w:name="_Toc213771933"/>
      <w:bookmarkStart w:id="1144" w:name="_Toc213943691"/>
      <w:bookmarkStart w:id="1145" w:name="_Toc213945471"/>
      <w:bookmarkStart w:id="1146" w:name="_Toc213335137"/>
      <w:bookmarkStart w:id="1147" w:name="_Toc213771934"/>
      <w:bookmarkStart w:id="1148" w:name="_Toc213943692"/>
      <w:bookmarkStart w:id="1149" w:name="_Toc213945472"/>
      <w:bookmarkStart w:id="1150" w:name="_Toc213335138"/>
      <w:bookmarkStart w:id="1151" w:name="_Toc213771935"/>
      <w:bookmarkStart w:id="1152" w:name="_Toc213943693"/>
      <w:bookmarkStart w:id="1153" w:name="_Toc213945473"/>
      <w:bookmarkStart w:id="1154" w:name="_Toc213335139"/>
      <w:bookmarkStart w:id="1155" w:name="_Toc213771936"/>
      <w:bookmarkStart w:id="1156" w:name="_Toc213943694"/>
      <w:bookmarkStart w:id="1157" w:name="_Toc213945474"/>
      <w:bookmarkStart w:id="1158" w:name="_Toc213335140"/>
      <w:bookmarkStart w:id="1159" w:name="_Toc213771937"/>
      <w:bookmarkStart w:id="1160" w:name="_Toc213943695"/>
      <w:bookmarkStart w:id="1161" w:name="_Toc213945475"/>
      <w:bookmarkStart w:id="1162" w:name="_Toc213335141"/>
      <w:bookmarkStart w:id="1163" w:name="_Toc213771938"/>
      <w:bookmarkStart w:id="1164" w:name="_Toc213943696"/>
      <w:bookmarkStart w:id="1165" w:name="_Toc213945476"/>
      <w:bookmarkStart w:id="1166" w:name="_Toc213335142"/>
      <w:bookmarkStart w:id="1167" w:name="_Toc213771939"/>
      <w:bookmarkStart w:id="1168" w:name="_Toc213943697"/>
      <w:bookmarkStart w:id="1169" w:name="_Toc213945477"/>
      <w:bookmarkStart w:id="1170" w:name="_Toc213335143"/>
      <w:bookmarkStart w:id="1171" w:name="_Toc213771940"/>
      <w:bookmarkStart w:id="1172" w:name="_Toc213943698"/>
      <w:bookmarkStart w:id="1173" w:name="_Toc213945478"/>
      <w:bookmarkStart w:id="1174" w:name="_Toc213335144"/>
      <w:bookmarkStart w:id="1175" w:name="_Toc213771941"/>
      <w:bookmarkStart w:id="1176" w:name="_Toc213943699"/>
      <w:bookmarkStart w:id="1177" w:name="_Toc213945479"/>
      <w:bookmarkStart w:id="1178" w:name="_Toc213335145"/>
      <w:bookmarkStart w:id="1179" w:name="_Toc213771942"/>
      <w:bookmarkStart w:id="1180" w:name="_Toc213943700"/>
      <w:bookmarkStart w:id="1181" w:name="_Toc213945480"/>
      <w:bookmarkStart w:id="1182" w:name="_Toc213335146"/>
      <w:bookmarkStart w:id="1183" w:name="_Toc213771943"/>
      <w:bookmarkStart w:id="1184" w:name="_Toc213943701"/>
      <w:bookmarkStart w:id="1185" w:name="_Toc213945481"/>
      <w:bookmarkStart w:id="1186" w:name="_Toc213335147"/>
      <w:bookmarkStart w:id="1187" w:name="_Toc213771944"/>
      <w:bookmarkStart w:id="1188" w:name="_Toc213943702"/>
      <w:bookmarkStart w:id="1189" w:name="_Toc213945482"/>
      <w:bookmarkStart w:id="1190" w:name="_Toc213335148"/>
      <w:bookmarkStart w:id="1191" w:name="_Toc213771945"/>
      <w:bookmarkStart w:id="1192" w:name="_Toc213943703"/>
      <w:bookmarkStart w:id="1193" w:name="_Toc213945483"/>
      <w:bookmarkStart w:id="1194" w:name="_Toc135209185"/>
      <w:bookmarkStart w:id="1195" w:name="_Toc185926079"/>
      <w:bookmarkStart w:id="1196" w:name="_Toc236824309"/>
      <w:bookmarkStart w:id="1197" w:name="_Toc214025493"/>
      <w:bookmarkStart w:id="1198" w:name="_Toc185345581"/>
      <w:bookmarkStart w:id="1199" w:name="_Toc216695577"/>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t>Summary of a</w:t>
      </w:r>
      <w:r w:rsidR="00607CB8" w:rsidRPr="006A6747">
        <w:t xml:space="preserve">vailable </w:t>
      </w:r>
      <w:r w:rsidR="00C24EA3">
        <w:t xml:space="preserve">toxicological </w:t>
      </w:r>
      <w:r>
        <w:t>s</w:t>
      </w:r>
      <w:r w:rsidR="00607CB8" w:rsidRPr="006A6747">
        <w:t>tudies</w:t>
      </w:r>
      <w:bookmarkEnd w:id="1194"/>
      <w:bookmarkEnd w:id="1195"/>
      <w:bookmarkEnd w:id="1196"/>
      <w:bookmarkEnd w:id="1197"/>
      <w:bookmarkEnd w:id="1199"/>
      <w:r w:rsidR="00607CB8">
        <w:t xml:space="preserve"> </w:t>
      </w:r>
      <w:bookmarkEnd w:id="1198"/>
    </w:p>
    <w:p w14:paraId="04A7CC5B" w14:textId="2099954A" w:rsidR="00482193" w:rsidRDefault="00482193" w:rsidP="00482193">
      <w:pPr>
        <w:pStyle w:val="NormalText"/>
      </w:pPr>
      <w:r>
        <w:t xml:space="preserve">A precis of the relevant findings </w:t>
      </w:r>
      <w:r w:rsidRPr="00E078CC">
        <w:t xml:space="preserve">on the </w:t>
      </w:r>
      <w:r w:rsidR="00450A72">
        <w:t>toxicology</w:t>
      </w:r>
      <w:r w:rsidRPr="00E078CC">
        <w:t xml:space="preserve"> </w:t>
      </w:r>
      <w:r>
        <w:t xml:space="preserve">for each of the chemicals under reconsideration is presented below. </w:t>
      </w:r>
      <w:r w:rsidRPr="005B0112">
        <w:t xml:space="preserve">A </w:t>
      </w:r>
      <w:r>
        <w:t xml:space="preserve">full </w:t>
      </w:r>
      <w:r w:rsidRPr="005B0112">
        <w:t>list of available data</w:t>
      </w:r>
      <w:r>
        <w:t xml:space="preserve"> </w:t>
      </w:r>
      <w:r w:rsidRPr="00E078CC">
        <w:t xml:space="preserve">on the </w:t>
      </w:r>
      <w:r w:rsidR="00450A72">
        <w:t>toxicology</w:t>
      </w:r>
      <w:r w:rsidR="00450A72" w:rsidRPr="00E078CC">
        <w:t xml:space="preserve"> </w:t>
      </w:r>
      <w:r w:rsidR="00450A72">
        <w:t xml:space="preserve">of </w:t>
      </w:r>
      <w:r w:rsidRPr="00E078CC">
        <w:t>each chemical</w:t>
      </w:r>
      <w:r>
        <w:t>, including relevant references,</w:t>
      </w:r>
      <w:r w:rsidRPr="005B0112">
        <w:t xml:space="preserve"> is tabulated in Appendix </w:t>
      </w:r>
      <w:r w:rsidR="00FA4E31">
        <w:t>B</w:t>
      </w:r>
      <w:r w:rsidRPr="005B0112">
        <w:t>.</w:t>
      </w:r>
    </w:p>
    <w:p w14:paraId="531E0009" w14:textId="77777777" w:rsidR="00482193" w:rsidRDefault="00482193" w:rsidP="00377F3A">
      <w:pPr>
        <w:pStyle w:val="Heading3"/>
      </w:pPr>
      <w:bookmarkStart w:id="1200" w:name="_Toc214025494"/>
      <w:bookmarkStart w:id="1201" w:name="_Toc216695578"/>
      <w:r>
        <w:t>Coumatetralyl</w:t>
      </w:r>
      <w:bookmarkEnd w:id="1200"/>
      <w:bookmarkEnd w:id="1201"/>
    </w:p>
    <w:p w14:paraId="40F44398" w14:textId="0AB82B55" w:rsidR="00482193" w:rsidRDefault="00482193" w:rsidP="00377F3A">
      <w:pPr>
        <w:pStyle w:val="NormalText"/>
      </w:pPr>
      <w:r>
        <w:t>Coumatetralyl has high acute oral toxicity in rats (LD</w:t>
      </w:r>
      <w:r w:rsidRPr="00DB4D32">
        <w:rPr>
          <w:vertAlign w:val="subscript"/>
        </w:rPr>
        <w:t>50</w:t>
      </w:r>
      <w:r>
        <w:t xml:space="preserve"> 30 mg/kg bw in males and 15 mg/kg bw in females) but low acute oral toxicity in rabbits (LD</w:t>
      </w:r>
      <w:r w:rsidRPr="00DB4D32">
        <w:rPr>
          <w:vertAlign w:val="subscript"/>
        </w:rPr>
        <w:t>50</w:t>
      </w:r>
      <w:r>
        <w:t>&gt;500 mg/kg bw in males and 750 mg/kg bw in females). The acute dermal toxicity in rats is moderate (LD</w:t>
      </w:r>
      <w:r w:rsidRPr="00DB4D32">
        <w:rPr>
          <w:vertAlign w:val="subscript"/>
        </w:rPr>
        <w:t xml:space="preserve">50 </w:t>
      </w:r>
      <w:r>
        <w:t>100-500 mg/kg bw in males and 258 mg/kg in females). The inhalation toxicity in rats (LC</w:t>
      </w:r>
      <w:r w:rsidRPr="00DB4D32">
        <w:rPr>
          <w:vertAlign w:val="subscript"/>
        </w:rPr>
        <w:t>50</w:t>
      </w:r>
      <w:r>
        <w:t xml:space="preserve"> 39-63 mg/m</w:t>
      </w:r>
      <w:r w:rsidRPr="00DB4D32">
        <w:rPr>
          <w:vertAlign w:val="superscript"/>
        </w:rPr>
        <w:t>3</w:t>
      </w:r>
      <w:r>
        <w:t>) and mice (LC</w:t>
      </w:r>
      <w:r w:rsidRPr="00CB467B">
        <w:rPr>
          <w:vertAlign w:val="subscript"/>
        </w:rPr>
        <w:t>50</w:t>
      </w:r>
      <w:r>
        <w:t xml:space="preserve"> 54 mg/m</w:t>
      </w:r>
      <w:r w:rsidRPr="00DB4D32">
        <w:rPr>
          <w:vertAlign w:val="superscript"/>
        </w:rPr>
        <w:t>3</w:t>
      </w:r>
      <w:r>
        <w:t>) is moderate. Coumatetralyl is neither a skin nor eye irritant in rabbits, nor a skin sensitiser in guinea pigs.</w:t>
      </w:r>
    </w:p>
    <w:p w14:paraId="75D1EE64" w14:textId="77777777" w:rsidR="00482193" w:rsidRDefault="00482193" w:rsidP="00377F3A">
      <w:pPr>
        <w:pStyle w:val="NormalText"/>
      </w:pPr>
      <w:r>
        <w:t>The APVMA holds acute toxicity data on a 0.75% coumatetralyl product. The product has low acute oral toxicity in mice and rats (LD</w:t>
      </w:r>
      <w:r w:rsidRPr="00DB4D32">
        <w:rPr>
          <w:vertAlign w:val="subscript"/>
        </w:rPr>
        <w:t>50</w:t>
      </w:r>
      <w:r>
        <w:t>&gt;10000 mg/kg in mice and 1500 mg/kg in rats) and low acute dermal toxicity in rats (LD</w:t>
      </w:r>
      <w:r w:rsidRPr="00DB4D32">
        <w:rPr>
          <w:vertAlign w:val="subscript"/>
        </w:rPr>
        <w:t>50</w:t>
      </w:r>
      <w:r>
        <w:t>&gt;5000 mg/kg). In an inhalation study in rats, no deaths occurred at 80 mg/m</w:t>
      </w:r>
      <w:r w:rsidRPr="00DB4D32">
        <w:rPr>
          <w:vertAlign w:val="superscript"/>
        </w:rPr>
        <w:t>3</w:t>
      </w:r>
      <w:r>
        <w:t>. The product is not a skin or eye irritant in rabbits. Skin sensitisation was not assessed.</w:t>
      </w:r>
    </w:p>
    <w:p w14:paraId="11B359CF" w14:textId="39B53471" w:rsidR="00482193" w:rsidRDefault="00482193" w:rsidP="00377F3A">
      <w:pPr>
        <w:pStyle w:val="NormalText"/>
      </w:pPr>
      <w:r>
        <w:t xml:space="preserve">The existing APVMA repeat dose toxicological database consisted of studies conducted with a 0.75% (w/w) coumatetralyl powder product. This includes a 16-week dietary study in rats, in which the no observed adverse effect level (NOAEL) was 0.0068 mg </w:t>
      </w:r>
      <w:r w:rsidR="003404CF">
        <w:t>a.c</w:t>
      </w:r>
      <w:r>
        <w:t xml:space="preserve">/kg bw/day in male rats and 0.0083 mg/kg bw/day in female rats based on increase in blood clotting time at the next higher dose. In developmental studies in rats and rabbits, there were no treatment-related reproduction and foetal findings, with NOAELs of 0.035 mg </w:t>
      </w:r>
      <w:r w:rsidR="003404CF">
        <w:t>a.c.</w:t>
      </w:r>
      <w:r>
        <w:t>/kg bw/day and 0.0125 mg a</w:t>
      </w:r>
      <w:r w:rsidR="003404CF">
        <w:t>.c.</w:t>
      </w:r>
      <w:r>
        <w:t>/kg bw/day for maternal effects in rats and rabbits, respectively. Coumatetralyl causes depletion of vitamin K dependent coagulation factors, resulting in haemorrhaging that leads to death. The toxicological findings reported in the sub-chronic and developmental studies were reflective of this mechanism.</w:t>
      </w:r>
    </w:p>
    <w:p w14:paraId="288907D5" w14:textId="77777777" w:rsidR="00482193" w:rsidRDefault="00482193" w:rsidP="00377F3A">
      <w:pPr>
        <w:pStyle w:val="NormalText"/>
      </w:pPr>
      <w:r>
        <w:t>New studies submitted to the APVMA as part of the current review included acute toxicity studies conducted on products containing no more than 0.75% coumatetralyl. The study outcomes reiterated coumatetralyl containing products have low acute oral, dermal and inhalation toxicity and are not skin or eye irritants, or skin sensitisers. A further submitted genotoxicity study supported previous findings that coumatetralyl as not being genotoxic. The APVMA also received pilot sub-acute dose-range finding studies that did not impact existing conclusions on coumatetralyl.</w:t>
      </w:r>
    </w:p>
    <w:p w14:paraId="2BFE419C" w14:textId="77777777" w:rsidR="00482193" w:rsidRDefault="00482193" w:rsidP="00377F3A">
      <w:pPr>
        <w:pStyle w:val="Heading3"/>
      </w:pPr>
      <w:bookmarkStart w:id="1202" w:name="_Toc214025495"/>
      <w:bookmarkStart w:id="1203" w:name="_Toc216695579"/>
      <w:r>
        <w:lastRenderedPageBreak/>
        <w:t>Diphacinone</w:t>
      </w:r>
      <w:bookmarkEnd w:id="1202"/>
      <w:bookmarkEnd w:id="1203"/>
    </w:p>
    <w:p w14:paraId="5427BF3C" w14:textId="56630AA2" w:rsidR="00482193" w:rsidRDefault="00482193" w:rsidP="00377F3A">
      <w:pPr>
        <w:pStyle w:val="NormalText"/>
      </w:pPr>
      <w:r>
        <w:t>Diphacinone has high acute oral toxicity in rats (LD</w:t>
      </w:r>
      <w:r w:rsidRPr="00CB467B">
        <w:rPr>
          <w:vertAlign w:val="subscript"/>
        </w:rPr>
        <w:t>50</w:t>
      </w:r>
      <w:r>
        <w:t xml:space="preserve"> 2.1-8 mg/kg bw) and moderate acute oral toxicity in mice (</w:t>
      </w:r>
      <w:r w:rsidR="00AA31EB">
        <w:t>LD</w:t>
      </w:r>
      <w:r w:rsidR="00AA31EB" w:rsidRPr="00B06659">
        <w:rPr>
          <w:vertAlign w:val="subscript"/>
        </w:rPr>
        <w:t>50</w:t>
      </w:r>
      <w:r w:rsidR="00AA31EB">
        <w:rPr>
          <w:vertAlign w:val="subscript"/>
        </w:rPr>
        <w:t xml:space="preserve"> </w:t>
      </w:r>
      <w:r>
        <w:t>133-147 mg/kg bw). The acute dermal toxicity in rabbits is high (LD</w:t>
      </w:r>
      <w:r w:rsidRPr="00CB467B">
        <w:rPr>
          <w:vertAlign w:val="subscript"/>
        </w:rPr>
        <w:t>50</w:t>
      </w:r>
      <w:r>
        <w:t xml:space="preserve"> 3.6 mg/kg bw). The inhalation toxicity in rats LC</w:t>
      </w:r>
      <w:r w:rsidRPr="00CB467B">
        <w:rPr>
          <w:vertAlign w:val="subscript"/>
        </w:rPr>
        <w:t>50</w:t>
      </w:r>
      <w:r>
        <w:t xml:space="preserve"> is &lt;2000 mg/m</w:t>
      </w:r>
      <w:r w:rsidRPr="00CB467B">
        <w:rPr>
          <w:vertAlign w:val="superscript"/>
        </w:rPr>
        <w:t>3</w:t>
      </w:r>
      <w:r>
        <w:t>. Diphacinone is not a skin irritant but is a slight eye irritant in rabbits. It is not a skin sensitiser in guinea pigs.</w:t>
      </w:r>
    </w:p>
    <w:p w14:paraId="13E0382B" w14:textId="77777777" w:rsidR="00482193" w:rsidRDefault="00482193" w:rsidP="00377F3A">
      <w:pPr>
        <w:pStyle w:val="NormalText"/>
      </w:pPr>
      <w:r>
        <w:t>The APVMA holds acute toxicity data on two 0.05% diphacinone products. They have low acute oral toxicity in rats (LD</w:t>
      </w:r>
      <w:r w:rsidRPr="00CB467B">
        <w:rPr>
          <w:vertAlign w:val="subscript"/>
        </w:rPr>
        <w:t>50</w:t>
      </w:r>
      <w:r>
        <w:t>&gt;5000 mg/kg) and low acute dermal toxicity in rabbits (LD</w:t>
      </w:r>
      <w:r w:rsidRPr="00CB467B">
        <w:rPr>
          <w:vertAlign w:val="subscript"/>
        </w:rPr>
        <w:t>50</w:t>
      </w:r>
      <w:r>
        <w:t>&gt;2000 mg/kg). The products are no more than slight skin or eye irritant in rabbits. A Buehler study determined one of the products is not a skin sensitiser.</w:t>
      </w:r>
    </w:p>
    <w:p w14:paraId="1BD77528" w14:textId="4B6A68B4" w:rsidR="00482193" w:rsidRDefault="00482193" w:rsidP="00377F3A">
      <w:pPr>
        <w:pStyle w:val="NormalText"/>
      </w:pPr>
      <w:r>
        <w:t xml:space="preserve">No new toxicity studies were submitted to the APVMA as part of the current review. The existing APVMA repeat dose toxicological database consists of studies conducted technical grade diphacinone. In a 14-day oral toxicity study in rats, the NOAEL was 0.04 mg/kg bw/d based on increased coagulation parameters at 0.085 mg/kg bw/d. In a 21-day dermal study in rabbits, the NOAEL was 0.1 mg/kg bw/d, based on mortality, clinical signs, and gross pathological abnormalities seen at necropsy of animals at and above 1.0 mg/kg bw/d. A four-week inhalation study has been conducted in rats, however, because of methodological flaws a NOAEC could not be established. In a developmental study in rats, maternal toxicity in rats was observed at 0.075 mg/kg bw/d as characterised by clinical signs and mortality, accompanied by increased early resorptions. The NOAEL for maternal toxicity was 0.025 mg/kg bw/d. There was no evidence of teratogenic effects. Diphacinone was not genotoxic in </w:t>
      </w:r>
      <w:r w:rsidR="00B0231D" w:rsidRPr="00B0231D">
        <w:rPr>
          <w:i/>
          <w:iCs/>
        </w:rPr>
        <w:t>in vitro</w:t>
      </w:r>
      <w:r>
        <w:t xml:space="preserve"> and </w:t>
      </w:r>
      <w:r w:rsidR="00B0231D" w:rsidRPr="00B0231D">
        <w:rPr>
          <w:i/>
          <w:iCs/>
        </w:rPr>
        <w:t>in</w:t>
      </w:r>
      <w:r w:rsidRPr="00CB467B">
        <w:rPr>
          <w:i/>
        </w:rPr>
        <w:t xml:space="preserve"> vivo</w:t>
      </w:r>
      <w:r>
        <w:t xml:space="preserve"> studies.</w:t>
      </w:r>
    </w:p>
    <w:p w14:paraId="33B64777" w14:textId="77777777" w:rsidR="00482193" w:rsidRDefault="00482193" w:rsidP="00377F3A">
      <w:pPr>
        <w:pStyle w:val="NormalText"/>
      </w:pPr>
      <w:r>
        <w:t>APVMA also holds clinical studies that have been conducted in dogs and humans. The amount and duration of Vitamin K1 therapy appeared to be the most important aspects of treatment for diphacinone intoxicated dogs. In the human clinical evaluation of diphacinone as a potential new anticoagulant therapy, diphacinone given at and above 1.0 mg caused a dose-related depression in prothrombin levels in human subjects. Vitamin K given intravenously at 100 mg/individual re-established the normal plasma prothrombin levels in 24-48 h.</w:t>
      </w:r>
    </w:p>
    <w:p w14:paraId="72E06217" w14:textId="77777777" w:rsidR="00482193" w:rsidRDefault="00482193" w:rsidP="00377F3A">
      <w:pPr>
        <w:pStyle w:val="Heading3"/>
      </w:pPr>
      <w:bookmarkStart w:id="1204" w:name="_Toc214025496"/>
      <w:bookmarkStart w:id="1205" w:name="_Toc216695580"/>
      <w:r>
        <w:t>Warfarin</w:t>
      </w:r>
      <w:bookmarkEnd w:id="1204"/>
      <w:bookmarkEnd w:id="1205"/>
    </w:p>
    <w:p w14:paraId="251FFF99" w14:textId="309BCFE1" w:rsidR="00482193" w:rsidRPr="00450A72" w:rsidRDefault="00482193" w:rsidP="00377F3A">
      <w:pPr>
        <w:pStyle w:val="NormalText"/>
      </w:pPr>
      <w:r w:rsidRPr="00450A72">
        <w:t>No new studies have been provided to the APVMA for the review of warfarin or products containing warfarin as the active constituent.</w:t>
      </w:r>
    </w:p>
    <w:p w14:paraId="47853D3D" w14:textId="6482BB36" w:rsidR="00AA31EB" w:rsidRPr="00450A72" w:rsidRDefault="00482193" w:rsidP="00AA31EB">
      <w:pPr>
        <w:pStyle w:val="NormalText"/>
      </w:pPr>
      <w:r w:rsidRPr="00450A72">
        <w:t xml:space="preserve">The sodium salt of warfarin has been used extensively as an anticoagulant therapeutic drug. Currently there are </w:t>
      </w:r>
      <w:r w:rsidR="00E42681">
        <w:t>several</w:t>
      </w:r>
      <w:r w:rsidRPr="00450A72">
        <w:t xml:space="preserve"> registered warfarin medicines for human use in Australia with label doses ranging from 1 to 10 mg daily for the prevention and treatment of venous thrombosis and its extension and pulmonary embolism. </w:t>
      </w:r>
      <w:r w:rsidR="00AA31EB">
        <w:t xml:space="preserve">A therapeutic dose </w:t>
      </w:r>
      <w:r w:rsidR="00AA31EB" w:rsidRPr="00C5526D">
        <w:t>rang</w:t>
      </w:r>
      <w:r w:rsidR="00AA31EB">
        <w:t>e</w:t>
      </w:r>
      <w:r w:rsidR="00AA31EB" w:rsidRPr="00C5526D">
        <w:t xml:space="preserve"> from 1 to 10 mg daily </w:t>
      </w:r>
      <w:r w:rsidR="00AA31EB">
        <w:t>equates to approximately to a dose of 0.0125 to 0.125 mg/kg bw/d, and a theoretical NOAEL for warfarin may be predicted at a dose ten-fold lower than the lowest therapeutically active dose (i.e.</w:t>
      </w:r>
      <w:r w:rsidR="00D63DEA">
        <w:t>,</w:t>
      </w:r>
      <w:r w:rsidR="00AA31EB">
        <w:t xml:space="preserve"> a theoretical NOAEL of 0.00125 mg/kg bw/d).</w:t>
      </w:r>
    </w:p>
    <w:p w14:paraId="7E7178B3" w14:textId="478A5F9E" w:rsidR="00FA4E31" w:rsidRDefault="00482193" w:rsidP="00FA4E31">
      <w:pPr>
        <w:pStyle w:val="NormalText"/>
      </w:pPr>
      <w:r w:rsidRPr="00450A72">
        <w:t xml:space="preserve">Warfarin is indicated for the prophylaxis and/or treatment of the thromboembolic complications associated with atrial fibrillation, and it is also indicated for use as an adjunct in the treatment of coronary occlusion (Therapeutic Goods Administration (TGA) 2024). The critical factor in warfarin dosing is the international normalised ratio (INR). Given that exposure of users to rodenticides containing warfarin as the active constituent is several orders of magnitude lower than the doses that are administered to patients receiving anticoagulant therapy, quantitative risk </w:t>
      </w:r>
      <w:r w:rsidRPr="00450A72">
        <w:lastRenderedPageBreak/>
        <w:t>assessment was not conducted for warfarin in this review. Of note, in 2015 the TGA reviewed warfarin product information to ensure its continued safe use (TGA, 2015).</w:t>
      </w:r>
    </w:p>
    <w:p w14:paraId="3D991151" w14:textId="1F403D04" w:rsidR="00482193" w:rsidRDefault="00482193" w:rsidP="00377F3A">
      <w:pPr>
        <w:pStyle w:val="Heading3"/>
      </w:pPr>
      <w:bookmarkStart w:id="1206" w:name="_Toc214025497"/>
      <w:bookmarkStart w:id="1207" w:name="_Toc216695581"/>
      <w:r>
        <w:t>Brodifacoum</w:t>
      </w:r>
      <w:bookmarkEnd w:id="1206"/>
      <w:bookmarkEnd w:id="1207"/>
    </w:p>
    <w:p w14:paraId="343A1D4E" w14:textId="77777777" w:rsidR="00482193" w:rsidRPr="00B301A3" w:rsidRDefault="00482193" w:rsidP="00377F3A">
      <w:pPr>
        <w:pStyle w:val="NormalText"/>
      </w:pPr>
      <w:r w:rsidRPr="00B301A3">
        <w:t>Brodifacoum has high acute oral toxicity (LD</w:t>
      </w:r>
      <w:r w:rsidRPr="00CB467B">
        <w:rPr>
          <w:vertAlign w:val="subscript"/>
        </w:rPr>
        <w:t>50</w:t>
      </w:r>
      <w:r w:rsidRPr="00B301A3">
        <w:t xml:space="preserve"> 0.3-0.8 mg/kg bw (rat)), high acute dermal toxicity (LD</w:t>
      </w:r>
      <w:r w:rsidRPr="00CB467B">
        <w:rPr>
          <w:vertAlign w:val="subscript"/>
        </w:rPr>
        <w:t>50</w:t>
      </w:r>
      <w:r w:rsidRPr="00B301A3">
        <w:t xml:space="preserve"> 10-50 mg/kg bw (rat) and LD</w:t>
      </w:r>
      <w:r w:rsidRPr="00CB467B">
        <w:rPr>
          <w:vertAlign w:val="subscript"/>
        </w:rPr>
        <w:t>50</w:t>
      </w:r>
      <w:r w:rsidRPr="00B301A3">
        <w:t xml:space="preserve"> 0.25-0.62 mg/kg bw (rabbit)) and high acute inhalational toxicity (LC</w:t>
      </w:r>
      <w:r w:rsidRPr="00CB467B">
        <w:rPr>
          <w:vertAlign w:val="subscript"/>
        </w:rPr>
        <w:t>50</w:t>
      </w:r>
      <w:r w:rsidRPr="00B301A3">
        <w:t xml:space="preserve"> 0.5-5 mg/m3 (rat)). Rats administered (gavage) a single dose of 0.02, 0.15 or 0.35 mg/kg bw, exhibited significantly increased prothrombin clotting time (PT) at the highest dose, with a NOAEL established at 0.15 mg/kg bw. Brodifacoum is a slight skin and eye irritant but is not considered a skin sensitiser. The outcomes of acute toxicity studies (including other animal species) submitted to the APVMA as part of the current review confirmed these findings with only small variations.</w:t>
      </w:r>
    </w:p>
    <w:p w14:paraId="3482FAC0" w14:textId="77777777" w:rsidR="00482193" w:rsidRPr="00B301A3" w:rsidRDefault="00482193" w:rsidP="00377F3A">
      <w:pPr>
        <w:pStyle w:val="NormalText"/>
      </w:pPr>
      <w:r w:rsidRPr="00B301A3">
        <w:t>The APVMA holds acute toxicity data on several products containing up to 0.25% (w/w) brodifacoum. They have low acute oral, dermal and inhalational toxicity in rats. The products are no more than slight skin or eye irritants in rabbits. None are skin sensitisers. Product toxicity studies submitted to the APVMA as part of the current review indicated the same findings.</w:t>
      </w:r>
    </w:p>
    <w:p w14:paraId="1FDA612F" w14:textId="77777777" w:rsidR="00482193" w:rsidRPr="00B301A3" w:rsidRDefault="00482193" w:rsidP="00377F3A">
      <w:pPr>
        <w:pStyle w:val="NormalText"/>
      </w:pPr>
      <w:r w:rsidRPr="00B301A3">
        <w:t>The existing APVMA repeat dose toxicological database consists of studies conducted with technical grade brodifacoum. No studies are held on repeat dose dermal or inhalation toxicity. Repeated oral exposure results clinical signs and toxicity consistent with the known mode of action of the rodenticide and its anti-coagulant properties. No new pivotal studies were submitted to the APVMA as part of the current review.</w:t>
      </w:r>
    </w:p>
    <w:p w14:paraId="17CEFBDA" w14:textId="77777777" w:rsidR="00482193" w:rsidRPr="00B301A3" w:rsidRDefault="00482193" w:rsidP="00377F3A">
      <w:pPr>
        <w:pStyle w:val="NormalText"/>
      </w:pPr>
      <w:r w:rsidRPr="00B301A3">
        <w:t>Oral administration of 0.046 to 0.1 mg/kg bw/d brodifacoum to rats for 5 days resulted in mortality in approx. 50% animals. All deaths were associated with massive peritoneal haemorrhages.</w:t>
      </w:r>
    </w:p>
    <w:p w14:paraId="7AA0A160" w14:textId="77777777" w:rsidR="00482193" w:rsidRPr="00B301A3" w:rsidRDefault="00482193" w:rsidP="00377F3A">
      <w:pPr>
        <w:pStyle w:val="NormalText"/>
      </w:pPr>
      <w:r w:rsidRPr="00B301A3">
        <w:t>In a 90-day rat feeding study at 0.02 ppm and 0.08 ppm brodifacoum (equivalent to 0.001 and 0.004 mg/kg/bw/d), the NOAEL was 0.02 ppm, equivalent to 0.001 mg/kg bw/d, based on statistically significant increases in both kaolin-cephalin time (KCT) and prothrombin time (PT) at 0.004 mg/kg bw/day at the end of the study. No treatment related effects on haematological parameters were evidenced at any dose at 45 days. In dogs given oral brodifacoum (0.0001- 0.01 mg/kg bw/d), for 42 days, the NOAEL for haematological effects was 0.003 mg/kg bw/d (LOAEL 0.01 mg/kg bw/d).</w:t>
      </w:r>
    </w:p>
    <w:p w14:paraId="7F5BCF24" w14:textId="77777777" w:rsidR="00482193" w:rsidRPr="00B301A3" w:rsidRDefault="00482193" w:rsidP="00377F3A">
      <w:pPr>
        <w:pStyle w:val="NormalText"/>
      </w:pPr>
      <w:r w:rsidRPr="00B301A3">
        <w:t>Brodifacoum did not induce developmental or reproductive effects in studies in rats and rabbits. In rats dosed 0.001, 0.01 or 0.02 mg/kg bw/d, maternal haemorrhages were observed at dose levels at and above 0.01 mg/kg bw/d (NOAEL 0.001 mg/kg bw/d), whereas no effects were seen in foetuses at any dose level. In rabbits, gavage dosed at 0.001, 0.002 or 0.005 mg/kg bw/d, the highest dose of 0.005 mg/kg bw/d was associated with a high incidence of maternal deaths, together with a high incidence of abortions. In a two-generation study in rats, findings confirmed those of developmental toxicity studies, both qualitatively (parental toxicity with haemorrhages, no reproductive effects in the absence of maternal toxicity) and quantitatively (NOAEL 0.001 mg/kg bw/d).</w:t>
      </w:r>
    </w:p>
    <w:p w14:paraId="00268E3F" w14:textId="700BE1E6" w:rsidR="00482193" w:rsidRPr="00B301A3" w:rsidRDefault="00482193" w:rsidP="00377F3A">
      <w:pPr>
        <w:pStyle w:val="NormalText"/>
      </w:pPr>
      <w:r w:rsidRPr="00B301A3">
        <w:t xml:space="preserve">Brodifacoum was not genotoxic in </w:t>
      </w:r>
      <w:r w:rsidR="00B0231D" w:rsidRPr="00B0231D">
        <w:rPr>
          <w:i/>
          <w:iCs/>
        </w:rPr>
        <w:t>in vitro</w:t>
      </w:r>
      <w:r w:rsidRPr="00B301A3">
        <w:t xml:space="preserve"> and </w:t>
      </w:r>
      <w:r w:rsidR="00B0231D" w:rsidRPr="00B0231D">
        <w:rPr>
          <w:i/>
          <w:iCs/>
        </w:rPr>
        <w:t>in vivo</w:t>
      </w:r>
      <w:r w:rsidRPr="00B301A3">
        <w:t xml:space="preserve"> studies, which was confirmed with data submitted in this review. The lack of evidence of genotoxicity in </w:t>
      </w:r>
      <w:r w:rsidR="00B0231D" w:rsidRPr="00B0231D">
        <w:rPr>
          <w:i/>
          <w:iCs/>
        </w:rPr>
        <w:t>in vivo</w:t>
      </w:r>
      <w:r w:rsidRPr="00B301A3">
        <w:t xml:space="preserve"> and </w:t>
      </w:r>
      <w:r w:rsidR="00B0231D" w:rsidRPr="00B0231D">
        <w:rPr>
          <w:i/>
          <w:iCs/>
        </w:rPr>
        <w:t>in</w:t>
      </w:r>
      <w:r w:rsidRPr="00CB467B">
        <w:rPr>
          <w:i/>
        </w:rPr>
        <w:t xml:space="preserve"> vitro</w:t>
      </w:r>
      <w:r w:rsidRPr="00B301A3">
        <w:t xml:space="preserve"> studies, even with a lack of chronic or carcinogenicity studies on brodifacoum, indicates a low hazard for neoplastic effects.</w:t>
      </w:r>
    </w:p>
    <w:p w14:paraId="3F6EB7EE" w14:textId="3E3E5951" w:rsidR="00482193" w:rsidRDefault="00482193" w:rsidP="00377F3A">
      <w:pPr>
        <w:pStyle w:val="Heading3"/>
      </w:pPr>
      <w:bookmarkStart w:id="1208" w:name="_Toc214025498"/>
      <w:bookmarkStart w:id="1209" w:name="_Toc216695582"/>
      <w:r>
        <w:lastRenderedPageBreak/>
        <w:t>Bromadiolone</w:t>
      </w:r>
      <w:bookmarkEnd w:id="1208"/>
      <w:bookmarkEnd w:id="1209"/>
    </w:p>
    <w:p w14:paraId="1592F21E" w14:textId="77777777" w:rsidR="00482193" w:rsidRPr="00B301A3" w:rsidRDefault="00482193" w:rsidP="00377F3A">
      <w:pPr>
        <w:pStyle w:val="NormalText"/>
      </w:pPr>
      <w:r w:rsidRPr="00B301A3">
        <w:t>Based on APVMA data holdings and new studies submitted under this review, bromadiolone has high acute oral toxicity (LD</w:t>
      </w:r>
      <w:r w:rsidRPr="00CB467B">
        <w:rPr>
          <w:vertAlign w:val="subscript"/>
        </w:rPr>
        <w:t>50</w:t>
      </w:r>
      <w:r w:rsidRPr="00B301A3">
        <w:t xml:space="preserve"> 0.56-0.84 mg/kg bw (rat) and 10.7 mg/kg bw (dog)), high acute dermal toxicity (LD</w:t>
      </w:r>
      <w:r w:rsidRPr="00CB467B">
        <w:rPr>
          <w:vertAlign w:val="subscript"/>
        </w:rPr>
        <w:t>50</w:t>
      </w:r>
      <w:r w:rsidRPr="00B301A3">
        <w:t xml:space="preserve"> 1.3-2.38 mg/kg bw (rabbit)) and high acute inhalational toxicity (LC</w:t>
      </w:r>
      <w:r w:rsidRPr="00CB467B">
        <w:rPr>
          <w:vertAlign w:val="subscript"/>
        </w:rPr>
        <w:t>50</w:t>
      </w:r>
      <w:r w:rsidRPr="00B301A3">
        <w:t xml:space="preserve"> 0.43 mg/m3 (rat)). Bromadiolone is not a skin irritant nor is it considered a skin sensitiser, but it is a slight eye irritant.</w:t>
      </w:r>
    </w:p>
    <w:p w14:paraId="415F1568" w14:textId="77777777" w:rsidR="00482193" w:rsidRPr="00B301A3" w:rsidRDefault="00482193" w:rsidP="00377F3A">
      <w:pPr>
        <w:pStyle w:val="NormalText"/>
      </w:pPr>
      <w:r w:rsidRPr="00B301A3">
        <w:t>APVMA data holdings and new studies in rats submitted under this review indicate products containing up to 0.005% (w/w) bromadiolone have low acute oral (&gt;2000 mg/kg bw), dermal (&gt;2000 mg/kg bw) and inhalational (&gt;2000 mg/m</w:t>
      </w:r>
      <w:r w:rsidRPr="00CB467B">
        <w:rPr>
          <w:vertAlign w:val="superscript"/>
        </w:rPr>
        <w:t>3</w:t>
      </w:r>
      <w:r w:rsidRPr="00B301A3">
        <w:t>) toxicity in rats. The products are no more than slight skin or eye irritant in rabbits. None are skin sensitisers.</w:t>
      </w:r>
    </w:p>
    <w:p w14:paraId="77C50C92" w14:textId="77777777" w:rsidR="00482193" w:rsidRPr="00B301A3" w:rsidRDefault="00482193" w:rsidP="00377F3A">
      <w:pPr>
        <w:pStyle w:val="NormalText"/>
      </w:pPr>
      <w:r w:rsidRPr="00B301A3">
        <w:t>The existing APVMA repeat dose toxicological database consists of studies conducted with technical grade bromadiolone. In a subchronic toxicity study in dogs, adverse effects were all associated with the mechanism of action with haemorrhages and haematomas at multiple sites and absolute heart weight increased at the mid dose. The NOAEL was 0.008 mg/kg bw/day. Developmental studies were conducted in rats and rabbits. In rats, increased mortality was observed in high dose dams, with bleeding disorder observed prior to death. The NOAEL for maternal toxicity and fetotoxicity was 0.035 mg/kg bw/day. In rabbits, two high dose females died following abortion; uterine bleeding was noted in many others in the same group. Increased resorptions and decreased foetal and litter weights were also noted in the high dose group. The NOAEL for maternal and fetotoxicity was 0.004 mg/kg bw/day. Bromadiolone was not genotoxic in any of the existing or newly submitted studies.</w:t>
      </w:r>
    </w:p>
    <w:p w14:paraId="5D803C6A" w14:textId="77777777" w:rsidR="00482193" w:rsidRPr="00B301A3" w:rsidRDefault="00482193" w:rsidP="00377F3A">
      <w:pPr>
        <w:pStyle w:val="NormalText"/>
      </w:pPr>
      <w:r w:rsidRPr="00B301A3">
        <w:t>Many new studies were submitted for the review of bromadiolone. Most of the studies confirmed the known properties of bromadiolone and would not affect the point of departure for risk assessment, however notable exceptions include a developmental toxicity study in rabbits, which did not establish a NOAEL (LOAEL for maternal toxicity = 0.002 mg/kg bw/day) and a 90-day oral toxicity study in rabbits, which had a NOAEL of 0.0005 mg/kg bw/day based on increased prothrombin time at 0.001 mg/kg bw/day. Both studies were evaluated by the EU (2011) and the maternal LOAEL of 0.002 mg/kg bw/day from the rabbit developmental toxicity study was used as the basis for the EU’s acceptable exposure level for single use (AELacute). A two-generation rat reproductive toxicity study was also submitted and was assessed by the EU; the NOAEL from that study was 0.005 mg/kg bw/day for parental and offspring toxicity with no adverse effects reported at the highest dose tested. Based on the lack of effects at any dose tested, the EU concluded that the study was not acceptable for risk assessment but could be used as complementary information.</w:t>
      </w:r>
    </w:p>
    <w:p w14:paraId="1B9AA69F" w14:textId="77777777" w:rsidR="00482193" w:rsidRDefault="00482193" w:rsidP="00377F3A">
      <w:pPr>
        <w:pStyle w:val="Heading3"/>
      </w:pPr>
      <w:bookmarkStart w:id="1210" w:name="_Toc214025499"/>
      <w:bookmarkStart w:id="1211" w:name="_Toc216695583"/>
      <w:r>
        <w:t>Difenacoum</w:t>
      </w:r>
      <w:bookmarkEnd w:id="1210"/>
      <w:bookmarkEnd w:id="1211"/>
    </w:p>
    <w:p w14:paraId="16F6DBC2" w14:textId="77777777" w:rsidR="00482193" w:rsidRPr="00B301A3" w:rsidRDefault="00482193" w:rsidP="00377F3A">
      <w:pPr>
        <w:pStyle w:val="NormalText"/>
      </w:pPr>
      <w:r w:rsidRPr="00B301A3">
        <w:t>Difenacoum is highly acutely toxic via the oral, dermal and inhalation routes of exposure (acute oral LD</w:t>
      </w:r>
      <w:r w:rsidRPr="00CB467B">
        <w:rPr>
          <w:vertAlign w:val="subscript"/>
        </w:rPr>
        <w:t>50</w:t>
      </w:r>
      <w:r w:rsidRPr="00B301A3">
        <w:t xml:space="preserve"> 1.8-2.6 mg/kg bw, acute dermal LD</w:t>
      </w:r>
      <w:r w:rsidRPr="00CB467B">
        <w:rPr>
          <w:vertAlign w:val="subscript"/>
        </w:rPr>
        <w:t>50</w:t>
      </w:r>
      <w:r w:rsidRPr="00B301A3">
        <w:t xml:space="preserve"> 17.2-63 mg/kg bw, acute inhalation LC</w:t>
      </w:r>
      <w:r w:rsidRPr="00CB467B">
        <w:rPr>
          <w:vertAlign w:val="subscript"/>
        </w:rPr>
        <w:t>50</w:t>
      </w:r>
      <w:r w:rsidRPr="00B301A3">
        <w:t xml:space="preserve"> 3.6-5.8 mg/m3 in rats). The technical grade active constituent was non-irritating to rabbit skin and eyes nor was it a dermal sensitiser in guinea pigs.</w:t>
      </w:r>
    </w:p>
    <w:p w14:paraId="17596B95" w14:textId="77777777" w:rsidR="00482193" w:rsidRPr="00B301A3" w:rsidRDefault="00482193" w:rsidP="00377F3A">
      <w:pPr>
        <w:pStyle w:val="NormalText"/>
      </w:pPr>
      <w:r w:rsidRPr="00B301A3">
        <w:t xml:space="preserve">APVMA data holdings indicate products containing up to 0.005% (w/w) difenacoum have low acute oral (&gt;28000 mg/kg bw) and dermal (&gt;2000 mg/kg bw) toxicity in rats. No acute inhalation data is available for the products; however, it is expected to be low based on the very low vapour pressure of the active constituent. Available irritation data are variable depending on the formulation type; blocks were slightly irritating to the eye and moderately irritating to the skin. Pelleted formulations were non-irritating to skin but slightly irritating to the eyes. </w:t>
      </w:r>
      <w:r w:rsidRPr="00B301A3">
        <w:lastRenderedPageBreak/>
        <w:t>Gel and paste formulations were estimated non-irritant to skin, with the paste estimated to be non-irritant to the eye and the gel slightly irritating to the eye. None of the formulated products are considered skin sensitisers.</w:t>
      </w:r>
    </w:p>
    <w:p w14:paraId="5C80FF41" w14:textId="33D1F1EA" w:rsidR="00482193" w:rsidRPr="00B301A3" w:rsidRDefault="00482193" w:rsidP="00377F3A">
      <w:pPr>
        <w:pStyle w:val="NormalText"/>
      </w:pPr>
      <w:r w:rsidRPr="00B301A3">
        <w:t xml:space="preserve">In a short-term dermal toxicity study in rats, prothrombin time was increased at doses of 20 mg/kg bw and above. No effects were reported at 10 mg/kg bw. Dogs received difenacoum in </w:t>
      </w:r>
      <w:r w:rsidR="00B0231D" w:rsidRPr="00B301A3">
        <w:t>gelatine</w:t>
      </w:r>
      <w:r w:rsidRPr="00B301A3">
        <w:t xml:space="preserve"> capsules for 6 weeks. All dogs except the lowest dose group (0.01 mg/kg bw/day) were killed prematurely for humane reasons. There was no NOAEL in the study as the low dose animals had prolonged prothrombin time and kaolin-cephalin time. In a subchronic toxicity study in rats, a NOAEL was established at 0.01 mg/kg bw/day, with effects at higher doses including prolong prothrombin and kaolin-cephalin times and haemorrhage in multiple tissues/organs.</w:t>
      </w:r>
    </w:p>
    <w:p w14:paraId="5BCD4F6E" w14:textId="650B011A" w:rsidR="00482193" w:rsidRPr="00B301A3" w:rsidRDefault="00482193" w:rsidP="00377F3A">
      <w:pPr>
        <w:pStyle w:val="NormalText"/>
      </w:pPr>
      <w:r w:rsidRPr="00B301A3">
        <w:t xml:space="preserve">Difenacoum did not induce mutations at the thymidine kinase locus or in </w:t>
      </w:r>
      <w:r w:rsidRPr="00CB467B">
        <w:rPr>
          <w:i/>
        </w:rPr>
        <w:t>S. typhimurium</w:t>
      </w:r>
      <w:r w:rsidRPr="00B301A3">
        <w:t xml:space="preserve">, nor did it induce micronuclei in the bone marrow of mice. It was positive for chromosomal aberrations in human lymphocytes but was negative for unscheduled DNA synthesis both </w:t>
      </w:r>
      <w:r w:rsidR="00B0231D" w:rsidRPr="00B0231D">
        <w:rPr>
          <w:i/>
          <w:iCs/>
        </w:rPr>
        <w:t>in vitro</w:t>
      </w:r>
      <w:r w:rsidRPr="00B301A3">
        <w:t xml:space="preserve"> and</w:t>
      </w:r>
      <w:r w:rsidRPr="00CB467B">
        <w:rPr>
          <w:i/>
        </w:rPr>
        <w:t xml:space="preserve"> </w:t>
      </w:r>
      <w:r w:rsidR="00B0231D" w:rsidRPr="00B0231D">
        <w:rPr>
          <w:i/>
          <w:iCs/>
        </w:rPr>
        <w:t>in</w:t>
      </w:r>
      <w:r w:rsidRPr="00CB467B">
        <w:rPr>
          <w:i/>
        </w:rPr>
        <w:t xml:space="preserve"> vivo</w:t>
      </w:r>
      <w:r w:rsidRPr="00B301A3">
        <w:t xml:space="preserve">. It was concluded that difenacoum was unlikely to be genotoxic </w:t>
      </w:r>
      <w:r w:rsidR="00B0231D" w:rsidRPr="00B0231D">
        <w:rPr>
          <w:i/>
          <w:iCs/>
        </w:rPr>
        <w:t>in vivo</w:t>
      </w:r>
      <w:r w:rsidRPr="00B301A3">
        <w:t>.</w:t>
      </w:r>
    </w:p>
    <w:p w14:paraId="6E6D2199" w14:textId="77777777" w:rsidR="00482193" w:rsidRPr="00B301A3" w:rsidRDefault="00482193" w:rsidP="00377F3A">
      <w:pPr>
        <w:pStyle w:val="NormalText"/>
      </w:pPr>
      <w:r w:rsidRPr="00B301A3">
        <w:t>Additional studies submitted for the review confirmed the information in the existing database for difenacoum, however additional data was provided to fill the lack of reproductive and developmental toxicity data. The rat reproductive toxicity study had NOAELs in the same range as the previously evaluated subchronic toxicity data and showed no adverse effects on reproductive performance or developmental toxicity. The teratology study in rabbits did not establish a NOAEL; there were effects on dams at the lowest dose tested, 0.001 mg/kg bw/day. The LOAEL for the study was based on evidence of haemorrhage in multiple tissues in all treatment groups.</w:t>
      </w:r>
    </w:p>
    <w:p w14:paraId="6BAEE756" w14:textId="77777777" w:rsidR="00482193" w:rsidRDefault="00482193" w:rsidP="00377F3A">
      <w:pPr>
        <w:pStyle w:val="Heading3"/>
      </w:pPr>
      <w:bookmarkStart w:id="1212" w:name="_Toc214025500"/>
      <w:bookmarkStart w:id="1213" w:name="_Toc216695584"/>
      <w:r>
        <w:t>Difethialone</w:t>
      </w:r>
      <w:bookmarkEnd w:id="1212"/>
      <w:bookmarkEnd w:id="1213"/>
    </w:p>
    <w:p w14:paraId="2FEDB8B7" w14:textId="77777777" w:rsidR="00482193" w:rsidRPr="00B301A3" w:rsidRDefault="00482193" w:rsidP="00377F3A">
      <w:pPr>
        <w:pStyle w:val="NormalText"/>
      </w:pPr>
      <w:r w:rsidRPr="00B301A3">
        <w:t>Difethialone is highly acutely toxic via the oral, dermal and inhalation routes of exposure (acute oral LD</w:t>
      </w:r>
      <w:r w:rsidRPr="00CB467B">
        <w:rPr>
          <w:vertAlign w:val="subscript"/>
        </w:rPr>
        <w:t>50</w:t>
      </w:r>
      <w:r w:rsidRPr="00B301A3">
        <w:t xml:space="preserve"> 0.57 mg/kg bw, acute dermal LD</w:t>
      </w:r>
      <w:r w:rsidRPr="00CB467B">
        <w:rPr>
          <w:vertAlign w:val="subscript"/>
        </w:rPr>
        <w:t>50</w:t>
      </w:r>
      <w:r w:rsidRPr="00B301A3">
        <w:t xml:space="preserve"> 5.3 mg/kg bw and inhalation LC</w:t>
      </w:r>
      <w:r w:rsidRPr="00CB467B">
        <w:rPr>
          <w:vertAlign w:val="subscript"/>
        </w:rPr>
        <w:t>50</w:t>
      </w:r>
      <w:r w:rsidRPr="00B301A3">
        <w:t xml:space="preserve"> 5 mg/m</w:t>
      </w:r>
      <w:r w:rsidRPr="00CB467B">
        <w:rPr>
          <w:vertAlign w:val="superscript"/>
        </w:rPr>
        <w:t>3</w:t>
      </w:r>
      <w:r w:rsidRPr="00B301A3">
        <w:t xml:space="preserve"> in rats). The technical grade active constituent was slightly irritating to the eyes and skin of rabbits but was not a sensitiser in guinea pigs.</w:t>
      </w:r>
    </w:p>
    <w:p w14:paraId="4DD422AA" w14:textId="77777777" w:rsidR="00482193" w:rsidRPr="00B301A3" w:rsidRDefault="00482193" w:rsidP="00377F3A">
      <w:pPr>
        <w:pStyle w:val="NormalText"/>
      </w:pPr>
      <w:r w:rsidRPr="00B301A3">
        <w:t>Available product toxicity data indicate that formulated products that contain difethialone are of low toxicity via the oral and dermal routes of exposure. Depending on the formulation, products may be slightly to moderately irritating to the eyes and slightly irritating to the skin. Products containing difethialone are not expected to be skin sensitisers. The eye irritation study that showed moderate irritation was not of acceptable regulatory quality and was not able to be relied upon. A liquid concentrate was tested in an ocular irritation and reversibility study in rabbits. The preparation contained approximately 50 times the concentration of difethialone compared to the pelleted formulation, and it was classified as a slight eye irritant. The same liquid concentrate was tested in a Guinea Pig Maximisation Test and although the study was confounded by multiple deaths, the test item was determined to be non-sensitising to guinea pig skin.</w:t>
      </w:r>
    </w:p>
    <w:p w14:paraId="5E42B9F5" w14:textId="5CA0A6BB" w:rsidR="00482193" w:rsidRPr="00B301A3" w:rsidRDefault="00482193" w:rsidP="00377F3A">
      <w:pPr>
        <w:pStyle w:val="NormalText"/>
      </w:pPr>
      <w:r w:rsidRPr="00B301A3">
        <w:t xml:space="preserve">The existing APVMA repeat dose toxicological database consists of studies conducted with technical grade difethialone. No studies are held on repeat dose dermal or inhalation toxicity. The toxicity database includes a short-term study in pigs, subchronic oral toxicity studies in rats and dogs, developmental toxicity studies in rats and rabbits and a battery of genotoxicity studies. In addition, an antidote study was performed in dogs, that demonstrated effective treatment of difethialone poisoning with vitamin K1. Repeat dose toxicity studies revealed haemorrhagic findings in rats and dogs at doses as low as 0.004 mg/kg bw/day in rats and 0.02 mg/kg bw/day in dogs. The lowest NOAEL from repeat dose studies was established at 0.00125 mg/kg bw/day in the rabbit </w:t>
      </w:r>
      <w:r w:rsidRPr="00B301A3">
        <w:lastRenderedPageBreak/>
        <w:t xml:space="preserve">developmental toxicity study. Available genotoxicity studies showed no potential for genotoxicity either </w:t>
      </w:r>
      <w:r w:rsidR="00B0231D" w:rsidRPr="00B0231D">
        <w:rPr>
          <w:i/>
          <w:iCs/>
        </w:rPr>
        <w:t>in vitro</w:t>
      </w:r>
      <w:r w:rsidRPr="00B301A3">
        <w:t xml:space="preserve"> or </w:t>
      </w:r>
      <w:r w:rsidR="00B0231D" w:rsidRPr="00B0231D">
        <w:rPr>
          <w:i/>
          <w:iCs/>
        </w:rPr>
        <w:t>in vivo</w:t>
      </w:r>
      <w:r w:rsidRPr="00B301A3">
        <w:t>. No new toxicity studies were submitted to the APVMA as part of the current review.</w:t>
      </w:r>
    </w:p>
    <w:p w14:paraId="40E4E2EA" w14:textId="77777777" w:rsidR="00482193" w:rsidRDefault="00482193" w:rsidP="00377F3A">
      <w:pPr>
        <w:pStyle w:val="Heading3"/>
      </w:pPr>
      <w:bookmarkStart w:id="1214" w:name="_Toc214025501"/>
      <w:bookmarkStart w:id="1215" w:name="_Toc216695585"/>
      <w:r>
        <w:t>Flocoumafen</w:t>
      </w:r>
      <w:bookmarkEnd w:id="1214"/>
      <w:bookmarkEnd w:id="1215"/>
    </w:p>
    <w:p w14:paraId="27E20EF7" w14:textId="341B51C0" w:rsidR="00482193" w:rsidRPr="00B301A3" w:rsidRDefault="00482193" w:rsidP="00377F3A">
      <w:pPr>
        <w:pStyle w:val="NormalText"/>
      </w:pPr>
      <w:r w:rsidRPr="00B301A3">
        <w:t>Flocoumafen is highly toxic via the oral and dermal routes of exposure (oral LD</w:t>
      </w:r>
      <w:r w:rsidRPr="00CB467B">
        <w:rPr>
          <w:vertAlign w:val="subscript"/>
        </w:rPr>
        <w:t>50</w:t>
      </w:r>
      <w:r w:rsidRPr="00B301A3">
        <w:t xml:space="preserve"> approximately 0.25 mg/kg bw</w:t>
      </w:r>
      <w:r w:rsidR="00E62F45">
        <w:t xml:space="preserve"> in rats</w:t>
      </w:r>
      <w:r w:rsidRPr="00B301A3">
        <w:t>; dermal LD</w:t>
      </w:r>
      <w:r w:rsidRPr="00CB467B">
        <w:rPr>
          <w:vertAlign w:val="subscript"/>
        </w:rPr>
        <w:t>50</w:t>
      </w:r>
      <w:r w:rsidRPr="00B301A3">
        <w:t xml:space="preserve"> 0.54 mg/kg bw</w:t>
      </w:r>
      <w:r w:rsidR="00E62F45">
        <w:t xml:space="preserve"> in rats</w:t>
      </w:r>
      <w:r w:rsidRPr="00B301A3">
        <w:t>). There is no acute inhalation toxicity data available for flocoumafen. It is neither irritating nor sensitising to the skin and is not an eye irritant.</w:t>
      </w:r>
    </w:p>
    <w:p w14:paraId="2664D90C" w14:textId="77777777" w:rsidR="00482193" w:rsidRPr="00B301A3" w:rsidRDefault="00482193" w:rsidP="00377F3A">
      <w:pPr>
        <w:pStyle w:val="NormalText"/>
      </w:pPr>
      <w:r w:rsidRPr="00B301A3">
        <w:t>Available product toxicity data and previous evaluations of flocoumafen products indicate that the formulated products are of low acute oral and dermal toxicity, slightly irritating to the skin and eye and are not skin sensitisers.</w:t>
      </w:r>
    </w:p>
    <w:p w14:paraId="05E7677F" w14:textId="5819ADE3" w:rsidR="00482193" w:rsidRPr="00B301A3" w:rsidRDefault="00482193" w:rsidP="00377F3A">
      <w:pPr>
        <w:pStyle w:val="NormalText"/>
      </w:pPr>
      <w:r w:rsidRPr="00B301A3">
        <w:t xml:space="preserve">The existing APVMA repeat dose toxicological database consists of studies conducted with technical grade flocoumafen. No studies are held on repeat dose dermal or inhalation toxicity. The toxicity database includes short-term and subchronic oral toxicity studies in rats, developmental toxicity studies in rats and rabbits and a battery of genotoxicity studies. The prominent toxic effects of repeated oral dosing of flocoumafen were associated with its anticoagulant properties. The lowest NOAEL from repeat dose studies was established at 0.0014 mg/kg bw/day. Available genotoxicity studies showed no potential for genotoxicity either </w:t>
      </w:r>
      <w:r w:rsidR="00B0231D" w:rsidRPr="00B0231D">
        <w:rPr>
          <w:i/>
          <w:iCs/>
        </w:rPr>
        <w:t>in vitro</w:t>
      </w:r>
      <w:r w:rsidRPr="00B301A3">
        <w:t xml:space="preserve"> or </w:t>
      </w:r>
      <w:r w:rsidR="00B0231D" w:rsidRPr="00B0231D">
        <w:rPr>
          <w:i/>
          <w:iCs/>
        </w:rPr>
        <w:t>in vivo</w:t>
      </w:r>
      <w:r w:rsidRPr="00B301A3">
        <w:t>. No new toxicity studies were submitted to the APVMA as part of the current review.</w:t>
      </w:r>
    </w:p>
    <w:p w14:paraId="197A2737" w14:textId="77777777" w:rsidR="00482193" w:rsidRPr="00B301A3" w:rsidRDefault="00482193" w:rsidP="00377F3A">
      <w:pPr>
        <w:pStyle w:val="Heading3"/>
      </w:pPr>
      <w:bookmarkStart w:id="1216" w:name="_Toc214025502"/>
      <w:bookmarkStart w:id="1217" w:name="_Toc216695586"/>
      <w:r w:rsidRPr="00B301A3">
        <w:t>Toxicokinetics</w:t>
      </w:r>
      <w:bookmarkEnd w:id="1216"/>
      <w:bookmarkEnd w:id="1217"/>
    </w:p>
    <w:p w14:paraId="503959E8" w14:textId="0734DE55" w:rsidR="00482193" w:rsidRPr="00B301A3" w:rsidRDefault="00482193" w:rsidP="00377F3A">
      <w:pPr>
        <w:pStyle w:val="NormalText"/>
      </w:pPr>
      <w:r w:rsidRPr="00B301A3">
        <w:t xml:space="preserve">In general, these substances are rapidly and reasonably efficiently absorbed following oral administration. They have a high affinity for liver and may take a considerable amount of time to be eliminated from the body, with </w:t>
      </w:r>
      <w:r w:rsidR="00B0231D" w:rsidRPr="00B301A3">
        <w:t>half</w:t>
      </w:r>
      <w:r w:rsidR="00C43B06">
        <w:t xml:space="preserve"> </w:t>
      </w:r>
      <w:r w:rsidR="00E62F45">
        <w:t>-</w:t>
      </w:r>
      <w:r w:rsidRPr="00B301A3">
        <w:t xml:space="preserve"> lives extending up to several months. Based on this, the statement “repeated minor exposure may have a cumulative poisoning effect” is recommended to be included in the safety directions of all product labels. In addition, in establishing tolerable daily intake values, an additional uncertainty factor of 10 has been applied to address the lack of chronic toxicity studies for any of the active constituents.</w:t>
      </w:r>
    </w:p>
    <w:p w14:paraId="4A765470" w14:textId="2F023CB8" w:rsidR="00607CB8" w:rsidRPr="00940B52" w:rsidRDefault="00607CB8" w:rsidP="00023AC9">
      <w:pPr>
        <w:pStyle w:val="Heading2"/>
      </w:pPr>
      <w:bookmarkStart w:id="1218" w:name="_Toc213335159"/>
      <w:bookmarkStart w:id="1219" w:name="_Toc213771956"/>
      <w:bookmarkStart w:id="1220" w:name="_Toc213943714"/>
      <w:bookmarkStart w:id="1221" w:name="_Toc213945494"/>
      <w:bookmarkStart w:id="1222" w:name="_Toc213335160"/>
      <w:bookmarkStart w:id="1223" w:name="_Toc213771957"/>
      <w:bookmarkStart w:id="1224" w:name="_Toc213943715"/>
      <w:bookmarkStart w:id="1225" w:name="_Toc213945495"/>
      <w:bookmarkStart w:id="1226" w:name="_Toc213335161"/>
      <w:bookmarkStart w:id="1227" w:name="_Toc213771958"/>
      <w:bookmarkStart w:id="1228" w:name="_Toc213943716"/>
      <w:bookmarkStart w:id="1229" w:name="_Toc213945496"/>
      <w:bookmarkStart w:id="1230" w:name="_Toc213335162"/>
      <w:bookmarkStart w:id="1231" w:name="_Toc213771959"/>
      <w:bookmarkStart w:id="1232" w:name="_Toc213943717"/>
      <w:bookmarkStart w:id="1233" w:name="_Toc213945497"/>
      <w:bookmarkStart w:id="1234" w:name="_Toc213335163"/>
      <w:bookmarkStart w:id="1235" w:name="_Toc213771960"/>
      <w:bookmarkStart w:id="1236" w:name="_Toc213943718"/>
      <w:bookmarkStart w:id="1237" w:name="_Toc213945498"/>
      <w:bookmarkStart w:id="1238" w:name="_Toc213335164"/>
      <w:bookmarkStart w:id="1239" w:name="_Toc213771961"/>
      <w:bookmarkStart w:id="1240" w:name="_Toc213943719"/>
      <w:bookmarkStart w:id="1241" w:name="_Toc213945499"/>
      <w:bookmarkStart w:id="1242" w:name="_Toc213335165"/>
      <w:bookmarkStart w:id="1243" w:name="_Toc213771962"/>
      <w:bookmarkStart w:id="1244" w:name="_Toc213943720"/>
      <w:bookmarkStart w:id="1245" w:name="_Toc213945500"/>
      <w:bookmarkStart w:id="1246" w:name="Page_9"/>
      <w:bookmarkStart w:id="1247" w:name="_Toc213335166"/>
      <w:bookmarkStart w:id="1248" w:name="_Toc213771963"/>
      <w:bookmarkStart w:id="1249" w:name="_Toc213943721"/>
      <w:bookmarkStart w:id="1250" w:name="_Toc213945501"/>
      <w:bookmarkStart w:id="1251" w:name="_Toc213335167"/>
      <w:bookmarkStart w:id="1252" w:name="_Toc213771964"/>
      <w:bookmarkStart w:id="1253" w:name="_Toc213943722"/>
      <w:bookmarkStart w:id="1254" w:name="_Toc213945502"/>
      <w:bookmarkStart w:id="1255" w:name="_Toc213335168"/>
      <w:bookmarkStart w:id="1256" w:name="_Toc213771965"/>
      <w:bookmarkStart w:id="1257" w:name="_Toc213943723"/>
      <w:bookmarkStart w:id="1258" w:name="_Toc213945503"/>
      <w:bookmarkStart w:id="1259" w:name="_Toc213335169"/>
      <w:bookmarkStart w:id="1260" w:name="_Toc213771966"/>
      <w:bookmarkStart w:id="1261" w:name="_Toc213943724"/>
      <w:bookmarkStart w:id="1262" w:name="_Toc213945504"/>
      <w:bookmarkStart w:id="1263" w:name="_Toc185345583"/>
      <w:bookmarkStart w:id="1264" w:name="_Ref214828734"/>
      <w:bookmarkStart w:id="1265" w:name="_Toc214025503"/>
      <w:bookmarkStart w:id="1266" w:name="_Toc21669558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r w:rsidRPr="00940B52">
        <w:t xml:space="preserve">Human adverse events involving </w:t>
      </w:r>
      <w:r w:rsidRPr="00023AC9">
        <w:t>anticoagulant</w:t>
      </w:r>
      <w:r w:rsidRPr="00940B52">
        <w:t xml:space="preserve"> rodenticide exposure in Australia</w:t>
      </w:r>
      <w:bookmarkEnd w:id="1263"/>
      <w:bookmarkEnd w:id="1264"/>
      <w:bookmarkEnd w:id="1265"/>
      <w:bookmarkEnd w:id="1266"/>
    </w:p>
    <w:p w14:paraId="43ED75F2" w14:textId="26DDBE91" w:rsidR="00C178FB" w:rsidRPr="00377F3A" w:rsidRDefault="00C178FB" w:rsidP="005133A7">
      <w:pPr>
        <w:pStyle w:val="NormalText"/>
      </w:pPr>
      <w:r w:rsidRPr="00377F3A">
        <w:t>Data from the NSW Poisons Information Centre (NSW PIC) which handles approximately 200,000 calls, or 50% of all poisoning related calls in Australia, show that anticoagulant rodenticides were the 78th most frequent substance that PIC received calls on in 2013. Over the 12-year period between 2004 to 2015, NSW PIC received 9,829 calls relating to rodenticides with approximately 70% of these involving children aged between 1 and 4 (NSW Government, 2017).</w:t>
      </w:r>
    </w:p>
    <w:p w14:paraId="1346DB32" w14:textId="23E492F3" w:rsidR="00C178FB" w:rsidRPr="00377F3A" w:rsidRDefault="00C178FB" w:rsidP="005133A7">
      <w:pPr>
        <w:pStyle w:val="NormalText"/>
      </w:pPr>
      <w:r w:rsidRPr="00377F3A">
        <w:t>For the two-year period from July 2014 to June 2016, there were 537 brodifacoum poisoning incidents. 486 were accidental and most involved a very small quantity. Over 75% of these callers reported that the child’s exposure fell somewhere between the tasting or chewing of a partial pellet, to the consumption of ½ to 2 pellets. Over 85% of cases were classified as “stay at home” cases and did not require medical intervention (NSW Government, 2017).</w:t>
      </w:r>
    </w:p>
    <w:p w14:paraId="366BE043" w14:textId="12E638B1" w:rsidR="001F1C56" w:rsidRPr="00377F3A" w:rsidRDefault="00C178FB" w:rsidP="00377F3A">
      <w:pPr>
        <w:pStyle w:val="NormalText"/>
      </w:pPr>
      <w:r w:rsidRPr="005133A7">
        <w:lastRenderedPageBreak/>
        <w:t xml:space="preserve">Only a fraction of </w:t>
      </w:r>
      <w:r w:rsidR="00E62F45">
        <w:t xml:space="preserve">poisoning </w:t>
      </w:r>
      <w:r w:rsidRPr="005133A7">
        <w:t xml:space="preserve">incidents </w:t>
      </w:r>
      <w:r w:rsidR="00E62F45">
        <w:t>have been</w:t>
      </w:r>
      <w:r w:rsidR="00E62F45" w:rsidRPr="005133A7">
        <w:t xml:space="preserve"> </w:t>
      </w:r>
      <w:r w:rsidRPr="005133A7">
        <w:t xml:space="preserve">reported directly to the APVMA. </w:t>
      </w:r>
      <w:r w:rsidR="00607CB8" w:rsidRPr="00377F3A">
        <w:t xml:space="preserve">Nineteen </w:t>
      </w:r>
      <w:r w:rsidRPr="00377F3A">
        <w:t xml:space="preserve">incidents </w:t>
      </w:r>
      <w:r w:rsidR="00607CB8" w:rsidRPr="00377F3A">
        <w:t>involving human</w:t>
      </w:r>
      <w:r w:rsidR="00E62F45">
        <w:t>s</w:t>
      </w:r>
      <w:r w:rsidR="00607CB8" w:rsidRPr="00377F3A">
        <w:t xml:space="preserve"> with first- and second-generation anticoagulant rodenticides were </w:t>
      </w:r>
      <w:r w:rsidR="00607CB8" w:rsidRPr="00377F3A">
        <w:rPr>
          <w:rStyle w:val="CommentReference"/>
          <w:sz w:val="19"/>
          <w:szCs w:val="24"/>
        </w:rPr>
        <w:t>reported</w:t>
      </w:r>
      <w:r w:rsidR="00607CB8" w:rsidRPr="00377F3A">
        <w:t xml:space="preserve"> to the adverse experience reporting program (AERP) at the APVMA in the period from 1995 to September 2024.</w:t>
      </w:r>
    </w:p>
    <w:p w14:paraId="1523BB59" w14:textId="600BBBB2" w:rsidR="00800D43" w:rsidRPr="00377F3A" w:rsidRDefault="00277761" w:rsidP="00377F3A">
      <w:pPr>
        <w:pStyle w:val="NormalText"/>
      </w:pPr>
      <w:r w:rsidRPr="00377F3A">
        <w:t xml:space="preserve">These data </w:t>
      </w:r>
      <w:r w:rsidR="00C178FB" w:rsidRPr="00377F3A">
        <w:t xml:space="preserve">collectively </w:t>
      </w:r>
      <w:r w:rsidRPr="00377F3A">
        <w:t xml:space="preserve">demonstrate that the current anticoagulant rodenticide risk mitigation measures are not </w:t>
      </w:r>
      <w:r w:rsidR="00FD45AF" w:rsidRPr="00377F3A">
        <w:t xml:space="preserve">effectively </w:t>
      </w:r>
      <w:r w:rsidRPr="00377F3A">
        <w:t>preventing accidental ingestion of baits by children.</w:t>
      </w:r>
    </w:p>
    <w:p w14:paraId="05F27F02" w14:textId="25198B8F" w:rsidR="00E50409" w:rsidRDefault="00607CB8" w:rsidP="00377F3A">
      <w:pPr>
        <w:pStyle w:val="NormalText"/>
        <w:rPr>
          <w:rFonts w:eastAsiaTheme="majorEastAsia" w:cstheme="majorBidi"/>
          <w:bCs/>
          <w:szCs w:val="28"/>
        </w:rPr>
      </w:pPr>
      <w:bookmarkStart w:id="1267" w:name="_Toc212449364"/>
      <w:bookmarkEnd w:id="1267"/>
      <w:r w:rsidRPr="00F941BA">
        <w:rPr>
          <w:rFonts w:eastAsiaTheme="majorEastAsia" w:cstheme="majorBidi"/>
          <w:bCs/>
          <w:szCs w:val="28"/>
        </w:rPr>
        <w:t xml:space="preserve">The addition </w:t>
      </w:r>
      <w:r w:rsidR="003E59F7" w:rsidRPr="00F941BA">
        <w:rPr>
          <w:rFonts w:eastAsiaTheme="majorEastAsia" w:cstheme="majorBidi"/>
          <w:bCs/>
          <w:szCs w:val="28"/>
        </w:rPr>
        <w:t xml:space="preserve">of a bittering agent </w:t>
      </w:r>
      <w:r w:rsidR="00E50409">
        <w:rPr>
          <w:rFonts w:eastAsiaTheme="majorEastAsia" w:cstheme="majorBidi"/>
          <w:bCs/>
          <w:szCs w:val="28"/>
        </w:rPr>
        <w:t>to all product formulations to reduce the likelihood of ingestion by a child</w:t>
      </w:r>
      <w:r w:rsidR="003E59F7" w:rsidRPr="003E59F7">
        <w:rPr>
          <w:rFonts w:eastAsiaTheme="majorEastAsia" w:cstheme="majorBidi"/>
          <w:bCs/>
          <w:szCs w:val="28"/>
        </w:rPr>
        <w:t xml:space="preserve"> </w:t>
      </w:r>
      <w:r w:rsidR="003E59F7">
        <w:rPr>
          <w:rFonts w:eastAsiaTheme="majorEastAsia" w:cstheme="majorBidi"/>
          <w:bCs/>
          <w:szCs w:val="28"/>
        </w:rPr>
        <w:t>is recommended</w:t>
      </w:r>
      <w:r w:rsidR="00E50409">
        <w:rPr>
          <w:rFonts w:eastAsiaTheme="majorEastAsia" w:cstheme="majorBidi"/>
          <w:bCs/>
          <w:szCs w:val="28"/>
        </w:rPr>
        <w:t xml:space="preserve">. The addition of a </w:t>
      </w:r>
      <w:r w:rsidRPr="00F941BA">
        <w:rPr>
          <w:rFonts w:eastAsiaTheme="majorEastAsia" w:cstheme="majorBidi"/>
          <w:bCs/>
          <w:szCs w:val="28"/>
        </w:rPr>
        <w:t xml:space="preserve">marker dye </w:t>
      </w:r>
      <w:r w:rsidR="003E59F7">
        <w:rPr>
          <w:rFonts w:eastAsiaTheme="majorEastAsia" w:cstheme="majorBidi"/>
          <w:bCs/>
          <w:szCs w:val="28"/>
        </w:rPr>
        <w:t xml:space="preserve">to provide a visual reference to indicate that a child may have ingested some of the product </w:t>
      </w:r>
      <w:r w:rsidR="00E50409">
        <w:rPr>
          <w:rFonts w:eastAsiaTheme="majorEastAsia" w:cstheme="majorBidi"/>
          <w:bCs/>
          <w:szCs w:val="28"/>
        </w:rPr>
        <w:t>is also recommended.</w:t>
      </w:r>
    </w:p>
    <w:p w14:paraId="61A286C8" w14:textId="1503052F" w:rsidR="00607CB8" w:rsidRPr="003A3855" w:rsidRDefault="00607CB8" w:rsidP="00D842BB">
      <w:pPr>
        <w:pStyle w:val="Heading2"/>
      </w:pPr>
      <w:bookmarkStart w:id="1268" w:name="_Toc185345585"/>
      <w:bookmarkStart w:id="1269" w:name="_Toc214025504"/>
      <w:bookmarkStart w:id="1270" w:name="_Toc216695588"/>
      <w:r w:rsidRPr="003A3855">
        <w:t>Use Pattern</w:t>
      </w:r>
      <w:r>
        <w:t>s of Registered Products</w:t>
      </w:r>
      <w:bookmarkEnd w:id="1268"/>
      <w:bookmarkEnd w:id="1269"/>
      <w:bookmarkEnd w:id="1270"/>
    </w:p>
    <w:p w14:paraId="7834ADD6" w14:textId="3D2C9832" w:rsidR="00607CB8" w:rsidRPr="00497C6F" w:rsidRDefault="00945A03" w:rsidP="00377F3A">
      <w:pPr>
        <w:pStyle w:val="NormalText"/>
      </w:pPr>
      <w:r>
        <w:rPr>
          <w:rFonts w:cs="Times New Roman"/>
        </w:rPr>
        <w:t>P</w:t>
      </w:r>
      <w:r w:rsidR="003E59F7">
        <w:rPr>
          <w:rFonts w:cs="Times New Roman"/>
        </w:rPr>
        <w:t xml:space="preserve">roducts containing </w:t>
      </w:r>
      <w:r w:rsidR="00607CB8" w:rsidRPr="001E766F">
        <w:rPr>
          <w:rFonts w:cs="Times New Roman"/>
        </w:rPr>
        <w:t>first</w:t>
      </w:r>
      <w:r w:rsidR="00607CB8">
        <w:rPr>
          <w:rFonts w:cs="Times New Roman"/>
        </w:rPr>
        <w:t>-</w:t>
      </w:r>
      <w:r w:rsidR="00607CB8" w:rsidRPr="001E766F">
        <w:rPr>
          <w:rFonts w:cs="Times New Roman"/>
        </w:rPr>
        <w:t xml:space="preserve"> and second</w:t>
      </w:r>
      <w:r w:rsidR="00607CB8">
        <w:rPr>
          <w:rFonts w:cs="Times New Roman"/>
        </w:rPr>
        <w:t>-</w:t>
      </w:r>
      <w:r w:rsidR="00607CB8" w:rsidRPr="001E766F">
        <w:rPr>
          <w:rFonts w:cs="Times New Roman"/>
        </w:rPr>
        <w:t xml:space="preserve">generation anticoagulant rodenticides </w:t>
      </w:r>
      <w:r>
        <w:rPr>
          <w:rFonts w:cs="Times New Roman"/>
        </w:rPr>
        <w:t xml:space="preserve">are registered with instructions for use </w:t>
      </w:r>
      <w:r w:rsidR="003E59F7" w:rsidRPr="001E766F">
        <w:rPr>
          <w:rFonts w:cs="Times New Roman"/>
        </w:rPr>
        <w:t>for</w:t>
      </w:r>
      <w:r w:rsidR="003E59F7" w:rsidRPr="001E766F">
        <w:t xml:space="preserve"> the control of rats and mice in and around domestic homes, industrial and commercial buildings, animal houses, farms, wharves, public service buildings, food factories, hospitals, inside transport vehicles (including ships) and around grain terminals</w:t>
      </w:r>
      <w:r w:rsidR="003E59F7">
        <w:t xml:space="preserve"> </w:t>
      </w:r>
      <w:r w:rsidR="003E59F7">
        <w:rPr>
          <w:rFonts w:cs="Times New Roman"/>
        </w:rPr>
        <w:t>feature</w:t>
      </w:r>
      <w:r w:rsidR="00927D72">
        <w:rPr>
          <w:rFonts w:cs="Times New Roman"/>
        </w:rPr>
        <w:t>. These products are formulated in a variety of ways</w:t>
      </w:r>
      <w:r w:rsidR="003E59F7">
        <w:rPr>
          <w:rFonts w:cs="Times New Roman"/>
        </w:rPr>
        <w:t xml:space="preserve"> such as </w:t>
      </w:r>
      <w:r w:rsidR="00607CB8" w:rsidRPr="001E766F">
        <w:t>solid bait (blocks, pastes, pellets, treated grain, and dry bait prepared from powder and a cereal or fruit bait matrix), contact formulations (powder) and liquid formulations.</w:t>
      </w:r>
    </w:p>
    <w:p w14:paraId="5315D6EC" w14:textId="7C0F7EF6" w:rsidR="00607CB8" w:rsidRDefault="00607CB8" w:rsidP="00377F3A">
      <w:pPr>
        <w:pStyle w:val="Heading2"/>
        <w:spacing w:before="0"/>
      </w:pPr>
      <w:bookmarkStart w:id="1271" w:name="_Toc213771969"/>
      <w:bookmarkStart w:id="1272" w:name="_Toc213943727"/>
      <w:bookmarkStart w:id="1273" w:name="_Toc213945507"/>
      <w:bookmarkStart w:id="1274" w:name="_Toc149320498"/>
      <w:bookmarkStart w:id="1275" w:name="_Toc155357453"/>
      <w:bookmarkStart w:id="1276" w:name="_Toc185345586"/>
      <w:bookmarkStart w:id="1277" w:name="_Toc214025505"/>
      <w:bookmarkStart w:id="1278" w:name="_Toc216695589"/>
      <w:bookmarkEnd w:id="1271"/>
      <w:bookmarkEnd w:id="1272"/>
      <w:bookmarkEnd w:id="1273"/>
      <w:r>
        <w:t>Exposure and Risk Assessment</w:t>
      </w:r>
      <w:bookmarkEnd w:id="1274"/>
      <w:bookmarkEnd w:id="1275"/>
      <w:bookmarkEnd w:id="1276"/>
      <w:bookmarkEnd w:id="1277"/>
      <w:bookmarkEnd w:id="1278"/>
    </w:p>
    <w:p w14:paraId="1DB2BDD2" w14:textId="72D78BA8" w:rsidR="00607CB8" w:rsidRPr="00D56BAE" w:rsidRDefault="00C9043C" w:rsidP="00377F3A">
      <w:pPr>
        <w:pStyle w:val="NormalText"/>
      </w:pPr>
      <w:r w:rsidRPr="00F00DB1">
        <w:t>T</w:t>
      </w:r>
      <w:r w:rsidR="00607CB8" w:rsidRPr="00F00DB1">
        <w:t xml:space="preserve">he </w:t>
      </w:r>
      <w:r w:rsidR="003E59F7" w:rsidRPr="00F00DB1">
        <w:t xml:space="preserve">human health </w:t>
      </w:r>
      <w:r w:rsidR="00607CB8" w:rsidRPr="00F00DB1">
        <w:t xml:space="preserve">exposure and risk characterisations associated with </w:t>
      </w:r>
      <w:r w:rsidR="006B4102" w:rsidRPr="00F00DB1">
        <w:t xml:space="preserve">the </w:t>
      </w:r>
      <w:r w:rsidR="00607CB8" w:rsidRPr="00F00DB1">
        <w:t>professional and domestic use of first- and second-generation anticoagulant rodenticides</w:t>
      </w:r>
      <w:r w:rsidRPr="00F00DB1">
        <w:t xml:space="preserve"> have been reevaluated. This includes </w:t>
      </w:r>
      <w:r w:rsidR="00E50409" w:rsidRPr="00F00DB1">
        <w:t xml:space="preserve">exposure assessments and risk characterisation for professional </w:t>
      </w:r>
      <w:r w:rsidR="009E7F9B" w:rsidRPr="00F00DB1">
        <w:t xml:space="preserve">and non-professional users applying first- and </w:t>
      </w:r>
      <w:r w:rsidR="006B4102" w:rsidRPr="00F00DB1">
        <w:t>second-generation</w:t>
      </w:r>
      <w:r w:rsidR="009E7F9B" w:rsidRPr="00F00DB1">
        <w:t xml:space="preserve"> anticoagulant </w:t>
      </w:r>
      <w:r w:rsidRPr="00F00DB1">
        <w:t>rodenticides and</w:t>
      </w:r>
      <w:r w:rsidR="009E7F9B" w:rsidRPr="00F00DB1">
        <w:t xml:space="preserve"> associated rehandling activities </w:t>
      </w:r>
      <w:r w:rsidR="006B4102" w:rsidRPr="00F00DB1">
        <w:t xml:space="preserve">such as the </w:t>
      </w:r>
      <w:r w:rsidR="009E7F9B" w:rsidRPr="00F00DB1">
        <w:t>removal and disposal of carcasses, and bait cleanup.</w:t>
      </w:r>
    </w:p>
    <w:p w14:paraId="6D28EBB1" w14:textId="16E67A40" w:rsidR="00607CB8" w:rsidRPr="00D56BAE" w:rsidRDefault="00C9043C" w:rsidP="00377F3A">
      <w:pPr>
        <w:pStyle w:val="NormalText"/>
      </w:pPr>
      <w:r w:rsidRPr="00F00DB1">
        <w:t>The quantity of anticoagulant rodenticide handled by a typical user varies widely depending on the use pattern. In r</w:t>
      </w:r>
      <w:r w:rsidR="00607CB8" w:rsidRPr="00F00DB1">
        <w:t>isk characterisation</w:t>
      </w:r>
      <w:r w:rsidR="009E7F9B" w:rsidRPr="00F00DB1">
        <w:t>s</w:t>
      </w:r>
      <w:r w:rsidRPr="00F00DB1">
        <w:t xml:space="preserve">, </w:t>
      </w:r>
      <w:r w:rsidR="006B4102" w:rsidRPr="00F00DB1">
        <w:t xml:space="preserve">the </w:t>
      </w:r>
      <w:r w:rsidR="009E7F9B" w:rsidRPr="00F00DB1">
        <w:t xml:space="preserve">maximum </w:t>
      </w:r>
      <w:r w:rsidR="00607CB8" w:rsidRPr="00F00DB1">
        <w:t>application rates for each active constituent</w:t>
      </w:r>
      <w:r w:rsidRPr="00F00DB1">
        <w:t xml:space="preserve"> were used</w:t>
      </w:r>
      <w:r w:rsidR="00607CB8" w:rsidRPr="00F00DB1">
        <w:t>.</w:t>
      </w:r>
    </w:p>
    <w:p w14:paraId="125EE14F" w14:textId="57654A48" w:rsidR="00607CB8" w:rsidRDefault="00607CB8" w:rsidP="00927D72">
      <w:pPr>
        <w:pStyle w:val="Heading3"/>
      </w:pPr>
      <w:bookmarkStart w:id="1279" w:name="_Toc185345587"/>
      <w:bookmarkStart w:id="1280" w:name="_Toc214025506"/>
      <w:bookmarkStart w:id="1281" w:name="_Hlk184913692"/>
      <w:bookmarkStart w:id="1282" w:name="_Toc216695590"/>
      <w:r w:rsidRPr="009771F6">
        <w:t>Selection of point</w:t>
      </w:r>
      <w:r>
        <w:t>s</w:t>
      </w:r>
      <w:r w:rsidRPr="009771F6">
        <w:t xml:space="preserve"> of departure for risk assessment</w:t>
      </w:r>
      <w:bookmarkEnd w:id="1279"/>
      <w:bookmarkEnd w:id="1280"/>
      <w:bookmarkEnd w:id="1282"/>
    </w:p>
    <w:bookmarkEnd w:id="1281"/>
    <w:p w14:paraId="0930A93E" w14:textId="77777777" w:rsidR="004B6D4E" w:rsidRPr="00D56BAE" w:rsidRDefault="004B6D4E" w:rsidP="00377F3A">
      <w:pPr>
        <w:pStyle w:val="NormalText"/>
        <w:rPr>
          <w:rFonts w:eastAsia="Yu Mincho"/>
        </w:rPr>
      </w:pPr>
      <w:r w:rsidRPr="00F00DB1">
        <w:rPr>
          <w:rFonts w:eastAsia="Yu Mincho"/>
        </w:rPr>
        <w:t xml:space="preserve">For repeat-exposure risk assessment, the NOAEL from an appropriate study is used as a comparator with the estimated exposure to determine the </w:t>
      </w:r>
      <w:r w:rsidRPr="00F00DB1">
        <w:t>margin of exposure (</w:t>
      </w:r>
      <w:r w:rsidRPr="00F00DB1">
        <w:rPr>
          <w:rFonts w:eastAsia="Yu Mincho"/>
        </w:rPr>
        <w:t>MOE). Ideally, the study selected should be a dermal or inhalation study to reflect the expected route of occupational exposure. The requirement for the study selected is that the NOAEL is protective of the effects seen in all repeat-dose studies in the database and that the endpoint is relevant to potential effects in humans.</w:t>
      </w:r>
    </w:p>
    <w:p w14:paraId="2AD95B95" w14:textId="77777777" w:rsidR="004B6D4E" w:rsidRDefault="004B6D4E" w:rsidP="00377F3A">
      <w:pPr>
        <w:pStyle w:val="NormalText"/>
      </w:pPr>
      <w:r w:rsidRPr="00F00DB1">
        <w:t>Based on the likely exposure route and product use pattern for rodenticides the most appropriate NOAEL for risk assessment for applying the product would be from a short-term dermal toxicity study. However, the toxicity databases for the FGAR and SGAR are limited and do not include short-term dermal studies. In lieu of the preferred study type for each active constituent, the most appropriate available NOAEL for use in each of the respective risk assessments of professional and non-professional users is presented below.</w:t>
      </w:r>
    </w:p>
    <w:p w14:paraId="5A50BEA6" w14:textId="4E905C1F" w:rsidR="00607CB8" w:rsidRPr="00BA7EDA" w:rsidRDefault="00607CB8" w:rsidP="00377F3A">
      <w:pPr>
        <w:pStyle w:val="Heading3"/>
      </w:pPr>
      <w:bookmarkStart w:id="1283" w:name="_Toc213772020"/>
      <w:bookmarkStart w:id="1284" w:name="_Toc213943778"/>
      <w:bookmarkStart w:id="1285" w:name="_Toc213945558"/>
      <w:bookmarkStart w:id="1286" w:name="_Toc213772021"/>
      <w:bookmarkStart w:id="1287" w:name="_Toc213943779"/>
      <w:bookmarkStart w:id="1288" w:name="_Toc213945559"/>
      <w:bookmarkStart w:id="1289" w:name="_Toc185345588"/>
      <w:bookmarkStart w:id="1290" w:name="_Toc214025507"/>
      <w:bookmarkStart w:id="1291" w:name="_Toc216695591"/>
      <w:bookmarkEnd w:id="1283"/>
      <w:bookmarkEnd w:id="1284"/>
      <w:bookmarkEnd w:id="1285"/>
      <w:bookmarkEnd w:id="1286"/>
      <w:bookmarkEnd w:id="1287"/>
      <w:bookmarkEnd w:id="1288"/>
      <w:r w:rsidRPr="005953FE">
        <w:lastRenderedPageBreak/>
        <w:t>First-generation anticoagulant rodenticides</w:t>
      </w:r>
      <w:bookmarkEnd w:id="1289"/>
      <w:bookmarkEnd w:id="1290"/>
      <w:bookmarkEnd w:id="1291"/>
    </w:p>
    <w:p w14:paraId="66AECFF4" w14:textId="77777777" w:rsidR="00607CB8" w:rsidRPr="00C5526D" w:rsidRDefault="00607CB8" w:rsidP="00927D72">
      <w:pPr>
        <w:pStyle w:val="Heading4"/>
      </w:pPr>
      <w:r w:rsidRPr="00580F2B">
        <w:t>Coumatetralyl</w:t>
      </w:r>
    </w:p>
    <w:p w14:paraId="5B6CA1D3" w14:textId="22ECB06F" w:rsidR="00607CB8" w:rsidRPr="00C5526D" w:rsidRDefault="004E3A02" w:rsidP="00377F3A">
      <w:pPr>
        <w:pStyle w:val="NormalText"/>
      </w:pPr>
      <w:r>
        <w:t>T</w:t>
      </w:r>
      <w:r w:rsidR="00607CB8">
        <w:t>he most</w:t>
      </w:r>
      <w:r w:rsidR="00607CB8" w:rsidRPr="00C5526D">
        <w:t xml:space="preserve"> appropriate NOAEL</w:t>
      </w:r>
      <w:r w:rsidR="001B628E">
        <w:t xml:space="preserve"> from data in the APVMA’s holdings</w:t>
      </w:r>
      <w:r w:rsidR="00607CB8" w:rsidRPr="00C5526D">
        <w:t xml:space="preserve"> for use in </w:t>
      </w:r>
      <w:r>
        <w:t>a</w:t>
      </w:r>
      <w:r w:rsidR="00607CB8" w:rsidRPr="00C5526D">
        <w:t xml:space="preserve"> risk assessment </w:t>
      </w:r>
      <w:r>
        <w:t>of</w:t>
      </w:r>
      <w:r w:rsidR="00607CB8" w:rsidRPr="00C5526D">
        <w:t xml:space="preserve"> </w:t>
      </w:r>
      <w:r w:rsidR="001B628E">
        <w:t xml:space="preserve">coumatetralyl for </w:t>
      </w:r>
      <w:r w:rsidR="00607CB8">
        <w:t>professional</w:t>
      </w:r>
      <w:r w:rsidR="00607CB8" w:rsidRPr="00C5526D">
        <w:t xml:space="preserve"> and non-professional users is 0.0068 mg/kg bw/day from a 16-week dietary </w:t>
      </w:r>
      <w:r w:rsidR="00607CB8">
        <w:t>toxicity</w:t>
      </w:r>
      <w:r w:rsidR="00607CB8" w:rsidRPr="00C5526D">
        <w:t xml:space="preserve"> study</w:t>
      </w:r>
      <w:r w:rsidR="00607CB8">
        <w:t xml:space="preserve"> in </w:t>
      </w:r>
      <w:r w:rsidR="002E4920">
        <w:t xml:space="preserve">rats, </w:t>
      </w:r>
      <w:r w:rsidR="002E4920" w:rsidRPr="00C5526D">
        <w:t>based on prolonged blood clotting (prothrombin) time at the next higher dose</w:t>
      </w:r>
      <w:r w:rsidR="00FC3F77">
        <w:t xml:space="preserve"> (</w:t>
      </w:r>
      <w:r w:rsidR="00FC3F77" w:rsidRPr="00E51476">
        <w:t>Andrews, P</w:t>
      </w:r>
      <w:r w:rsidR="00FC3F77">
        <w:t xml:space="preserve">., </w:t>
      </w:r>
      <w:r w:rsidR="00FC3F77" w:rsidRPr="00E51476">
        <w:t>Romeike, A., 1997</w:t>
      </w:r>
      <w:r w:rsidR="00FC3F77">
        <w:t>)</w:t>
      </w:r>
      <w:r w:rsidR="002E4920" w:rsidRPr="00C5526D">
        <w:t>.</w:t>
      </w:r>
      <w:r w:rsidR="00607CB8">
        <w:t xml:space="preserve"> This NOAEL</w:t>
      </w:r>
      <w:r w:rsidR="00607CB8" w:rsidRPr="00C5526D">
        <w:t xml:space="preserve"> </w:t>
      </w:r>
      <w:r w:rsidR="00607CB8">
        <w:t>was</w:t>
      </w:r>
      <w:r w:rsidR="00607CB8" w:rsidRPr="00C5526D">
        <w:t xml:space="preserve"> relied </w:t>
      </w:r>
      <w:r w:rsidR="002E4920">
        <w:t xml:space="preserve">upon </w:t>
      </w:r>
      <w:r w:rsidR="00607CB8">
        <w:t xml:space="preserve">by the APVMA </w:t>
      </w:r>
      <w:r w:rsidR="00607CB8" w:rsidRPr="00C5526D">
        <w:t xml:space="preserve">to </w:t>
      </w:r>
      <w:r w:rsidR="00607CB8">
        <w:t>establish</w:t>
      </w:r>
      <w:r w:rsidR="00607CB8" w:rsidRPr="00C5526D">
        <w:t xml:space="preserve"> the tolerable daily intake (TDI) for coumatetralyl.</w:t>
      </w:r>
    </w:p>
    <w:p w14:paraId="718901DA" w14:textId="77777777" w:rsidR="00607CB8" w:rsidRPr="00C5526D" w:rsidRDefault="00607CB8" w:rsidP="00927D72">
      <w:pPr>
        <w:pStyle w:val="Heading4"/>
      </w:pPr>
      <w:r w:rsidRPr="00C5526D">
        <w:t>Diphacinone</w:t>
      </w:r>
    </w:p>
    <w:p w14:paraId="3018FF1C" w14:textId="6D395B3A" w:rsidR="00607CB8" w:rsidRDefault="004E3A02" w:rsidP="00377F3A">
      <w:pPr>
        <w:pStyle w:val="NormalText"/>
      </w:pPr>
      <w:r>
        <w:t>T</w:t>
      </w:r>
      <w:r w:rsidR="00607CB8">
        <w:t>he most</w:t>
      </w:r>
      <w:r w:rsidR="00607CB8" w:rsidRPr="00C5526D">
        <w:t xml:space="preserve"> appropriate NOAEL</w:t>
      </w:r>
      <w:r w:rsidR="001B628E" w:rsidRPr="001B628E">
        <w:t xml:space="preserve"> </w:t>
      </w:r>
      <w:r w:rsidR="001B628E">
        <w:t>from data in the APVMA’s holdings</w:t>
      </w:r>
      <w:r w:rsidR="00607CB8" w:rsidRPr="00C5526D">
        <w:t xml:space="preserve"> for use in </w:t>
      </w:r>
      <w:r>
        <w:t xml:space="preserve">a </w:t>
      </w:r>
      <w:r w:rsidR="00607CB8" w:rsidRPr="00C5526D">
        <w:t xml:space="preserve">risk assessment of </w:t>
      </w:r>
      <w:r w:rsidR="001B628E">
        <w:t xml:space="preserve">diphacinone for </w:t>
      </w:r>
      <w:r w:rsidR="00607CB8">
        <w:t>professional</w:t>
      </w:r>
      <w:r w:rsidR="00607CB8" w:rsidRPr="00C5526D">
        <w:t xml:space="preserve"> and non-professional users is 0.025 mg/kg bw/day from </w:t>
      </w:r>
      <w:r w:rsidR="00607CB8">
        <w:t>an oral</w:t>
      </w:r>
      <w:r w:rsidR="00607CB8" w:rsidRPr="00C5526D">
        <w:t xml:space="preserve"> developmental </w:t>
      </w:r>
      <w:r w:rsidR="00607CB8">
        <w:t xml:space="preserve">toxicity </w:t>
      </w:r>
      <w:r w:rsidR="00607CB8" w:rsidRPr="00C5526D">
        <w:t>study</w:t>
      </w:r>
      <w:r w:rsidR="00607CB8">
        <w:t xml:space="preserve"> in </w:t>
      </w:r>
      <w:r w:rsidR="002E4920">
        <w:t xml:space="preserve">rats, </w:t>
      </w:r>
      <w:r w:rsidR="002E4920" w:rsidRPr="00C5526D">
        <w:t xml:space="preserve">based on maternal and embryo toxicity based on increased incidence of early resorptions and post implantation loss at the next higher </w:t>
      </w:r>
      <w:r w:rsidR="007F6E99" w:rsidRPr="00C5526D">
        <w:t>dose</w:t>
      </w:r>
      <w:r w:rsidR="005E2E21">
        <w:t xml:space="preserve"> (</w:t>
      </w:r>
      <w:r w:rsidR="005E2E21" w:rsidRPr="00E078CC">
        <w:t>Daniel E M., 1993</w:t>
      </w:r>
      <w:r w:rsidR="005E2E21">
        <w:t>)</w:t>
      </w:r>
      <w:r w:rsidR="007F6E99" w:rsidRPr="00C5526D">
        <w:t>.</w:t>
      </w:r>
      <w:r w:rsidR="00607CB8" w:rsidRPr="00C5526D">
        <w:t xml:space="preserve"> </w:t>
      </w:r>
      <w:r w:rsidR="00607CB8">
        <w:t>This NOAEL</w:t>
      </w:r>
      <w:r w:rsidR="00607CB8" w:rsidRPr="00C5526D">
        <w:t xml:space="preserve"> </w:t>
      </w:r>
      <w:r w:rsidR="00607CB8">
        <w:t>was</w:t>
      </w:r>
      <w:r w:rsidR="00607CB8" w:rsidRPr="00C5526D">
        <w:t xml:space="preserve"> relied on </w:t>
      </w:r>
      <w:r w:rsidR="00607CB8">
        <w:t xml:space="preserve">by the APVMA </w:t>
      </w:r>
      <w:r w:rsidR="00607CB8" w:rsidRPr="00C5526D">
        <w:t xml:space="preserve">to </w:t>
      </w:r>
      <w:r w:rsidR="00607CB8">
        <w:t>establish</w:t>
      </w:r>
      <w:r w:rsidR="00607CB8" w:rsidRPr="00C5526D">
        <w:t xml:space="preserve"> </w:t>
      </w:r>
      <w:r w:rsidR="00607CB8">
        <w:t>the</w:t>
      </w:r>
      <w:r w:rsidR="00607CB8" w:rsidRPr="00C5526D">
        <w:t xml:space="preserve"> TDI for diphacinone.</w:t>
      </w:r>
    </w:p>
    <w:p w14:paraId="1449327F" w14:textId="7B368123" w:rsidR="00607CB8" w:rsidRPr="00800B9F" w:rsidRDefault="00607CB8" w:rsidP="00927D72">
      <w:pPr>
        <w:pStyle w:val="Heading3"/>
        <w:ind w:left="567" w:hanging="567"/>
      </w:pPr>
      <w:bookmarkStart w:id="1292" w:name="_Toc214835257"/>
      <w:bookmarkStart w:id="1293" w:name="_Toc214835861"/>
      <w:bookmarkStart w:id="1294" w:name="_Toc214836312"/>
      <w:bookmarkStart w:id="1295" w:name="_Toc214897794"/>
      <w:bookmarkStart w:id="1296" w:name="_Toc214898369"/>
      <w:bookmarkStart w:id="1297" w:name="_Toc215150675"/>
      <w:bookmarkStart w:id="1298" w:name="_Toc214835258"/>
      <w:bookmarkStart w:id="1299" w:name="_Toc214835862"/>
      <w:bookmarkStart w:id="1300" w:name="_Toc214836313"/>
      <w:bookmarkStart w:id="1301" w:name="_Toc214897795"/>
      <w:bookmarkStart w:id="1302" w:name="_Toc214898370"/>
      <w:bookmarkStart w:id="1303" w:name="_Toc215150676"/>
      <w:bookmarkStart w:id="1304" w:name="_Toc185345589"/>
      <w:bookmarkStart w:id="1305" w:name="_Toc214025508"/>
      <w:bookmarkStart w:id="1306" w:name="_Toc216695592"/>
      <w:bookmarkEnd w:id="1292"/>
      <w:bookmarkEnd w:id="1293"/>
      <w:bookmarkEnd w:id="1294"/>
      <w:bookmarkEnd w:id="1295"/>
      <w:bookmarkEnd w:id="1296"/>
      <w:bookmarkEnd w:id="1297"/>
      <w:bookmarkEnd w:id="1298"/>
      <w:bookmarkEnd w:id="1299"/>
      <w:bookmarkEnd w:id="1300"/>
      <w:bookmarkEnd w:id="1301"/>
      <w:bookmarkEnd w:id="1302"/>
      <w:bookmarkEnd w:id="1303"/>
      <w:r>
        <w:t>Second generation anticoagulant rodenticides</w:t>
      </w:r>
      <w:bookmarkEnd w:id="1304"/>
      <w:bookmarkEnd w:id="1305"/>
      <w:bookmarkEnd w:id="1306"/>
    </w:p>
    <w:p w14:paraId="5722F246" w14:textId="77777777" w:rsidR="00607CB8" w:rsidRPr="00094842" w:rsidRDefault="00607CB8" w:rsidP="00927D72">
      <w:pPr>
        <w:pStyle w:val="Heading4"/>
      </w:pPr>
      <w:r w:rsidRPr="00094842">
        <w:t>Brodifacoum</w:t>
      </w:r>
    </w:p>
    <w:p w14:paraId="72B553D9" w14:textId="4C6DB628" w:rsidR="00607CB8" w:rsidRPr="00094842" w:rsidRDefault="004E3A02" w:rsidP="00377F3A">
      <w:pPr>
        <w:pStyle w:val="NormalText"/>
      </w:pPr>
      <w:r>
        <w:t>The most</w:t>
      </w:r>
      <w:r w:rsidRPr="00C5526D">
        <w:t xml:space="preserve"> appropriate NOAEL</w:t>
      </w:r>
      <w:r w:rsidR="001B628E" w:rsidRPr="001B628E">
        <w:t xml:space="preserve"> </w:t>
      </w:r>
      <w:r w:rsidR="001B628E">
        <w:t>from data in the APVMA’s holdings</w:t>
      </w:r>
      <w:r w:rsidRPr="00C5526D">
        <w:t xml:space="preserve"> for use in </w:t>
      </w:r>
      <w:r>
        <w:t>a</w:t>
      </w:r>
      <w:r w:rsidRPr="00C5526D">
        <w:t xml:space="preserve"> risk assessment </w:t>
      </w:r>
      <w:r>
        <w:t>of</w:t>
      </w:r>
      <w:r w:rsidRPr="00C5526D">
        <w:t xml:space="preserve"> </w:t>
      </w:r>
      <w:r w:rsidR="001B628E">
        <w:t xml:space="preserve">brodifacoum for </w:t>
      </w:r>
      <w:r>
        <w:t>professional</w:t>
      </w:r>
      <w:r w:rsidRPr="00C5526D">
        <w:t xml:space="preserve"> and non-professional users is </w:t>
      </w:r>
      <w:r w:rsidR="00607CB8" w:rsidRPr="00094842">
        <w:t>0.001 mg/kg bw/day from a 13</w:t>
      </w:r>
      <w:r w:rsidR="00607CB8">
        <w:t>-</w:t>
      </w:r>
      <w:r w:rsidR="00607CB8" w:rsidRPr="00094842">
        <w:t xml:space="preserve">week dietary </w:t>
      </w:r>
      <w:r w:rsidR="00607CB8">
        <w:t xml:space="preserve">toxicity </w:t>
      </w:r>
      <w:r w:rsidR="00607CB8" w:rsidRPr="00094842">
        <w:t>study</w:t>
      </w:r>
      <w:r w:rsidR="00607CB8">
        <w:t xml:space="preserve"> in rats</w:t>
      </w:r>
      <w:r w:rsidR="002E4920">
        <w:t xml:space="preserve">, </w:t>
      </w:r>
      <w:r w:rsidR="002E4920" w:rsidRPr="00094842">
        <w:t>based on prolonged blood clotting (prothrombin) time at the next higher dose</w:t>
      </w:r>
      <w:r w:rsidR="007C622F">
        <w:t xml:space="preserve"> (</w:t>
      </w:r>
      <w:r w:rsidR="007C622F" w:rsidRPr="00E078CC">
        <w:t xml:space="preserve">Batten P, </w:t>
      </w:r>
      <w:r w:rsidR="00B7183A" w:rsidRPr="00B7183A">
        <w:rPr>
          <w:i/>
          <w:iCs/>
        </w:rPr>
        <w:t>et al</w:t>
      </w:r>
      <w:r w:rsidR="007C622F">
        <w:t>.,</w:t>
      </w:r>
      <w:r w:rsidR="007C622F" w:rsidRPr="00E078CC">
        <w:t xml:space="preserve"> 1984</w:t>
      </w:r>
      <w:r w:rsidR="007C622F">
        <w:t>)</w:t>
      </w:r>
      <w:r w:rsidR="002E4920" w:rsidRPr="00094842">
        <w:t xml:space="preserve">. </w:t>
      </w:r>
      <w:r w:rsidR="00607CB8">
        <w:t>This NOAEL</w:t>
      </w:r>
      <w:r w:rsidR="00607CB8" w:rsidRPr="00094842">
        <w:t xml:space="preserve"> </w:t>
      </w:r>
      <w:r w:rsidR="00607CB8">
        <w:t xml:space="preserve">was </w:t>
      </w:r>
      <w:r w:rsidR="00607CB8" w:rsidRPr="00094842">
        <w:t xml:space="preserve">relied on </w:t>
      </w:r>
      <w:r w:rsidR="00607CB8">
        <w:t xml:space="preserve">by the APVMA </w:t>
      </w:r>
      <w:r w:rsidR="00607CB8" w:rsidRPr="00094842">
        <w:t xml:space="preserve">to </w:t>
      </w:r>
      <w:r w:rsidR="00607CB8">
        <w:t>establish</w:t>
      </w:r>
      <w:r w:rsidR="00607CB8" w:rsidRPr="00094842">
        <w:t xml:space="preserve"> </w:t>
      </w:r>
      <w:r w:rsidR="00607CB8">
        <w:t>the</w:t>
      </w:r>
      <w:r w:rsidR="00607CB8" w:rsidRPr="00094842">
        <w:t xml:space="preserve"> TDI for brodifacoum.</w:t>
      </w:r>
    </w:p>
    <w:p w14:paraId="315EA5AB" w14:textId="77777777" w:rsidR="00607CB8" w:rsidRPr="00094842" w:rsidRDefault="00607CB8" w:rsidP="00927D72">
      <w:pPr>
        <w:pStyle w:val="Heading4"/>
      </w:pPr>
      <w:r w:rsidRPr="00094842">
        <w:t>Bromadiolone</w:t>
      </w:r>
    </w:p>
    <w:p w14:paraId="5A1602A2" w14:textId="27F20090" w:rsidR="002E4920" w:rsidRDefault="002E4920" w:rsidP="00377F3A">
      <w:pPr>
        <w:pStyle w:val="NormalText"/>
      </w:pPr>
      <w:r>
        <w:t>The most</w:t>
      </w:r>
      <w:r w:rsidRPr="00C5526D">
        <w:t xml:space="preserve"> appropriate NOAEL</w:t>
      </w:r>
      <w:r w:rsidR="001B628E">
        <w:t xml:space="preserve"> from data in the APVMA’s holdings</w:t>
      </w:r>
      <w:r w:rsidRPr="00C5526D">
        <w:t xml:space="preserve"> for use in </w:t>
      </w:r>
      <w:r>
        <w:t>a</w:t>
      </w:r>
      <w:r w:rsidRPr="00C5526D">
        <w:t xml:space="preserve"> risk assessment </w:t>
      </w:r>
      <w:r>
        <w:t>of</w:t>
      </w:r>
      <w:r w:rsidRPr="00C5526D">
        <w:t xml:space="preserve"> </w:t>
      </w:r>
      <w:r w:rsidR="001B628E">
        <w:t xml:space="preserve">bromadiolone for </w:t>
      </w:r>
      <w:r>
        <w:t>professional</w:t>
      </w:r>
      <w:r w:rsidRPr="00C5526D">
        <w:t xml:space="preserve"> users is </w:t>
      </w:r>
      <w:r w:rsidR="00607CB8" w:rsidRPr="00C521B7">
        <w:t>0.0005 mg/kg bw/day from an oral subchronic toxicity study in rabbits</w:t>
      </w:r>
      <w:r>
        <w:t xml:space="preserve">, </w:t>
      </w:r>
      <w:r w:rsidRPr="00C521B7">
        <w:t>based on increased prothrombin time at the next higher dose</w:t>
      </w:r>
      <w:r w:rsidR="00364754">
        <w:t xml:space="preserve"> (Béres E, 2006)</w:t>
      </w:r>
      <w:r w:rsidR="00607CB8" w:rsidRPr="00C521B7">
        <w:t>. This NOAEL was relied on by the APVMA to establish the TDI for bromadiolone.</w:t>
      </w:r>
    </w:p>
    <w:p w14:paraId="17065216" w14:textId="7EBA88FC" w:rsidR="00607CB8" w:rsidRPr="00094842" w:rsidRDefault="00607CB8" w:rsidP="00377F3A">
      <w:pPr>
        <w:pStyle w:val="NormalText"/>
      </w:pPr>
      <w:r>
        <w:t xml:space="preserve">For non-professional users, exposure will be much less frequent, therefore the most appropriate point of departure is the LOAEL of 0.002 mg/kg bw/day from </w:t>
      </w:r>
      <w:r w:rsidR="002E4920">
        <w:t>a</w:t>
      </w:r>
      <w:r>
        <w:t xml:space="preserve"> rabbit developmental toxicity study</w:t>
      </w:r>
      <w:r w:rsidR="00364754">
        <w:t xml:space="preserve"> (Druga A, 2004</w:t>
      </w:r>
      <w:r w:rsidR="00113DD4">
        <w:t>a</w:t>
      </w:r>
      <w:r w:rsidR="00364754">
        <w:t>)</w:t>
      </w:r>
    </w:p>
    <w:p w14:paraId="6887DBF9" w14:textId="77777777" w:rsidR="00607CB8" w:rsidRPr="00094842" w:rsidRDefault="00607CB8" w:rsidP="00927D72">
      <w:pPr>
        <w:pStyle w:val="Heading4"/>
      </w:pPr>
      <w:r w:rsidRPr="00094842">
        <w:t>Difenacoum</w:t>
      </w:r>
    </w:p>
    <w:p w14:paraId="3F0ED253" w14:textId="0A0C5A99" w:rsidR="00607CB8" w:rsidRPr="00094842" w:rsidRDefault="002E4920" w:rsidP="00377F3A">
      <w:pPr>
        <w:pStyle w:val="NormalText"/>
      </w:pPr>
      <w:r>
        <w:t>The most</w:t>
      </w:r>
      <w:r w:rsidRPr="00C5526D">
        <w:t xml:space="preserve"> appropriate NOAEL </w:t>
      </w:r>
      <w:r w:rsidR="001B628E">
        <w:t>from data in the APVMA’s holdings</w:t>
      </w:r>
      <w:r w:rsidR="001B628E" w:rsidRPr="00C5526D">
        <w:t xml:space="preserve"> </w:t>
      </w:r>
      <w:r w:rsidRPr="00C5526D">
        <w:t xml:space="preserve">for use in </w:t>
      </w:r>
      <w:r>
        <w:t>a</w:t>
      </w:r>
      <w:r w:rsidRPr="00C5526D">
        <w:t xml:space="preserve"> risk assessment </w:t>
      </w:r>
      <w:r>
        <w:t>of</w:t>
      </w:r>
      <w:r w:rsidRPr="00C5526D">
        <w:t xml:space="preserve"> </w:t>
      </w:r>
      <w:r w:rsidR="001B628E">
        <w:t xml:space="preserve">difenacoum for </w:t>
      </w:r>
      <w:r>
        <w:t>professional</w:t>
      </w:r>
      <w:r w:rsidRPr="00C5526D">
        <w:t xml:space="preserve"> and non-professional users is</w:t>
      </w:r>
      <w:r w:rsidR="00607CB8" w:rsidRPr="005C1ABE">
        <w:t xml:space="preserve"> </w:t>
      </w:r>
      <w:r>
        <w:t xml:space="preserve">a </w:t>
      </w:r>
      <w:r w:rsidR="00607CB8">
        <w:t xml:space="preserve">LOAEL of </w:t>
      </w:r>
      <w:r w:rsidR="00607CB8" w:rsidRPr="005C1ABE">
        <w:t>0.001 mg/kg bw/day from a</w:t>
      </w:r>
      <w:r w:rsidR="00607CB8">
        <w:t xml:space="preserve"> developmental toxicity</w:t>
      </w:r>
      <w:r w:rsidR="00607CB8" w:rsidRPr="000C6169">
        <w:t xml:space="preserve"> study</w:t>
      </w:r>
      <w:r w:rsidR="00607CB8">
        <w:t xml:space="preserve"> in rabbits</w:t>
      </w:r>
      <w:r>
        <w:t xml:space="preserve">, </w:t>
      </w:r>
      <w:r w:rsidRPr="00094842">
        <w:t xml:space="preserve">based on haemorrhage in multiple tissues/organs </w:t>
      </w:r>
      <w:r>
        <w:t>at the lowest dose tested</w:t>
      </w:r>
      <w:r w:rsidR="00713FE9">
        <w:t xml:space="preserve"> (</w:t>
      </w:r>
      <w:r w:rsidR="00713FE9" w:rsidRPr="00E078CC">
        <w:t>Druga A, 2004</w:t>
      </w:r>
      <w:r w:rsidR="00113DD4">
        <w:t>b</w:t>
      </w:r>
      <w:r w:rsidR="00713FE9">
        <w:t>)</w:t>
      </w:r>
      <w:r w:rsidRPr="00094842">
        <w:t xml:space="preserve">. </w:t>
      </w:r>
      <w:r w:rsidR="00607CB8">
        <w:t>This LOAEL</w:t>
      </w:r>
      <w:r w:rsidR="00607CB8" w:rsidRPr="000C6169">
        <w:t xml:space="preserve"> </w:t>
      </w:r>
      <w:r w:rsidR="00607CB8">
        <w:t>was</w:t>
      </w:r>
      <w:r w:rsidR="00607CB8" w:rsidRPr="000C6169">
        <w:t xml:space="preserve"> relied </w:t>
      </w:r>
      <w:r w:rsidR="00607CB8">
        <w:t xml:space="preserve">upon by the APVMA </w:t>
      </w:r>
      <w:r w:rsidR="00607CB8" w:rsidRPr="000C6169">
        <w:t xml:space="preserve">to </w:t>
      </w:r>
      <w:r w:rsidR="00607CB8">
        <w:t>establish</w:t>
      </w:r>
      <w:r w:rsidR="00607CB8" w:rsidRPr="00981F0B">
        <w:t xml:space="preserve"> the TDI for</w:t>
      </w:r>
      <w:r w:rsidR="00607CB8" w:rsidRPr="000C6169">
        <w:t xml:space="preserve"> difenacoum.</w:t>
      </w:r>
    </w:p>
    <w:p w14:paraId="36A77F16" w14:textId="77777777" w:rsidR="00607CB8" w:rsidRPr="00644793" w:rsidRDefault="00607CB8" w:rsidP="00927D72">
      <w:pPr>
        <w:pStyle w:val="Heading4"/>
      </w:pPr>
      <w:r w:rsidRPr="00644793">
        <w:t>Difethialone</w:t>
      </w:r>
    </w:p>
    <w:p w14:paraId="52C34D07" w14:textId="16FC6199" w:rsidR="00607CB8" w:rsidRPr="00094842" w:rsidRDefault="002E4920" w:rsidP="00377F3A">
      <w:pPr>
        <w:pStyle w:val="NormalText"/>
      </w:pPr>
      <w:r>
        <w:t>The most</w:t>
      </w:r>
      <w:r w:rsidRPr="00C5526D">
        <w:t xml:space="preserve"> appropriate NOAEL for use in </w:t>
      </w:r>
      <w:r>
        <w:t>a</w:t>
      </w:r>
      <w:r w:rsidRPr="00C5526D">
        <w:t xml:space="preserve"> risk assessment </w:t>
      </w:r>
      <w:r>
        <w:t>of</w:t>
      </w:r>
      <w:r w:rsidRPr="00C5526D">
        <w:t xml:space="preserve"> </w:t>
      </w:r>
      <w:r>
        <w:t>professional</w:t>
      </w:r>
      <w:r w:rsidRPr="00C5526D">
        <w:t xml:space="preserve"> and non-professional users is</w:t>
      </w:r>
      <w:r w:rsidRPr="005C1ABE">
        <w:t xml:space="preserve"> </w:t>
      </w:r>
      <w:r w:rsidR="00607CB8" w:rsidRPr="00094842">
        <w:t>0.00125 mg/kg bw/day from a</w:t>
      </w:r>
      <w:r w:rsidR="00607CB8">
        <w:t>n oral</w:t>
      </w:r>
      <w:r w:rsidR="00607CB8" w:rsidRPr="00094842">
        <w:t xml:space="preserve"> developmental </w:t>
      </w:r>
      <w:r w:rsidR="00607CB8">
        <w:t>toxicity</w:t>
      </w:r>
      <w:r w:rsidR="00607CB8" w:rsidRPr="00094842">
        <w:t xml:space="preserve"> study </w:t>
      </w:r>
      <w:r w:rsidR="00607CB8">
        <w:t>in rabbits</w:t>
      </w:r>
      <w:r>
        <w:t xml:space="preserve">, </w:t>
      </w:r>
      <w:r w:rsidRPr="00094842">
        <w:t xml:space="preserve">based on depressed weight gain </w:t>
      </w:r>
      <w:r>
        <w:t>i</w:t>
      </w:r>
      <w:r w:rsidRPr="00094842">
        <w:t xml:space="preserve">n dams, </w:t>
      </w:r>
      <w:r w:rsidRPr="00094842">
        <w:lastRenderedPageBreak/>
        <w:t>elevated incidence of incompletely ossified 5th sternebra at the next highest dose of 0.0025 mg/kg bw/day</w:t>
      </w:r>
      <w:r w:rsidR="00F80D5B">
        <w:t xml:space="preserve"> (Briffaux J.P., 1086)</w:t>
      </w:r>
      <w:r w:rsidRPr="00094842">
        <w:t>.</w:t>
      </w:r>
      <w:r w:rsidR="00607CB8">
        <w:t xml:space="preserve"> This NOAEL was </w:t>
      </w:r>
      <w:r w:rsidR="00607CB8" w:rsidRPr="00094842">
        <w:t xml:space="preserve">relied on to </w:t>
      </w:r>
      <w:r w:rsidR="00607CB8">
        <w:t>establish the</w:t>
      </w:r>
      <w:r w:rsidR="00607CB8" w:rsidRPr="00094842">
        <w:t xml:space="preserve"> TDI for difethialone.</w:t>
      </w:r>
    </w:p>
    <w:p w14:paraId="296EDDCF" w14:textId="77777777" w:rsidR="00607CB8" w:rsidRPr="00644793" w:rsidRDefault="00607CB8" w:rsidP="00927D72">
      <w:pPr>
        <w:pStyle w:val="Heading4"/>
      </w:pPr>
      <w:r w:rsidRPr="00644793">
        <w:t>Flocoumafen</w:t>
      </w:r>
    </w:p>
    <w:p w14:paraId="1D4026FE" w14:textId="2A33D5CE" w:rsidR="00607CB8" w:rsidRDefault="002E4920" w:rsidP="00377F3A">
      <w:pPr>
        <w:pStyle w:val="NormalText"/>
        <w:rPr>
          <w:b/>
          <w:bCs/>
          <w:i/>
          <w:iCs/>
        </w:rPr>
      </w:pPr>
      <w:r>
        <w:t>The most</w:t>
      </w:r>
      <w:r w:rsidRPr="00C5526D">
        <w:t xml:space="preserve"> appropriate NOAEL </w:t>
      </w:r>
      <w:r w:rsidR="00711663">
        <w:t>from data in the APVMA’s holdings</w:t>
      </w:r>
      <w:r w:rsidR="00711663" w:rsidRPr="00C5526D">
        <w:t xml:space="preserve"> </w:t>
      </w:r>
      <w:r w:rsidRPr="00C5526D">
        <w:t xml:space="preserve">for use in </w:t>
      </w:r>
      <w:r>
        <w:t>a</w:t>
      </w:r>
      <w:r w:rsidRPr="00C5526D">
        <w:t xml:space="preserve"> risk assessment </w:t>
      </w:r>
      <w:r>
        <w:t>of</w:t>
      </w:r>
      <w:r w:rsidRPr="00C5526D">
        <w:t xml:space="preserve"> </w:t>
      </w:r>
      <w:r w:rsidR="00711663">
        <w:t xml:space="preserve">flocoumafen </w:t>
      </w:r>
      <w:r>
        <w:t>professional</w:t>
      </w:r>
      <w:r w:rsidRPr="00C5526D">
        <w:t xml:space="preserve"> and non-professional users is</w:t>
      </w:r>
      <w:r w:rsidR="00607CB8" w:rsidRPr="00094842">
        <w:t xml:space="preserve"> 0.0014 mg/kg bw/day (0.02 ppm) from a 90</w:t>
      </w:r>
      <w:r w:rsidR="00607CB8">
        <w:t>-</w:t>
      </w:r>
      <w:r w:rsidR="00607CB8" w:rsidRPr="00094842">
        <w:t>day dietary toxicity study</w:t>
      </w:r>
      <w:r w:rsidR="00607CB8">
        <w:t xml:space="preserve"> in rats</w:t>
      </w:r>
      <w:r>
        <w:t xml:space="preserve">, </w:t>
      </w:r>
      <w:r w:rsidRPr="00094842">
        <w:t>based on increased levels of serum cholesterol at the next highest dose of 0.0036 mg/kg bw/day (0.05 ppm)</w:t>
      </w:r>
      <w:r w:rsidR="00C867E4">
        <w:t xml:space="preserve"> (</w:t>
      </w:r>
      <w:r w:rsidR="00C867E4" w:rsidRPr="00E078CC">
        <w:t>Clark, D.G., Esdaile, D.J. , 1989</w:t>
      </w:r>
      <w:r w:rsidR="00C867E4">
        <w:t>)</w:t>
      </w:r>
      <w:r w:rsidR="00607CB8">
        <w:t>.</w:t>
      </w:r>
      <w:r w:rsidR="00607CB8" w:rsidRPr="00094842">
        <w:t xml:space="preserve"> </w:t>
      </w:r>
      <w:r w:rsidR="00607CB8">
        <w:t>This NOAEL</w:t>
      </w:r>
      <w:r w:rsidR="00607CB8" w:rsidRPr="00094842">
        <w:t xml:space="preserve"> </w:t>
      </w:r>
      <w:r w:rsidR="00607CB8">
        <w:t>w</w:t>
      </w:r>
      <w:r w:rsidR="00607CB8" w:rsidRPr="00094842">
        <w:t xml:space="preserve">as relied on </w:t>
      </w:r>
      <w:r w:rsidR="00607CB8">
        <w:t xml:space="preserve">by the APVMA </w:t>
      </w:r>
      <w:r w:rsidR="00607CB8" w:rsidRPr="00094842">
        <w:t xml:space="preserve">to </w:t>
      </w:r>
      <w:r w:rsidR="00607CB8">
        <w:t>establish</w:t>
      </w:r>
      <w:r w:rsidR="00607CB8" w:rsidRPr="00094842">
        <w:t xml:space="preserve"> </w:t>
      </w:r>
      <w:r w:rsidR="00607CB8">
        <w:t xml:space="preserve">the </w:t>
      </w:r>
      <w:r w:rsidR="00607CB8" w:rsidRPr="00094842">
        <w:t>acceptable daily intake (ADI) for flocoumafen.</w:t>
      </w:r>
    </w:p>
    <w:p w14:paraId="41249B1E" w14:textId="61574BB3" w:rsidR="00607CB8" w:rsidRPr="00B86630" w:rsidRDefault="00607CB8" w:rsidP="00B86630">
      <w:pPr>
        <w:pStyle w:val="Heading2"/>
      </w:pPr>
      <w:bookmarkStart w:id="1307" w:name="_Toc185345590"/>
      <w:bookmarkStart w:id="1308" w:name="_Toc214025509"/>
      <w:bookmarkStart w:id="1309" w:name="_Toc216695593"/>
      <w:r w:rsidRPr="00B86630">
        <w:t xml:space="preserve">Selection of dermal </w:t>
      </w:r>
      <w:r w:rsidR="00036BAD" w:rsidRPr="00B86630">
        <w:t>and</w:t>
      </w:r>
      <w:r w:rsidRPr="00B86630">
        <w:t xml:space="preserve"> inhalation absorption factors</w:t>
      </w:r>
      <w:bookmarkEnd w:id="1307"/>
      <w:bookmarkEnd w:id="1308"/>
      <w:bookmarkEnd w:id="1309"/>
    </w:p>
    <w:p w14:paraId="345F9442" w14:textId="6B38DF08" w:rsidR="00607CB8" w:rsidRDefault="00607CB8" w:rsidP="00377F3A">
      <w:pPr>
        <w:pStyle w:val="NormalText"/>
      </w:pPr>
      <w:r>
        <w:t>D</w:t>
      </w:r>
      <w:r w:rsidRPr="00094842">
        <w:t xml:space="preserve">efault </w:t>
      </w:r>
      <w:r>
        <w:t>values for dermal and inhalation</w:t>
      </w:r>
      <w:r w:rsidR="002E4920">
        <w:t>al</w:t>
      </w:r>
      <w:r>
        <w:t xml:space="preserve"> absorption </w:t>
      </w:r>
      <w:r w:rsidR="002E4920">
        <w:t xml:space="preserve">were </w:t>
      </w:r>
      <w:r>
        <w:t xml:space="preserve">used across FGAR and SGAR </w:t>
      </w:r>
      <w:r w:rsidR="002E4920">
        <w:t xml:space="preserve">active constituents, with a </w:t>
      </w:r>
      <w:r w:rsidRPr="00094842">
        <w:t xml:space="preserve">dermal absorption value </w:t>
      </w:r>
      <w:r>
        <w:t xml:space="preserve">of </w:t>
      </w:r>
      <w:r w:rsidRPr="00094842">
        <w:t xml:space="preserve">10% </w:t>
      </w:r>
      <w:r>
        <w:t xml:space="preserve">and </w:t>
      </w:r>
      <w:r w:rsidRPr="00094842">
        <w:t xml:space="preserve">inhalation absorption </w:t>
      </w:r>
      <w:r w:rsidR="002E4920">
        <w:t xml:space="preserve">value </w:t>
      </w:r>
      <w:r>
        <w:t xml:space="preserve">of 100% applied </w:t>
      </w:r>
      <w:r w:rsidR="002E4920">
        <w:t>during</w:t>
      </w:r>
      <w:r>
        <w:t xml:space="preserve"> exposure and risk characterisations.</w:t>
      </w:r>
    </w:p>
    <w:p w14:paraId="51C770F5" w14:textId="383DA76F" w:rsidR="00607CB8" w:rsidRPr="00B86630" w:rsidRDefault="00607CB8" w:rsidP="00B86630">
      <w:pPr>
        <w:pStyle w:val="Heading2"/>
      </w:pPr>
      <w:bookmarkStart w:id="1310" w:name="_Toc155357454"/>
      <w:bookmarkStart w:id="1311" w:name="_Toc185345591"/>
      <w:bookmarkStart w:id="1312" w:name="_Toc214025510"/>
      <w:bookmarkStart w:id="1313" w:name="_Toc216695594"/>
      <w:r w:rsidRPr="00B86630">
        <w:t xml:space="preserve">Basic parameters used in the exposure </w:t>
      </w:r>
      <w:bookmarkEnd w:id="1310"/>
      <w:r w:rsidRPr="00B86630">
        <w:t>assessments and risk characterisations</w:t>
      </w:r>
      <w:bookmarkEnd w:id="1311"/>
      <w:bookmarkEnd w:id="1312"/>
      <w:bookmarkEnd w:id="1313"/>
    </w:p>
    <w:p w14:paraId="6B453DB2" w14:textId="77777777" w:rsidR="00607CB8" w:rsidRPr="00A429BE" w:rsidRDefault="00607CB8" w:rsidP="004E54E3">
      <w:pPr>
        <w:pStyle w:val="Heading3"/>
        <w:rPr>
          <w:szCs w:val="28"/>
        </w:rPr>
      </w:pPr>
      <w:bookmarkStart w:id="1314" w:name="_Toc214025511"/>
      <w:bookmarkStart w:id="1315" w:name="_Hlk142049937"/>
      <w:bookmarkStart w:id="1316" w:name="_Toc216695595"/>
      <w:r w:rsidRPr="00A429BE">
        <w:t xml:space="preserve">Occupational &amp; </w:t>
      </w:r>
      <w:r>
        <w:t>non-professional</w:t>
      </w:r>
      <w:r w:rsidRPr="00A429BE">
        <w:t xml:space="preserve"> health risk </w:t>
      </w:r>
      <w:r w:rsidRPr="00A429BE">
        <w:rPr>
          <w:szCs w:val="28"/>
        </w:rPr>
        <w:t>assessment</w:t>
      </w:r>
      <w:bookmarkEnd w:id="1314"/>
      <w:bookmarkEnd w:id="1316"/>
      <w:r w:rsidRPr="00A429BE">
        <w:rPr>
          <w:szCs w:val="28"/>
        </w:rPr>
        <w:t xml:space="preserve"> </w:t>
      </w:r>
    </w:p>
    <w:p w14:paraId="15ABDFA4" w14:textId="7FD11570" w:rsidR="002E4920" w:rsidRDefault="002E4920" w:rsidP="00377F3A">
      <w:pPr>
        <w:pStyle w:val="NormalText"/>
      </w:pPr>
      <w:r>
        <w:t>Principal exposure to anticoagulant rodenticides will occur via the skin, or dermal route during bait placement, loading, refilling, rehandling including removal of carcasses, cleanup and removal of used bait stations.</w:t>
      </w:r>
    </w:p>
    <w:p w14:paraId="5A5CB592" w14:textId="01D2C0E2" w:rsidR="00607CB8" w:rsidRDefault="00607CB8" w:rsidP="00377F3A">
      <w:pPr>
        <w:pStyle w:val="NormalText"/>
      </w:pPr>
      <w:r w:rsidRPr="004401D3">
        <w:t>Minor accidental oral exposure may also occur</w:t>
      </w:r>
      <w:r w:rsidR="00BD1774">
        <w:t xml:space="preserve"> considering the potential inhalation of dust generated during transport, within the packaging of l</w:t>
      </w:r>
      <w:r>
        <w:t>oose</w:t>
      </w:r>
      <w:r w:rsidR="00BD1774">
        <w:t>,</w:t>
      </w:r>
      <w:r>
        <w:t xml:space="preserve"> pelleted baits</w:t>
      </w:r>
      <w:r w:rsidR="00BD1774">
        <w:t>. I</w:t>
      </w:r>
      <w:r>
        <w:t>nhalation exposure from other formulat</w:t>
      </w:r>
      <w:r w:rsidR="00BD1774">
        <w:t>ions of</w:t>
      </w:r>
      <w:r>
        <w:t xml:space="preserve"> bait (e.g., wax blocks, sachets) is expected to be minimal.</w:t>
      </w:r>
    </w:p>
    <w:p w14:paraId="31AE8F10" w14:textId="21EA578E" w:rsidR="00607CB8" w:rsidRDefault="00607CB8" w:rsidP="00377F3A">
      <w:pPr>
        <w:pStyle w:val="NormalText"/>
        <w:rPr>
          <w:rFonts w:eastAsia="Calibri"/>
          <w:color w:val="353735" w:themeColor="text1"/>
        </w:rPr>
      </w:pPr>
      <w:r w:rsidRPr="004401D3">
        <w:rPr>
          <w:color w:val="353735" w:themeColor="text1"/>
        </w:rPr>
        <w:t xml:space="preserve">No </w:t>
      </w:r>
      <w:r>
        <w:rPr>
          <w:color w:val="353735" w:themeColor="text1"/>
        </w:rPr>
        <w:t xml:space="preserve">user </w:t>
      </w:r>
      <w:r w:rsidRPr="004401D3">
        <w:rPr>
          <w:color w:val="353735" w:themeColor="text1"/>
        </w:rPr>
        <w:t xml:space="preserve">exposure studies </w:t>
      </w:r>
      <w:r w:rsidR="00BD1774" w:rsidRPr="004401D3">
        <w:rPr>
          <w:color w:val="353735" w:themeColor="text1"/>
        </w:rPr>
        <w:t>were submitted for assessment</w:t>
      </w:r>
      <w:r w:rsidR="00BD1774" w:rsidRPr="004401D3">
        <w:rPr>
          <w:rFonts w:eastAsia="Calibri"/>
          <w:color w:val="353735" w:themeColor="text1"/>
        </w:rPr>
        <w:t xml:space="preserve"> </w:t>
      </w:r>
      <w:r w:rsidRPr="004401D3">
        <w:rPr>
          <w:rFonts w:eastAsia="Calibri"/>
          <w:color w:val="353735" w:themeColor="text1"/>
        </w:rPr>
        <w:t xml:space="preserve">for </w:t>
      </w:r>
      <w:r>
        <w:rPr>
          <w:color w:val="353735" w:themeColor="text1"/>
        </w:rPr>
        <w:t>any rodenticide</w:t>
      </w:r>
      <w:r w:rsidRPr="004401D3">
        <w:rPr>
          <w:color w:val="353735" w:themeColor="text1"/>
        </w:rPr>
        <w:t xml:space="preserve"> products.</w:t>
      </w:r>
      <w:r w:rsidRPr="004401D3">
        <w:rPr>
          <w:rFonts w:eastAsia="Calibri"/>
          <w:color w:val="353735" w:themeColor="text1"/>
        </w:rPr>
        <w:t xml:space="preserve"> </w:t>
      </w:r>
      <w:r w:rsidR="00BD1774">
        <w:rPr>
          <w:rFonts w:eastAsia="Calibri"/>
          <w:color w:val="353735" w:themeColor="text1"/>
        </w:rPr>
        <w:t>T</w:t>
      </w:r>
      <w:r>
        <w:rPr>
          <w:rFonts w:eastAsia="Calibri"/>
          <w:color w:val="353735" w:themeColor="text1"/>
        </w:rPr>
        <w:t xml:space="preserve">he </w:t>
      </w:r>
      <w:r w:rsidRPr="004401D3">
        <w:t xml:space="preserve">US EPA </w:t>
      </w:r>
      <w:r w:rsidRPr="00F4718C">
        <w:t xml:space="preserve">Occupational Pesticide Handler Exposure Calculator (OPHEC) </w:t>
      </w:r>
      <w:r w:rsidRPr="004401D3">
        <w:t>(</w:t>
      </w:r>
      <w:r>
        <w:t xml:space="preserve">US EPA </w:t>
      </w:r>
      <w:r w:rsidRPr="004401D3">
        <w:t>202</w:t>
      </w:r>
      <w:r>
        <w:t>1</w:t>
      </w:r>
      <w:r w:rsidRPr="004401D3">
        <w:t>) and US EPA Standard Operating Procedures</w:t>
      </w:r>
      <w:r>
        <w:t xml:space="preserve"> (SOP)</w:t>
      </w:r>
      <w:r w:rsidRPr="004401D3">
        <w:t xml:space="preserve"> for Residential Pesticide Exposure Assessment (</w:t>
      </w:r>
      <w:r w:rsidRPr="004401D3">
        <w:rPr>
          <w:rFonts w:eastAsia="Yu Mincho"/>
        </w:rPr>
        <w:t>US EPA 2012)</w:t>
      </w:r>
      <w:r w:rsidRPr="004401D3">
        <w:t xml:space="preserve"> </w:t>
      </w:r>
      <w:r w:rsidRPr="004401D3">
        <w:rPr>
          <w:rFonts w:eastAsia="Calibri"/>
          <w:color w:val="353735" w:themeColor="text1"/>
        </w:rPr>
        <w:t>w</w:t>
      </w:r>
      <w:r>
        <w:rPr>
          <w:rFonts w:eastAsia="Calibri"/>
          <w:color w:val="353735" w:themeColor="text1"/>
        </w:rPr>
        <w:t>ere</w:t>
      </w:r>
      <w:r w:rsidRPr="004401D3">
        <w:rPr>
          <w:rFonts w:eastAsia="Calibri"/>
          <w:color w:val="353735" w:themeColor="text1"/>
        </w:rPr>
        <w:t xml:space="preserve"> used to estimate </w:t>
      </w:r>
      <w:r w:rsidR="00BD1774">
        <w:rPr>
          <w:rFonts w:eastAsia="Calibri"/>
          <w:color w:val="353735" w:themeColor="text1"/>
        </w:rPr>
        <w:t>professional</w:t>
      </w:r>
      <w:r w:rsidR="00BD1774" w:rsidRPr="004401D3">
        <w:rPr>
          <w:rFonts w:eastAsia="Calibri"/>
          <w:color w:val="353735" w:themeColor="text1"/>
        </w:rPr>
        <w:t xml:space="preserve"> and </w:t>
      </w:r>
      <w:r w:rsidR="00BD1774">
        <w:rPr>
          <w:rFonts w:eastAsia="Calibri"/>
          <w:color w:val="353735" w:themeColor="text1"/>
        </w:rPr>
        <w:t>non-professional</w:t>
      </w:r>
      <w:r w:rsidR="00BD1774" w:rsidRPr="004401D3">
        <w:rPr>
          <w:rFonts w:eastAsia="Calibri"/>
          <w:color w:val="353735" w:themeColor="text1"/>
        </w:rPr>
        <w:t xml:space="preserve"> </w:t>
      </w:r>
      <w:r w:rsidR="00BD1774">
        <w:rPr>
          <w:rFonts w:eastAsia="Calibri"/>
          <w:color w:val="353735" w:themeColor="text1"/>
        </w:rPr>
        <w:t>user</w:t>
      </w:r>
      <w:r w:rsidR="00BD1774" w:rsidRPr="004401D3">
        <w:rPr>
          <w:rFonts w:eastAsia="Calibri"/>
          <w:color w:val="353735" w:themeColor="text1"/>
        </w:rPr>
        <w:t xml:space="preserve"> </w:t>
      </w:r>
      <w:r w:rsidRPr="004401D3">
        <w:rPr>
          <w:rFonts w:eastAsia="Calibri"/>
          <w:color w:val="353735" w:themeColor="text1"/>
        </w:rPr>
        <w:t xml:space="preserve">exposure during product </w:t>
      </w:r>
      <w:r>
        <w:rPr>
          <w:rFonts w:eastAsia="Calibri"/>
          <w:color w:val="353735" w:themeColor="text1"/>
        </w:rPr>
        <w:t>use</w:t>
      </w:r>
      <w:r w:rsidRPr="004401D3">
        <w:rPr>
          <w:rFonts w:eastAsia="Calibri"/>
          <w:color w:val="353735" w:themeColor="text1"/>
        </w:rPr>
        <w:t>.</w:t>
      </w:r>
    </w:p>
    <w:p w14:paraId="4191D18B" w14:textId="3F589249" w:rsidR="00607CB8" w:rsidRDefault="00607CB8" w:rsidP="00377F3A">
      <w:pPr>
        <w:pStyle w:val="NormalText"/>
        <w:rPr>
          <w:lang w:eastAsia="en-AU"/>
        </w:rPr>
      </w:pPr>
      <w:r w:rsidRPr="009C14ED">
        <w:t xml:space="preserve">The parameters and assumptions used </w:t>
      </w:r>
      <w:r>
        <w:t>to determine</w:t>
      </w:r>
      <w:r w:rsidRPr="009C14ED">
        <w:t xml:space="preserve"> exposure estimates</w:t>
      </w:r>
      <w:r w:rsidRPr="009C14ED">
        <w:rPr>
          <w:rFonts w:eastAsia="Calibri"/>
          <w:color w:val="353735" w:themeColor="text1"/>
        </w:rPr>
        <w:t xml:space="preserve"> during </w:t>
      </w:r>
      <w:r>
        <w:rPr>
          <w:rFonts w:eastAsia="Calibri"/>
          <w:color w:val="353735" w:themeColor="text1"/>
        </w:rPr>
        <w:t>the use</w:t>
      </w:r>
      <w:r w:rsidRPr="009C14ED">
        <w:rPr>
          <w:rFonts w:eastAsia="Calibri"/>
          <w:color w:val="353735" w:themeColor="text1"/>
        </w:rPr>
        <w:t xml:space="preserve"> of products</w:t>
      </w:r>
      <w:r>
        <w:rPr>
          <w:rFonts w:eastAsia="Calibri"/>
          <w:color w:val="353735" w:themeColor="text1"/>
        </w:rPr>
        <w:t xml:space="preserve"> containing each of the various active constituents</w:t>
      </w:r>
      <w:r w:rsidR="00E40973">
        <w:rPr>
          <w:rFonts w:eastAsia="Calibri"/>
          <w:color w:val="353735" w:themeColor="text1"/>
        </w:rPr>
        <w:t xml:space="preserve"> are listed in </w:t>
      </w:r>
      <w:r w:rsidR="00E40973">
        <w:rPr>
          <w:rFonts w:eastAsia="Calibri"/>
          <w:color w:val="353735" w:themeColor="text1"/>
        </w:rPr>
        <w:fldChar w:fldCharType="begin"/>
      </w:r>
      <w:r w:rsidR="00E40973">
        <w:rPr>
          <w:rFonts w:eastAsia="Calibri"/>
          <w:color w:val="353735" w:themeColor="text1"/>
        </w:rPr>
        <w:instrText xml:space="preserve"> REF _Ref213335555 \h </w:instrText>
      </w:r>
      <w:r w:rsidR="00E40973">
        <w:rPr>
          <w:rFonts w:eastAsia="Calibri"/>
          <w:color w:val="353735" w:themeColor="text1"/>
        </w:rPr>
      </w:r>
      <w:r w:rsidR="00E40973">
        <w:rPr>
          <w:rFonts w:eastAsia="Calibri"/>
          <w:color w:val="353735" w:themeColor="text1"/>
        </w:rPr>
        <w:fldChar w:fldCharType="separate"/>
      </w:r>
      <w:r w:rsidR="003861AC">
        <w:t xml:space="preserve">Table </w:t>
      </w:r>
      <w:r w:rsidR="003861AC">
        <w:rPr>
          <w:noProof/>
        </w:rPr>
        <w:t>60</w:t>
      </w:r>
      <w:r w:rsidR="00E40973">
        <w:rPr>
          <w:rFonts w:eastAsia="Calibri"/>
          <w:color w:val="353735" w:themeColor="text1"/>
        </w:rPr>
        <w:fldChar w:fldCharType="end"/>
      </w:r>
      <w:r w:rsidR="00E40973">
        <w:rPr>
          <w:rFonts w:eastAsia="Calibri"/>
          <w:color w:val="353735" w:themeColor="text1"/>
        </w:rPr>
        <w:t>, below.</w:t>
      </w:r>
    </w:p>
    <w:p w14:paraId="104D534B" w14:textId="49C8939A" w:rsidR="00AE3763" w:rsidRDefault="00AE3763" w:rsidP="00BD2F8D">
      <w:pPr>
        <w:pStyle w:val="Caption"/>
      </w:pPr>
      <w:bookmarkStart w:id="1317" w:name="_Ref213335555"/>
      <w:bookmarkStart w:id="1318" w:name="_Toc213946036"/>
      <w:bookmarkStart w:id="1319" w:name="_Toc216695722"/>
      <w:r>
        <w:lastRenderedPageBreak/>
        <w:t xml:space="preserve">Table </w:t>
      </w:r>
      <w:r>
        <w:fldChar w:fldCharType="begin"/>
      </w:r>
      <w:r>
        <w:instrText xml:space="preserve"> SEQ Table \* ARABIC </w:instrText>
      </w:r>
      <w:r>
        <w:fldChar w:fldCharType="separate"/>
      </w:r>
      <w:r w:rsidR="003861AC">
        <w:rPr>
          <w:noProof/>
        </w:rPr>
        <w:t>60</w:t>
      </w:r>
      <w:r>
        <w:fldChar w:fldCharType="end"/>
      </w:r>
      <w:bookmarkEnd w:id="1317"/>
      <w:r>
        <w:t xml:space="preserve">: </w:t>
      </w:r>
      <w:r w:rsidRPr="0066596A">
        <w:t>Parameters, assumptions and models used in risk assessment for rodenticide users</w:t>
      </w:r>
      <w:bookmarkEnd w:id="1318"/>
      <w:bookmarkEnd w:id="1319"/>
    </w:p>
    <w:tbl>
      <w:tblPr>
        <w:tblStyle w:val="TableGrid"/>
        <w:tblW w:w="5000" w:type="pct"/>
        <w:tblLook w:val="04A0" w:firstRow="1" w:lastRow="0" w:firstColumn="1" w:lastColumn="0" w:noHBand="0" w:noVBand="1"/>
      </w:tblPr>
      <w:tblGrid>
        <w:gridCol w:w="2267"/>
        <w:gridCol w:w="3481"/>
        <w:gridCol w:w="3880"/>
      </w:tblGrid>
      <w:tr w:rsidR="00310AF4" w:rsidRPr="00AD1D01" w14:paraId="072918C3" w14:textId="77777777" w:rsidTr="0017134F">
        <w:trPr>
          <w:cantSplit/>
          <w:tblHeader/>
        </w:trPr>
        <w:tc>
          <w:tcPr>
            <w:tcW w:w="1177" w:type="pct"/>
            <w:tcBorders>
              <w:bottom w:val="single" w:sz="4" w:space="0" w:color="auto"/>
            </w:tcBorders>
            <w:shd w:val="clear" w:color="auto" w:fill="53284F"/>
          </w:tcPr>
          <w:bookmarkEnd w:id="1315"/>
          <w:p w14:paraId="1220A2E8" w14:textId="77777777" w:rsidR="00607CB8" w:rsidRPr="00AD1D01" w:rsidRDefault="00607CB8" w:rsidP="00BA7F4F">
            <w:pPr>
              <w:pStyle w:val="TableHead"/>
            </w:pPr>
            <w:r w:rsidRPr="00AD1D01">
              <w:t>Active constituent</w:t>
            </w:r>
          </w:p>
        </w:tc>
        <w:tc>
          <w:tcPr>
            <w:tcW w:w="1808" w:type="pct"/>
            <w:tcBorders>
              <w:bottom w:val="single" w:sz="4" w:space="0" w:color="auto"/>
            </w:tcBorders>
            <w:shd w:val="clear" w:color="auto" w:fill="53284F"/>
          </w:tcPr>
          <w:p w14:paraId="091656DB" w14:textId="77777777" w:rsidR="00607CB8" w:rsidRPr="00AD1D01" w:rsidRDefault="00607CB8" w:rsidP="00BA7F4F">
            <w:pPr>
              <w:pStyle w:val="TableHead"/>
            </w:pPr>
            <w:r w:rsidRPr="00AD1D01">
              <w:t xml:space="preserve">Point of Departure for risk assessment </w:t>
            </w:r>
            <w:r>
              <w:t>(</w:t>
            </w:r>
            <w:r w:rsidRPr="00644793">
              <w:rPr>
                <w:rFonts w:cs="Times New Roman"/>
              </w:rPr>
              <w:t>mg/kg bw/day)</w:t>
            </w:r>
          </w:p>
        </w:tc>
        <w:tc>
          <w:tcPr>
            <w:tcW w:w="2015" w:type="pct"/>
            <w:tcBorders>
              <w:bottom w:val="single" w:sz="4" w:space="0" w:color="auto"/>
            </w:tcBorders>
            <w:shd w:val="clear" w:color="auto" w:fill="53284F"/>
          </w:tcPr>
          <w:p w14:paraId="390EC85B" w14:textId="77777777" w:rsidR="00607CB8" w:rsidRPr="00AD1D01" w:rsidRDefault="00607CB8" w:rsidP="00BA7F4F">
            <w:pPr>
              <w:pStyle w:val="TableHead"/>
            </w:pPr>
            <w:r w:rsidRPr="00AD1D01">
              <w:t>Model(s)</w:t>
            </w:r>
          </w:p>
        </w:tc>
      </w:tr>
      <w:tr w:rsidR="00607CB8" w:rsidRPr="00AD1D01" w14:paraId="6BC7C0BA" w14:textId="77777777" w:rsidTr="007F331A">
        <w:trPr>
          <w:cantSplit/>
          <w:trHeight w:hRule="exact" w:val="397"/>
          <w:tblHeader/>
        </w:trPr>
        <w:tc>
          <w:tcPr>
            <w:tcW w:w="1177" w:type="pct"/>
            <w:tcBorders>
              <w:left w:val="nil"/>
              <w:right w:val="nil"/>
            </w:tcBorders>
            <w:vAlign w:val="center"/>
          </w:tcPr>
          <w:p w14:paraId="4EA7B22D" w14:textId="77777777" w:rsidR="00607CB8" w:rsidRPr="00AD1D01" w:rsidRDefault="00607CB8" w:rsidP="00BA7F4F">
            <w:pPr>
              <w:pStyle w:val="TableText"/>
            </w:pPr>
            <w:r w:rsidRPr="00AD1D01">
              <w:t>Coumatetralyl</w:t>
            </w:r>
          </w:p>
        </w:tc>
        <w:tc>
          <w:tcPr>
            <w:tcW w:w="1808" w:type="pct"/>
            <w:tcBorders>
              <w:left w:val="nil"/>
              <w:right w:val="nil"/>
            </w:tcBorders>
            <w:vAlign w:val="center"/>
          </w:tcPr>
          <w:p w14:paraId="126B512D" w14:textId="77777777" w:rsidR="00607CB8" w:rsidRPr="00AD1D01" w:rsidRDefault="00607CB8" w:rsidP="00BA7F4F">
            <w:pPr>
              <w:pStyle w:val="TableText"/>
              <w:rPr>
                <w:b/>
                <w:bCs/>
                <w:i/>
                <w:iCs/>
              </w:rPr>
            </w:pPr>
            <w:r w:rsidRPr="00AD1D01">
              <w:t>0.0068</w:t>
            </w:r>
          </w:p>
        </w:tc>
        <w:tc>
          <w:tcPr>
            <w:tcW w:w="2015" w:type="pct"/>
            <w:vMerge w:val="restart"/>
            <w:tcBorders>
              <w:left w:val="nil"/>
              <w:right w:val="nil"/>
            </w:tcBorders>
          </w:tcPr>
          <w:p w14:paraId="065B3827" w14:textId="77777777" w:rsidR="00BD1774" w:rsidRDefault="00607CB8">
            <w:pPr>
              <w:keepNext/>
              <w:spacing w:after="0"/>
              <w:rPr>
                <w:i/>
                <w:iCs/>
                <w:sz w:val="18"/>
                <w:szCs w:val="18"/>
              </w:rPr>
            </w:pPr>
            <w:r w:rsidRPr="004E54E3">
              <w:rPr>
                <w:sz w:val="18"/>
                <w:szCs w:val="18"/>
              </w:rPr>
              <w:t>Occupational</w:t>
            </w:r>
            <w:r w:rsidR="00AA0A26" w:rsidRPr="004E54E3">
              <w:rPr>
                <w:sz w:val="18"/>
                <w:szCs w:val="18"/>
              </w:rPr>
              <w:t xml:space="preserve"> users</w:t>
            </w:r>
            <w:r w:rsidRPr="004E54E3">
              <w:rPr>
                <w:iCs/>
                <w:sz w:val="18"/>
                <w:szCs w:val="18"/>
              </w:rPr>
              <w:t>:</w:t>
            </w:r>
            <w:r w:rsidR="00AA0A26" w:rsidRPr="004E54E3">
              <w:rPr>
                <w:iCs/>
                <w:sz w:val="18"/>
                <w:szCs w:val="18"/>
              </w:rPr>
              <w:t xml:space="preserve"> </w:t>
            </w:r>
            <w:r w:rsidR="00AA0A26">
              <w:rPr>
                <w:iCs/>
                <w:sz w:val="18"/>
                <w:szCs w:val="18"/>
              </w:rPr>
              <w:br/>
            </w:r>
            <w:r w:rsidRPr="004E54E3">
              <w:rPr>
                <w:i/>
                <w:iCs/>
                <w:sz w:val="18"/>
                <w:szCs w:val="18"/>
              </w:rPr>
              <w:t>US EPA Occupational Pesticide Handler Exposure Calculator (OPHEC)</w:t>
            </w:r>
          </w:p>
          <w:p w14:paraId="308047D3" w14:textId="5F91D77E" w:rsidR="00BD1774" w:rsidRDefault="00BD1774">
            <w:pPr>
              <w:keepNext/>
              <w:spacing w:after="0"/>
              <w:rPr>
                <w:i/>
                <w:iCs/>
                <w:sz w:val="18"/>
                <w:szCs w:val="18"/>
              </w:rPr>
            </w:pPr>
            <w:r>
              <w:rPr>
                <w:i/>
                <w:iCs/>
                <w:sz w:val="18"/>
                <w:szCs w:val="18"/>
              </w:rPr>
              <w:t xml:space="preserve"> </w:t>
            </w:r>
          </w:p>
          <w:p w14:paraId="5D2EE9AF" w14:textId="4BBC4D19" w:rsidR="00607CB8" w:rsidRPr="004E54E3" w:rsidRDefault="00607CB8" w:rsidP="004E54E3">
            <w:pPr>
              <w:keepNext/>
              <w:spacing w:after="0"/>
            </w:pPr>
            <w:r w:rsidRPr="004E54E3">
              <w:rPr>
                <w:sz w:val="18"/>
                <w:szCs w:val="18"/>
              </w:rPr>
              <w:t>Non-professional e.g., residential users</w:t>
            </w:r>
            <w:r w:rsidR="00AA0A26">
              <w:rPr>
                <w:sz w:val="18"/>
                <w:szCs w:val="18"/>
              </w:rPr>
              <w:t xml:space="preserve"> and</w:t>
            </w:r>
            <w:r w:rsidR="00BD1774">
              <w:rPr>
                <w:sz w:val="18"/>
                <w:szCs w:val="18"/>
              </w:rPr>
              <w:t xml:space="preserve"> </w:t>
            </w:r>
            <w:r w:rsidRPr="004E54E3">
              <w:rPr>
                <w:sz w:val="18"/>
                <w:szCs w:val="18"/>
              </w:rPr>
              <w:t xml:space="preserve">Residential/domestic use: </w:t>
            </w:r>
            <w:r w:rsidR="00AA0A26">
              <w:rPr>
                <w:sz w:val="18"/>
                <w:szCs w:val="18"/>
              </w:rPr>
              <w:br/>
            </w:r>
            <w:r w:rsidRPr="004E54E3">
              <w:rPr>
                <w:i/>
                <w:iCs/>
                <w:sz w:val="18"/>
                <w:szCs w:val="18"/>
              </w:rPr>
              <w:t>US EPA Standard Operating Procedures (SOP) for Residential Pesticide Exposure Assessment</w:t>
            </w:r>
          </w:p>
        </w:tc>
      </w:tr>
      <w:tr w:rsidR="00607CB8" w:rsidRPr="00AD1D01" w14:paraId="79D84F15" w14:textId="77777777" w:rsidTr="007F331A">
        <w:trPr>
          <w:cantSplit/>
          <w:trHeight w:hRule="exact" w:val="397"/>
          <w:tblHeader/>
        </w:trPr>
        <w:tc>
          <w:tcPr>
            <w:tcW w:w="1177" w:type="pct"/>
            <w:tcBorders>
              <w:left w:val="nil"/>
              <w:right w:val="nil"/>
            </w:tcBorders>
            <w:vAlign w:val="center"/>
          </w:tcPr>
          <w:p w14:paraId="69399DD3" w14:textId="77777777" w:rsidR="00607CB8" w:rsidRPr="00AD1D01" w:rsidRDefault="00607CB8" w:rsidP="00BA7F4F">
            <w:pPr>
              <w:pStyle w:val="TableText"/>
            </w:pPr>
            <w:r w:rsidRPr="00AD1D01">
              <w:t>Diphacinone</w:t>
            </w:r>
          </w:p>
        </w:tc>
        <w:tc>
          <w:tcPr>
            <w:tcW w:w="1808" w:type="pct"/>
            <w:tcBorders>
              <w:left w:val="nil"/>
              <w:right w:val="nil"/>
            </w:tcBorders>
            <w:vAlign w:val="center"/>
          </w:tcPr>
          <w:p w14:paraId="6268840A" w14:textId="77777777" w:rsidR="00607CB8" w:rsidRPr="00AD1D01" w:rsidRDefault="00607CB8" w:rsidP="00BA7F4F">
            <w:pPr>
              <w:pStyle w:val="TableText"/>
            </w:pPr>
            <w:r w:rsidRPr="00AD1D01">
              <w:t>0.025</w:t>
            </w:r>
          </w:p>
        </w:tc>
        <w:tc>
          <w:tcPr>
            <w:tcW w:w="2015" w:type="pct"/>
            <w:vMerge/>
            <w:tcBorders>
              <w:left w:val="nil"/>
              <w:right w:val="nil"/>
            </w:tcBorders>
          </w:tcPr>
          <w:p w14:paraId="5E9E4C0C" w14:textId="77777777" w:rsidR="00607CB8" w:rsidRPr="00AD1D01" w:rsidRDefault="00607CB8" w:rsidP="007C37F2">
            <w:pPr>
              <w:spacing w:after="0"/>
              <w:rPr>
                <w:b/>
                <w:bCs/>
                <w:i/>
                <w:iCs/>
              </w:rPr>
            </w:pPr>
          </w:p>
        </w:tc>
      </w:tr>
      <w:tr w:rsidR="00607CB8" w:rsidRPr="00AD1D01" w14:paraId="15054675" w14:textId="77777777" w:rsidTr="007F331A">
        <w:trPr>
          <w:cantSplit/>
          <w:trHeight w:hRule="exact" w:val="397"/>
          <w:tblHeader/>
        </w:trPr>
        <w:tc>
          <w:tcPr>
            <w:tcW w:w="1177" w:type="pct"/>
            <w:tcBorders>
              <w:left w:val="nil"/>
              <w:right w:val="nil"/>
            </w:tcBorders>
            <w:vAlign w:val="center"/>
          </w:tcPr>
          <w:p w14:paraId="7A5ED9F4" w14:textId="77777777" w:rsidR="00607CB8" w:rsidRPr="00AD1D01" w:rsidRDefault="00607CB8" w:rsidP="00BA7F4F">
            <w:pPr>
              <w:pStyle w:val="TableText"/>
            </w:pPr>
            <w:r w:rsidRPr="00AD1D01">
              <w:t>Warfarin</w:t>
            </w:r>
          </w:p>
        </w:tc>
        <w:tc>
          <w:tcPr>
            <w:tcW w:w="1808" w:type="pct"/>
            <w:tcBorders>
              <w:left w:val="nil"/>
              <w:right w:val="nil"/>
            </w:tcBorders>
            <w:vAlign w:val="center"/>
          </w:tcPr>
          <w:p w14:paraId="23DC5343" w14:textId="77777777" w:rsidR="00607CB8" w:rsidRPr="00AD1D01" w:rsidRDefault="00607CB8" w:rsidP="00BA7F4F">
            <w:pPr>
              <w:pStyle w:val="TableText"/>
            </w:pPr>
            <w:r>
              <w:t>Not applicable</w:t>
            </w:r>
          </w:p>
        </w:tc>
        <w:tc>
          <w:tcPr>
            <w:tcW w:w="2015" w:type="pct"/>
            <w:vMerge/>
            <w:tcBorders>
              <w:left w:val="nil"/>
              <w:right w:val="nil"/>
            </w:tcBorders>
          </w:tcPr>
          <w:p w14:paraId="5673014A" w14:textId="77777777" w:rsidR="00607CB8" w:rsidRPr="00AD1D01" w:rsidRDefault="00607CB8" w:rsidP="007C37F2">
            <w:pPr>
              <w:spacing w:after="0"/>
              <w:rPr>
                <w:b/>
                <w:bCs/>
                <w:i/>
                <w:iCs/>
              </w:rPr>
            </w:pPr>
          </w:p>
        </w:tc>
      </w:tr>
      <w:tr w:rsidR="00607CB8" w:rsidRPr="00AD1D01" w14:paraId="549C96F1" w14:textId="77777777" w:rsidTr="007F331A">
        <w:trPr>
          <w:cantSplit/>
          <w:trHeight w:hRule="exact" w:val="397"/>
          <w:tblHeader/>
        </w:trPr>
        <w:tc>
          <w:tcPr>
            <w:tcW w:w="1177" w:type="pct"/>
            <w:tcBorders>
              <w:left w:val="nil"/>
              <w:right w:val="nil"/>
            </w:tcBorders>
            <w:vAlign w:val="center"/>
          </w:tcPr>
          <w:p w14:paraId="066CB06D" w14:textId="77777777" w:rsidR="00607CB8" w:rsidRPr="00AD1D01" w:rsidRDefault="00607CB8" w:rsidP="00BA7F4F">
            <w:pPr>
              <w:pStyle w:val="TableText"/>
            </w:pPr>
            <w:r w:rsidRPr="00AD1D01">
              <w:t>Brodifacoum</w:t>
            </w:r>
          </w:p>
        </w:tc>
        <w:tc>
          <w:tcPr>
            <w:tcW w:w="1808" w:type="pct"/>
            <w:tcBorders>
              <w:left w:val="nil"/>
              <w:right w:val="nil"/>
            </w:tcBorders>
            <w:vAlign w:val="center"/>
          </w:tcPr>
          <w:p w14:paraId="12B908BD" w14:textId="77777777" w:rsidR="00607CB8" w:rsidRPr="00AD1D01" w:rsidRDefault="00607CB8" w:rsidP="00BA7F4F">
            <w:pPr>
              <w:pStyle w:val="TableText"/>
            </w:pPr>
            <w:r w:rsidRPr="00AD1D01">
              <w:t>0.001</w:t>
            </w:r>
          </w:p>
        </w:tc>
        <w:tc>
          <w:tcPr>
            <w:tcW w:w="2015" w:type="pct"/>
            <w:vMerge/>
            <w:tcBorders>
              <w:left w:val="nil"/>
              <w:right w:val="nil"/>
            </w:tcBorders>
          </w:tcPr>
          <w:p w14:paraId="5F90E48B" w14:textId="77777777" w:rsidR="00607CB8" w:rsidRPr="00AD1D01" w:rsidRDefault="00607CB8" w:rsidP="007C37F2">
            <w:pPr>
              <w:spacing w:after="0"/>
              <w:rPr>
                <w:b/>
                <w:bCs/>
                <w:i/>
                <w:iCs/>
              </w:rPr>
            </w:pPr>
          </w:p>
        </w:tc>
      </w:tr>
      <w:tr w:rsidR="00940B52" w:rsidRPr="00AD1D01" w14:paraId="5112AB62" w14:textId="77777777" w:rsidTr="007F331A">
        <w:trPr>
          <w:cantSplit/>
          <w:trHeight w:hRule="exact" w:val="397"/>
          <w:tblHeader/>
        </w:trPr>
        <w:tc>
          <w:tcPr>
            <w:tcW w:w="1177" w:type="pct"/>
            <w:vMerge w:val="restart"/>
            <w:tcBorders>
              <w:left w:val="nil"/>
              <w:right w:val="nil"/>
            </w:tcBorders>
            <w:vAlign w:val="center"/>
          </w:tcPr>
          <w:p w14:paraId="16576B5A" w14:textId="77777777" w:rsidR="00940B52" w:rsidRPr="00AD1D01" w:rsidRDefault="00940B52" w:rsidP="00BA7F4F">
            <w:pPr>
              <w:pStyle w:val="TableText"/>
            </w:pPr>
            <w:r w:rsidRPr="00AD1D01">
              <w:t>Bromadiolone</w:t>
            </w:r>
          </w:p>
        </w:tc>
        <w:tc>
          <w:tcPr>
            <w:tcW w:w="1808" w:type="pct"/>
            <w:tcBorders>
              <w:left w:val="nil"/>
              <w:bottom w:val="single" w:sz="4" w:space="0" w:color="auto"/>
              <w:right w:val="nil"/>
            </w:tcBorders>
            <w:vAlign w:val="center"/>
          </w:tcPr>
          <w:p w14:paraId="32BE2055" w14:textId="1588BAA2" w:rsidR="00940B52" w:rsidRPr="00AD1D01" w:rsidRDefault="00940B52" w:rsidP="00BA7F4F">
            <w:pPr>
              <w:pStyle w:val="TableText"/>
            </w:pPr>
            <w:r w:rsidRPr="00AD1D01">
              <w:t>0.00</w:t>
            </w:r>
            <w:r w:rsidR="00E62F45">
              <w:t>0</w:t>
            </w:r>
            <w:r>
              <w:t>5 – occupational</w:t>
            </w:r>
          </w:p>
        </w:tc>
        <w:tc>
          <w:tcPr>
            <w:tcW w:w="2015" w:type="pct"/>
            <w:vMerge/>
            <w:tcBorders>
              <w:left w:val="nil"/>
              <w:right w:val="nil"/>
            </w:tcBorders>
          </w:tcPr>
          <w:p w14:paraId="42EB1F0A" w14:textId="77777777" w:rsidR="00940B52" w:rsidRPr="00AD1D01" w:rsidRDefault="00940B52" w:rsidP="007C37F2">
            <w:pPr>
              <w:spacing w:after="0"/>
              <w:rPr>
                <w:b/>
                <w:bCs/>
                <w:i/>
                <w:iCs/>
              </w:rPr>
            </w:pPr>
          </w:p>
        </w:tc>
      </w:tr>
      <w:tr w:rsidR="00940B52" w:rsidRPr="00AD1D01" w14:paraId="65820426" w14:textId="77777777" w:rsidTr="007F331A">
        <w:trPr>
          <w:cantSplit/>
          <w:trHeight w:hRule="exact" w:val="397"/>
          <w:tblHeader/>
        </w:trPr>
        <w:tc>
          <w:tcPr>
            <w:tcW w:w="1177" w:type="pct"/>
            <w:vMerge/>
            <w:tcBorders>
              <w:left w:val="nil"/>
              <w:right w:val="nil"/>
            </w:tcBorders>
            <w:vAlign w:val="center"/>
          </w:tcPr>
          <w:p w14:paraId="32C91B50" w14:textId="77777777" w:rsidR="00940B52" w:rsidRPr="00AD1D01" w:rsidRDefault="00940B52" w:rsidP="00BA7F4F">
            <w:pPr>
              <w:pStyle w:val="TableText"/>
            </w:pPr>
          </w:p>
        </w:tc>
        <w:tc>
          <w:tcPr>
            <w:tcW w:w="1808" w:type="pct"/>
            <w:tcBorders>
              <w:left w:val="nil"/>
              <w:bottom w:val="single" w:sz="4" w:space="0" w:color="auto"/>
              <w:right w:val="nil"/>
            </w:tcBorders>
            <w:vAlign w:val="center"/>
          </w:tcPr>
          <w:p w14:paraId="6829A1DA" w14:textId="370B5C7D" w:rsidR="00940B52" w:rsidRPr="00AD1D01" w:rsidRDefault="00940B52" w:rsidP="00BA7F4F">
            <w:pPr>
              <w:pStyle w:val="TableText"/>
            </w:pPr>
            <w:r>
              <w:t>0.002 – non-professional</w:t>
            </w:r>
          </w:p>
        </w:tc>
        <w:tc>
          <w:tcPr>
            <w:tcW w:w="2015" w:type="pct"/>
            <w:vMerge/>
            <w:tcBorders>
              <w:left w:val="nil"/>
              <w:right w:val="nil"/>
            </w:tcBorders>
          </w:tcPr>
          <w:p w14:paraId="20332793" w14:textId="77777777" w:rsidR="00940B52" w:rsidRPr="00AD1D01" w:rsidRDefault="00940B52" w:rsidP="007C37F2">
            <w:pPr>
              <w:spacing w:after="0"/>
              <w:rPr>
                <w:b/>
                <w:bCs/>
                <w:i/>
                <w:iCs/>
              </w:rPr>
            </w:pPr>
          </w:p>
        </w:tc>
      </w:tr>
      <w:tr w:rsidR="00310AF4" w:rsidRPr="00AD1D01" w14:paraId="182226EA" w14:textId="77777777" w:rsidTr="007F331A">
        <w:trPr>
          <w:cantSplit/>
          <w:trHeight w:hRule="exact" w:val="397"/>
          <w:tblHeader/>
        </w:trPr>
        <w:tc>
          <w:tcPr>
            <w:tcW w:w="1177" w:type="pct"/>
            <w:tcBorders>
              <w:left w:val="nil"/>
              <w:right w:val="nil"/>
            </w:tcBorders>
            <w:vAlign w:val="center"/>
          </w:tcPr>
          <w:p w14:paraId="5445A5E4" w14:textId="77777777" w:rsidR="00607CB8" w:rsidRPr="005C1ABE" w:rsidRDefault="00607CB8" w:rsidP="00BA7F4F">
            <w:pPr>
              <w:pStyle w:val="TableText"/>
            </w:pPr>
            <w:r w:rsidRPr="005C1ABE">
              <w:t>Difenacoum</w:t>
            </w:r>
          </w:p>
        </w:tc>
        <w:tc>
          <w:tcPr>
            <w:tcW w:w="1808" w:type="pct"/>
            <w:tcBorders>
              <w:left w:val="nil"/>
              <w:right w:val="nil"/>
            </w:tcBorders>
            <w:vAlign w:val="center"/>
          </w:tcPr>
          <w:p w14:paraId="0EFA0D1F" w14:textId="77777777" w:rsidR="00607CB8" w:rsidRPr="005C1ABE" w:rsidRDefault="00607CB8" w:rsidP="00BA7F4F">
            <w:pPr>
              <w:pStyle w:val="TableText"/>
            </w:pPr>
            <w:r w:rsidRPr="005C1ABE">
              <w:t>0.001</w:t>
            </w:r>
          </w:p>
        </w:tc>
        <w:tc>
          <w:tcPr>
            <w:tcW w:w="2015" w:type="pct"/>
            <w:vMerge/>
            <w:tcBorders>
              <w:left w:val="nil"/>
              <w:right w:val="nil"/>
            </w:tcBorders>
          </w:tcPr>
          <w:p w14:paraId="29D62A51" w14:textId="77777777" w:rsidR="00607CB8" w:rsidRPr="00AD1D01" w:rsidRDefault="00607CB8" w:rsidP="007C37F2">
            <w:pPr>
              <w:spacing w:after="0"/>
              <w:rPr>
                <w:b/>
                <w:bCs/>
                <w:i/>
                <w:iCs/>
              </w:rPr>
            </w:pPr>
          </w:p>
        </w:tc>
      </w:tr>
      <w:tr w:rsidR="00607CB8" w:rsidRPr="00AD1D01" w14:paraId="1C0CE64B" w14:textId="77777777" w:rsidTr="007F331A">
        <w:trPr>
          <w:cantSplit/>
          <w:trHeight w:hRule="exact" w:val="397"/>
          <w:tblHeader/>
        </w:trPr>
        <w:tc>
          <w:tcPr>
            <w:tcW w:w="1177" w:type="pct"/>
            <w:tcBorders>
              <w:left w:val="nil"/>
              <w:right w:val="nil"/>
            </w:tcBorders>
            <w:vAlign w:val="center"/>
          </w:tcPr>
          <w:p w14:paraId="713BAF67" w14:textId="77777777" w:rsidR="00607CB8" w:rsidRPr="00AD1D01" w:rsidRDefault="00607CB8" w:rsidP="00BA7F4F">
            <w:pPr>
              <w:pStyle w:val="TableText"/>
            </w:pPr>
            <w:r w:rsidRPr="00AD1D01">
              <w:t>Difethialone</w:t>
            </w:r>
          </w:p>
        </w:tc>
        <w:tc>
          <w:tcPr>
            <w:tcW w:w="1808" w:type="pct"/>
            <w:tcBorders>
              <w:left w:val="nil"/>
              <w:right w:val="nil"/>
            </w:tcBorders>
            <w:vAlign w:val="center"/>
          </w:tcPr>
          <w:p w14:paraId="19C4FECD" w14:textId="77777777" w:rsidR="00607CB8" w:rsidRPr="00AD1D01" w:rsidRDefault="00607CB8" w:rsidP="00BA7F4F">
            <w:pPr>
              <w:pStyle w:val="TableText"/>
            </w:pPr>
            <w:r w:rsidRPr="00AD1D01">
              <w:t>0.00</w:t>
            </w:r>
            <w:r>
              <w:t>125</w:t>
            </w:r>
          </w:p>
        </w:tc>
        <w:tc>
          <w:tcPr>
            <w:tcW w:w="2015" w:type="pct"/>
            <w:vMerge/>
            <w:tcBorders>
              <w:left w:val="nil"/>
              <w:right w:val="nil"/>
            </w:tcBorders>
          </w:tcPr>
          <w:p w14:paraId="356FC608" w14:textId="77777777" w:rsidR="00607CB8" w:rsidRPr="00AD1D01" w:rsidRDefault="00607CB8" w:rsidP="007C37F2">
            <w:pPr>
              <w:spacing w:after="0"/>
              <w:rPr>
                <w:b/>
                <w:bCs/>
                <w:i/>
                <w:iCs/>
              </w:rPr>
            </w:pPr>
          </w:p>
        </w:tc>
      </w:tr>
      <w:tr w:rsidR="00607CB8" w:rsidRPr="00AD1D01" w14:paraId="4DAA31E5" w14:textId="77777777" w:rsidTr="007F331A">
        <w:trPr>
          <w:cantSplit/>
          <w:trHeight w:hRule="exact" w:val="397"/>
          <w:tblHeader/>
        </w:trPr>
        <w:tc>
          <w:tcPr>
            <w:tcW w:w="1177" w:type="pct"/>
            <w:tcBorders>
              <w:left w:val="nil"/>
              <w:right w:val="nil"/>
            </w:tcBorders>
            <w:vAlign w:val="center"/>
          </w:tcPr>
          <w:p w14:paraId="35EB865E" w14:textId="77777777" w:rsidR="00607CB8" w:rsidRPr="00AD1D01" w:rsidRDefault="00607CB8" w:rsidP="00BA7F4F">
            <w:pPr>
              <w:pStyle w:val="TableText"/>
            </w:pPr>
            <w:r w:rsidRPr="00AD1D01">
              <w:t>Flocoumafen</w:t>
            </w:r>
          </w:p>
        </w:tc>
        <w:tc>
          <w:tcPr>
            <w:tcW w:w="1808" w:type="pct"/>
            <w:tcBorders>
              <w:left w:val="nil"/>
              <w:right w:val="nil"/>
            </w:tcBorders>
            <w:vAlign w:val="center"/>
          </w:tcPr>
          <w:p w14:paraId="278E83B0" w14:textId="77777777" w:rsidR="00607CB8" w:rsidRPr="00AD1D01" w:rsidRDefault="00607CB8" w:rsidP="00BA7F4F">
            <w:pPr>
              <w:pStyle w:val="TableText"/>
            </w:pPr>
            <w:r w:rsidRPr="00F616C6">
              <w:t>0.0014</w:t>
            </w:r>
          </w:p>
        </w:tc>
        <w:tc>
          <w:tcPr>
            <w:tcW w:w="2015" w:type="pct"/>
            <w:vMerge/>
            <w:tcBorders>
              <w:left w:val="nil"/>
              <w:right w:val="nil"/>
            </w:tcBorders>
          </w:tcPr>
          <w:p w14:paraId="215ED1FA" w14:textId="77777777" w:rsidR="00607CB8" w:rsidRPr="00AD1D01" w:rsidRDefault="00607CB8" w:rsidP="007C37F2">
            <w:pPr>
              <w:spacing w:after="0"/>
              <w:rPr>
                <w:b/>
                <w:bCs/>
                <w:i/>
                <w:iCs/>
              </w:rPr>
            </w:pPr>
          </w:p>
        </w:tc>
      </w:tr>
      <w:tr w:rsidR="00607CB8" w:rsidRPr="00B8442D" w14:paraId="132A4812" w14:textId="77777777" w:rsidTr="0017134F">
        <w:trPr>
          <w:cantSplit/>
          <w:tblHeader/>
        </w:trPr>
        <w:tc>
          <w:tcPr>
            <w:tcW w:w="2985" w:type="pct"/>
            <w:gridSpan w:val="2"/>
            <w:tcBorders>
              <w:bottom w:val="single" w:sz="4" w:space="0" w:color="auto"/>
            </w:tcBorders>
            <w:shd w:val="clear" w:color="auto" w:fill="53284F"/>
          </w:tcPr>
          <w:p w14:paraId="15490260" w14:textId="77777777" w:rsidR="00607CB8" w:rsidRPr="00B8442D" w:rsidRDefault="00607CB8" w:rsidP="00BA7F4F">
            <w:pPr>
              <w:pStyle w:val="TableHead"/>
            </w:pPr>
            <w:r w:rsidRPr="00B8442D">
              <w:t>Parameter</w:t>
            </w:r>
          </w:p>
        </w:tc>
        <w:tc>
          <w:tcPr>
            <w:tcW w:w="2015" w:type="pct"/>
            <w:tcBorders>
              <w:bottom w:val="single" w:sz="4" w:space="0" w:color="auto"/>
            </w:tcBorders>
            <w:shd w:val="clear" w:color="auto" w:fill="53284F"/>
          </w:tcPr>
          <w:p w14:paraId="2CECCABC" w14:textId="77777777" w:rsidR="00607CB8" w:rsidRPr="00B8442D" w:rsidRDefault="00607CB8" w:rsidP="00BA7F4F">
            <w:pPr>
              <w:pStyle w:val="TableHead"/>
            </w:pPr>
            <w:r w:rsidRPr="00B8442D">
              <w:t>Value(s)</w:t>
            </w:r>
          </w:p>
        </w:tc>
      </w:tr>
      <w:tr w:rsidR="00607CB8" w:rsidRPr="00B8442D" w14:paraId="4C9F8580" w14:textId="77777777" w:rsidTr="007F331A">
        <w:trPr>
          <w:cantSplit/>
          <w:tblHeader/>
        </w:trPr>
        <w:tc>
          <w:tcPr>
            <w:tcW w:w="2985" w:type="pct"/>
            <w:gridSpan w:val="2"/>
            <w:tcBorders>
              <w:left w:val="nil"/>
              <w:right w:val="nil"/>
            </w:tcBorders>
          </w:tcPr>
          <w:p w14:paraId="581B8FBD" w14:textId="77777777" w:rsidR="00607CB8" w:rsidRPr="00B8442D" w:rsidRDefault="00607CB8" w:rsidP="00BA7F4F">
            <w:pPr>
              <w:pStyle w:val="TableText"/>
            </w:pPr>
            <w:r w:rsidRPr="00B8442D">
              <w:t>Acceptable margin of exposure (MOE)</w:t>
            </w:r>
            <w:r>
              <w:t xml:space="preserve"> - occupational</w:t>
            </w:r>
          </w:p>
        </w:tc>
        <w:tc>
          <w:tcPr>
            <w:tcW w:w="2015" w:type="pct"/>
            <w:tcBorders>
              <w:left w:val="nil"/>
              <w:right w:val="nil"/>
            </w:tcBorders>
          </w:tcPr>
          <w:p w14:paraId="34661E27" w14:textId="77777777" w:rsidR="00607CB8" w:rsidRPr="00B8442D" w:rsidRDefault="00607CB8" w:rsidP="00BA7F4F">
            <w:pPr>
              <w:pStyle w:val="TableText"/>
            </w:pPr>
            <w:r>
              <w:t>10</w:t>
            </w:r>
            <w:r w:rsidRPr="00B8442D">
              <w:t>00*</w:t>
            </w:r>
          </w:p>
        </w:tc>
      </w:tr>
      <w:tr w:rsidR="00607CB8" w:rsidRPr="00B8442D" w14:paraId="3711618F" w14:textId="77777777" w:rsidTr="007F331A">
        <w:trPr>
          <w:cantSplit/>
          <w:tblHeader/>
        </w:trPr>
        <w:tc>
          <w:tcPr>
            <w:tcW w:w="2985" w:type="pct"/>
            <w:gridSpan w:val="2"/>
            <w:tcBorders>
              <w:left w:val="nil"/>
              <w:right w:val="nil"/>
            </w:tcBorders>
          </w:tcPr>
          <w:p w14:paraId="1ED15658" w14:textId="1C6DE1D1" w:rsidR="00607CB8" w:rsidRPr="00B8442D" w:rsidRDefault="00607CB8" w:rsidP="00BA7F4F">
            <w:pPr>
              <w:pStyle w:val="TableText"/>
            </w:pPr>
            <w:r w:rsidRPr="00B8442D">
              <w:t>Acceptable margin of exposure (MOE)</w:t>
            </w:r>
            <w:r>
              <w:t xml:space="preserve"> - </w:t>
            </w:r>
            <w:r w:rsidR="00940B52">
              <w:t>non-professional</w:t>
            </w:r>
          </w:p>
        </w:tc>
        <w:tc>
          <w:tcPr>
            <w:tcW w:w="2015" w:type="pct"/>
            <w:tcBorders>
              <w:left w:val="nil"/>
              <w:right w:val="nil"/>
            </w:tcBorders>
          </w:tcPr>
          <w:p w14:paraId="5FEA3573" w14:textId="77777777" w:rsidR="00607CB8" w:rsidRDefault="00607CB8" w:rsidP="00BA7F4F">
            <w:pPr>
              <w:pStyle w:val="TableText"/>
            </w:pPr>
            <w:r>
              <w:t>3</w:t>
            </w:r>
            <w:r w:rsidRPr="00B8442D">
              <w:t>00*</w:t>
            </w:r>
          </w:p>
        </w:tc>
      </w:tr>
      <w:tr w:rsidR="00607CB8" w:rsidRPr="00B8442D" w14:paraId="22EF1A4B" w14:textId="77777777" w:rsidTr="007F331A">
        <w:trPr>
          <w:cantSplit/>
          <w:tblHeader/>
        </w:trPr>
        <w:tc>
          <w:tcPr>
            <w:tcW w:w="2985" w:type="pct"/>
            <w:gridSpan w:val="2"/>
            <w:tcBorders>
              <w:left w:val="nil"/>
              <w:right w:val="nil"/>
            </w:tcBorders>
          </w:tcPr>
          <w:p w14:paraId="30D86A31" w14:textId="77777777" w:rsidR="00607CB8" w:rsidRPr="00B8442D" w:rsidRDefault="00607CB8" w:rsidP="00BA7F4F">
            <w:pPr>
              <w:pStyle w:val="TableText"/>
            </w:pPr>
            <w:r w:rsidRPr="00B8442D">
              <w:t>Body weight (adult)</w:t>
            </w:r>
          </w:p>
        </w:tc>
        <w:tc>
          <w:tcPr>
            <w:tcW w:w="2015" w:type="pct"/>
            <w:tcBorders>
              <w:left w:val="nil"/>
              <w:right w:val="nil"/>
            </w:tcBorders>
          </w:tcPr>
          <w:p w14:paraId="796E98F6" w14:textId="77777777" w:rsidR="00607CB8" w:rsidRPr="00B8442D" w:rsidRDefault="00607CB8" w:rsidP="00BA7F4F">
            <w:pPr>
              <w:pStyle w:val="TableText"/>
            </w:pPr>
            <w:r w:rsidRPr="00B8442D">
              <w:t>80 kg</w:t>
            </w:r>
          </w:p>
        </w:tc>
      </w:tr>
      <w:tr w:rsidR="00607CB8" w:rsidRPr="00B8442D" w14:paraId="195D4803" w14:textId="77777777" w:rsidTr="007F331A">
        <w:trPr>
          <w:cantSplit/>
          <w:tblHeader/>
        </w:trPr>
        <w:tc>
          <w:tcPr>
            <w:tcW w:w="2985" w:type="pct"/>
            <w:gridSpan w:val="2"/>
            <w:tcBorders>
              <w:left w:val="nil"/>
              <w:right w:val="nil"/>
            </w:tcBorders>
          </w:tcPr>
          <w:p w14:paraId="49D06BB7" w14:textId="77777777" w:rsidR="00607CB8" w:rsidRPr="00B8442D" w:rsidRDefault="00607CB8" w:rsidP="00BA7F4F">
            <w:pPr>
              <w:pStyle w:val="TableText"/>
            </w:pPr>
            <w:r w:rsidRPr="00B8442D">
              <w:t>Dermal absorption factor</w:t>
            </w:r>
          </w:p>
        </w:tc>
        <w:tc>
          <w:tcPr>
            <w:tcW w:w="2015" w:type="pct"/>
            <w:tcBorders>
              <w:left w:val="nil"/>
              <w:right w:val="nil"/>
            </w:tcBorders>
          </w:tcPr>
          <w:p w14:paraId="5BC1155C" w14:textId="77777777" w:rsidR="00607CB8" w:rsidRPr="00B8442D" w:rsidRDefault="00607CB8" w:rsidP="00BA7F4F">
            <w:pPr>
              <w:pStyle w:val="TableText"/>
            </w:pPr>
            <w:r w:rsidRPr="00B8442D">
              <w:t>10% (fraction 0.1)</w:t>
            </w:r>
          </w:p>
        </w:tc>
      </w:tr>
      <w:tr w:rsidR="00607CB8" w:rsidRPr="00B8442D" w14:paraId="3E74930C" w14:textId="77777777" w:rsidTr="007F331A">
        <w:trPr>
          <w:cantSplit/>
          <w:tblHeader/>
        </w:trPr>
        <w:tc>
          <w:tcPr>
            <w:tcW w:w="2985" w:type="pct"/>
            <w:gridSpan w:val="2"/>
            <w:tcBorders>
              <w:left w:val="nil"/>
              <w:right w:val="nil"/>
            </w:tcBorders>
          </w:tcPr>
          <w:p w14:paraId="2AA0498C" w14:textId="77777777" w:rsidR="00607CB8" w:rsidRPr="00B8442D" w:rsidRDefault="00607CB8" w:rsidP="00BA7F4F">
            <w:pPr>
              <w:pStyle w:val="TableText"/>
            </w:pPr>
            <w:r w:rsidRPr="00B8442D">
              <w:t>Inhalation absorption factor</w:t>
            </w:r>
          </w:p>
        </w:tc>
        <w:tc>
          <w:tcPr>
            <w:tcW w:w="2015" w:type="pct"/>
            <w:tcBorders>
              <w:left w:val="nil"/>
              <w:right w:val="nil"/>
            </w:tcBorders>
          </w:tcPr>
          <w:p w14:paraId="62324B03" w14:textId="77777777" w:rsidR="00607CB8" w:rsidRPr="00B8442D" w:rsidRDefault="00607CB8" w:rsidP="00BA7F4F">
            <w:pPr>
              <w:pStyle w:val="TableText"/>
            </w:pPr>
            <w:r w:rsidRPr="00B8442D">
              <w:t>100% (fraction 1)</w:t>
            </w:r>
          </w:p>
        </w:tc>
      </w:tr>
      <w:tr w:rsidR="00607CB8" w:rsidRPr="00B8442D" w14:paraId="5241AA83" w14:textId="77777777" w:rsidTr="007F331A">
        <w:trPr>
          <w:cantSplit/>
          <w:tblHeader/>
        </w:trPr>
        <w:tc>
          <w:tcPr>
            <w:tcW w:w="2985" w:type="pct"/>
            <w:gridSpan w:val="2"/>
            <w:tcBorders>
              <w:left w:val="nil"/>
              <w:right w:val="nil"/>
            </w:tcBorders>
          </w:tcPr>
          <w:p w14:paraId="193A0ED9" w14:textId="77777777" w:rsidR="00607CB8" w:rsidRPr="00B8442D" w:rsidRDefault="00607CB8" w:rsidP="00BA7F4F">
            <w:pPr>
              <w:pStyle w:val="TableText"/>
            </w:pPr>
            <w:r w:rsidRPr="00B8442D">
              <w:t>Number of bait stations for rats</w:t>
            </w:r>
            <w:r>
              <w:t>/mice</w:t>
            </w:r>
            <w:r w:rsidRPr="00B8442D">
              <w:t xml:space="preserve"> </w:t>
            </w:r>
            <w:r>
              <w:t>loaded</w:t>
            </w:r>
            <w:r w:rsidRPr="00B8442D">
              <w:t xml:space="preserve"> per day</w:t>
            </w:r>
          </w:p>
        </w:tc>
        <w:tc>
          <w:tcPr>
            <w:tcW w:w="2015" w:type="pct"/>
            <w:tcBorders>
              <w:left w:val="nil"/>
              <w:right w:val="nil"/>
            </w:tcBorders>
          </w:tcPr>
          <w:p w14:paraId="63586C5A" w14:textId="77777777" w:rsidR="00607CB8" w:rsidRPr="00D91CA8" w:rsidRDefault="00607CB8" w:rsidP="00BA7F4F">
            <w:pPr>
              <w:pStyle w:val="TableText"/>
            </w:pPr>
            <w:r>
              <w:t>3 (non-professional); 30 (professional)</w:t>
            </w:r>
          </w:p>
        </w:tc>
      </w:tr>
      <w:tr w:rsidR="00607CB8" w:rsidRPr="00B8442D" w14:paraId="7E3F6128" w14:textId="77777777" w:rsidTr="007F331A">
        <w:trPr>
          <w:cantSplit/>
          <w:tblHeader/>
        </w:trPr>
        <w:tc>
          <w:tcPr>
            <w:tcW w:w="2985" w:type="pct"/>
            <w:gridSpan w:val="2"/>
            <w:tcBorders>
              <w:left w:val="nil"/>
              <w:right w:val="nil"/>
            </w:tcBorders>
            <w:vAlign w:val="center"/>
          </w:tcPr>
          <w:p w14:paraId="3C373A0F" w14:textId="77777777" w:rsidR="00607CB8" w:rsidRPr="004A30E0" w:rsidRDefault="00607CB8" w:rsidP="00BA7F4F">
            <w:pPr>
              <w:pStyle w:val="TableText"/>
            </w:pPr>
            <w:r w:rsidRPr="004A30E0">
              <w:t xml:space="preserve">Area treated </w:t>
            </w:r>
            <w:r w:rsidRPr="00C54586">
              <w:t>(professional</w:t>
            </w:r>
            <w:r w:rsidRPr="004A30E0">
              <w:t xml:space="preserve"> users</w:t>
            </w:r>
            <w:r>
              <w:t xml:space="preserve"> - loose bait</w:t>
            </w:r>
            <w:r w:rsidRPr="004A30E0">
              <w:t>)</w:t>
            </w:r>
          </w:p>
        </w:tc>
        <w:tc>
          <w:tcPr>
            <w:tcW w:w="2015" w:type="pct"/>
            <w:tcBorders>
              <w:left w:val="nil"/>
              <w:right w:val="nil"/>
            </w:tcBorders>
            <w:vAlign w:val="center"/>
          </w:tcPr>
          <w:p w14:paraId="2DBB1C74" w14:textId="77777777" w:rsidR="00607CB8" w:rsidRDefault="00607CB8" w:rsidP="00BA7F4F">
            <w:pPr>
              <w:pStyle w:val="TableText"/>
            </w:pPr>
            <w:r>
              <w:t>930 m</w:t>
            </w:r>
            <w:r w:rsidRPr="00D97627">
              <w:rPr>
                <w:vertAlign w:val="superscript"/>
              </w:rPr>
              <w:t>2</w:t>
            </w:r>
            <w:r>
              <w:rPr>
                <w:vertAlign w:val="superscript"/>
              </w:rPr>
              <w:t xml:space="preserve"> </w:t>
            </w:r>
            <w:r>
              <w:t>(default value of US</w:t>
            </w:r>
            <w:r w:rsidRPr="00D97627">
              <w:t xml:space="preserve"> </w:t>
            </w:r>
            <w:r>
              <w:t>OPHEC)</w:t>
            </w:r>
          </w:p>
        </w:tc>
      </w:tr>
      <w:tr w:rsidR="00607CB8" w:rsidRPr="00B8442D" w14:paraId="2269B8EC" w14:textId="77777777" w:rsidTr="007F331A">
        <w:trPr>
          <w:cantSplit/>
          <w:tblHeader/>
        </w:trPr>
        <w:tc>
          <w:tcPr>
            <w:tcW w:w="2985" w:type="pct"/>
            <w:gridSpan w:val="2"/>
            <w:tcBorders>
              <w:left w:val="nil"/>
              <w:right w:val="nil"/>
            </w:tcBorders>
            <w:vAlign w:val="center"/>
          </w:tcPr>
          <w:p w14:paraId="607F459F" w14:textId="77777777" w:rsidR="00607CB8" w:rsidRPr="00D97627" w:rsidRDefault="00607CB8" w:rsidP="00BA7F4F">
            <w:pPr>
              <w:pStyle w:val="TableText"/>
              <w:rPr>
                <w:rFonts w:eastAsia="Calibri"/>
              </w:rPr>
            </w:pPr>
            <w:r w:rsidRPr="004A30E0">
              <w:t>Area treated (</w:t>
            </w:r>
            <w:r>
              <w:t>n</w:t>
            </w:r>
            <w:r w:rsidRPr="004A30E0">
              <w:t>on-professional users</w:t>
            </w:r>
            <w:r>
              <w:t xml:space="preserve"> - pellets</w:t>
            </w:r>
            <w:r w:rsidRPr="004A30E0">
              <w:t>)</w:t>
            </w:r>
          </w:p>
        </w:tc>
        <w:tc>
          <w:tcPr>
            <w:tcW w:w="2015" w:type="pct"/>
            <w:tcBorders>
              <w:left w:val="nil"/>
              <w:right w:val="nil"/>
            </w:tcBorders>
            <w:vAlign w:val="center"/>
          </w:tcPr>
          <w:p w14:paraId="0D9EDBFA" w14:textId="26B25D74" w:rsidR="00607CB8" w:rsidRPr="00D97627" w:rsidRDefault="00607CB8" w:rsidP="00BA7F4F">
            <w:pPr>
              <w:pStyle w:val="TableText"/>
            </w:pPr>
            <w:r>
              <w:t>100</w:t>
            </w:r>
            <w:r w:rsidRPr="00D97627">
              <w:t xml:space="preserve"> m</w:t>
            </w:r>
            <w:r w:rsidRPr="0043477C">
              <w:rPr>
                <w:vertAlign w:val="superscript"/>
              </w:rPr>
              <w:t>2</w:t>
            </w:r>
          </w:p>
        </w:tc>
      </w:tr>
    </w:tbl>
    <w:p w14:paraId="4CE80AED" w14:textId="216018CC" w:rsidR="00607CB8" w:rsidRPr="007F331A" w:rsidRDefault="00607CB8" w:rsidP="007F331A">
      <w:pPr>
        <w:pStyle w:val="APVMASourceTableNote"/>
        <w:rPr>
          <w:rStyle w:val="APVMASubscript"/>
          <w:vertAlign w:val="baseline"/>
        </w:rPr>
      </w:pPr>
      <w:r w:rsidRPr="007F331A">
        <w:rPr>
          <w:rStyle w:val="APVMASubscript"/>
          <w:vertAlign w:val="baseline"/>
        </w:rPr>
        <w:t xml:space="preserve">* The acceptable MOE for occupational users is based on a 10-fold uncertainty factor (UF) for inter-species extrapolation, and a 10-fold UF for intra-species differences in susceptibility to effects. An additional uncertainty factor of 10 is applied to account for the lack of chronic toxicity studies in any of the toxicology databases for FGAR and SGAR. For </w:t>
      </w:r>
      <w:r w:rsidR="00940B52" w:rsidRPr="007F331A">
        <w:t>non-professional</w:t>
      </w:r>
      <w:r w:rsidR="00940B52" w:rsidRPr="007F331A" w:rsidDel="00940B52">
        <w:rPr>
          <w:rStyle w:val="APVMASubscript"/>
          <w:vertAlign w:val="baseline"/>
        </w:rPr>
        <w:t xml:space="preserve"> </w:t>
      </w:r>
      <w:r w:rsidRPr="007F331A">
        <w:rPr>
          <w:rStyle w:val="APVMASubscript"/>
          <w:vertAlign w:val="baseline"/>
        </w:rPr>
        <w:t>users, the additional uncertainty factor of 3 is applied as the frequency of use is much more sporadic than occupational users of these products.</w:t>
      </w:r>
    </w:p>
    <w:p w14:paraId="7CF81417" w14:textId="597F6400" w:rsidR="00607CB8" w:rsidRPr="00D514C1" w:rsidRDefault="00607CB8" w:rsidP="00D514C1">
      <w:pPr>
        <w:pStyle w:val="Heading2"/>
      </w:pPr>
      <w:bookmarkStart w:id="1320" w:name="_Toc185345592"/>
      <w:bookmarkStart w:id="1321" w:name="_Toc214025512"/>
      <w:bookmarkStart w:id="1322" w:name="_Toc216695596"/>
      <w:r w:rsidRPr="00D514C1">
        <w:t xml:space="preserve">Risks </w:t>
      </w:r>
      <w:r w:rsidR="00E83C67" w:rsidRPr="00D514C1">
        <w:t xml:space="preserve">associated with </w:t>
      </w:r>
      <w:r w:rsidRPr="00D514C1">
        <w:t xml:space="preserve">using </w:t>
      </w:r>
      <w:r w:rsidR="00E83C67" w:rsidRPr="00D514C1">
        <w:t xml:space="preserve">anticoagulant rodenticide </w:t>
      </w:r>
      <w:r w:rsidRPr="00D514C1">
        <w:t>baits</w:t>
      </w:r>
      <w:bookmarkEnd w:id="1320"/>
      <w:bookmarkEnd w:id="1321"/>
      <w:bookmarkEnd w:id="1322"/>
    </w:p>
    <w:p w14:paraId="5427A912" w14:textId="77777777" w:rsidR="00607CB8" w:rsidRPr="005B1AAF" w:rsidRDefault="00607CB8" w:rsidP="004E54E3">
      <w:pPr>
        <w:pStyle w:val="Heading3"/>
      </w:pPr>
      <w:bookmarkStart w:id="1323" w:name="_Toc214025513"/>
      <w:bookmarkStart w:id="1324" w:name="_Toc216695597"/>
      <w:r>
        <w:t>Profess</w:t>
      </w:r>
      <w:r w:rsidRPr="005B1AAF">
        <w:t>ional users</w:t>
      </w:r>
      <w:bookmarkEnd w:id="1323"/>
      <w:bookmarkEnd w:id="1324"/>
    </w:p>
    <w:p w14:paraId="5BADAB41" w14:textId="7CDC47F0" w:rsidR="00BD1774" w:rsidRDefault="00E83C67" w:rsidP="00377F3A">
      <w:pPr>
        <w:pStyle w:val="NormalText"/>
      </w:pPr>
      <w:r>
        <w:t>T</w:t>
      </w:r>
      <w:r w:rsidR="00BD1774">
        <w:t>he principal exposure routes for professional users of anticoagulant rodenticides will occur via the dermal route during bait placement, loading, refilling, rehandling</w:t>
      </w:r>
      <w:r w:rsidR="00C15CED">
        <w:t>,</w:t>
      </w:r>
      <w:r w:rsidR="00BD1774">
        <w:t xml:space="preserve"> including </w:t>
      </w:r>
      <w:r w:rsidR="00C15CED">
        <w:t xml:space="preserve">during </w:t>
      </w:r>
      <w:r w:rsidR="00BD1774">
        <w:t xml:space="preserve">removal of carcasses, </w:t>
      </w:r>
      <w:r w:rsidR="00C15CED">
        <w:t xml:space="preserve">and </w:t>
      </w:r>
      <w:r w:rsidR="00BD1774">
        <w:t xml:space="preserve">cleanup and removal of used bait stations. </w:t>
      </w:r>
      <w:r w:rsidR="00BD1774" w:rsidRPr="006B30E8">
        <w:t>Minor or accidental oral or inhalation exposure may also occur.</w:t>
      </w:r>
    </w:p>
    <w:p w14:paraId="2AC8C43B" w14:textId="020506E7" w:rsidR="00607CB8" w:rsidRDefault="00BD1774" w:rsidP="00377F3A">
      <w:pPr>
        <w:pStyle w:val="NormalText"/>
        <w:rPr>
          <w:lang w:eastAsia="en-AU"/>
        </w:rPr>
      </w:pPr>
      <w:r>
        <w:rPr>
          <w:rFonts w:eastAsia="Calibri"/>
          <w:color w:val="353735" w:themeColor="text1"/>
        </w:rPr>
        <w:lastRenderedPageBreak/>
        <w:t>T</w:t>
      </w:r>
      <w:r w:rsidR="00607CB8" w:rsidRPr="006B30E8">
        <w:rPr>
          <w:rFonts w:eastAsia="Calibri"/>
          <w:color w:val="353735" w:themeColor="text1"/>
        </w:rPr>
        <w:t xml:space="preserve">he </w:t>
      </w:r>
      <w:r w:rsidR="00607CB8" w:rsidRPr="006B30E8">
        <w:t>US EPA Occupational Pesticide Handler Exposure Calculator (OPHEC)</w:t>
      </w:r>
      <w:r w:rsidR="00607CB8" w:rsidRPr="006B30E8">
        <w:rPr>
          <w:rFonts w:eastAsia="Calibri"/>
          <w:color w:val="353735" w:themeColor="text1"/>
        </w:rPr>
        <w:t xml:space="preserve"> was used to estimate worker exposure during </w:t>
      </w:r>
      <w:r w:rsidRPr="006B30E8">
        <w:rPr>
          <w:rFonts w:eastAsia="Calibri"/>
          <w:color w:val="353735" w:themeColor="text1"/>
        </w:rPr>
        <w:t xml:space="preserve">FGAR and SGAR </w:t>
      </w:r>
      <w:r w:rsidR="00607CB8" w:rsidRPr="006B30E8">
        <w:rPr>
          <w:rFonts w:eastAsia="Calibri"/>
          <w:color w:val="353735" w:themeColor="text1"/>
        </w:rPr>
        <w:t>product application</w:t>
      </w:r>
      <w:r>
        <w:rPr>
          <w:rFonts w:eastAsia="Calibri"/>
          <w:color w:val="353735" w:themeColor="text1"/>
        </w:rPr>
        <w:t xml:space="preserve"> modelling </w:t>
      </w:r>
      <w:r w:rsidR="00607CB8">
        <w:rPr>
          <w:rFonts w:eastAsia="Calibri"/>
          <w:color w:val="353735" w:themeColor="text1"/>
        </w:rPr>
        <w:t xml:space="preserve">loose baits </w:t>
      </w:r>
      <w:r w:rsidR="00607CB8" w:rsidRPr="006B30E8">
        <w:rPr>
          <w:rFonts w:eastAsia="Calibri"/>
          <w:color w:val="353735" w:themeColor="text1"/>
        </w:rPr>
        <w:t xml:space="preserve">or refill </w:t>
      </w:r>
      <w:r>
        <w:rPr>
          <w:rFonts w:eastAsia="Calibri"/>
          <w:color w:val="353735" w:themeColor="text1"/>
        </w:rPr>
        <w:t xml:space="preserve">of </w:t>
      </w:r>
      <w:r w:rsidR="00607CB8" w:rsidRPr="006B30E8">
        <w:rPr>
          <w:rFonts w:eastAsia="Calibri"/>
          <w:color w:val="353735" w:themeColor="text1"/>
        </w:rPr>
        <w:t>trap</w:t>
      </w:r>
      <w:r w:rsidR="00607CB8">
        <w:rPr>
          <w:rFonts w:eastAsia="Calibri"/>
          <w:color w:val="353735" w:themeColor="text1"/>
        </w:rPr>
        <w:t>s</w:t>
      </w:r>
      <w:r w:rsidR="00607CB8" w:rsidRPr="006B30E8">
        <w:rPr>
          <w:rFonts w:eastAsia="Calibri"/>
          <w:color w:val="353735" w:themeColor="text1"/>
        </w:rPr>
        <w:t>/bait stations.</w:t>
      </w:r>
      <w:r>
        <w:rPr>
          <w:rFonts w:eastAsia="Calibri"/>
          <w:color w:val="353735" w:themeColor="text1"/>
        </w:rPr>
        <w:t xml:space="preserve"> D</w:t>
      </w:r>
      <w:r w:rsidR="00607CB8" w:rsidRPr="006B30E8">
        <w:rPr>
          <w:rFonts w:eastAsia="Calibri"/>
          <w:color w:val="353735" w:themeColor="text1"/>
        </w:rPr>
        <w:t xml:space="preserve">ue to </w:t>
      </w:r>
      <w:r>
        <w:rPr>
          <w:rFonts w:eastAsia="Calibri"/>
          <w:color w:val="353735" w:themeColor="text1"/>
        </w:rPr>
        <w:t>the wide</w:t>
      </w:r>
      <w:r w:rsidR="00607CB8" w:rsidRPr="006B30E8">
        <w:rPr>
          <w:rFonts w:eastAsia="Calibri"/>
          <w:color w:val="353735" w:themeColor="text1"/>
        </w:rPr>
        <w:t xml:space="preserve"> range of product application rates</w:t>
      </w:r>
      <w:r>
        <w:rPr>
          <w:rFonts w:eastAsia="Calibri"/>
          <w:color w:val="353735" w:themeColor="text1"/>
        </w:rPr>
        <w:t xml:space="preserve">, </w:t>
      </w:r>
      <w:r w:rsidR="00607CB8" w:rsidRPr="006B30E8">
        <w:rPr>
          <w:rFonts w:eastAsia="Calibri"/>
          <w:color w:val="353735" w:themeColor="text1"/>
        </w:rPr>
        <w:t xml:space="preserve">exposure modelling </w:t>
      </w:r>
      <w:r>
        <w:rPr>
          <w:rFonts w:eastAsia="Calibri"/>
          <w:color w:val="353735" w:themeColor="text1"/>
        </w:rPr>
        <w:t xml:space="preserve">used </w:t>
      </w:r>
      <w:r w:rsidR="00607CB8">
        <w:rPr>
          <w:rFonts w:eastAsia="Calibri"/>
          <w:color w:val="353735" w:themeColor="text1"/>
        </w:rPr>
        <w:t>high</w:t>
      </w:r>
      <w:r w:rsidR="00607CB8" w:rsidRPr="006B30E8">
        <w:rPr>
          <w:rFonts w:eastAsia="Calibri"/>
          <w:color w:val="353735" w:themeColor="text1"/>
        </w:rPr>
        <w:t xml:space="preserve"> application rate</w:t>
      </w:r>
      <w:r w:rsidR="00607CB8">
        <w:rPr>
          <w:rFonts w:eastAsia="Calibri"/>
          <w:color w:val="353735" w:themeColor="text1"/>
        </w:rPr>
        <w:t>s</w:t>
      </w:r>
      <w:r w:rsidR="00607CB8" w:rsidRPr="006B30E8">
        <w:rPr>
          <w:rFonts w:eastAsia="Calibri"/>
          <w:color w:val="353735" w:themeColor="text1"/>
        </w:rPr>
        <w:t xml:space="preserve"> </w:t>
      </w:r>
      <w:r w:rsidR="00607CB8">
        <w:rPr>
          <w:rFonts w:eastAsia="Calibri"/>
          <w:color w:val="353735" w:themeColor="text1"/>
        </w:rPr>
        <w:t>for each</w:t>
      </w:r>
      <w:r w:rsidR="00607CB8" w:rsidRPr="006B30E8">
        <w:rPr>
          <w:rFonts w:eastAsia="Calibri"/>
          <w:color w:val="353735" w:themeColor="text1"/>
        </w:rPr>
        <w:t xml:space="preserve"> active constituent under review.</w:t>
      </w:r>
      <w:bookmarkStart w:id="1325" w:name="_Hlk153801170"/>
    </w:p>
    <w:p w14:paraId="042F905A" w14:textId="3D730300" w:rsidR="00280D4A" w:rsidRDefault="00280D4A" w:rsidP="00BD2F8D">
      <w:pPr>
        <w:pStyle w:val="Caption"/>
      </w:pPr>
      <w:bookmarkStart w:id="1326" w:name="_Toc213946037"/>
      <w:bookmarkStart w:id="1327" w:name="_Toc216695723"/>
      <w:r>
        <w:t xml:space="preserve">Table </w:t>
      </w:r>
      <w:r>
        <w:fldChar w:fldCharType="begin"/>
      </w:r>
      <w:r>
        <w:instrText xml:space="preserve"> SEQ Table \* ARABIC </w:instrText>
      </w:r>
      <w:r>
        <w:fldChar w:fldCharType="separate"/>
      </w:r>
      <w:r w:rsidR="003861AC">
        <w:rPr>
          <w:noProof/>
        </w:rPr>
        <w:t>61</w:t>
      </w:r>
      <w:r>
        <w:fldChar w:fldCharType="end"/>
      </w:r>
      <w:r>
        <w:t xml:space="preserve">: </w:t>
      </w:r>
      <w:r w:rsidRPr="00864F33">
        <w:t>Exposures for professional uses of FGARs using broadcast loose bait products</w:t>
      </w:r>
      <w:bookmarkEnd w:id="1326"/>
      <w:bookmarkEnd w:id="1327"/>
    </w:p>
    <w:tbl>
      <w:tblPr>
        <w:tblStyle w:val="TableGrid"/>
        <w:tblW w:w="5000" w:type="pct"/>
        <w:tblLook w:val="04A0" w:firstRow="1" w:lastRow="0" w:firstColumn="1" w:lastColumn="0" w:noHBand="0" w:noVBand="1"/>
      </w:tblPr>
      <w:tblGrid>
        <w:gridCol w:w="2106"/>
        <w:gridCol w:w="2005"/>
        <w:gridCol w:w="2126"/>
        <w:gridCol w:w="1862"/>
        <w:gridCol w:w="1539"/>
      </w:tblGrid>
      <w:tr w:rsidR="00EB333A" w:rsidRPr="00EB333A" w14:paraId="04E60D0F" w14:textId="77777777" w:rsidTr="0017134F">
        <w:tc>
          <w:tcPr>
            <w:tcW w:w="0" w:type="auto"/>
            <w:tcBorders>
              <w:top w:val="nil"/>
              <w:left w:val="nil"/>
              <w:bottom w:val="nil"/>
              <w:right w:val="nil"/>
            </w:tcBorders>
            <w:shd w:val="clear" w:color="auto" w:fill="53284F"/>
          </w:tcPr>
          <w:p w14:paraId="731CC799" w14:textId="77777777" w:rsidR="00607CB8" w:rsidRPr="00EB333A" w:rsidRDefault="00607CB8" w:rsidP="00BA7F4F">
            <w:pPr>
              <w:pStyle w:val="TableHead"/>
            </w:pPr>
            <w:r w:rsidRPr="00EB333A">
              <w:t>Active constituent</w:t>
            </w:r>
          </w:p>
        </w:tc>
        <w:tc>
          <w:tcPr>
            <w:tcW w:w="1040" w:type="pct"/>
            <w:tcBorders>
              <w:top w:val="nil"/>
              <w:left w:val="nil"/>
              <w:bottom w:val="nil"/>
              <w:right w:val="nil"/>
            </w:tcBorders>
            <w:shd w:val="clear" w:color="auto" w:fill="53284F"/>
          </w:tcPr>
          <w:p w14:paraId="32223351" w14:textId="77777777" w:rsidR="00607CB8" w:rsidRPr="00EB333A" w:rsidRDefault="00607CB8" w:rsidP="00BA7F4F">
            <w:pPr>
              <w:pStyle w:val="TableHead"/>
            </w:pPr>
            <w:r w:rsidRPr="00EB333A">
              <w:t>Application rate</w:t>
            </w:r>
          </w:p>
          <w:p w14:paraId="65177248" w14:textId="2DDAC052" w:rsidR="00607CB8" w:rsidRPr="00EB333A" w:rsidRDefault="00607CB8" w:rsidP="00BA7F4F">
            <w:pPr>
              <w:pStyle w:val="TableHead"/>
            </w:pPr>
            <w:r w:rsidRPr="00EB333A">
              <w:t>(g a</w:t>
            </w:r>
            <w:r w:rsidR="00C874AD">
              <w:t>.</w:t>
            </w:r>
            <w:r w:rsidRPr="00EB333A">
              <w:t>c</w:t>
            </w:r>
            <w:r w:rsidR="00C874AD">
              <w:t>.</w:t>
            </w:r>
            <w:r w:rsidRPr="00EB333A">
              <w:t>/ha)</w:t>
            </w:r>
          </w:p>
        </w:tc>
        <w:tc>
          <w:tcPr>
            <w:tcW w:w="1103" w:type="pct"/>
            <w:tcBorders>
              <w:top w:val="nil"/>
              <w:left w:val="nil"/>
              <w:bottom w:val="nil"/>
              <w:right w:val="nil"/>
            </w:tcBorders>
            <w:shd w:val="clear" w:color="auto" w:fill="53284F"/>
          </w:tcPr>
          <w:p w14:paraId="32AA5482" w14:textId="5AF91A37" w:rsidR="00607CB8" w:rsidRPr="00EB333A" w:rsidRDefault="00607CB8" w:rsidP="00BA7F4F">
            <w:pPr>
              <w:pStyle w:val="TableHead"/>
            </w:pPr>
            <w:r w:rsidRPr="00EB333A">
              <w:t>MOE</w:t>
            </w:r>
            <w:r w:rsidR="00DC118C" w:rsidRPr="00EB333A">
              <w:t xml:space="preserve"> </w:t>
            </w:r>
            <w:r w:rsidRPr="00EB333A">
              <w:t>Hand dispersal</w:t>
            </w:r>
          </w:p>
        </w:tc>
        <w:tc>
          <w:tcPr>
            <w:tcW w:w="966" w:type="pct"/>
            <w:tcBorders>
              <w:top w:val="nil"/>
              <w:left w:val="nil"/>
              <w:bottom w:val="nil"/>
              <w:right w:val="nil"/>
            </w:tcBorders>
            <w:shd w:val="clear" w:color="auto" w:fill="53284F"/>
          </w:tcPr>
          <w:p w14:paraId="7274BDA7" w14:textId="097D123E" w:rsidR="00607CB8" w:rsidRPr="00EB333A" w:rsidRDefault="00607CB8" w:rsidP="00BA7F4F">
            <w:pPr>
              <w:pStyle w:val="TableHead"/>
            </w:pPr>
            <w:r w:rsidRPr="00EB333A">
              <w:t>MOE</w:t>
            </w:r>
            <w:r w:rsidR="00DC118C" w:rsidRPr="00EB333A">
              <w:t xml:space="preserve"> </w:t>
            </w:r>
            <w:r w:rsidRPr="00EB333A">
              <w:t>Using cup</w:t>
            </w:r>
          </w:p>
        </w:tc>
        <w:tc>
          <w:tcPr>
            <w:tcW w:w="0" w:type="auto"/>
            <w:tcBorders>
              <w:top w:val="nil"/>
              <w:left w:val="nil"/>
              <w:bottom w:val="nil"/>
              <w:right w:val="nil"/>
            </w:tcBorders>
            <w:shd w:val="clear" w:color="auto" w:fill="53284F"/>
          </w:tcPr>
          <w:p w14:paraId="039C9E6A" w14:textId="77777777" w:rsidR="00607CB8" w:rsidRPr="00EB333A" w:rsidRDefault="00607CB8" w:rsidP="00BA7F4F">
            <w:pPr>
              <w:pStyle w:val="TableHead"/>
            </w:pPr>
            <w:r w:rsidRPr="00EB333A">
              <w:t>Level of PPE</w:t>
            </w:r>
          </w:p>
        </w:tc>
      </w:tr>
      <w:tr w:rsidR="001D2ED4" w14:paraId="4B7868CC" w14:textId="77777777" w:rsidTr="001D2ED4">
        <w:tc>
          <w:tcPr>
            <w:tcW w:w="0" w:type="auto"/>
            <w:tcBorders>
              <w:top w:val="nil"/>
              <w:left w:val="nil"/>
              <w:bottom w:val="single" w:sz="4" w:space="0" w:color="auto"/>
              <w:right w:val="nil"/>
            </w:tcBorders>
            <w:vAlign w:val="center"/>
          </w:tcPr>
          <w:p w14:paraId="0E02A52F" w14:textId="77777777" w:rsidR="00607CB8" w:rsidRPr="0018458E" w:rsidRDefault="00607CB8" w:rsidP="00BA7F4F">
            <w:pPr>
              <w:pStyle w:val="TableText"/>
            </w:pPr>
            <w:r w:rsidRPr="0018458E">
              <w:t>Coumatetralyl</w:t>
            </w:r>
          </w:p>
        </w:tc>
        <w:tc>
          <w:tcPr>
            <w:tcW w:w="1040" w:type="pct"/>
            <w:tcBorders>
              <w:top w:val="nil"/>
              <w:left w:val="nil"/>
              <w:bottom w:val="single" w:sz="4" w:space="0" w:color="auto"/>
              <w:right w:val="nil"/>
            </w:tcBorders>
            <w:vAlign w:val="center"/>
          </w:tcPr>
          <w:p w14:paraId="1687B77F" w14:textId="77777777" w:rsidR="00607CB8" w:rsidRPr="0018458E" w:rsidRDefault="00607CB8" w:rsidP="00BA7F4F">
            <w:pPr>
              <w:pStyle w:val="TableText"/>
            </w:pPr>
            <w:r>
              <w:t>1.14</w:t>
            </w:r>
          </w:p>
        </w:tc>
        <w:tc>
          <w:tcPr>
            <w:tcW w:w="1103" w:type="pct"/>
            <w:tcBorders>
              <w:top w:val="nil"/>
              <w:left w:val="nil"/>
              <w:bottom w:val="single" w:sz="4" w:space="0" w:color="auto"/>
              <w:right w:val="nil"/>
            </w:tcBorders>
            <w:vAlign w:val="center"/>
          </w:tcPr>
          <w:p w14:paraId="6F97382F" w14:textId="77777777" w:rsidR="00607CB8" w:rsidRPr="0018458E" w:rsidRDefault="00607CB8" w:rsidP="00BA7F4F">
            <w:pPr>
              <w:pStyle w:val="TableText"/>
            </w:pPr>
            <w:r>
              <w:t>310</w:t>
            </w:r>
          </w:p>
        </w:tc>
        <w:tc>
          <w:tcPr>
            <w:tcW w:w="966" w:type="pct"/>
            <w:tcBorders>
              <w:top w:val="nil"/>
              <w:left w:val="nil"/>
              <w:bottom w:val="single" w:sz="4" w:space="0" w:color="auto"/>
              <w:right w:val="nil"/>
            </w:tcBorders>
            <w:vAlign w:val="center"/>
          </w:tcPr>
          <w:p w14:paraId="175353FE" w14:textId="77777777" w:rsidR="00607CB8" w:rsidRDefault="00607CB8" w:rsidP="00BA7F4F">
            <w:pPr>
              <w:pStyle w:val="TableText"/>
            </w:pPr>
            <w:r>
              <w:t>170 000</w:t>
            </w:r>
          </w:p>
        </w:tc>
        <w:tc>
          <w:tcPr>
            <w:tcW w:w="0" w:type="auto"/>
            <w:tcBorders>
              <w:top w:val="nil"/>
              <w:left w:val="nil"/>
              <w:bottom w:val="single" w:sz="4" w:space="0" w:color="auto"/>
              <w:right w:val="nil"/>
            </w:tcBorders>
            <w:vAlign w:val="center"/>
          </w:tcPr>
          <w:p w14:paraId="72CA06EB" w14:textId="77777777" w:rsidR="00607CB8" w:rsidRPr="0018458E" w:rsidRDefault="00607CB8" w:rsidP="00BA7F4F">
            <w:pPr>
              <w:pStyle w:val="TableText"/>
            </w:pPr>
            <w:r>
              <w:t>SL/G</w:t>
            </w:r>
          </w:p>
        </w:tc>
      </w:tr>
      <w:tr w:rsidR="001D2ED4" w14:paraId="03C4300F" w14:textId="77777777" w:rsidTr="001D2ED4">
        <w:tc>
          <w:tcPr>
            <w:tcW w:w="0" w:type="auto"/>
            <w:tcBorders>
              <w:top w:val="single" w:sz="4" w:space="0" w:color="auto"/>
              <w:left w:val="nil"/>
              <w:right w:val="nil"/>
            </w:tcBorders>
            <w:vAlign w:val="center"/>
          </w:tcPr>
          <w:p w14:paraId="655924A9" w14:textId="77777777" w:rsidR="00607CB8" w:rsidRPr="008D041D" w:rsidRDefault="00607CB8" w:rsidP="00BA7F4F">
            <w:pPr>
              <w:pStyle w:val="TableText"/>
            </w:pPr>
            <w:r w:rsidRPr="008D041D">
              <w:t>Diphacinone</w:t>
            </w:r>
          </w:p>
        </w:tc>
        <w:tc>
          <w:tcPr>
            <w:tcW w:w="1040" w:type="pct"/>
            <w:tcBorders>
              <w:top w:val="single" w:sz="4" w:space="0" w:color="auto"/>
              <w:left w:val="nil"/>
              <w:right w:val="nil"/>
            </w:tcBorders>
            <w:vAlign w:val="center"/>
          </w:tcPr>
          <w:p w14:paraId="27E05D55" w14:textId="77777777" w:rsidR="00607CB8" w:rsidRPr="008D041D" w:rsidRDefault="00607CB8" w:rsidP="00BA7F4F">
            <w:pPr>
              <w:pStyle w:val="TableText"/>
            </w:pPr>
            <w:r>
              <w:t>0.68</w:t>
            </w:r>
          </w:p>
        </w:tc>
        <w:tc>
          <w:tcPr>
            <w:tcW w:w="1103" w:type="pct"/>
            <w:tcBorders>
              <w:top w:val="single" w:sz="4" w:space="0" w:color="auto"/>
              <w:left w:val="nil"/>
              <w:right w:val="nil"/>
            </w:tcBorders>
            <w:vAlign w:val="center"/>
          </w:tcPr>
          <w:p w14:paraId="65695BF8" w14:textId="77777777" w:rsidR="00607CB8" w:rsidRPr="008D041D" w:rsidRDefault="00607CB8" w:rsidP="00BA7F4F">
            <w:pPr>
              <w:pStyle w:val="TableText"/>
            </w:pPr>
            <w:r>
              <w:t>520</w:t>
            </w:r>
          </w:p>
        </w:tc>
        <w:tc>
          <w:tcPr>
            <w:tcW w:w="966" w:type="pct"/>
            <w:tcBorders>
              <w:top w:val="single" w:sz="4" w:space="0" w:color="auto"/>
              <w:left w:val="nil"/>
              <w:right w:val="nil"/>
            </w:tcBorders>
            <w:vAlign w:val="center"/>
          </w:tcPr>
          <w:p w14:paraId="15FA2DFC" w14:textId="77777777" w:rsidR="00607CB8" w:rsidRDefault="00607CB8" w:rsidP="00BA7F4F">
            <w:pPr>
              <w:pStyle w:val="TableText"/>
            </w:pPr>
            <w:r>
              <w:t>280 000</w:t>
            </w:r>
          </w:p>
        </w:tc>
        <w:tc>
          <w:tcPr>
            <w:tcW w:w="0" w:type="auto"/>
            <w:tcBorders>
              <w:top w:val="single" w:sz="4" w:space="0" w:color="auto"/>
              <w:left w:val="nil"/>
              <w:right w:val="nil"/>
            </w:tcBorders>
            <w:vAlign w:val="center"/>
          </w:tcPr>
          <w:p w14:paraId="39C2DDCF" w14:textId="77777777" w:rsidR="00607CB8" w:rsidRPr="008D041D" w:rsidRDefault="00607CB8" w:rsidP="00BA7F4F">
            <w:pPr>
              <w:pStyle w:val="TableText"/>
            </w:pPr>
            <w:r>
              <w:t>SL/G</w:t>
            </w:r>
          </w:p>
        </w:tc>
      </w:tr>
    </w:tbl>
    <w:p w14:paraId="386BEF2D" w14:textId="56E115CC" w:rsidR="00280D4A" w:rsidRDefault="00280D4A" w:rsidP="00BD2F8D">
      <w:pPr>
        <w:pStyle w:val="Caption"/>
      </w:pPr>
      <w:bookmarkStart w:id="1328" w:name="_Toc213946038"/>
      <w:bookmarkStart w:id="1329" w:name="_Toc216695724"/>
      <w:r>
        <w:t xml:space="preserve">Table </w:t>
      </w:r>
      <w:r>
        <w:fldChar w:fldCharType="begin"/>
      </w:r>
      <w:r>
        <w:instrText xml:space="preserve"> SEQ Table \* ARABIC </w:instrText>
      </w:r>
      <w:r>
        <w:fldChar w:fldCharType="separate"/>
      </w:r>
      <w:r w:rsidR="003861AC">
        <w:rPr>
          <w:noProof/>
        </w:rPr>
        <w:t>62</w:t>
      </w:r>
      <w:r>
        <w:fldChar w:fldCharType="end"/>
      </w:r>
      <w:r>
        <w:t xml:space="preserve">: </w:t>
      </w:r>
      <w:r w:rsidRPr="007E5F94">
        <w:t>Exposures for professional users of FGARs using loose bait products in refillable bait stations</w:t>
      </w:r>
      <w:bookmarkEnd w:id="1328"/>
      <w:bookmarkEnd w:id="1329"/>
    </w:p>
    <w:tbl>
      <w:tblPr>
        <w:tblStyle w:val="TableGrid"/>
        <w:tblW w:w="9634" w:type="dxa"/>
        <w:tblLook w:val="04A0" w:firstRow="1" w:lastRow="0" w:firstColumn="1" w:lastColumn="0" w:noHBand="0" w:noVBand="1"/>
      </w:tblPr>
      <w:tblGrid>
        <w:gridCol w:w="1980"/>
        <w:gridCol w:w="2131"/>
        <w:gridCol w:w="2121"/>
        <w:gridCol w:w="1843"/>
        <w:gridCol w:w="1559"/>
      </w:tblGrid>
      <w:tr w:rsidR="00EB333A" w:rsidRPr="0018458E" w14:paraId="26E0946C" w14:textId="77777777" w:rsidTr="0017134F">
        <w:tc>
          <w:tcPr>
            <w:tcW w:w="1980" w:type="dxa"/>
            <w:tcBorders>
              <w:top w:val="nil"/>
              <w:left w:val="nil"/>
              <w:bottom w:val="nil"/>
              <w:right w:val="nil"/>
            </w:tcBorders>
            <w:shd w:val="clear" w:color="auto" w:fill="53284F"/>
          </w:tcPr>
          <w:p w14:paraId="454BA107" w14:textId="77777777" w:rsidR="00607CB8" w:rsidRPr="001D2ED4" w:rsidRDefault="00607CB8" w:rsidP="00BA7F4F">
            <w:pPr>
              <w:pStyle w:val="TableHead"/>
            </w:pPr>
            <w:r w:rsidRPr="001D2ED4">
              <w:t>Active constituent</w:t>
            </w:r>
          </w:p>
        </w:tc>
        <w:tc>
          <w:tcPr>
            <w:tcW w:w="2131" w:type="dxa"/>
            <w:tcBorders>
              <w:top w:val="nil"/>
              <w:left w:val="nil"/>
              <w:bottom w:val="nil"/>
              <w:right w:val="nil"/>
            </w:tcBorders>
            <w:shd w:val="clear" w:color="auto" w:fill="53284F"/>
          </w:tcPr>
          <w:p w14:paraId="5B0F0958" w14:textId="2CA81065" w:rsidR="00607CB8" w:rsidRPr="001D2ED4" w:rsidRDefault="00607CB8" w:rsidP="00BA7F4F">
            <w:pPr>
              <w:pStyle w:val="TableHead"/>
            </w:pPr>
            <w:r w:rsidRPr="001D2ED4">
              <w:t>Application rate</w:t>
            </w:r>
            <w:r w:rsidR="00EB333A" w:rsidRPr="001D2ED4">
              <w:br/>
            </w:r>
            <w:r w:rsidRPr="001D2ED4">
              <w:t>mg a</w:t>
            </w:r>
            <w:r w:rsidR="00C874AD">
              <w:t>.</w:t>
            </w:r>
            <w:r w:rsidRPr="001D2ED4">
              <w:t>c</w:t>
            </w:r>
            <w:r w:rsidR="00C874AD">
              <w:t>.</w:t>
            </w:r>
            <w:r w:rsidRPr="001D2ED4">
              <w:t>/bait station</w:t>
            </w:r>
          </w:p>
        </w:tc>
        <w:tc>
          <w:tcPr>
            <w:tcW w:w="2121" w:type="dxa"/>
            <w:tcBorders>
              <w:top w:val="nil"/>
              <w:left w:val="nil"/>
              <w:bottom w:val="nil"/>
              <w:right w:val="nil"/>
            </w:tcBorders>
            <w:shd w:val="clear" w:color="auto" w:fill="53284F"/>
          </w:tcPr>
          <w:p w14:paraId="21616D37" w14:textId="61565308" w:rsidR="00607CB8" w:rsidRPr="001D2ED4" w:rsidRDefault="00607CB8" w:rsidP="00BA7F4F">
            <w:pPr>
              <w:pStyle w:val="TableHead"/>
            </w:pPr>
            <w:r w:rsidRPr="001D2ED4">
              <w:t>MOE</w:t>
            </w:r>
            <w:r w:rsidR="002F3A66" w:rsidRPr="00BD2F8D">
              <w:t xml:space="preserve"> </w:t>
            </w:r>
            <w:r w:rsidRPr="001D2ED4">
              <w:t>Refilling by hand</w:t>
            </w:r>
          </w:p>
        </w:tc>
        <w:tc>
          <w:tcPr>
            <w:tcW w:w="1843" w:type="dxa"/>
            <w:tcBorders>
              <w:top w:val="nil"/>
              <w:left w:val="nil"/>
              <w:bottom w:val="nil"/>
              <w:right w:val="nil"/>
            </w:tcBorders>
            <w:shd w:val="clear" w:color="auto" w:fill="53284F"/>
          </w:tcPr>
          <w:p w14:paraId="0696983A" w14:textId="71CDD6DC" w:rsidR="00607CB8" w:rsidRPr="001D2ED4" w:rsidRDefault="00607CB8" w:rsidP="00BA7F4F">
            <w:pPr>
              <w:pStyle w:val="TableHead"/>
            </w:pPr>
            <w:r w:rsidRPr="001D2ED4">
              <w:t>MOE Using cup</w:t>
            </w:r>
          </w:p>
        </w:tc>
        <w:tc>
          <w:tcPr>
            <w:tcW w:w="1559" w:type="dxa"/>
            <w:tcBorders>
              <w:top w:val="nil"/>
              <w:left w:val="nil"/>
              <w:bottom w:val="nil"/>
              <w:right w:val="nil"/>
            </w:tcBorders>
            <w:shd w:val="clear" w:color="auto" w:fill="53284F"/>
          </w:tcPr>
          <w:p w14:paraId="5A5AA157" w14:textId="77777777" w:rsidR="00607CB8" w:rsidRPr="001D2ED4" w:rsidRDefault="00607CB8" w:rsidP="00BA7F4F">
            <w:pPr>
              <w:pStyle w:val="TableHead"/>
            </w:pPr>
            <w:r w:rsidRPr="001D2ED4">
              <w:t>Level of PPE</w:t>
            </w:r>
          </w:p>
        </w:tc>
      </w:tr>
      <w:tr w:rsidR="00EB333A" w:rsidRPr="0018458E" w14:paraId="34BFBFFB" w14:textId="77777777" w:rsidTr="00BD2F8D">
        <w:tc>
          <w:tcPr>
            <w:tcW w:w="1980" w:type="dxa"/>
            <w:tcBorders>
              <w:top w:val="nil"/>
              <w:left w:val="nil"/>
              <w:bottom w:val="single" w:sz="4" w:space="0" w:color="auto"/>
              <w:right w:val="nil"/>
            </w:tcBorders>
            <w:vAlign w:val="center"/>
          </w:tcPr>
          <w:p w14:paraId="469B4BCC" w14:textId="77777777" w:rsidR="00607CB8" w:rsidRPr="0018458E" w:rsidRDefault="00607CB8" w:rsidP="00BA7F4F">
            <w:pPr>
              <w:pStyle w:val="TableText"/>
            </w:pPr>
            <w:r w:rsidRPr="0018458E">
              <w:t>Coumatetralyl</w:t>
            </w:r>
          </w:p>
        </w:tc>
        <w:tc>
          <w:tcPr>
            <w:tcW w:w="2131" w:type="dxa"/>
            <w:tcBorders>
              <w:top w:val="nil"/>
              <w:left w:val="nil"/>
              <w:bottom w:val="single" w:sz="4" w:space="0" w:color="auto"/>
              <w:right w:val="nil"/>
            </w:tcBorders>
            <w:vAlign w:val="center"/>
          </w:tcPr>
          <w:p w14:paraId="4EB7B750" w14:textId="77777777" w:rsidR="00607CB8" w:rsidRPr="0018458E" w:rsidRDefault="00607CB8" w:rsidP="00BA7F4F">
            <w:pPr>
              <w:pStyle w:val="TableText"/>
              <w:rPr>
                <w:b/>
                <w:bCs/>
              </w:rPr>
            </w:pPr>
            <w:r>
              <w:t>38.1</w:t>
            </w:r>
          </w:p>
        </w:tc>
        <w:tc>
          <w:tcPr>
            <w:tcW w:w="2121" w:type="dxa"/>
            <w:tcBorders>
              <w:top w:val="nil"/>
              <w:left w:val="nil"/>
              <w:bottom w:val="single" w:sz="4" w:space="0" w:color="auto"/>
              <w:right w:val="nil"/>
            </w:tcBorders>
            <w:vAlign w:val="center"/>
          </w:tcPr>
          <w:p w14:paraId="7900489B" w14:textId="77777777" w:rsidR="00607CB8" w:rsidRPr="00C359C0" w:rsidRDefault="00607CB8" w:rsidP="00BA7F4F">
            <w:pPr>
              <w:pStyle w:val="TableText"/>
            </w:pPr>
            <w:r>
              <w:t>29</w:t>
            </w:r>
          </w:p>
        </w:tc>
        <w:tc>
          <w:tcPr>
            <w:tcW w:w="1843" w:type="dxa"/>
            <w:tcBorders>
              <w:top w:val="nil"/>
              <w:left w:val="nil"/>
              <w:bottom w:val="single" w:sz="4" w:space="0" w:color="auto"/>
              <w:right w:val="nil"/>
            </w:tcBorders>
            <w:vAlign w:val="center"/>
          </w:tcPr>
          <w:p w14:paraId="1AEE6CA1" w14:textId="77777777" w:rsidR="00607CB8" w:rsidRDefault="00607CB8" w:rsidP="00BA7F4F">
            <w:pPr>
              <w:pStyle w:val="TableText"/>
            </w:pPr>
            <w:r>
              <w:t>16 000</w:t>
            </w:r>
          </w:p>
        </w:tc>
        <w:tc>
          <w:tcPr>
            <w:tcW w:w="1559" w:type="dxa"/>
            <w:tcBorders>
              <w:top w:val="nil"/>
              <w:left w:val="nil"/>
              <w:bottom w:val="single" w:sz="4" w:space="0" w:color="auto"/>
              <w:right w:val="nil"/>
            </w:tcBorders>
            <w:vAlign w:val="center"/>
          </w:tcPr>
          <w:p w14:paraId="47CA1BF4" w14:textId="77777777" w:rsidR="00607CB8" w:rsidRPr="0018458E" w:rsidRDefault="00607CB8" w:rsidP="00BA7F4F">
            <w:pPr>
              <w:pStyle w:val="TableText"/>
            </w:pPr>
            <w:r>
              <w:t>SL/G</w:t>
            </w:r>
          </w:p>
        </w:tc>
      </w:tr>
      <w:tr w:rsidR="00EB333A" w:rsidRPr="0018458E" w14:paraId="169C648F" w14:textId="77777777" w:rsidTr="00BD2F8D">
        <w:tc>
          <w:tcPr>
            <w:tcW w:w="1980" w:type="dxa"/>
            <w:tcBorders>
              <w:top w:val="single" w:sz="4" w:space="0" w:color="auto"/>
              <w:left w:val="nil"/>
              <w:bottom w:val="single" w:sz="4" w:space="0" w:color="auto"/>
              <w:right w:val="nil"/>
            </w:tcBorders>
            <w:vAlign w:val="center"/>
          </w:tcPr>
          <w:p w14:paraId="098F9F51" w14:textId="77777777" w:rsidR="00607CB8" w:rsidRPr="008D041D" w:rsidRDefault="00607CB8" w:rsidP="00BA7F4F">
            <w:pPr>
              <w:pStyle w:val="TableText"/>
            </w:pPr>
            <w:r w:rsidRPr="008D041D">
              <w:t>Diphacinone</w:t>
            </w:r>
          </w:p>
        </w:tc>
        <w:tc>
          <w:tcPr>
            <w:tcW w:w="2131" w:type="dxa"/>
            <w:tcBorders>
              <w:top w:val="single" w:sz="4" w:space="0" w:color="auto"/>
              <w:left w:val="nil"/>
              <w:bottom w:val="single" w:sz="4" w:space="0" w:color="auto"/>
              <w:right w:val="nil"/>
            </w:tcBorders>
            <w:vAlign w:val="center"/>
          </w:tcPr>
          <w:p w14:paraId="65DFA3DD" w14:textId="77777777" w:rsidR="00607CB8" w:rsidRPr="008D041D" w:rsidRDefault="00607CB8" w:rsidP="00BA7F4F">
            <w:pPr>
              <w:pStyle w:val="TableText"/>
            </w:pPr>
            <w:r w:rsidRPr="008D041D">
              <w:t>22.5</w:t>
            </w:r>
          </w:p>
        </w:tc>
        <w:tc>
          <w:tcPr>
            <w:tcW w:w="2121" w:type="dxa"/>
            <w:tcBorders>
              <w:top w:val="single" w:sz="4" w:space="0" w:color="auto"/>
              <w:left w:val="nil"/>
              <w:bottom w:val="single" w:sz="4" w:space="0" w:color="auto"/>
              <w:right w:val="nil"/>
            </w:tcBorders>
            <w:vAlign w:val="center"/>
          </w:tcPr>
          <w:p w14:paraId="4F9E5364" w14:textId="77777777" w:rsidR="00607CB8" w:rsidRPr="008D041D" w:rsidRDefault="00607CB8" w:rsidP="00BA7F4F">
            <w:pPr>
              <w:pStyle w:val="TableText"/>
            </w:pPr>
            <w:r>
              <w:t>180</w:t>
            </w:r>
          </w:p>
        </w:tc>
        <w:tc>
          <w:tcPr>
            <w:tcW w:w="1843" w:type="dxa"/>
            <w:tcBorders>
              <w:top w:val="single" w:sz="4" w:space="0" w:color="auto"/>
              <w:left w:val="nil"/>
              <w:bottom w:val="single" w:sz="4" w:space="0" w:color="auto"/>
              <w:right w:val="nil"/>
            </w:tcBorders>
            <w:vAlign w:val="center"/>
          </w:tcPr>
          <w:p w14:paraId="07F1F1B5" w14:textId="77777777" w:rsidR="00607CB8" w:rsidRDefault="00607CB8" w:rsidP="00BA7F4F">
            <w:pPr>
              <w:pStyle w:val="TableText"/>
            </w:pPr>
            <w:r>
              <w:t>100 000</w:t>
            </w:r>
          </w:p>
        </w:tc>
        <w:tc>
          <w:tcPr>
            <w:tcW w:w="1559" w:type="dxa"/>
            <w:tcBorders>
              <w:top w:val="single" w:sz="4" w:space="0" w:color="auto"/>
              <w:left w:val="nil"/>
              <w:bottom w:val="single" w:sz="4" w:space="0" w:color="auto"/>
              <w:right w:val="nil"/>
            </w:tcBorders>
            <w:vAlign w:val="center"/>
          </w:tcPr>
          <w:p w14:paraId="67D26014" w14:textId="77777777" w:rsidR="00607CB8" w:rsidRPr="008D041D" w:rsidRDefault="00607CB8" w:rsidP="00BA7F4F">
            <w:pPr>
              <w:pStyle w:val="TableText"/>
            </w:pPr>
            <w:r>
              <w:t>SL/G</w:t>
            </w:r>
          </w:p>
        </w:tc>
      </w:tr>
    </w:tbl>
    <w:bookmarkEnd w:id="1325"/>
    <w:p w14:paraId="4185D66B" w14:textId="77777777" w:rsidR="00607CB8" w:rsidRPr="00874FFF" w:rsidRDefault="00607CB8" w:rsidP="007F331A">
      <w:pPr>
        <w:pStyle w:val="APVMASourceTableNote"/>
      </w:pPr>
      <w:r w:rsidRPr="00874FFF">
        <w:t>SL = single layer of clothing, equivalent to a long-sleeve shirt, long pants, shoes and socks; G = gloves</w:t>
      </w:r>
    </w:p>
    <w:p w14:paraId="22A6EB83" w14:textId="2E39223F" w:rsidR="00280D4A" w:rsidRDefault="00280D4A" w:rsidP="00BD2F8D">
      <w:pPr>
        <w:pStyle w:val="Caption"/>
      </w:pPr>
      <w:bookmarkStart w:id="1330" w:name="_Toc213946039"/>
      <w:bookmarkStart w:id="1331" w:name="_Toc216695725"/>
      <w:r>
        <w:t xml:space="preserve">Table </w:t>
      </w:r>
      <w:r>
        <w:fldChar w:fldCharType="begin"/>
      </w:r>
      <w:r>
        <w:instrText xml:space="preserve"> SEQ Table \* ARABIC </w:instrText>
      </w:r>
      <w:r>
        <w:fldChar w:fldCharType="separate"/>
      </w:r>
      <w:r w:rsidR="003861AC">
        <w:rPr>
          <w:noProof/>
        </w:rPr>
        <w:t>63</w:t>
      </w:r>
      <w:r>
        <w:fldChar w:fldCharType="end"/>
      </w:r>
      <w:r>
        <w:t xml:space="preserve">: </w:t>
      </w:r>
      <w:r w:rsidRPr="004D045A">
        <w:t>Exposures for professional uses of SGARs using broadcast loose bait products</w:t>
      </w:r>
      <w:bookmarkEnd w:id="1330"/>
      <w:bookmarkEnd w:id="133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2124"/>
        <w:gridCol w:w="2126"/>
        <w:gridCol w:w="1924"/>
        <w:gridCol w:w="1478"/>
      </w:tblGrid>
      <w:tr w:rsidR="001D2ED4" w14:paraId="3B85F2F9" w14:textId="77777777" w:rsidTr="0017134F">
        <w:tc>
          <w:tcPr>
            <w:tcW w:w="1030" w:type="pct"/>
            <w:shd w:val="clear" w:color="auto" w:fill="53284F"/>
          </w:tcPr>
          <w:p w14:paraId="276AED21" w14:textId="77777777" w:rsidR="00607CB8" w:rsidRPr="00EF1CAB" w:rsidRDefault="00607CB8" w:rsidP="00BA7F4F">
            <w:pPr>
              <w:pStyle w:val="TableHead"/>
            </w:pPr>
            <w:r w:rsidRPr="00EF1CAB">
              <w:t>Active constituent</w:t>
            </w:r>
          </w:p>
        </w:tc>
        <w:tc>
          <w:tcPr>
            <w:tcW w:w="1102" w:type="pct"/>
            <w:shd w:val="clear" w:color="auto" w:fill="53284F"/>
          </w:tcPr>
          <w:p w14:paraId="4A0BDDB3" w14:textId="57F38C05" w:rsidR="00607CB8" w:rsidRPr="00EF1CAB" w:rsidRDefault="00607CB8" w:rsidP="00BA7F4F">
            <w:pPr>
              <w:pStyle w:val="TableHead"/>
            </w:pPr>
            <w:r w:rsidRPr="00EF1CAB">
              <w:t>Application rate</w:t>
            </w:r>
            <w:r w:rsidR="002F3A66">
              <w:t xml:space="preserve"> </w:t>
            </w:r>
            <w:r w:rsidR="001D2ED4">
              <w:br/>
            </w:r>
            <w:r>
              <w:t>(g a</w:t>
            </w:r>
            <w:r w:rsidR="00C874AD">
              <w:t>.</w:t>
            </w:r>
            <w:r>
              <w:t>c</w:t>
            </w:r>
            <w:r w:rsidR="00C874AD">
              <w:t>.</w:t>
            </w:r>
            <w:r>
              <w:t>/ha)</w:t>
            </w:r>
          </w:p>
        </w:tc>
        <w:tc>
          <w:tcPr>
            <w:tcW w:w="1103" w:type="pct"/>
            <w:shd w:val="clear" w:color="auto" w:fill="53284F"/>
          </w:tcPr>
          <w:p w14:paraId="235445F0" w14:textId="75CF6424" w:rsidR="00607CB8" w:rsidRPr="00EF1CAB" w:rsidRDefault="00607CB8" w:rsidP="00BA7F4F">
            <w:pPr>
              <w:pStyle w:val="TableHead"/>
            </w:pPr>
            <w:r w:rsidRPr="00EF1CAB">
              <w:t>MOE</w:t>
            </w:r>
            <w:r w:rsidR="002F3A66">
              <w:t xml:space="preserve"> </w:t>
            </w:r>
            <w:r>
              <w:t>Hand dispersal</w:t>
            </w:r>
          </w:p>
        </w:tc>
        <w:tc>
          <w:tcPr>
            <w:tcW w:w="998" w:type="pct"/>
            <w:shd w:val="clear" w:color="auto" w:fill="53284F"/>
          </w:tcPr>
          <w:p w14:paraId="24E61207" w14:textId="6873AB20" w:rsidR="00607CB8" w:rsidRPr="00EF1CAB" w:rsidRDefault="00607CB8" w:rsidP="00BA7F4F">
            <w:pPr>
              <w:pStyle w:val="TableHead"/>
            </w:pPr>
            <w:r>
              <w:t>MOE</w:t>
            </w:r>
            <w:r w:rsidR="002F3A66">
              <w:t xml:space="preserve"> </w:t>
            </w:r>
            <w:r>
              <w:t>Using cup</w:t>
            </w:r>
          </w:p>
        </w:tc>
        <w:tc>
          <w:tcPr>
            <w:tcW w:w="767" w:type="pct"/>
            <w:shd w:val="clear" w:color="auto" w:fill="53284F"/>
          </w:tcPr>
          <w:p w14:paraId="294E4A52" w14:textId="77777777" w:rsidR="00607CB8" w:rsidRPr="00EF1CAB" w:rsidRDefault="00607CB8" w:rsidP="00BA7F4F">
            <w:pPr>
              <w:pStyle w:val="TableHead"/>
            </w:pPr>
            <w:r w:rsidRPr="00EF1CAB">
              <w:t>Level of PPE</w:t>
            </w:r>
          </w:p>
        </w:tc>
      </w:tr>
      <w:tr w:rsidR="001D2ED4" w14:paraId="61F27E82" w14:textId="77777777" w:rsidTr="001D2ED4">
        <w:tc>
          <w:tcPr>
            <w:tcW w:w="1030" w:type="pct"/>
            <w:tcBorders>
              <w:bottom w:val="single" w:sz="4" w:space="0" w:color="auto"/>
            </w:tcBorders>
            <w:vAlign w:val="center"/>
          </w:tcPr>
          <w:p w14:paraId="1CC7035D" w14:textId="77777777" w:rsidR="00607CB8" w:rsidRPr="000A59E0" w:rsidRDefault="00607CB8" w:rsidP="00BA7F4F">
            <w:pPr>
              <w:pStyle w:val="TableText"/>
            </w:pPr>
            <w:r w:rsidRPr="000A59E0">
              <w:t>Brodifacoum</w:t>
            </w:r>
          </w:p>
        </w:tc>
        <w:tc>
          <w:tcPr>
            <w:tcW w:w="1102" w:type="pct"/>
            <w:tcBorders>
              <w:bottom w:val="single" w:sz="4" w:space="0" w:color="auto"/>
            </w:tcBorders>
            <w:vAlign w:val="center"/>
          </w:tcPr>
          <w:p w14:paraId="19D8D683" w14:textId="77777777" w:rsidR="00607CB8" w:rsidRPr="000A59E0" w:rsidRDefault="00607CB8" w:rsidP="00BA7F4F">
            <w:pPr>
              <w:pStyle w:val="TableText"/>
            </w:pPr>
            <w:r>
              <w:t>0.3</w:t>
            </w:r>
          </w:p>
        </w:tc>
        <w:tc>
          <w:tcPr>
            <w:tcW w:w="1103" w:type="pct"/>
            <w:tcBorders>
              <w:bottom w:val="single" w:sz="4" w:space="0" w:color="auto"/>
            </w:tcBorders>
            <w:vAlign w:val="center"/>
          </w:tcPr>
          <w:p w14:paraId="2EAA1D42" w14:textId="77777777" w:rsidR="00607CB8" w:rsidRPr="00BA581E" w:rsidRDefault="00607CB8" w:rsidP="00BA7F4F">
            <w:pPr>
              <w:pStyle w:val="TableText"/>
            </w:pPr>
            <w:r w:rsidRPr="00BA581E">
              <w:t>170</w:t>
            </w:r>
          </w:p>
        </w:tc>
        <w:tc>
          <w:tcPr>
            <w:tcW w:w="998" w:type="pct"/>
            <w:tcBorders>
              <w:bottom w:val="single" w:sz="4" w:space="0" w:color="auto"/>
            </w:tcBorders>
            <w:vAlign w:val="center"/>
          </w:tcPr>
          <w:p w14:paraId="4F313342" w14:textId="77777777" w:rsidR="00607CB8" w:rsidRPr="000A59E0" w:rsidRDefault="00607CB8" w:rsidP="00BA7F4F">
            <w:pPr>
              <w:pStyle w:val="TableText"/>
            </w:pPr>
            <w:r>
              <w:t>92 000</w:t>
            </w:r>
          </w:p>
        </w:tc>
        <w:tc>
          <w:tcPr>
            <w:tcW w:w="767" w:type="pct"/>
            <w:tcBorders>
              <w:bottom w:val="single" w:sz="4" w:space="0" w:color="auto"/>
            </w:tcBorders>
            <w:vAlign w:val="center"/>
          </w:tcPr>
          <w:p w14:paraId="2D88535A" w14:textId="77777777" w:rsidR="00607CB8" w:rsidRPr="000A59E0" w:rsidRDefault="00607CB8" w:rsidP="00BA7F4F">
            <w:pPr>
              <w:pStyle w:val="TableText"/>
            </w:pPr>
            <w:r w:rsidRPr="000A59E0">
              <w:t>SL/G</w:t>
            </w:r>
          </w:p>
        </w:tc>
      </w:tr>
      <w:tr w:rsidR="001D2ED4" w14:paraId="66BB5CA1" w14:textId="77777777" w:rsidTr="001D2ED4">
        <w:tc>
          <w:tcPr>
            <w:tcW w:w="1030" w:type="pct"/>
            <w:tcBorders>
              <w:top w:val="single" w:sz="4" w:space="0" w:color="auto"/>
              <w:bottom w:val="single" w:sz="4" w:space="0" w:color="auto"/>
            </w:tcBorders>
            <w:vAlign w:val="center"/>
          </w:tcPr>
          <w:p w14:paraId="2EEC20C3" w14:textId="77777777" w:rsidR="00607CB8" w:rsidRPr="008D041D" w:rsidRDefault="00607CB8" w:rsidP="00BA7F4F">
            <w:pPr>
              <w:pStyle w:val="TableText"/>
            </w:pPr>
            <w:r w:rsidRPr="00471CC6">
              <w:t>Bromadiolone</w:t>
            </w:r>
          </w:p>
        </w:tc>
        <w:tc>
          <w:tcPr>
            <w:tcW w:w="1102" w:type="pct"/>
            <w:tcBorders>
              <w:top w:val="single" w:sz="4" w:space="0" w:color="auto"/>
              <w:bottom w:val="single" w:sz="4" w:space="0" w:color="auto"/>
            </w:tcBorders>
            <w:vAlign w:val="center"/>
          </w:tcPr>
          <w:p w14:paraId="33B1A305" w14:textId="77777777" w:rsidR="00607CB8" w:rsidRPr="00471CC6" w:rsidRDefault="00607CB8" w:rsidP="00BA7F4F">
            <w:pPr>
              <w:pStyle w:val="TableText"/>
            </w:pPr>
            <w:r>
              <w:t>0.68</w:t>
            </w:r>
          </w:p>
        </w:tc>
        <w:tc>
          <w:tcPr>
            <w:tcW w:w="1103" w:type="pct"/>
            <w:tcBorders>
              <w:top w:val="single" w:sz="4" w:space="0" w:color="auto"/>
              <w:bottom w:val="single" w:sz="4" w:space="0" w:color="auto"/>
            </w:tcBorders>
            <w:vAlign w:val="center"/>
          </w:tcPr>
          <w:p w14:paraId="40C7C9EA" w14:textId="77777777" w:rsidR="00607CB8" w:rsidRPr="00BA581E" w:rsidRDefault="00607CB8" w:rsidP="00BA7F4F">
            <w:pPr>
              <w:pStyle w:val="TableText"/>
            </w:pPr>
            <w:r>
              <w:t>39</w:t>
            </w:r>
          </w:p>
        </w:tc>
        <w:tc>
          <w:tcPr>
            <w:tcW w:w="998" w:type="pct"/>
            <w:tcBorders>
              <w:top w:val="single" w:sz="4" w:space="0" w:color="auto"/>
              <w:bottom w:val="single" w:sz="4" w:space="0" w:color="auto"/>
            </w:tcBorders>
            <w:vAlign w:val="center"/>
          </w:tcPr>
          <w:p w14:paraId="4B99DA58" w14:textId="77777777" w:rsidR="00607CB8" w:rsidRPr="000A59E0" w:rsidRDefault="00607CB8" w:rsidP="00BA7F4F">
            <w:pPr>
              <w:pStyle w:val="TableText"/>
            </w:pPr>
            <w:r>
              <w:t>21 000</w:t>
            </w:r>
          </w:p>
        </w:tc>
        <w:tc>
          <w:tcPr>
            <w:tcW w:w="767" w:type="pct"/>
            <w:tcBorders>
              <w:top w:val="single" w:sz="4" w:space="0" w:color="auto"/>
              <w:bottom w:val="single" w:sz="4" w:space="0" w:color="auto"/>
            </w:tcBorders>
            <w:vAlign w:val="center"/>
          </w:tcPr>
          <w:p w14:paraId="685A2E9E" w14:textId="77777777" w:rsidR="00607CB8" w:rsidRPr="008D041D" w:rsidRDefault="00607CB8" w:rsidP="00BA7F4F">
            <w:pPr>
              <w:pStyle w:val="TableText"/>
            </w:pPr>
            <w:r w:rsidRPr="000A59E0">
              <w:t>SL/G</w:t>
            </w:r>
          </w:p>
        </w:tc>
      </w:tr>
      <w:tr w:rsidR="001D2ED4" w14:paraId="358513EC" w14:textId="77777777" w:rsidTr="001D2ED4">
        <w:tc>
          <w:tcPr>
            <w:tcW w:w="1030" w:type="pct"/>
            <w:tcBorders>
              <w:top w:val="single" w:sz="4" w:space="0" w:color="auto"/>
              <w:bottom w:val="single" w:sz="4" w:space="0" w:color="auto"/>
            </w:tcBorders>
            <w:vAlign w:val="center"/>
          </w:tcPr>
          <w:p w14:paraId="3CDD88A5" w14:textId="77777777" w:rsidR="00607CB8" w:rsidRPr="000F6DDF" w:rsidRDefault="00607CB8" w:rsidP="00BA7F4F">
            <w:pPr>
              <w:pStyle w:val="TableText"/>
            </w:pPr>
            <w:r w:rsidRPr="000F6DDF">
              <w:t>Difenacoum</w:t>
            </w:r>
          </w:p>
        </w:tc>
        <w:tc>
          <w:tcPr>
            <w:tcW w:w="1102" w:type="pct"/>
            <w:tcBorders>
              <w:top w:val="single" w:sz="4" w:space="0" w:color="auto"/>
              <w:bottom w:val="single" w:sz="4" w:space="0" w:color="auto"/>
            </w:tcBorders>
            <w:vAlign w:val="center"/>
          </w:tcPr>
          <w:p w14:paraId="19CFFAF5" w14:textId="77777777" w:rsidR="00607CB8" w:rsidRPr="000F6DDF" w:rsidRDefault="00607CB8" w:rsidP="00BA7F4F">
            <w:pPr>
              <w:pStyle w:val="TableText"/>
            </w:pPr>
            <w:r>
              <w:t>0.3</w:t>
            </w:r>
          </w:p>
        </w:tc>
        <w:tc>
          <w:tcPr>
            <w:tcW w:w="1103" w:type="pct"/>
            <w:tcBorders>
              <w:top w:val="single" w:sz="4" w:space="0" w:color="auto"/>
              <w:bottom w:val="single" w:sz="4" w:space="0" w:color="auto"/>
            </w:tcBorders>
            <w:vAlign w:val="center"/>
          </w:tcPr>
          <w:p w14:paraId="5ADB5AC0" w14:textId="77777777" w:rsidR="00607CB8" w:rsidRPr="00BA581E" w:rsidRDefault="00607CB8" w:rsidP="00BA7F4F">
            <w:pPr>
              <w:pStyle w:val="TableText"/>
            </w:pPr>
            <w:r>
              <w:t>170</w:t>
            </w:r>
          </w:p>
        </w:tc>
        <w:tc>
          <w:tcPr>
            <w:tcW w:w="998" w:type="pct"/>
            <w:tcBorders>
              <w:top w:val="single" w:sz="4" w:space="0" w:color="auto"/>
              <w:bottom w:val="single" w:sz="4" w:space="0" w:color="auto"/>
            </w:tcBorders>
            <w:vAlign w:val="center"/>
          </w:tcPr>
          <w:p w14:paraId="2C35581C" w14:textId="77777777" w:rsidR="00607CB8" w:rsidRPr="000A59E0" w:rsidRDefault="00607CB8" w:rsidP="00BA7F4F">
            <w:pPr>
              <w:pStyle w:val="TableText"/>
            </w:pPr>
            <w:r>
              <w:t>92 000</w:t>
            </w:r>
          </w:p>
        </w:tc>
        <w:tc>
          <w:tcPr>
            <w:tcW w:w="767" w:type="pct"/>
            <w:tcBorders>
              <w:top w:val="single" w:sz="4" w:space="0" w:color="auto"/>
              <w:bottom w:val="single" w:sz="4" w:space="0" w:color="auto"/>
            </w:tcBorders>
            <w:vAlign w:val="center"/>
          </w:tcPr>
          <w:p w14:paraId="1581F447" w14:textId="77777777" w:rsidR="00607CB8" w:rsidRPr="000F6DDF" w:rsidRDefault="00607CB8" w:rsidP="00BA7F4F">
            <w:pPr>
              <w:pStyle w:val="TableText"/>
              <w:rPr>
                <w:color w:val="000000"/>
              </w:rPr>
            </w:pPr>
            <w:r w:rsidRPr="000A59E0">
              <w:t>SL/G</w:t>
            </w:r>
          </w:p>
        </w:tc>
      </w:tr>
      <w:tr w:rsidR="001D2ED4" w14:paraId="267B94CD" w14:textId="77777777" w:rsidTr="001D2ED4">
        <w:tc>
          <w:tcPr>
            <w:tcW w:w="1030" w:type="pct"/>
            <w:tcBorders>
              <w:top w:val="single" w:sz="4" w:space="0" w:color="auto"/>
              <w:bottom w:val="single" w:sz="4" w:space="0" w:color="auto"/>
            </w:tcBorders>
            <w:vAlign w:val="center"/>
          </w:tcPr>
          <w:p w14:paraId="4D5A0D31" w14:textId="77777777" w:rsidR="00607CB8" w:rsidRDefault="00607CB8" w:rsidP="00BA7F4F">
            <w:pPr>
              <w:pStyle w:val="TableText"/>
            </w:pPr>
            <w:r>
              <w:t>Difethialone</w:t>
            </w:r>
          </w:p>
        </w:tc>
        <w:tc>
          <w:tcPr>
            <w:tcW w:w="1102" w:type="pct"/>
            <w:tcBorders>
              <w:top w:val="single" w:sz="4" w:space="0" w:color="auto"/>
              <w:bottom w:val="single" w:sz="4" w:space="0" w:color="auto"/>
            </w:tcBorders>
            <w:vAlign w:val="center"/>
          </w:tcPr>
          <w:p w14:paraId="12B8DD15" w14:textId="77777777" w:rsidR="00607CB8" w:rsidRPr="008D041D" w:rsidRDefault="00607CB8" w:rsidP="00BA7F4F">
            <w:pPr>
              <w:pStyle w:val="TableText"/>
            </w:pPr>
            <w:r>
              <w:t>0.12</w:t>
            </w:r>
          </w:p>
        </w:tc>
        <w:tc>
          <w:tcPr>
            <w:tcW w:w="1103" w:type="pct"/>
            <w:tcBorders>
              <w:top w:val="single" w:sz="4" w:space="0" w:color="auto"/>
              <w:bottom w:val="single" w:sz="4" w:space="0" w:color="auto"/>
            </w:tcBorders>
            <w:vAlign w:val="center"/>
          </w:tcPr>
          <w:p w14:paraId="59061EA8" w14:textId="77777777" w:rsidR="00607CB8" w:rsidRPr="00BA581E" w:rsidRDefault="00607CB8" w:rsidP="00BA7F4F">
            <w:pPr>
              <w:pStyle w:val="TableText"/>
            </w:pPr>
            <w:r>
              <w:t>150</w:t>
            </w:r>
          </w:p>
        </w:tc>
        <w:tc>
          <w:tcPr>
            <w:tcW w:w="998" w:type="pct"/>
            <w:tcBorders>
              <w:top w:val="single" w:sz="4" w:space="0" w:color="auto"/>
              <w:bottom w:val="single" w:sz="4" w:space="0" w:color="auto"/>
            </w:tcBorders>
            <w:vAlign w:val="center"/>
          </w:tcPr>
          <w:p w14:paraId="5AD2FD6E" w14:textId="77777777" w:rsidR="00607CB8" w:rsidRPr="0018458E" w:rsidRDefault="00607CB8" w:rsidP="00BA7F4F">
            <w:pPr>
              <w:pStyle w:val="TableText"/>
            </w:pPr>
            <w:r>
              <w:t>82 000</w:t>
            </w:r>
          </w:p>
        </w:tc>
        <w:tc>
          <w:tcPr>
            <w:tcW w:w="767" w:type="pct"/>
            <w:tcBorders>
              <w:top w:val="single" w:sz="4" w:space="0" w:color="auto"/>
              <w:bottom w:val="single" w:sz="4" w:space="0" w:color="auto"/>
            </w:tcBorders>
            <w:vAlign w:val="center"/>
          </w:tcPr>
          <w:p w14:paraId="6B513C1A" w14:textId="77777777" w:rsidR="00607CB8" w:rsidRPr="008D041D" w:rsidRDefault="00607CB8" w:rsidP="00BA7F4F">
            <w:pPr>
              <w:pStyle w:val="TableText"/>
            </w:pPr>
            <w:r>
              <w:t>S</w:t>
            </w:r>
            <w:r w:rsidRPr="0018458E">
              <w:t>L/G</w:t>
            </w:r>
          </w:p>
        </w:tc>
      </w:tr>
      <w:tr w:rsidR="001D2ED4" w14:paraId="7EAC6C48" w14:textId="77777777" w:rsidTr="001D2ED4">
        <w:tc>
          <w:tcPr>
            <w:tcW w:w="1030" w:type="pct"/>
            <w:tcBorders>
              <w:top w:val="single" w:sz="4" w:space="0" w:color="auto"/>
              <w:bottom w:val="single" w:sz="4" w:space="0" w:color="auto"/>
            </w:tcBorders>
            <w:vAlign w:val="center"/>
          </w:tcPr>
          <w:p w14:paraId="6E0850EA" w14:textId="77777777" w:rsidR="00607CB8" w:rsidRDefault="00607CB8" w:rsidP="00BA7F4F">
            <w:pPr>
              <w:pStyle w:val="TableText"/>
            </w:pPr>
            <w:r>
              <w:t>Flocoumafen</w:t>
            </w:r>
          </w:p>
        </w:tc>
        <w:tc>
          <w:tcPr>
            <w:tcW w:w="1102" w:type="pct"/>
            <w:tcBorders>
              <w:top w:val="single" w:sz="4" w:space="0" w:color="auto"/>
              <w:bottom w:val="single" w:sz="4" w:space="0" w:color="auto"/>
            </w:tcBorders>
            <w:vAlign w:val="center"/>
          </w:tcPr>
          <w:p w14:paraId="5015160C" w14:textId="77777777" w:rsidR="00607CB8" w:rsidRPr="008D041D" w:rsidRDefault="00607CB8" w:rsidP="00BA7F4F">
            <w:pPr>
              <w:pStyle w:val="TableText"/>
            </w:pPr>
            <w:r>
              <w:t>4</w:t>
            </w:r>
          </w:p>
        </w:tc>
        <w:tc>
          <w:tcPr>
            <w:tcW w:w="1103" w:type="pct"/>
            <w:tcBorders>
              <w:top w:val="single" w:sz="4" w:space="0" w:color="auto"/>
              <w:bottom w:val="single" w:sz="4" w:space="0" w:color="auto"/>
            </w:tcBorders>
            <w:vAlign w:val="center"/>
          </w:tcPr>
          <w:p w14:paraId="53FB99B5" w14:textId="77777777" w:rsidR="00607CB8" w:rsidRPr="00BA581E" w:rsidRDefault="00607CB8" w:rsidP="00BA7F4F">
            <w:pPr>
              <w:pStyle w:val="TableText"/>
            </w:pPr>
            <w:r w:rsidRPr="00BA581E">
              <w:t>1</w:t>
            </w:r>
            <w:r>
              <w:t>7</w:t>
            </w:r>
            <w:r w:rsidRPr="00BA581E">
              <w:t>0</w:t>
            </w:r>
          </w:p>
        </w:tc>
        <w:tc>
          <w:tcPr>
            <w:tcW w:w="998" w:type="pct"/>
            <w:tcBorders>
              <w:top w:val="single" w:sz="4" w:space="0" w:color="auto"/>
              <w:bottom w:val="single" w:sz="4" w:space="0" w:color="auto"/>
            </w:tcBorders>
            <w:vAlign w:val="center"/>
          </w:tcPr>
          <w:p w14:paraId="76449C4D" w14:textId="77777777" w:rsidR="00607CB8" w:rsidRPr="000A59E0" w:rsidRDefault="00607CB8" w:rsidP="00BA7F4F">
            <w:pPr>
              <w:pStyle w:val="TableText"/>
            </w:pPr>
            <w:r>
              <w:t>91 000</w:t>
            </w:r>
          </w:p>
        </w:tc>
        <w:tc>
          <w:tcPr>
            <w:tcW w:w="767" w:type="pct"/>
            <w:tcBorders>
              <w:top w:val="single" w:sz="4" w:space="0" w:color="auto"/>
              <w:bottom w:val="single" w:sz="4" w:space="0" w:color="auto"/>
            </w:tcBorders>
            <w:vAlign w:val="center"/>
          </w:tcPr>
          <w:p w14:paraId="412D3739" w14:textId="77777777" w:rsidR="00607CB8" w:rsidRPr="008D041D" w:rsidRDefault="00607CB8" w:rsidP="00BA7F4F">
            <w:pPr>
              <w:pStyle w:val="TableText"/>
            </w:pPr>
            <w:r w:rsidRPr="000A59E0">
              <w:t>SL/G</w:t>
            </w:r>
          </w:p>
        </w:tc>
      </w:tr>
    </w:tbl>
    <w:p w14:paraId="191947A7" w14:textId="040DBA55" w:rsidR="00280D4A" w:rsidRDefault="00280D4A" w:rsidP="00BD2F8D">
      <w:pPr>
        <w:pStyle w:val="Caption"/>
      </w:pPr>
      <w:bookmarkStart w:id="1332" w:name="_Ref206764065"/>
      <w:bookmarkStart w:id="1333" w:name="_Toc213946040"/>
      <w:bookmarkStart w:id="1334" w:name="_Toc216695726"/>
      <w:r>
        <w:lastRenderedPageBreak/>
        <w:t xml:space="preserve">Table </w:t>
      </w:r>
      <w:r>
        <w:fldChar w:fldCharType="begin"/>
      </w:r>
      <w:r>
        <w:instrText xml:space="preserve"> SEQ Table \* ARABIC </w:instrText>
      </w:r>
      <w:r>
        <w:fldChar w:fldCharType="separate"/>
      </w:r>
      <w:r w:rsidR="003861AC">
        <w:rPr>
          <w:noProof/>
        </w:rPr>
        <w:t>64</w:t>
      </w:r>
      <w:r>
        <w:fldChar w:fldCharType="end"/>
      </w:r>
      <w:bookmarkEnd w:id="1332"/>
      <w:r>
        <w:t xml:space="preserve">: </w:t>
      </w:r>
      <w:r w:rsidRPr="0069516C">
        <w:t>Exposures for professional users of SGARs using loose bait products in refillable bait stations</w:t>
      </w:r>
      <w:bookmarkEnd w:id="1333"/>
      <w:bookmarkEnd w:id="133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61"/>
        <w:gridCol w:w="2149"/>
        <w:gridCol w:w="1985"/>
        <w:gridCol w:w="1416"/>
      </w:tblGrid>
      <w:tr w:rsidR="001D2ED4" w14:paraId="0FA7BD36" w14:textId="77777777" w:rsidTr="0017134F">
        <w:trPr>
          <w:cantSplit/>
          <w:tblHeader/>
        </w:trPr>
        <w:tc>
          <w:tcPr>
            <w:tcW w:w="2127" w:type="dxa"/>
            <w:shd w:val="clear" w:color="auto" w:fill="53284F"/>
          </w:tcPr>
          <w:p w14:paraId="4DEC3F35" w14:textId="77777777" w:rsidR="00607CB8" w:rsidRPr="00EF1CAB" w:rsidRDefault="00607CB8" w:rsidP="00BA7F4F">
            <w:pPr>
              <w:pStyle w:val="TableHead"/>
            </w:pPr>
            <w:r w:rsidRPr="00EF1CAB">
              <w:t>Active constituent</w:t>
            </w:r>
          </w:p>
        </w:tc>
        <w:tc>
          <w:tcPr>
            <w:tcW w:w="1961" w:type="dxa"/>
            <w:shd w:val="clear" w:color="auto" w:fill="53284F"/>
          </w:tcPr>
          <w:p w14:paraId="7B41BBCD" w14:textId="77777777" w:rsidR="00607CB8" w:rsidRPr="00EF1CAB" w:rsidRDefault="00607CB8" w:rsidP="00BA7F4F">
            <w:pPr>
              <w:pStyle w:val="TableHead"/>
            </w:pPr>
            <w:r w:rsidRPr="00EF1CAB">
              <w:t>Application rate</w:t>
            </w:r>
          </w:p>
          <w:p w14:paraId="23CEA8BA" w14:textId="127C6762" w:rsidR="00607CB8" w:rsidRPr="00EF1CAB" w:rsidRDefault="00607CB8" w:rsidP="00BA7F4F">
            <w:pPr>
              <w:pStyle w:val="TableHead"/>
            </w:pPr>
            <w:r>
              <w:t>m</w:t>
            </w:r>
            <w:r w:rsidRPr="00EF1CAB">
              <w:t>g a</w:t>
            </w:r>
            <w:r w:rsidR="00C874AD">
              <w:t>.</w:t>
            </w:r>
            <w:r>
              <w:t>c</w:t>
            </w:r>
            <w:r w:rsidR="00C874AD">
              <w:t>.</w:t>
            </w:r>
            <w:r w:rsidRPr="00EF1CAB">
              <w:t>/station</w:t>
            </w:r>
          </w:p>
        </w:tc>
        <w:tc>
          <w:tcPr>
            <w:tcW w:w="2149" w:type="dxa"/>
            <w:shd w:val="clear" w:color="auto" w:fill="53284F"/>
          </w:tcPr>
          <w:p w14:paraId="07D0970D" w14:textId="41D5CCBB" w:rsidR="00607CB8" w:rsidRPr="00EF1CAB" w:rsidRDefault="00607CB8" w:rsidP="00BA7F4F">
            <w:pPr>
              <w:pStyle w:val="TableHead"/>
            </w:pPr>
            <w:r w:rsidRPr="00EF1CAB">
              <w:t>MOE</w:t>
            </w:r>
            <w:r w:rsidR="001D2ED4">
              <w:t xml:space="preserve"> </w:t>
            </w:r>
            <w:r>
              <w:t>Hand dispersal</w:t>
            </w:r>
          </w:p>
        </w:tc>
        <w:tc>
          <w:tcPr>
            <w:tcW w:w="1985" w:type="dxa"/>
            <w:shd w:val="clear" w:color="auto" w:fill="53284F"/>
          </w:tcPr>
          <w:p w14:paraId="65B9E54E" w14:textId="66621B9D" w:rsidR="00607CB8" w:rsidRPr="00EF1CAB" w:rsidRDefault="00607CB8" w:rsidP="00BA7F4F">
            <w:pPr>
              <w:pStyle w:val="TableHead"/>
            </w:pPr>
            <w:r>
              <w:t>MOE</w:t>
            </w:r>
            <w:r w:rsidR="001D2ED4">
              <w:t xml:space="preserve"> </w:t>
            </w:r>
            <w:r>
              <w:t>Using cup</w:t>
            </w:r>
          </w:p>
        </w:tc>
        <w:tc>
          <w:tcPr>
            <w:tcW w:w="1416" w:type="dxa"/>
            <w:shd w:val="clear" w:color="auto" w:fill="53284F"/>
          </w:tcPr>
          <w:p w14:paraId="279EBC3A" w14:textId="77777777" w:rsidR="00607CB8" w:rsidRPr="00EF1CAB" w:rsidRDefault="00607CB8" w:rsidP="00BA7F4F">
            <w:pPr>
              <w:pStyle w:val="TableHead"/>
            </w:pPr>
            <w:r w:rsidRPr="00EF1CAB">
              <w:t>Level of PPE</w:t>
            </w:r>
          </w:p>
        </w:tc>
      </w:tr>
      <w:tr w:rsidR="00EB333A" w14:paraId="3CBD8CBF" w14:textId="77777777" w:rsidTr="007F331A">
        <w:trPr>
          <w:cantSplit/>
          <w:tblHeader/>
        </w:trPr>
        <w:tc>
          <w:tcPr>
            <w:tcW w:w="2127" w:type="dxa"/>
            <w:tcBorders>
              <w:bottom w:val="single" w:sz="4" w:space="0" w:color="auto"/>
            </w:tcBorders>
          </w:tcPr>
          <w:p w14:paraId="311286AD" w14:textId="77777777" w:rsidR="00607CB8" w:rsidRPr="000A59E0" w:rsidRDefault="00607CB8" w:rsidP="00BA7F4F">
            <w:pPr>
              <w:pStyle w:val="TableText"/>
            </w:pPr>
            <w:r w:rsidRPr="000A59E0">
              <w:t>Brodifacoum</w:t>
            </w:r>
          </w:p>
        </w:tc>
        <w:tc>
          <w:tcPr>
            <w:tcW w:w="1961" w:type="dxa"/>
            <w:tcBorders>
              <w:bottom w:val="single" w:sz="4" w:space="0" w:color="auto"/>
            </w:tcBorders>
          </w:tcPr>
          <w:p w14:paraId="2EC56E52" w14:textId="77777777" w:rsidR="00607CB8" w:rsidRPr="000A59E0" w:rsidRDefault="00607CB8" w:rsidP="00BA7F4F">
            <w:pPr>
              <w:pStyle w:val="TableText"/>
            </w:pPr>
            <w:r w:rsidRPr="000A59E0">
              <w:t>10</w:t>
            </w:r>
          </w:p>
        </w:tc>
        <w:tc>
          <w:tcPr>
            <w:tcW w:w="2149" w:type="dxa"/>
            <w:tcBorders>
              <w:bottom w:val="single" w:sz="4" w:space="0" w:color="auto"/>
            </w:tcBorders>
          </w:tcPr>
          <w:p w14:paraId="6726009A" w14:textId="77777777" w:rsidR="00607CB8" w:rsidRPr="00BA581E" w:rsidRDefault="00607CB8" w:rsidP="00BA7F4F">
            <w:pPr>
              <w:pStyle w:val="TableText"/>
            </w:pPr>
            <w:r w:rsidRPr="00BA581E">
              <w:t>16</w:t>
            </w:r>
          </w:p>
        </w:tc>
        <w:tc>
          <w:tcPr>
            <w:tcW w:w="1985" w:type="dxa"/>
            <w:tcBorders>
              <w:bottom w:val="single" w:sz="4" w:space="0" w:color="auto"/>
            </w:tcBorders>
          </w:tcPr>
          <w:p w14:paraId="37F1F25B" w14:textId="77777777" w:rsidR="00607CB8" w:rsidRDefault="00607CB8" w:rsidP="00BA7F4F">
            <w:pPr>
              <w:pStyle w:val="TableText"/>
            </w:pPr>
            <w:r>
              <w:t>8 900</w:t>
            </w:r>
          </w:p>
        </w:tc>
        <w:tc>
          <w:tcPr>
            <w:tcW w:w="1416" w:type="dxa"/>
            <w:tcBorders>
              <w:bottom w:val="single" w:sz="4" w:space="0" w:color="auto"/>
            </w:tcBorders>
          </w:tcPr>
          <w:p w14:paraId="57EB61CD" w14:textId="77777777" w:rsidR="00607CB8" w:rsidRPr="000A59E0" w:rsidRDefault="00607CB8" w:rsidP="00BA7F4F">
            <w:pPr>
              <w:pStyle w:val="TableText"/>
            </w:pPr>
            <w:r>
              <w:t>S</w:t>
            </w:r>
            <w:r w:rsidRPr="000A59E0">
              <w:t>L/G</w:t>
            </w:r>
          </w:p>
        </w:tc>
      </w:tr>
      <w:tr w:rsidR="00EB333A" w14:paraId="0578881B" w14:textId="77777777" w:rsidTr="007F331A">
        <w:trPr>
          <w:cantSplit/>
          <w:tblHeader/>
        </w:trPr>
        <w:tc>
          <w:tcPr>
            <w:tcW w:w="2127" w:type="dxa"/>
            <w:tcBorders>
              <w:top w:val="single" w:sz="4" w:space="0" w:color="auto"/>
              <w:bottom w:val="single" w:sz="4" w:space="0" w:color="auto"/>
            </w:tcBorders>
          </w:tcPr>
          <w:p w14:paraId="218604E6" w14:textId="77777777" w:rsidR="00607CB8" w:rsidRPr="008D041D" w:rsidRDefault="00607CB8" w:rsidP="00BA7F4F">
            <w:pPr>
              <w:pStyle w:val="TableText"/>
            </w:pPr>
            <w:r w:rsidRPr="00471CC6">
              <w:t>Bromadiolone</w:t>
            </w:r>
          </w:p>
        </w:tc>
        <w:tc>
          <w:tcPr>
            <w:tcW w:w="1961" w:type="dxa"/>
            <w:tcBorders>
              <w:top w:val="single" w:sz="4" w:space="0" w:color="auto"/>
              <w:bottom w:val="single" w:sz="4" w:space="0" w:color="auto"/>
            </w:tcBorders>
          </w:tcPr>
          <w:p w14:paraId="2D76A061" w14:textId="77777777" w:rsidR="00607CB8" w:rsidRPr="008D041D" w:rsidRDefault="00607CB8" w:rsidP="00BA7F4F">
            <w:pPr>
              <w:pStyle w:val="TableText"/>
            </w:pPr>
            <w:r w:rsidRPr="00471CC6">
              <w:t>22.5</w:t>
            </w:r>
          </w:p>
        </w:tc>
        <w:tc>
          <w:tcPr>
            <w:tcW w:w="2149" w:type="dxa"/>
            <w:tcBorders>
              <w:top w:val="single" w:sz="4" w:space="0" w:color="auto"/>
              <w:bottom w:val="single" w:sz="4" w:space="0" w:color="auto"/>
            </w:tcBorders>
          </w:tcPr>
          <w:p w14:paraId="3AF38540" w14:textId="77777777" w:rsidR="00607CB8" w:rsidRPr="00BA581E" w:rsidRDefault="00607CB8" w:rsidP="00BA7F4F">
            <w:pPr>
              <w:pStyle w:val="TableText"/>
            </w:pPr>
            <w:r>
              <w:t>3.6</w:t>
            </w:r>
          </w:p>
        </w:tc>
        <w:tc>
          <w:tcPr>
            <w:tcW w:w="1985" w:type="dxa"/>
            <w:tcBorders>
              <w:top w:val="single" w:sz="4" w:space="0" w:color="auto"/>
              <w:bottom w:val="single" w:sz="4" w:space="0" w:color="auto"/>
            </w:tcBorders>
          </w:tcPr>
          <w:p w14:paraId="2B4BC430" w14:textId="77777777" w:rsidR="00607CB8" w:rsidRDefault="00607CB8" w:rsidP="00BA7F4F">
            <w:pPr>
              <w:pStyle w:val="TableText"/>
            </w:pPr>
            <w:r>
              <w:t>1 900</w:t>
            </w:r>
          </w:p>
        </w:tc>
        <w:tc>
          <w:tcPr>
            <w:tcW w:w="1416" w:type="dxa"/>
            <w:tcBorders>
              <w:top w:val="single" w:sz="4" w:space="0" w:color="auto"/>
              <w:bottom w:val="single" w:sz="4" w:space="0" w:color="auto"/>
            </w:tcBorders>
          </w:tcPr>
          <w:p w14:paraId="14B23A69" w14:textId="77777777" w:rsidR="00607CB8" w:rsidRPr="008D041D" w:rsidRDefault="00607CB8" w:rsidP="00BA7F4F">
            <w:pPr>
              <w:pStyle w:val="TableText"/>
            </w:pPr>
            <w:r>
              <w:t>S</w:t>
            </w:r>
            <w:r w:rsidRPr="000A59E0">
              <w:t>L/G</w:t>
            </w:r>
          </w:p>
        </w:tc>
      </w:tr>
      <w:tr w:rsidR="00EB333A" w14:paraId="3BCC9F41" w14:textId="77777777" w:rsidTr="007F331A">
        <w:trPr>
          <w:cantSplit/>
          <w:tblHeader/>
        </w:trPr>
        <w:tc>
          <w:tcPr>
            <w:tcW w:w="2127" w:type="dxa"/>
            <w:tcBorders>
              <w:top w:val="single" w:sz="4" w:space="0" w:color="auto"/>
              <w:bottom w:val="single" w:sz="4" w:space="0" w:color="auto"/>
            </w:tcBorders>
          </w:tcPr>
          <w:p w14:paraId="4797C3BA" w14:textId="77777777" w:rsidR="00607CB8" w:rsidRPr="008D041D" w:rsidRDefault="00607CB8" w:rsidP="00BA7F4F">
            <w:pPr>
              <w:pStyle w:val="TableText"/>
            </w:pPr>
            <w:r>
              <w:t>Difenacoum</w:t>
            </w:r>
          </w:p>
        </w:tc>
        <w:tc>
          <w:tcPr>
            <w:tcW w:w="1961" w:type="dxa"/>
            <w:tcBorders>
              <w:top w:val="single" w:sz="4" w:space="0" w:color="auto"/>
              <w:bottom w:val="single" w:sz="4" w:space="0" w:color="auto"/>
            </w:tcBorders>
          </w:tcPr>
          <w:p w14:paraId="243C92CF" w14:textId="77777777" w:rsidR="00607CB8" w:rsidRPr="008D041D" w:rsidRDefault="00607CB8" w:rsidP="00BA7F4F">
            <w:pPr>
              <w:pStyle w:val="TableText"/>
            </w:pPr>
            <w:r>
              <w:t>10</w:t>
            </w:r>
          </w:p>
        </w:tc>
        <w:tc>
          <w:tcPr>
            <w:tcW w:w="2149" w:type="dxa"/>
            <w:tcBorders>
              <w:top w:val="single" w:sz="4" w:space="0" w:color="auto"/>
              <w:bottom w:val="single" w:sz="4" w:space="0" w:color="auto"/>
            </w:tcBorders>
          </w:tcPr>
          <w:p w14:paraId="42D8D9AE" w14:textId="77777777" w:rsidR="00607CB8" w:rsidRPr="00BA581E" w:rsidRDefault="00607CB8" w:rsidP="00BA7F4F">
            <w:pPr>
              <w:pStyle w:val="TableText"/>
            </w:pPr>
            <w:r>
              <w:t>16</w:t>
            </w:r>
          </w:p>
        </w:tc>
        <w:tc>
          <w:tcPr>
            <w:tcW w:w="1985" w:type="dxa"/>
            <w:tcBorders>
              <w:top w:val="single" w:sz="4" w:space="0" w:color="auto"/>
              <w:bottom w:val="single" w:sz="4" w:space="0" w:color="auto"/>
            </w:tcBorders>
          </w:tcPr>
          <w:p w14:paraId="1423B0D2" w14:textId="77777777" w:rsidR="00607CB8" w:rsidRDefault="00607CB8" w:rsidP="00BA7F4F">
            <w:pPr>
              <w:pStyle w:val="TableText"/>
            </w:pPr>
            <w:r>
              <w:t>8 900</w:t>
            </w:r>
          </w:p>
        </w:tc>
        <w:tc>
          <w:tcPr>
            <w:tcW w:w="1416" w:type="dxa"/>
            <w:tcBorders>
              <w:top w:val="single" w:sz="4" w:space="0" w:color="auto"/>
              <w:bottom w:val="single" w:sz="4" w:space="0" w:color="auto"/>
            </w:tcBorders>
          </w:tcPr>
          <w:p w14:paraId="38431C24" w14:textId="77777777" w:rsidR="00607CB8" w:rsidRPr="008D041D" w:rsidRDefault="00607CB8" w:rsidP="00BA7F4F">
            <w:pPr>
              <w:pStyle w:val="TableText"/>
            </w:pPr>
            <w:r>
              <w:t>S</w:t>
            </w:r>
            <w:r w:rsidRPr="000A59E0">
              <w:t>L/G</w:t>
            </w:r>
          </w:p>
        </w:tc>
      </w:tr>
      <w:tr w:rsidR="00EB333A" w14:paraId="5D0BE8B1" w14:textId="77777777" w:rsidTr="007F331A">
        <w:trPr>
          <w:cantSplit/>
          <w:tblHeader/>
        </w:trPr>
        <w:tc>
          <w:tcPr>
            <w:tcW w:w="2127" w:type="dxa"/>
            <w:tcBorders>
              <w:top w:val="single" w:sz="4" w:space="0" w:color="auto"/>
              <w:bottom w:val="single" w:sz="4" w:space="0" w:color="auto"/>
            </w:tcBorders>
          </w:tcPr>
          <w:p w14:paraId="40A11F38" w14:textId="77777777" w:rsidR="00607CB8" w:rsidRDefault="00607CB8" w:rsidP="00BA7F4F">
            <w:pPr>
              <w:pStyle w:val="TableText"/>
            </w:pPr>
            <w:r>
              <w:t>Difethialone</w:t>
            </w:r>
          </w:p>
        </w:tc>
        <w:tc>
          <w:tcPr>
            <w:tcW w:w="1961" w:type="dxa"/>
            <w:tcBorders>
              <w:top w:val="single" w:sz="4" w:space="0" w:color="auto"/>
              <w:bottom w:val="single" w:sz="4" w:space="0" w:color="auto"/>
            </w:tcBorders>
          </w:tcPr>
          <w:p w14:paraId="00377773" w14:textId="77777777" w:rsidR="00607CB8" w:rsidRPr="008D041D" w:rsidRDefault="00607CB8" w:rsidP="00BA7F4F">
            <w:pPr>
              <w:pStyle w:val="TableText"/>
            </w:pPr>
            <w:r>
              <w:t>4</w:t>
            </w:r>
          </w:p>
        </w:tc>
        <w:tc>
          <w:tcPr>
            <w:tcW w:w="2149" w:type="dxa"/>
            <w:tcBorders>
              <w:top w:val="single" w:sz="4" w:space="0" w:color="auto"/>
              <w:bottom w:val="single" w:sz="4" w:space="0" w:color="auto"/>
            </w:tcBorders>
          </w:tcPr>
          <w:p w14:paraId="6AEE1605" w14:textId="77777777" w:rsidR="00607CB8" w:rsidRPr="00BA581E" w:rsidRDefault="00607CB8" w:rsidP="00BA7F4F">
            <w:pPr>
              <w:pStyle w:val="TableText"/>
            </w:pPr>
            <w:r>
              <w:t>50</w:t>
            </w:r>
          </w:p>
        </w:tc>
        <w:tc>
          <w:tcPr>
            <w:tcW w:w="1985" w:type="dxa"/>
            <w:tcBorders>
              <w:top w:val="single" w:sz="4" w:space="0" w:color="auto"/>
              <w:bottom w:val="single" w:sz="4" w:space="0" w:color="auto"/>
            </w:tcBorders>
          </w:tcPr>
          <w:p w14:paraId="4ACFB434" w14:textId="77777777" w:rsidR="00607CB8" w:rsidRDefault="00607CB8" w:rsidP="00BA7F4F">
            <w:pPr>
              <w:pStyle w:val="TableText"/>
            </w:pPr>
            <w:r>
              <w:t>28 000</w:t>
            </w:r>
          </w:p>
        </w:tc>
        <w:tc>
          <w:tcPr>
            <w:tcW w:w="1416" w:type="dxa"/>
            <w:tcBorders>
              <w:top w:val="single" w:sz="4" w:space="0" w:color="auto"/>
              <w:bottom w:val="single" w:sz="4" w:space="0" w:color="auto"/>
            </w:tcBorders>
          </w:tcPr>
          <w:p w14:paraId="1D4116D2" w14:textId="77777777" w:rsidR="00607CB8" w:rsidRPr="008D041D" w:rsidRDefault="00607CB8" w:rsidP="00BA7F4F">
            <w:pPr>
              <w:pStyle w:val="TableText"/>
            </w:pPr>
            <w:r>
              <w:t>S</w:t>
            </w:r>
            <w:r w:rsidRPr="0018458E">
              <w:t>L/G</w:t>
            </w:r>
          </w:p>
        </w:tc>
      </w:tr>
      <w:tr w:rsidR="00EB333A" w14:paraId="6CF9F162" w14:textId="77777777" w:rsidTr="007F331A">
        <w:trPr>
          <w:cantSplit/>
          <w:tblHeader/>
        </w:trPr>
        <w:tc>
          <w:tcPr>
            <w:tcW w:w="2127" w:type="dxa"/>
            <w:tcBorders>
              <w:top w:val="single" w:sz="4" w:space="0" w:color="auto"/>
              <w:bottom w:val="single" w:sz="4" w:space="0" w:color="auto"/>
            </w:tcBorders>
          </w:tcPr>
          <w:p w14:paraId="77913A24" w14:textId="77777777" w:rsidR="00607CB8" w:rsidRDefault="00607CB8" w:rsidP="00BA7F4F">
            <w:pPr>
              <w:pStyle w:val="TableText"/>
            </w:pPr>
            <w:r>
              <w:t>Flocoumafen</w:t>
            </w:r>
          </w:p>
        </w:tc>
        <w:tc>
          <w:tcPr>
            <w:tcW w:w="1961" w:type="dxa"/>
            <w:tcBorders>
              <w:top w:val="single" w:sz="4" w:space="0" w:color="auto"/>
              <w:bottom w:val="single" w:sz="4" w:space="0" w:color="auto"/>
            </w:tcBorders>
          </w:tcPr>
          <w:p w14:paraId="19706560" w14:textId="77777777" w:rsidR="00607CB8" w:rsidRPr="008D041D" w:rsidRDefault="00607CB8" w:rsidP="00BA7F4F">
            <w:pPr>
              <w:pStyle w:val="TableText"/>
            </w:pPr>
            <w:r>
              <w:t>4</w:t>
            </w:r>
          </w:p>
        </w:tc>
        <w:tc>
          <w:tcPr>
            <w:tcW w:w="2149" w:type="dxa"/>
            <w:tcBorders>
              <w:top w:val="single" w:sz="4" w:space="0" w:color="auto"/>
              <w:bottom w:val="single" w:sz="4" w:space="0" w:color="auto"/>
            </w:tcBorders>
          </w:tcPr>
          <w:p w14:paraId="07EDD5BE" w14:textId="77777777" w:rsidR="00607CB8" w:rsidRPr="00BA581E" w:rsidRDefault="00607CB8" w:rsidP="00BA7F4F">
            <w:pPr>
              <w:pStyle w:val="TableText"/>
            </w:pPr>
            <w:r>
              <w:t>57</w:t>
            </w:r>
          </w:p>
        </w:tc>
        <w:tc>
          <w:tcPr>
            <w:tcW w:w="1985" w:type="dxa"/>
            <w:tcBorders>
              <w:top w:val="single" w:sz="4" w:space="0" w:color="auto"/>
              <w:bottom w:val="single" w:sz="4" w:space="0" w:color="auto"/>
            </w:tcBorders>
          </w:tcPr>
          <w:p w14:paraId="4A2D8089" w14:textId="77777777" w:rsidR="00607CB8" w:rsidRDefault="00607CB8" w:rsidP="00BA7F4F">
            <w:pPr>
              <w:pStyle w:val="TableText"/>
            </w:pPr>
            <w:r>
              <w:t>31 000</w:t>
            </w:r>
          </w:p>
        </w:tc>
        <w:tc>
          <w:tcPr>
            <w:tcW w:w="1416" w:type="dxa"/>
            <w:tcBorders>
              <w:top w:val="single" w:sz="4" w:space="0" w:color="auto"/>
              <w:bottom w:val="single" w:sz="4" w:space="0" w:color="auto"/>
            </w:tcBorders>
          </w:tcPr>
          <w:p w14:paraId="4EA8EF8B" w14:textId="77777777" w:rsidR="00607CB8" w:rsidRPr="008D041D" w:rsidRDefault="00607CB8" w:rsidP="00BA7F4F">
            <w:pPr>
              <w:pStyle w:val="TableText"/>
            </w:pPr>
            <w:r>
              <w:t>S</w:t>
            </w:r>
            <w:r w:rsidRPr="0018458E">
              <w:t>L/G</w:t>
            </w:r>
          </w:p>
        </w:tc>
      </w:tr>
    </w:tbl>
    <w:p w14:paraId="458ACC06" w14:textId="15E66DDD" w:rsidR="00607CB8" w:rsidRPr="00874FFF" w:rsidRDefault="00607CB8" w:rsidP="007F331A">
      <w:pPr>
        <w:pStyle w:val="APVMASourceTableNote"/>
      </w:pPr>
      <w:r w:rsidRPr="00874FFF">
        <w:t>SL = single layer of clothing, equivalent to a long-sleeve shirt, long pants, shoes and socks; G = gloves</w:t>
      </w:r>
      <w:r w:rsidR="008D06E2">
        <w:t>.</w:t>
      </w:r>
    </w:p>
    <w:p w14:paraId="659B6EBD" w14:textId="179F284A" w:rsidR="009E308B" w:rsidRDefault="009E308B" w:rsidP="00377F3A">
      <w:pPr>
        <w:pStyle w:val="NormalText"/>
        <w:rPr>
          <w:rFonts w:eastAsia="Calibri"/>
        </w:rPr>
      </w:pPr>
      <w:r>
        <w:rPr>
          <w:rFonts w:eastAsia="Calibri"/>
        </w:rPr>
        <w:t xml:space="preserve">MOE values below 1000 </w:t>
      </w:r>
      <w:r w:rsidR="008D06E2">
        <w:rPr>
          <w:rFonts w:eastAsia="Calibri"/>
        </w:rPr>
        <w:t xml:space="preserve">in </w:t>
      </w:r>
      <w:r w:rsidR="008D06E2">
        <w:rPr>
          <w:rFonts w:eastAsia="Calibri"/>
          <w:sz w:val="20"/>
          <w:lang w:val="en-GB"/>
        </w:rPr>
        <w:fldChar w:fldCharType="begin"/>
      </w:r>
      <w:r w:rsidR="008D06E2">
        <w:rPr>
          <w:rFonts w:eastAsia="Calibri"/>
        </w:rPr>
        <w:instrText xml:space="preserve"> REF _Ref206764065 \h </w:instrText>
      </w:r>
      <w:r w:rsidR="00E40973">
        <w:rPr>
          <w:rFonts w:eastAsia="Calibri"/>
          <w:sz w:val="20"/>
          <w:lang w:val="en-GB"/>
        </w:rPr>
        <w:instrText xml:space="preserve"> \* MERGEFORMAT </w:instrText>
      </w:r>
      <w:r w:rsidR="008D06E2">
        <w:rPr>
          <w:rFonts w:eastAsia="Calibri"/>
          <w:sz w:val="20"/>
          <w:lang w:val="en-GB"/>
        </w:rPr>
      </w:r>
      <w:r w:rsidR="008D06E2">
        <w:rPr>
          <w:rFonts w:eastAsia="Calibri"/>
          <w:sz w:val="20"/>
          <w:lang w:val="en-GB"/>
        </w:rPr>
        <w:fldChar w:fldCharType="separate"/>
      </w:r>
      <w:r w:rsidR="003861AC">
        <w:t xml:space="preserve">Table </w:t>
      </w:r>
      <w:r w:rsidR="003861AC">
        <w:rPr>
          <w:noProof/>
        </w:rPr>
        <w:t>64</w:t>
      </w:r>
      <w:r w:rsidR="008D06E2">
        <w:rPr>
          <w:rFonts w:eastAsia="Calibri"/>
          <w:sz w:val="20"/>
          <w:lang w:val="en-GB"/>
        </w:rPr>
        <w:fldChar w:fldCharType="end"/>
      </w:r>
      <w:r w:rsidR="00BB0826">
        <w:rPr>
          <w:rFonts w:eastAsia="Calibri"/>
        </w:rPr>
        <w:t xml:space="preserve"> </w:t>
      </w:r>
      <w:r>
        <w:rPr>
          <w:rFonts w:eastAsia="Calibri"/>
        </w:rPr>
        <w:t>indicate an activity that cannot be supported</w:t>
      </w:r>
      <w:r w:rsidR="00BB0826">
        <w:rPr>
          <w:rFonts w:eastAsia="Calibri"/>
        </w:rPr>
        <w:t>, such as P</w:t>
      </w:r>
      <w:r>
        <w:rPr>
          <w:rFonts w:eastAsia="Calibri"/>
        </w:rPr>
        <w:t>rofessional users l</w:t>
      </w:r>
      <w:r w:rsidR="00607CB8">
        <w:rPr>
          <w:rFonts w:eastAsia="Calibri"/>
        </w:rPr>
        <w:t xml:space="preserve">aying loose </w:t>
      </w:r>
      <w:r>
        <w:rPr>
          <w:rFonts w:eastAsia="Calibri"/>
        </w:rPr>
        <w:t xml:space="preserve">bait or refilling bait </w:t>
      </w:r>
      <w:r w:rsidR="00607CB8" w:rsidRPr="00C15B25">
        <w:rPr>
          <w:rFonts w:eastAsia="Calibri"/>
        </w:rPr>
        <w:t xml:space="preserve">stations </w:t>
      </w:r>
      <w:r w:rsidR="00607CB8">
        <w:rPr>
          <w:rFonts w:eastAsia="Calibri"/>
        </w:rPr>
        <w:t>by hand</w:t>
      </w:r>
      <w:r>
        <w:rPr>
          <w:rFonts w:eastAsia="Calibri"/>
        </w:rPr>
        <w:t xml:space="preserve">. Using a </w:t>
      </w:r>
      <w:r w:rsidR="00607CB8">
        <w:rPr>
          <w:rFonts w:eastAsia="Calibri"/>
        </w:rPr>
        <w:t>cup</w:t>
      </w:r>
      <w:r>
        <w:rPr>
          <w:rFonts w:eastAsia="Calibri"/>
        </w:rPr>
        <w:t xml:space="preserve">, </w:t>
      </w:r>
      <w:r w:rsidR="00607CB8">
        <w:rPr>
          <w:rFonts w:eastAsia="Calibri"/>
        </w:rPr>
        <w:t>scoop</w:t>
      </w:r>
      <w:r>
        <w:rPr>
          <w:rFonts w:eastAsia="Calibri"/>
        </w:rPr>
        <w:t xml:space="preserve">, or </w:t>
      </w:r>
      <w:r w:rsidR="00607CB8">
        <w:rPr>
          <w:rFonts w:eastAsia="Calibri"/>
        </w:rPr>
        <w:t>measure</w:t>
      </w:r>
      <w:r>
        <w:rPr>
          <w:rFonts w:eastAsia="Calibri"/>
        </w:rPr>
        <w:t xml:space="preserve"> to conduct these activities results in </w:t>
      </w:r>
      <w:r w:rsidR="00607CB8">
        <w:rPr>
          <w:rFonts w:eastAsia="Calibri"/>
        </w:rPr>
        <w:t xml:space="preserve">MOEs </w:t>
      </w:r>
      <w:r>
        <w:rPr>
          <w:rFonts w:eastAsia="Calibri"/>
        </w:rPr>
        <w:t xml:space="preserve">that </w:t>
      </w:r>
      <w:r w:rsidR="00607CB8">
        <w:rPr>
          <w:rFonts w:eastAsia="Calibri"/>
        </w:rPr>
        <w:t xml:space="preserve">are </w:t>
      </w:r>
      <w:r>
        <w:rPr>
          <w:rFonts w:eastAsia="Calibri"/>
        </w:rPr>
        <w:t>acceptable for occupational handlers of anticoagulant rodenticides.</w:t>
      </w:r>
    </w:p>
    <w:p w14:paraId="3D56BDB1" w14:textId="77777777" w:rsidR="00607CB8" w:rsidRPr="005B1AAF" w:rsidRDefault="00607CB8" w:rsidP="00BD2F8D">
      <w:pPr>
        <w:pStyle w:val="Heading3"/>
      </w:pPr>
      <w:bookmarkStart w:id="1335" w:name="_Toc214025514"/>
      <w:bookmarkStart w:id="1336" w:name="_Toc216695598"/>
      <w:r w:rsidRPr="005B1AAF">
        <w:t>Non-professional users</w:t>
      </w:r>
      <w:bookmarkEnd w:id="1335"/>
      <w:bookmarkEnd w:id="1336"/>
    </w:p>
    <w:p w14:paraId="43B7FF19" w14:textId="49799667" w:rsidR="00607CB8" w:rsidRDefault="009E308B" w:rsidP="00CB467B">
      <w:pPr>
        <w:pStyle w:val="NormalText"/>
        <w:rPr>
          <w:rFonts w:eastAsia="Calibri"/>
          <w:color w:val="353735" w:themeColor="text1"/>
        </w:rPr>
      </w:pPr>
      <w:r>
        <w:t>E</w:t>
      </w:r>
      <w:r w:rsidR="00607CB8" w:rsidRPr="006B30E8">
        <w:rPr>
          <w:rFonts w:eastAsia="Calibri"/>
        </w:rPr>
        <w:t xml:space="preserve">xposure </w:t>
      </w:r>
      <w:r>
        <w:rPr>
          <w:rFonts w:eastAsia="Calibri"/>
        </w:rPr>
        <w:t>e</w:t>
      </w:r>
      <w:r w:rsidR="00607CB8">
        <w:rPr>
          <w:rFonts w:eastAsia="Calibri"/>
        </w:rPr>
        <w:t xml:space="preserve">stimates </w:t>
      </w:r>
      <w:r>
        <w:rPr>
          <w:rFonts w:eastAsia="Calibri"/>
        </w:rPr>
        <w:t xml:space="preserve">for </w:t>
      </w:r>
      <w:r w:rsidR="00607CB8">
        <w:rPr>
          <w:rFonts w:eastAsia="Calibri"/>
        </w:rPr>
        <w:t>FGARs and SGARs</w:t>
      </w:r>
      <w:r w:rsidR="00607CB8" w:rsidRPr="006B30E8">
        <w:rPr>
          <w:rFonts w:eastAsia="Calibri"/>
        </w:rPr>
        <w:t xml:space="preserve"> in domestic </w:t>
      </w:r>
      <w:r w:rsidR="00607CB8">
        <w:rPr>
          <w:rFonts w:eastAsia="Calibri"/>
        </w:rPr>
        <w:t xml:space="preserve">situations </w:t>
      </w:r>
      <w:r w:rsidR="00607CB8" w:rsidRPr="006B30E8">
        <w:rPr>
          <w:rFonts w:eastAsia="Calibri"/>
        </w:rPr>
        <w:t xml:space="preserve">was undertaken using </w:t>
      </w:r>
      <w:r w:rsidR="00607CB8" w:rsidRPr="006B30E8">
        <w:t>US EPA’s Standard Operating Procedures for Residential Pesticide Exposure Assessment- Residential Handler SOP Calculator</w:t>
      </w:r>
      <w:r w:rsidR="00607CB8" w:rsidRPr="006B30E8">
        <w:rPr>
          <w:rFonts w:eastAsia="Calibri"/>
        </w:rPr>
        <w:t xml:space="preserve">. </w:t>
      </w:r>
      <w:r>
        <w:rPr>
          <w:rFonts w:eastAsia="Calibri"/>
          <w:color w:val="353735" w:themeColor="text1"/>
        </w:rPr>
        <w:t>F</w:t>
      </w:r>
      <w:r w:rsidR="00607CB8" w:rsidRPr="006B30E8">
        <w:rPr>
          <w:rFonts w:eastAsia="Calibri"/>
          <w:color w:val="353735" w:themeColor="text1"/>
        </w:rPr>
        <w:t>indings are presented below.</w:t>
      </w:r>
    </w:p>
    <w:p w14:paraId="014DBD66" w14:textId="2B72EC10" w:rsidR="00280D4A" w:rsidRDefault="00280D4A" w:rsidP="00BD2F8D">
      <w:pPr>
        <w:pStyle w:val="Caption"/>
      </w:pPr>
      <w:bookmarkStart w:id="1337" w:name="_Toc213946041"/>
      <w:bookmarkStart w:id="1338" w:name="_Toc216695727"/>
      <w:r>
        <w:t xml:space="preserve">Table </w:t>
      </w:r>
      <w:r>
        <w:fldChar w:fldCharType="begin"/>
      </w:r>
      <w:r>
        <w:instrText xml:space="preserve"> SEQ Table \* ARABIC </w:instrText>
      </w:r>
      <w:r>
        <w:fldChar w:fldCharType="separate"/>
      </w:r>
      <w:r w:rsidR="003861AC">
        <w:rPr>
          <w:noProof/>
        </w:rPr>
        <w:t>65</w:t>
      </w:r>
      <w:r>
        <w:fldChar w:fldCharType="end"/>
      </w:r>
      <w:r>
        <w:t xml:space="preserve">: </w:t>
      </w:r>
      <w:r w:rsidRPr="004C7724">
        <w:t>Exposures for non-professional users of FGAR loose bait products.</w:t>
      </w:r>
      <w:bookmarkEnd w:id="1337"/>
      <w:bookmarkEnd w:id="1338"/>
    </w:p>
    <w:tbl>
      <w:tblPr>
        <w:tblStyle w:val="TableGrid"/>
        <w:tblW w:w="5000" w:type="pct"/>
        <w:tblLook w:val="04A0" w:firstRow="1" w:lastRow="0" w:firstColumn="1" w:lastColumn="0" w:noHBand="0" w:noVBand="1"/>
      </w:tblPr>
      <w:tblGrid>
        <w:gridCol w:w="3901"/>
        <w:gridCol w:w="3861"/>
        <w:gridCol w:w="1866"/>
      </w:tblGrid>
      <w:tr w:rsidR="00607CB8" w14:paraId="2A63D5F2" w14:textId="77777777" w:rsidTr="0017134F">
        <w:trPr>
          <w:trHeight w:hRule="exact" w:val="397"/>
        </w:trPr>
        <w:tc>
          <w:tcPr>
            <w:tcW w:w="2026" w:type="pct"/>
            <w:tcBorders>
              <w:bottom w:val="nil"/>
            </w:tcBorders>
            <w:shd w:val="clear" w:color="auto" w:fill="53284F"/>
          </w:tcPr>
          <w:p w14:paraId="2D13E0CB" w14:textId="77777777" w:rsidR="00607CB8" w:rsidRPr="003C71B6" w:rsidRDefault="00607CB8" w:rsidP="00BA7F4F">
            <w:pPr>
              <w:pStyle w:val="TableHead"/>
            </w:pPr>
            <w:r w:rsidRPr="003C71B6">
              <w:t>Active constituent</w:t>
            </w:r>
          </w:p>
        </w:tc>
        <w:tc>
          <w:tcPr>
            <w:tcW w:w="2005" w:type="pct"/>
            <w:tcBorders>
              <w:bottom w:val="nil"/>
            </w:tcBorders>
            <w:shd w:val="clear" w:color="auto" w:fill="53284F"/>
          </w:tcPr>
          <w:p w14:paraId="6EA38E21" w14:textId="3BFF1BF7" w:rsidR="00607CB8" w:rsidRPr="003C71B6" w:rsidRDefault="00607CB8" w:rsidP="00BA7F4F">
            <w:pPr>
              <w:pStyle w:val="TableHead"/>
            </w:pPr>
            <w:r w:rsidRPr="003A1B63">
              <w:t>mg a</w:t>
            </w:r>
            <w:r w:rsidR="00C874AD">
              <w:t>.</w:t>
            </w:r>
            <w:r w:rsidRPr="003A1B63">
              <w:t>c</w:t>
            </w:r>
            <w:r w:rsidR="00C874AD">
              <w:t>.</w:t>
            </w:r>
            <w:r w:rsidRPr="003A1B63">
              <w:t>/station</w:t>
            </w:r>
          </w:p>
        </w:tc>
        <w:tc>
          <w:tcPr>
            <w:tcW w:w="969" w:type="pct"/>
            <w:tcBorders>
              <w:bottom w:val="nil"/>
            </w:tcBorders>
            <w:shd w:val="clear" w:color="auto" w:fill="53284F"/>
          </w:tcPr>
          <w:p w14:paraId="139085A5" w14:textId="77777777" w:rsidR="00607CB8" w:rsidRPr="003C71B6" w:rsidRDefault="00607CB8" w:rsidP="00BA7F4F">
            <w:pPr>
              <w:pStyle w:val="TableHead"/>
            </w:pPr>
            <w:r w:rsidRPr="003C71B6">
              <w:t>MOE</w:t>
            </w:r>
          </w:p>
        </w:tc>
      </w:tr>
      <w:tr w:rsidR="00607CB8" w14:paraId="0987FAEC" w14:textId="77777777" w:rsidTr="00BD2F8D">
        <w:trPr>
          <w:trHeight w:hRule="exact" w:val="397"/>
        </w:trPr>
        <w:tc>
          <w:tcPr>
            <w:tcW w:w="2026" w:type="pct"/>
            <w:tcBorders>
              <w:top w:val="nil"/>
              <w:left w:val="nil"/>
              <w:bottom w:val="single" w:sz="4" w:space="0" w:color="auto"/>
              <w:right w:val="nil"/>
            </w:tcBorders>
            <w:vAlign w:val="center"/>
          </w:tcPr>
          <w:p w14:paraId="531377EF" w14:textId="77777777" w:rsidR="00607CB8" w:rsidRPr="003E46A9" w:rsidRDefault="00607CB8" w:rsidP="00BA7F4F">
            <w:pPr>
              <w:pStyle w:val="TableText"/>
            </w:pPr>
            <w:r w:rsidRPr="003E46A9">
              <w:t>Coumatetralyl</w:t>
            </w:r>
          </w:p>
        </w:tc>
        <w:tc>
          <w:tcPr>
            <w:tcW w:w="2005" w:type="pct"/>
            <w:tcBorders>
              <w:top w:val="nil"/>
              <w:left w:val="nil"/>
              <w:bottom w:val="single" w:sz="4" w:space="0" w:color="auto"/>
              <w:right w:val="nil"/>
            </w:tcBorders>
            <w:vAlign w:val="center"/>
          </w:tcPr>
          <w:p w14:paraId="2CECEF8E" w14:textId="77777777" w:rsidR="00607CB8" w:rsidRPr="009A1407" w:rsidRDefault="00607CB8" w:rsidP="00BA7F4F">
            <w:pPr>
              <w:pStyle w:val="TableText"/>
            </w:pPr>
            <w:r w:rsidRPr="0018458E">
              <w:t>22.9</w:t>
            </w:r>
          </w:p>
        </w:tc>
        <w:tc>
          <w:tcPr>
            <w:tcW w:w="969" w:type="pct"/>
            <w:tcBorders>
              <w:top w:val="nil"/>
              <w:left w:val="nil"/>
              <w:bottom w:val="single" w:sz="4" w:space="0" w:color="auto"/>
              <w:right w:val="nil"/>
            </w:tcBorders>
            <w:vAlign w:val="center"/>
          </w:tcPr>
          <w:p w14:paraId="18AEEB5D" w14:textId="77777777" w:rsidR="00607CB8" w:rsidRPr="003E46A9" w:rsidRDefault="00607CB8" w:rsidP="00BA7F4F">
            <w:pPr>
              <w:pStyle w:val="TableText"/>
            </w:pPr>
            <w:r>
              <w:t>1 300</w:t>
            </w:r>
          </w:p>
        </w:tc>
      </w:tr>
      <w:tr w:rsidR="00607CB8" w14:paraId="4994AA3D" w14:textId="77777777" w:rsidTr="00BD2F8D">
        <w:trPr>
          <w:trHeight w:hRule="exact" w:val="397"/>
        </w:trPr>
        <w:tc>
          <w:tcPr>
            <w:tcW w:w="2026" w:type="pct"/>
            <w:tcBorders>
              <w:top w:val="single" w:sz="4" w:space="0" w:color="auto"/>
              <w:left w:val="nil"/>
              <w:bottom w:val="single" w:sz="4" w:space="0" w:color="auto"/>
              <w:right w:val="nil"/>
            </w:tcBorders>
            <w:vAlign w:val="center"/>
          </w:tcPr>
          <w:p w14:paraId="40B1E2B0" w14:textId="77777777" w:rsidR="00607CB8" w:rsidRPr="003E46A9" w:rsidRDefault="00607CB8" w:rsidP="00BA7F4F">
            <w:pPr>
              <w:pStyle w:val="TableText"/>
            </w:pPr>
            <w:r>
              <w:t>Diphacinone</w:t>
            </w:r>
          </w:p>
        </w:tc>
        <w:tc>
          <w:tcPr>
            <w:tcW w:w="2005" w:type="pct"/>
            <w:tcBorders>
              <w:top w:val="single" w:sz="4" w:space="0" w:color="auto"/>
              <w:left w:val="nil"/>
              <w:bottom w:val="single" w:sz="4" w:space="0" w:color="auto"/>
              <w:right w:val="nil"/>
            </w:tcBorders>
            <w:vAlign w:val="center"/>
          </w:tcPr>
          <w:p w14:paraId="03524133" w14:textId="77777777" w:rsidR="00607CB8" w:rsidRPr="003E46A9" w:rsidRDefault="00607CB8" w:rsidP="00BA7F4F">
            <w:pPr>
              <w:pStyle w:val="TableText"/>
            </w:pPr>
            <w:r w:rsidRPr="008D041D">
              <w:t>22.5</w:t>
            </w:r>
          </w:p>
        </w:tc>
        <w:tc>
          <w:tcPr>
            <w:tcW w:w="969" w:type="pct"/>
            <w:tcBorders>
              <w:top w:val="single" w:sz="4" w:space="0" w:color="auto"/>
              <w:left w:val="nil"/>
              <w:bottom w:val="single" w:sz="4" w:space="0" w:color="auto"/>
              <w:right w:val="nil"/>
            </w:tcBorders>
            <w:vAlign w:val="center"/>
          </w:tcPr>
          <w:p w14:paraId="059BEB0B" w14:textId="77777777" w:rsidR="00607CB8" w:rsidRPr="00000677" w:rsidRDefault="00607CB8" w:rsidP="00BA7F4F">
            <w:pPr>
              <w:pStyle w:val="TableText"/>
            </w:pPr>
            <w:r>
              <w:t>2 200</w:t>
            </w:r>
          </w:p>
        </w:tc>
      </w:tr>
    </w:tbl>
    <w:p w14:paraId="6B51CE3B" w14:textId="1F99BC0F" w:rsidR="00280D4A" w:rsidRDefault="00280D4A" w:rsidP="00BD2F8D">
      <w:pPr>
        <w:pStyle w:val="Caption"/>
      </w:pPr>
      <w:bookmarkStart w:id="1339" w:name="_Ref206768001"/>
      <w:bookmarkStart w:id="1340" w:name="_Toc213946042"/>
      <w:bookmarkStart w:id="1341" w:name="_Toc216695728"/>
      <w:r>
        <w:t xml:space="preserve">Table </w:t>
      </w:r>
      <w:r>
        <w:fldChar w:fldCharType="begin"/>
      </w:r>
      <w:r>
        <w:instrText xml:space="preserve"> SEQ Table \* ARABIC </w:instrText>
      </w:r>
      <w:r>
        <w:fldChar w:fldCharType="separate"/>
      </w:r>
      <w:r w:rsidR="003861AC">
        <w:rPr>
          <w:noProof/>
        </w:rPr>
        <w:t>66</w:t>
      </w:r>
      <w:r>
        <w:fldChar w:fldCharType="end"/>
      </w:r>
      <w:bookmarkEnd w:id="1339"/>
      <w:r>
        <w:t xml:space="preserve">: </w:t>
      </w:r>
      <w:r w:rsidRPr="00F04261">
        <w:t>Exposures for non-professional users of SGAR loose bait products.</w:t>
      </w:r>
      <w:bookmarkEnd w:id="1340"/>
      <w:bookmarkEnd w:id="1341"/>
    </w:p>
    <w:tbl>
      <w:tblPr>
        <w:tblStyle w:val="TableGrid"/>
        <w:tblW w:w="5000" w:type="pct"/>
        <w:tblLook w:val="04A0" w:firstRow="1" w:lastRow="0" w:firstColumn="1" w:lastColumn="0" w:noHBand="0" w:noVBand="1"/>
      </w:tblPr>
      <w:tblGrid>
        <w:gridCol w:w="3880"/>
        <w:gridCol w:w="3882"/>
        <w:gridCol w:w="1866"/>
      </w:tblGrid>
      <w:tr w:rsidR="00607CB8" w14:paraId="33AD7E16" w14:textId="77777777" w:rsidTr="0017134F">
        <w:trPr>
          <w:trHeight w:hRule="exact" w:val="340"/>
        </w:trPr>
        <w:tc>
          <w:tcPr>
            <w:tcW w:w="2015" w:type="pct"/>
            <w:tcBorders>
              <w:bottom w:val="nil"/>
            </w:tcBorders>
            <w:shd w:val="clear" w:color="auto" w:fill="53284F"/>
            <w:vAlign w:val="center"/>
          </w:tcPr>
          <w:p w14:paraId="12413DF1" w14:textId="77777777" w:rsidR="00607CB8" w:rsidRPr="003E46A9" w:rsidRDefault="00607CB8" w:rsidP="00BA7F4F">
            <w:pPr>
              <w:pStyle w:val="TableHead"/>
            </w:pPr>
            <w:r w:rsidRPr="003E46A9">
              <w:t>Active constituent</w:t>
            </w:r>
          </w:p>
        </w:tc>
        <w:tc>
          <w:tcPr>
            <w:tcW w:w="2016" w:type="pct"/>
            <w:tcBorders>
              <w:bottom w:val="nil"/>
            </w:tcBorders>
            <w:shd w:val="clear" w:color="auto" w:fill="53284F"/>
            <w:vAlign w:val="center"/>
          </w:tcPr>
          <w:p w14:paraId="6BF1F2AE" w14:textId="1F6C2DC8" w:rsidR="00607CB8" w:rsidRDefault="00607CB8" w:rsidP="00BA7F4F">
            <w:pPr>
              <w:pStyle w:val="TableHead"/>
            </w:pPr>
            <w:r w:rsidRPr="003A1B63">
              <w:t>mg a</w:t>
            </w:r>
            <w:r w:rsidR="00C874AD">
              <w:t>.</w:t>
            </w:r>
            <w:r w:rsidRPr="003A1B63">
              <w:t>c</w:t>
            </w:r>
            <w:r w:rsidR="00C874AD">
              <w:t>.</w:t>
            </w:r>
            <w:r w:rsidRPr="003A1B63">
              <w:t>/station</w:t>
            </w:r>
          </w:p>
        </w:tc>
        <w:tc>
          <w:tcPr>
            <w:tcW w:w="969" w:type="pct"/>
            <w:tcBorders>
              <w:bottom w:val="nil"/>
            </w:tcBorders>
            <w:shd w:val="clear" w:color="auto" w:fill="53284F"/>
            <w:vAlign w:val="center"/>
          </w:tcPr>
          <w:p w14:paraId="3BF7FCE4" w14:textId="77777777" w:rsidR="00607CB8" w:rsidRPr="003E46A9" w:rsidRDefault="00607CB8" w:rsidP="00BA7F4F">
            <w:pPr>
              <w:pStyle w:val="TableHead"/>
            </w:pPr>
            <w:r w:rsidRPr="003E46A9">
              <w:t>MOE</w:t>
            </w:r>
          </w:p>
        </w:tc>
      </w:tr>
      <w:tr w:rsidR="00607CB8" w14:paraId="2D4B93CB" w14:textId="77777777" w:rsidTr="004B0311">
        <w:trPr>
          <w:trHeight w:hRule="exact" w:val="340"/>
        </w:trPr>
        <w:tc>
          <w:tcPr>
            <w:tcW w:w="2015" w:type="pct"/>
            <w:tcBorders>
              <w:top w:val="nil"/>
              <w:left w:val="nil"/>
              <w:bottom w:val="single" w:sz="4" w:space="0" w:color="auto"/>
              <w:right w:val="nil"/>
            </w:tcBorders>
            <w:vAlign w:val="center"/>
          </w:tcPr>
          <w:p w14:paraId="21CAE1DE" w14:textId="77777777" w:rsidR="00607CB8" w:rsidRPr="004B0311" w:rsidRDefault="00607CB8" w:rsidP="004B0311">
            <w:pPr>
              <w:pStyle w:val="TableText"/>
            </w:pPr>
            <w:r w:rsidRPr="004B0311">
              <w:t>Brodifacoum</w:t>
            </w:r>
          </w:p>
        </w:tc>
        <w:tc>
          <w:tcPr>
            <w:tcW w:w="2016" w:type="pct"/>
            <w:tcBorders>
              <w:top w:val="nil"/>
              <w:left w:val="nil"/>
              <w:bottom w:val="single" w:sz="4" w:space="0" w:color="auto"/>
              <w:right w:val="nil"/>
            </w:tcBorders>
            <w:vAlign w:val="center"/>
          </w:tcPr>
          <w:p w14:paraId="7F47CD3F" w14:textId="77777777" w:rsidR="00607CB8" w:rsidRPr="004B0311" w:rsidRDefault="00607CB8" w:rsidP="004B0311">
            <w:pPr>
              <w:pStyle w:val="TableText"/>
            </w:pPr>
            <w:r w:rsidRPr="004B0311">
              <w:t>10</w:t>
            </w:r>
          </w:p>
        </w:tc>
        <w:tc>
          <w:tcPr>
            <w:tcW w:w="969" w:type="pct"/>
            <w:tcBorders>
              <w:top w:val="nil"/>
              <w:left w:val="nil"/>
              <w:bottom w:val="single" w:sz="4" w:space="0" w:color="auto"/>
              <w:right w:val="nil"/>
            </w:tcBorders>
            <w:vAlign w:val="center"/>
          </w:tcPr>
          <w:p w14:paraId="0099F4A8" w14:textId="77777777" w:rsidR="00607CB8" w:rsidRPr="004B0311" w:rsidRDefault="00607CB8" w:rsidP="004B0311">
            <w:pPr>
              <w:pStyle w:val="TableText"/>
            </w:pPr>
            <w:r w:rsidRPr="004B0311">
              <w:t>740</w:t>
            </w:r>
          </w:p>
        </w:tc>
      </w:tr>
      <w:tr w:rsidR="00607CB8" w14:paraId="65F15842" w14:textId="77777777" w:rsidTr="004B0311">
        <w:trPr>
          <w:trHeight w:hRule="exact" w:val="340"/>
        </w:trPr>
        <w:tc>
          <w:tcPr>
            <w:tcW w:w="2015" w:type="pct"/>
            <w:tcBorders>
              <w:top w:val="single" w:sz="4" w:space="0" w:color="auto"/>
              <w:left w:val="nil"/>
              <w:bottom w:val="single" w:sz="4" w:space="0" w:color="auto"/>
              <w:right w:val="nil"/>
            </w:tcBorders>
            <w:vAlign w:val="center"/>
          </w:tcPr>
          <w:p w14:paraId="4771A684" w14:textId="77777777" w:rsidR="00607CB8" w:rsidRPr="004B0311" w:rsidRDefault="00607CB8" w:rsidP="004B0311">
            <w:pPr>
              <w:pStyle w:val="TableText"/>
            </w:pPr>
            <w:r w:rsidRPr="004B0311">
              <w:t>Bromadiolone</w:t>
            </w:r>
          </w:p>
        </w:tc>
        <w:tc>
          <w:tcPr>
            <w:tcW w:w="2016" w:type="pct"/>
            <w:tcBorders>
              <w:top w:val="single" w:sz="4" w:space="0" w:color="auto"/>
              <w:left w:val="nil"/>
              <w:bottom w:val="single" w:sz="4" w:space="0" w:color="auto"/>
              <w:right w:val="nil"/>
            </w:tcBorders>
            <w:vAlign w:val="center"/>
          </w:tcPr>
          <w:p w14:paraId="6E0DFE23" w14:textId="77777777" w:rsidR="00607CB8" w:rsidRPr="004B0311" w:rsidRDefault="00607CB8" w:rsidP="004B0311">
            <w:pPr>
              <w:pStyle w:val="TableText"/>
            </w:pPr>
            <w:r w:rsidRPr="004B0311">
              <w:t>22.5</w:t>
            </w:r>
          </w:p>
        </w:tc>
        <w:tc>
          <w:tcPr>
            <w:tcW w:w="969" w:type="pct"/>
            <w:tcBorders>
              <w:top w:val="single" w:sz="4" w:space="0" w:color="auto"/>
              <w:left w:val="nil"/>
              <w:bottom w:val="single" w:sz="4" w:space="0" w:color="auto"/>
              <w:right w:val="nil"/>
            </w:tcBorders>
            <w:vAlign w:val="center"/>
          </w:tcPr>
          <w:p w14:paraId="29DB87B1" w14:textId="77777777" w:rsidR="00607CB8" w:rsidRPr="004B0311" w:rsidRDefault="00607CB8" w:rsidP="004B0311">
            <w:pPr>
              <w:pStyle w:val="TableText"/>
            </w:pPr>
            <w:r w:rsidRPr="004B0311">
              <w:t>660</w:t>
            </w:r>
          </w:p>
        </w:tc>
      </w:tr>
      <w:tr w:rsidR="00607CB8" w14:paraId="4CB721F9" w14:textId="77777777" w:rsidTr="004B0311">
        <w:trPr>
          <w:trHeight w:hRule="exact" w:val="340"/>
        </w:trPr>
        <w:tc>
          <w:tcPr>
            <w:tcW w:w="2015" w:type="pct"/>
            <w:tcBorders>
              <w:top w:val="single" w:sz="4" w:space="0" w:color="auto"/>
              <w:left w:val="nil"/>
              <w:bottom w:val="single" w:sz="4" w:space="0" w:color="auto"/>
              <w:right w:val="nil"/>
            </w:tcBorders>
            <w:vAlign w:val="center"/>
          </w:tcPr>
          <w:p w14:paraId="76D3B656" w14:textId="77777777" w:rsidR="00607CB8" w:rsidRPr="004B0311" w:rsidRDefault="00607CB8" w:rsidP="004B0311">
            <w:pPr>
              <w:pStyle w:val="TableText"/>
            </w:pPr>
            <w:r w:rsidRPr="004B0311">
              <w:t>Difenacoum</w:t>
            </w:r>
          </w:p>
        </w:tc>
        <w:tc>
          <w:tcPr>
            <w:tcW w:w="2016" w:type="pct"/>
            <w:tcBorders>
              <w:top w:val="single" w:sz="4" w:space="0" w:color="auto"/>
              <w:left w:val="nil"/>
              <w:bottom w:val="single" w:sz="4" w:space="0" w:color="auto"/>
              <w:right w:val="nil"/>
            </w:tcBorders>
            <w:vAlign w:val="center"/>
          </w:tcPr>
          <w:p w14:paraId="330703B2" w14:textId="77777777" w:rsidR="00607CB8" w:rsidRPr="004B0311" w:rsidRDefault="00607CB8" w:rsidP="004B0311">
            <w:pPr>
              <w:pStyle w:val="TableText"/>
            </w:pPr>
            <w:r w:rsidRPr="004B0311">
              <w:t>10</w:t>
            </w:r>
          </w:p>
        </w:tc>
        <w:tc>
          <w:tcPr>
            <w:tcW w:w="969" w:type="pct"/>
            <w:tcBorders>
              <w:top w:val="single" w:sz="4" w:space="0" w:color="auto"/>
              <w:left w:val="nil"/>
              <w:bottom w:val="single" w:sz="4" w:space="0" w:color="auto"/>
              <w:right w:val="nil"/>
            </w:tcBorders>
            <w:vAlign w:val="center"/>
          </w:tcPr>
          <w:p w14:paraId="2F258048" w14:textId="77777777" w:rsidR="00607CB8" w:rsidRPr="004B0311" w:rsidRDefault="00607CB8" w:rsidP="004B0311">
            <w:pPr>
              <w:pStyle w:val="TableText"/>
            </w:pPr>
            <w:r w:rsidRPr="004B0311">
              <w:t>740</w:t>
            </w:r>
          </w:p>
        </w:tc>
      </w:tr>
      <w:tr w:rsidR="00607CB8" w14:paraId="25BD93FF" w14:textId="77777777" w:rsidTr="004B0311">
        <w:trPr>
          <w:trHeight w:hRule="exact" w:val="340"/>
        </w:trPr>
        <w:tc>
          <w:tcPr>
            <w:tcW w:w="2015" w:type="pct"/>
            <w:tcBorders>
              <w:top w:val="single" w:sz="4" w:space="0" w:color="auto"/>
              <w:left w:val="nil"/>
              <w:bottom w:val="single" w:sz="4" w:space="0" w:color="auto"/>
              <w:right w:val="nil"/>
            </w:tcBorders>
            <w:vAlign w:val="center"/>
          </w:tcPr>
          <w:p w14:paraId="289F22CD" w14:textId="77777777" w:rsidR="00607CB8" w:rsidRPr="004B0311" w:rsidRDefault="00607CB8" w:rsidP="004B0311">
            <w:pPr>
              <w:pStyle w:val="TableText"/>
            </w:pPr>
            <w:r w:rsidRPr="004B0311">
              <w:t>Difethialone</w:t>
            </w:r>
          </w:p>
        </w:tc>
        <w:tc>
          <w:tcPr>
            <w:tcW w:w="2016" w:type="pct"/>
            <w:tcBorders>
              <w:top w:val="single" w:sz="4" w:space="0" w:color="auto"/>
              <w:left w:val="nil"/>
              <w:bottom w:val="single" w:sz="4" w:space="0" w:color="auto"/>
              <w:right w:val="nil"/>
            </w:tcBorders>
            <w:vAlign w:val="center"/>
          </w:tcPr>
          <w:p w14:paraId="7C06E80A" w14:textId="77777777" w:rsidR="00607CB8" w:rsidRPr="004B0311" w:rsidRDefault="00607CB8" w:rsidP="004B0311">
            <w:pPr>
              <w:pStyle w:val="TableText"/>
            </w:pPr>
            <w:r w:rsidRPr="004B0311">
              <w:t>4</w:t>
            </w:r>
          </w:p>
        </w:tc>
        <w:tc>
          <w:tcPr>
            <w:tcW w:w="969" w:type="pct"/>
            <w:tcBorders>
              <w:top w:val="single" w:sz="4" w:space="0" w:color="auto"/>
              <w:left w:val="nil"/>
              <w:bottom w:val="single" w:sz="4" w:space="0" w:color="auto"/>
              <w:right w:val="nil"/>
            </w:tcBorders>
            <w:vAlign w:val="center"/>
          </w:tcPr>
          <w:p w14:paraId="3000B21B" w14:textId="77777777" w:rsidR="00607CB8" w:rsidRPr="004B0311" w:rsidRDefault="00607CB8" w:rsidP="004B0311">
            <w:pPr>
              <w:pStyle w:val="TableText"/>
            </w:pPr>
            <w:r w:rsidRPr="004B0311">
              <w:t>2 300</w:t>
            </w:r>
          </w:p>
        </w:tc>
      </w:tr>
      <w:tr w:rsidR="00607CB8" w14:paraId="0D160A7F" w14:textId="77777777" w:rsidTr="004B0311">
        <w:trPr>
          <w:trHeight w:hRule="exact" w:val="340"/>
        </w:trPr>
        <w:tc>
          <w:tcPr>
            <w:tcW w:w="2015" w:type="pct"/>
            <w:tcBorders>
              <w:top w:val="single" w:sz="4" w:space="0" w:color="auto"/>
              <w:left w:val="nil"/>
              <w:bottom w:val="single" w:sz="4" w:space="0" w:color="auto"/>
              <w:right w:val="nil"/>
            </w:tcBorders>
            <w:vAlign w:val="center"/>
          </w:tcPr>
          <w:p w14:paraId="74E35D79" w14:textId="77777777" w:rsidR="00607CB8" w:rsidRPr="004B0311" w:rsidRDefault="00607CB8" w:rsidP="004B0311">
            <w:pPr>
              <w:pStyle w:val="TableText"/>
            </w:pPr>
            <w:r w:rsidRPr="004B0311">
              <w:t>Flocoumafen</w:t>
            </w:r>
          </w:p>
        </w:tc>
        <w:tc>
          <w:tcPr>
            <w:tcW w:w="2016" w:type="pct"/>
            <w:tcBorders>
              <w:top w:val="single" w:sz="4" w:space="0" w:color="auto"/>
              <w:left w:val="nil"/>
              <w:bottom w:val="single" w:sz="4" w:space="0" w:color="auto"/>
              <w:right w:val="nil"/>
            </w:tcBorders>
            <w:vAlign w:val="center"/>
          </w:tcPr>
          <w:p w14:paraId="5185E1DE" w14:textId="77777777" w:rsidR="00607CB8" w:rsidRPr="004B0311" w:rsidRDefault="00607CB8" w:rsidP="004B0311">
            <w:pPr>
              <w:pStyle w:val="TableText"/>
            </w:pPr>
            <w:r w:rsidRPr="004B0311">
              <w:t>4</w:t>
            </w:r>
          </w:p>
        </w:tc>
        <w:tc>
          <w:tcPr>
            <w:tcW w:w="969" w:type="pct"/>
            <w:tcBorders>
              <w:top w:val="single" w:sz="4" w:space="0" w:color="auto"/>
              <w:left w:val="nil"/>
              <w:bottom w:val="single" w:sz="4" w:space="0" w:color="auto"/>
              <w:right w:val="nil"/>
            </w:tcBorders>
            <w:vAlign w:val="center"/>
          </w:tcPr>
          <w:p w14:paraId="1836E5AE" w14:textId="77777777" w:rsidR="00607CB8" w:rsidRPr="004B0311" w:rsidRDefault="00607CB8" w:rsidP="004B0311">
            <w:pPr>
              <w:pStyle w:val="TableText"/>
            </w:pPr>
            <w:r w:rsidRPr="004B0311">
              <w:t>2 600</w:t>
            </w:r>
          </w:p>
        </w:tc>
      </w:tr>
    </w:tbl>
    <w:p w14:paraId="1BF01248" w14:textId="1CA459AB" w:rsidR="00557D38" w:rsidRPr="00D56BAE" w:rsidRDefault="003C2415" w:rsidP="00377F3A">
      <w:pPr>
        <w:pStyle w:val="NormalText"/>
      </w:pPr>
      <w:r>
        <w:t>Non-professional</w:t>
      </w:r>
      <w:r w:rsidRPr="00F00DB1">
        <w:t xml:space="preserve"> </w:t>
      </w:r>
      <w:r w:rsidR="009E308B" w:rsidRPr="00F00DB1">
        <w:t xml:space="preserve">use </w:t>
      </w:r>
      <w:r w:rsidR="002A7AB3" w:rsidRPr="00F00DB1">
        <w:t xml:space="preserve">and exposure to </w:t>
      </w:r>
      <w:r w:rsidR="009E308B" w:rsidRPr="00F00DB1">
        <w:t>FGAR</w:t>
      </w:r>
      <w:r w:rsidR="00BB0826" w:rsidRPr="00F00DB1">
        <w:t>s</w:t>
      </w:r>
      <w:r w:rsidR="009E308B" w:rsidRPr="00F00DB1">
        <w:t xml:space="preserve"> and SGARs is expect</w:t>
      </w:r>
      <w:r w:rsidR="00557D38" w:rsidRPr="00F00DB1">
        <w:t>ed</w:t>
      </w:r>
      <w:r w:rsidR="009E308B" w:rsidRPr="00F00DB1">
        <w:t xml:space="preserve"> to be intermittent</w:t>
      </w:r>
      <w:r w:rsidR="002A7AB3" w:rsidRPr="00F00DB1">
        <w:t xml:space="preserve">, and individuals handling these products </w:t>
      </w:r>
      <w:r w:rsidR="00BB0826" w:rsidRPr="00F00DB1">
        <w:t xml:space="preserve">have </w:t>
      </w:r>
      <w:r w:rsidR="002A7AB3" w:rsidRPr="00F00DB1">
        <w:t xml:space="preserve">not </w:t>
      </w:r>
      <w:r w:rsidR="00BB0826" w:rsidRPr="00F00DB1">
        <w:t xml:space="preserve">been </w:t>
      </w:r>
      <w:r w:rsidR="002A7AB3" w:rsidRPr="00F00DB1">
        <w:t xml:space="preserve">assumed to be wearing specialised PPE. </w:t>
      </w:r>
      <w:r w:rsidR="00BB0826" w:rsidRPr="00F00DB1">
        <w:t xml:space="preserve">MOE values below 300 in </w:t>
      </w:r>
      <w:r w:rsidR="00BB0826" w:rsidRPr="00F00DB1">
        <w:fldChar w:fldCharType="begin"/>
      </w:r>
      <w:r w:rsidR="00BB0826" w:rsidRPr="00F00DB1">
        <w:instrText xml:space="preserve"> REF _Ref206768001 \h </w:instrText>
      </w:r>
      <w:r w:rsidR="00E40973" w:rsidRPr="00F00DB1">
        <w:instrText xml:space="preserve"> \* MERGEFORMAT </w:instrText>
      </w:r>
      <w:r w:rsidR="00BB0826" w:rsidRPr="00F00DB1">
        <w:fldChar w:fldCharType="separate"/>
      </w:r>
      <w:r w:rsidR="003861AC">
        <w:t>Table 66</w:t>
      </w:r>
      <w:r w:rsidR="00BB0826" w:rsidRPr="00F00DB1">
        <w:fldChar w:fldCharType="end"/>
      </w:r>
      <w:r w:rsidR="00BB0826" w:rsidRPr="00F00DB1">
        <w:t xml:space="preserve"> cannot be supported. </w:t>
      </w:r>
      <w:r w:rsidR="00607CB8" w:rsidRPr="00F00DB1">
        <w:t>Based on the exposure and risk estimates</w:t>
      </w:r>
      <w:r w:rsidR="00BB0826" w:rsidRPr="00F00DB1">
        <w:t>,</w:t>
      </w:r>
      <w:r w:rsidR="00607CB8" w:rsidRPr="00F00DB1">
        <w:t xml:space="preserve"> FGAR and SGAR products </w:t>
      </w:r>
      <w:r w:rsidR="00BB0826" w:rsidRPr="00F00DB1">
        <w:t xml:space="preserve">can continue to be used </w:t>
      </w:r>
      <w:r w:rsidR="00557D38" w:rsidRPr="00F00DB1">
        <w:t>domestic</w:t>
      </w:r>
      <w:r w:rsidR="00BB0826" w:rsidRPr="00F00DB1">
        <w:t>ally</w:t>
      </w:r>
      <w:r w:rsidR="00557D38" w:rsidRPr="00F00DB1">
        <w:t xml:space="preserve"> when used </w:t>
      </w:r>
      <w:r w:rsidR="00BB0826" w:rsidRPr="00F00DB1">
        <w:t>according to the directions on the label.</w:t>
      </w:r>
    </w:p>
    <w:p w14:paraId="2F4AC89E" w14:textId="4DEFD3DC" w:rsidR="00607CB8" w:rsidRPr="00B7236C" w:rsidRDefault="00607CB8" w:rsidP="00BD2F8D">
      <w:pPr>
        <w:pStyle w:val="Heading3"/>
      </w:pPr>
      <w:bookmarkStart w:id="1342" w:name="_Toc185345593"/>
      <w:bookmarkStart w:id="1343" w:name="_Toc214025515"/>
      <w:bookmarkStart w:id="1344" w:name="_Toc216695599"/>
      <w:r>
        <w:lastRenderedPageBreak/>
        <w:t>B</w:t>
      </w:r>
      <w:r w:rsidRPr="003269EB">
        <w:t>ystander exposure</w:t>
      </w:r>
      <w:bookmarkEnd w:id="1342"/>
      <w:bookmarkEnd w:id="1343"/>
      <w:bookmarkEnd w:id="1344"/>
      <w:r w:rsidRPr="003269EB">
        <w:t xml:space="preserve"> </w:t>
      </w:r>
    </w:p>
    <w:p w14:paraId="62FF34EE" w14:textId="0CDF31A8" w:rsidR="00607CB8" w:rsidRDefault="002A7AB3" w:rsidP="00377F3A">
      <w:pPr>
        <w:pStyle w:val="NormalText"/>
      </w:pPr>
      <w:r>
        <w:t>B</w:t>
      </w:r>
      <w:r w:rsidR="00607CB8" w:rsidRPr="00465E5D">
        <w:t xml:space="preserve">ystanders may be exposed to </w:t>
      </w:r>
      <w:r>
        <w:t>baits laid in both indoor and outdoor environments.</w:t>
      </w:r>
      <w:r w:rsidR="00607CB8" w:rsidRPr="00465E5D">
        <w:t xml:space="preserve"> </w:t>
      </w:r>
      <w:r>
        <w:t xml:space="preserve">Inadvertent exposure can be mitigated by placing baits in areas inaccessible to children, and/or </w:t>
      </w:r>
      <w:r w:rsidR="00607CB8" w:rsidRPr="00465E5D">
        <w:t xml:space="preserve">tamper-proof bait </w:t>
      </w:r>
      <w:r w:rsidR="00607CB8">
        <w:t>s</w:t>
      </w:r>
      <w:r w:rsidR="00607CB8" w:rsidRPr="00465E5D">
        <w:t>tations</w:t>
      </w:r>
      <w:r>
        <w:t>. I</w:t>
      </w:r>
      <w:r w:rsidR="00607CB8">
        <w:t xml:space="preserve">f the contents of </w:t>
      </w:r>
      <w:r>
        <w:t xml:space="preserve">a </w:t>
      </w:r>
      <w:r w:rsidR="00607CB8">
        <w:t xml:space="preserve">bait station </w:t>
      </w:r>
      <w:r>
        <w:t xml:space="preserve">can be accessed </w:t>
      </w:r>
      <w:r w:rsidR="00607CB8">
        <w:t>by moving</w:t>
      </w:r>
      <w:r>
        <w:t xml:space="preserve"> or </w:t>
      </w:r>
      <w:r w:rsidR="00607CB8">
        <w:t>shaking the bait station, the bait station must be secured in place</w:t>
      </w:r>
      <w:r>
        <w:t xml:space="preserve"> to prevent this.</w:t>
      </w:r>
    </w:p>
    <w:p w14:paraId="2B1BF6CA" w14:textId="6573A0F9" w:rsidR="003C2415" w:rsidRPr="00465E5D" w:rsidRDefault="003C2415" w:rsidP="00377F3A">
      <w:pPr>
        <w:pStyle w:val="NormalText"/>
      </w:pPr>
      <w:r>
        <w:t xml:space="preserve">As noted in section </w:t>
      </w:r>
      <w:r w:rsidRPr="00CB467B">
        <w:rPr>
          <w:b/>
          <w:bCs/>
        </w:rPr>
        <w:fldChar w:fldCharType="begin"/>
      </w:r>
      <w:r w:rsidRPr="00CB467B">
        <w:rPr>
          <w:b/>
          <w:bCs/>
        </w:rPr>
        <w:instrText xml:space="preserve"> REF _Ref214828734 \r \h </w:instrText>
      </w:r>
      <w:r w:rsidR="00572FEC">
        <w:rPr>
          <w:b/>
          <w:bCs/>
        </w:rPr>
        <w:instrText xml:space="preserve"> \* MERGEFORMAT </w:instrText>
      </w:r>
      <w:r w:rsidRPr="00CB467B">
        <w:rPr>
          <w:b/>
          <w:bCs/>
        </w:rPr>
      </w:r>
      <w:r w:rsidRPr="00CB467B">
        <w:rPr>
          <w:b/>
          <w:bCs/>
        </w:rPr>
        <w:fldChar w:fldCharType="separate"/>
      </w:r>
      <w:r w:rsidR="003861AC">
        <w:rPr>
          <w:b/>
          <w:bCs/>
        </w:rPr>
        <w:t>4.3</w:t>
      </w:r>
      <w:r w:rsidRPr="00CB467B">
        <w:rPr>
          <w:b/>
          <w:bCs/>
        </w:rPr>
        <w:fldChar w:fldCharType="end"/>
      </w:r>
      <w:r w:rsidR="00572FEC" w:rsidRPr="00CB467B">
        <w:rPr>
          <w:b/>
          <w:bCs/>
        </w:rPr>
        <w:t xml:space="preserve"> Human adverse events involving anticoagulant rodenticide exposure in Australia</w:t>
      </w:r>
      <w:r>
        <w:t xml:space="preserve">, it is also recommended that all product formulations contain a bittering agent and dye. The bittering agent is intended to reduce the likelihood of accidental ingestion of bait by a child, and a </w:t>
      </w:r>
      <w:r w:rsidRPr="00F941BA">
        <w:rPr>
          <w:rFonts w:eastAsiaTheme="majorEastAsia" w:cstheme="majorBidi"/>
          <w:bCs/>
          <w:szCs w:val="28"/>
        </w:rPr>
        <w:t xml:space="preserve">marker dye </w:t>
      </w:r>
      <w:r>
        <w:rPr>
          <w:rFonts w:eastAsiaTheme="majorEastAsia" w:cstheme="majorBidi"/>
          <w:bCs/>
          <w:szCs w:val="28"/>
        </w:rPr>
        <w:t>provides a visual reference to indicate that a child may have ingested some bait.</w:t>
      </w:r>
    </w:p>
    <w:p w14:paraId="739E7F00" w14:textId="6980BFCA" w:rsidR="00607CB8" w:rsidRPr="00580F2B" w:rsidRDefault="00607CB8" w:rsidP="00BD2F8D">
      <w:pPr>
        <w:pStyle w:val="Heading3"/>
      </w:pPr>
      <w:bookmarkStart w:id="1345" w:name="_Toc72938387"/>
      <w:bookmarkStart w:id="1346" w:name="_Toc185345594"/>
      <w:bookmarkStart w:id="1347" w:name="_Toc214025516"/>
      <w:bookmarkStart w:id="1348" w:name="_Toc349313844"/>
      <w:bookmarkStart w:id="1349" w:name="_Toc521514371"/>
      <w:bookmarkStart w:id="1350" w:name="_Toc521578333"/>
      <w:bookmarkStart w:id="1351" w:name="_Toc216695600"/>
      <w:r w:rsidRPr="003269EB">
        <w:t xml:space="preserve">Risk </w:t>
      </w:r>
      <w:r w:rsidR="00E83C67">
        <w:t xml:space="preserve">associated with </w:t>
      </w:r>
      <w:r>
        <w:t>r</w:t>
      </w:r>
      <w:r w:rsidRPr="003269EB">
        <w:t>e-handling</w:t>
      </w:r>
      <w:r>
        <w:t xml:space="preserve"> and c</w:t>
      </w:r>
      <w:r w:rsidRPr="003269EB">
        <w:t>lean-up activities</w:t>
      </w:r>
      <w:bookmarkEnd w:id="1345"/>
      <w:bookmarkEnd w:id="1346"/>
      <w:bookmarkEnd w:id="1347"/>
      <w:bookmarkEnd w:id="1351"/>
      <w:r w:rsidRPr="003269EB">
        <w:t xml:space="preserve"> </w:t>
      </w:r>
      <w:bookmarkEnd w:id="1348"/>
      <w:bookmarkEnd w:id="1349"/>
      <w:bookmarkEnd w:id="1350"/>
    </w:p>
    <w:p w14:paraId="227B1C76" w14:textId="0AD9EB20" w:rsidR="00607CB8" w:rsidRDefault="00607CB8" w:rsidP="00377F3A">
      <w:pPr>
        <w:pStyle w:val="NormalText"/>
      </w:pPr>
      <w:r w:rsidRPr="00BA0F7B">
        <w:rPr>
          <w:rFonts w:eastAsia="Yu Mincho" w:cs="Times New Roman"/>
        </w:rPr>
        <w:t xml:space="preserve">Workers performing post-application activities including </w:t>
      </w:r>
      <w:r w:rsidRPr="00BA0F7B">
        <w:t>clean</w:t>
      </w:r>
      <w:r>
        <w:t xml:space="preserve">-up and </w:t>
      </w:r>
      <w:r w:rsidRPr="00BA0F7B">
        <w:t>disposal operations of bait</w:t>
      </w:r>
      <w:r>
        <w:t xml:space="preserve">s and </w:t>
      </w:r>
      <w:r w:rsidRPr="00BA0F7B">
        <w:t>bait stations</w:t>
      </w:r>
      <w:r>
        <w:t xml:space="preserve"> and</w:t>
      </w:r>
      <w:r w:rsidRPr="00BA0F7B">
        <w:t xml:space="preserve"> handling rodent carcasses </w:t>
      </w:r>
      <w:r>
        <w:t>may</w:t>
      </w:r>
      <w:r w:rsidRPr="00BA0F7B">
        <w:t xml:space="preserve"> be exposed to residues from dermal contact. </w:t>
      </w:r>
      <w:r w:rsidR="00A916DE" w:rsidRPr="002635E9">
        <w:t>For products</w:t>
      </w:r>
      <w:r w:rsidR="00A916DE">
        <w:t xml:space="preserve"> formulated as blocks, pellets or paste (in a caulking gun)</w:t>
      </w:r>
      <w:r w:rsidR="00A916DE" w:rsidRPr="002635E9">
        <w:t xml:space="preserve">, </w:t>
      </w:r>
      <w:r w:rsidR="00A916DE">
        <w:t>i</w:t>
      </w:r>
      <w:r w:rsidR="00A916DE" w:rsidRPr="00BA0F7B">
        <w:rPr>
          <w:rFonts w:eastAsia="Yu Mincho" w:cs="Times New Roman"/>
        </w:rPr>
        <w:t xml:space="preserve">t is expected that exposure to </w:t>
      </w:r>
      <w:r w:rsidR="00A916DE">
        <w:rPr>
          <w:rFonts w:eastAsia="Yu Mincho" w:cs="Times New Roman"/>
        </w:rPr>
        <w:t>FGAR and SGAR</w:t>
      </w:r>
      <w:r w:rsidR="00A916DE" w:rsidRPr="00BA0F7B">
        <w:rPr>
          <w:rFonts w:eastAsia="Yu Mincho" w:cs="Times New Roman"/>
        </w:rPr>
        <w:t xml:space="preserve"> residues </w:t>
      </w:r>
      <w:r w:rsidR="00A916DE">
        <w:rPr>
          <w:rFonts w:eastAsia="Yu Mincho" w:cs="Times New Roman"/>
        </w:rPr>
        <w:t xml:space="preserve">from rehandling activities </w:t>
      </w:r>
      <w:r w:rsidR="00A916DE" w:rsidRPr="00BA0F7B">
        <w:rPr>
          <w:rFonts w:cs="Times New Roman"/>
        </w:rPr>
        <w:t xml:space="preserve">will be lower </w:t>
      </w:r>
      <w:r w:rsidR="00A916DE">
        <w:rPr>
          <w:rFonts w:cs="Times New Roman"/>
        </w:rPr>
        <w:t xml:space="preserve">or similar </w:t>
      </w:r>
      <w:r w:rsidR="00A916DE" w:rsidRPr="00BA0F7B">
        <w:rPr>
          <w:rFonts w:cs="Times New Roman"/>
        </w:rPr>
        <w:t xml:space="preserve">than </w:t>
      </w:r>
      <w:r w:rsidR="00A916DE">
        <w:rPr>
          <w:rFonts w:cs="Times New Roman"/>
        </w:rPr>
        <w:t>the exposure that was estimated for occupational and residential users of anticoagulant rodenticide products</w:t>
      </w:r>
      <w:r w:rsidR="00A916DE" w:rsidRPr="00BA0F7B">
        <w:rPr>
          <w:rFonts w:eastAsia="Yu Mincho" w:cs="Times New Roman"/>
        </w:rPr>
        <w:t>.</w:t>
      </w:r>
      <w:r w:rsidR="00A916DE">
        <w:rPr>
          <w:rFonts w:eastAsia="Yu Mincho" w:cs="Times New Roman"/>
        </w:rPr>
        <w:t xml:space="preserve"> </w:t>
      </w:r>
      <w:r w:rsidR="002635E9" w:rsidRPr="002635E9">
        <w:t>For re-handling of sachet baits</w:t>
      </w:r>
      <w:r w:rsidR="00A916DE">
        <w:t>,</w:t>
      </w:r>
      <w:r w:rsidR="002635E9" w:rsidRPr="002635E9">
        <w:t xml:space="preserve"> exposure may also occur if the packaging is broken and bait exposed</w:t>
      </w:r>
      <w:r w:rsidR="00A916DE">
        <w:t xml:space="preserve"> and i</w:t>
      </w:r>
      <w:r w:rsidR="002635E9" w:rsidRPr="002635E9">
        <w:t xml:space="preserve">t is expected that exposure to FGAR and SGAR residues from </w:t>
      </w:r>
      <w:r w:rsidR="00A916DE">
        <w:t xml:space="preserve">these </w:t>
      </w:r>
      <w:r w:rsidR="002635E9" w:rsidRPr="002635E9">
        <w:t>re</w:t>
      </w:r>
      <w:r w:rsidR="00A916DE">
        <w:t>-</w:t>
      </w:r>
      <w:r w:rsidR="002635E9" w:rsidRPr="002635E9">
        <w:t>handling activities will be lower or similar than the exposure that was estimated for occupational and residential users of anticoagulant rodenticide block</w:t>
      </w:r>
      <w:r w:rsidR="00A916DE">
        <w:t>,</w:t>
      </w:r>
      <w:r w:rsidR="002635E9" w:rsidRPr="002635E9">
        <w:t xml:space="preserve"> </w:t>
      </w:r>
      <w:r w:rsidR="00A916DE" w:rsidRPr="002635E9">
        <w:t xml:space="preserve">pellet </w:t>
      </w:r>
      <w:r w:rsidR="002635E9" w:rsidRPr="002635E9">
        <w:t>and paste products</w:t>
      </w:r>
      <w:r w:rsidR="00A916DE">
        <w:t xml:space="preserve">. </w:t>
      </w:r>
      <w:r>
        <w:t xml:space="preserve">Due to </w:t>
      </w:r>
      <w:r w:rsidRPr="00B260A4">
        <w:t xml:space="preserve">the </w:t>
      </w:r>
      <w:r>
        <w:t xml:space="preserve">inherent properties of anticoagulant rodenticides, </w:t>
      </w:r>
      <w:r w:rsidRPr="00B260A4">
        <w:t xml:space="preserve">and </w:t>
      </w:r>
      <w:r>
        <w:t xml:space="preserve">to promote </w:t>
      </w:r>
      <w:r w:rsidRPr="00B260A4">
        <w:t xml:space="preserve">good </w:t>
      </w:r>
      <w:r>
        <w:t>occupational hygiene</w:t>
      </w:r>
      <w:r w:rsidRPr="00B260A4">
        <w:t xml:space="preserve">, APVMA recommends the use of </w:t>
      </w:r>
      <w:r w:rsidRPr="00134979">
        <w:t>a single layer of clothing</w:t>
      </w:r>
      <w:r>
        <w:t xml:space="preserve"> and </w:t>
      </w:r>
      <w:r w:rsidRPr="00B260A4">
        <w:t xml:space="preserve">gloves </w:t>
      </w:r>
      <w:r w:rsidRPr="00B260A4">
        <w:rPr>
          <w:rFonts w:cs="Times New Roman"/>
        </w:rPr>
        <w:t>during bait station servicing and clean-up activities.</w:t>
      </w:r>
      <w:r w:rsidRPr="00C423A5">
        <w:rPr>
          <w:rFonts w:cs="Times New Roman"/>
        </w:rPr>
        <w:t xml:space="preserve"> </w:t>
      </w:r>
      <w:r>
        <w:rPr>
          <w:rFonts w:cs="Times New Roman"/>
        </w:rPr>
        <w:t xml:space="preserve">Remaining baits and </w:t>
      </w:r>
      <w:r w:rsidRPr="00BA0F7B">
        <w:rPr>
          <w:rFonts w:cs="Times New Roman"/>
        </w:rPr>
        <w:t>carcasses should be disposed of in accordance with local, state or territory government regulations.</w:t>
      </w:r>
    </w:p>
    <w:p w14:paraId="67FF9F46" w14:textId="12CE7A21" w:rsidR="00607CB8" w:rsidRDefault="00607CB8" w:rsidP="00BD2F8D">
      <w:pPr>
        <w:pStyle w:val="Heading2"/>
      </w:pPr>
      <w:bookmarkStart w:id="1352" w:name="_Toc149320503"/>
      <w:bookmarkStart w:id="1353" w:name="_Toc155357457"/>
      <w:bookmarkStart w:id="1354" w:name="_Toc185345595"/>
      <w:bookmarkStart w:id="1355" w:name="_Toc214025517"/>
      <w:bookmarkStart w:id="1356" w:name="_Toc216695601"/>
      <w:r>
        <w:t>Risk Management</w:t>
      </w:r>
      <w:bookmarkEnd w:id="1352"/>
      <w:bookmarkEnd w:id="1353"/>
      <w:bookmarkEnd w:id="1354"/>
      <w:r w:rsidR="00252BEC">
        <w:t xml:space="preserve"> Recommendations</w:t>
      </w:r>
      <w:bookmarkEnd w:id="1355"/>
      <w:bookmarkEnd w:id="1356"/>
    </w:p>
    <w:p w14:paraId="6F63C341" w14:textId="2C20A09E" w:rsidR="00607CB8" w:rsidRDefault="00607CB8" w:rsidP="00BD2F8D">
      <w:pPr>
        <w:pStyle w:val="Heading3"/>
      </w:pPr>
      <w:bookmarkStart w:id="1357" w:name="_Toc155357459"/>
      <w:bookmarkStart w:id="1358" w:name="_Toc185345596"/>
      <w:bookmarkStart w:id="1359" w:name="_Toc214025518"/>
      <w:bookmarkStart w:id="1360" w:name="_Toc216695602"/>
      <w:r w:rsidRPr="00E40973">
        <w:t>First Aid Instruction</w:t>
      </w:r>
      <w:r w:rsidR="00280D4A" w:rsidRPr="00E40973">
        <w:t>s</w:t>
      </w:r>
      <w:bookmarkEnd w:id="1357"/>
      <w:bookmarkEnd w:id="1358"/>
      <w:bookmarkEnd w:id="1359"/>
      <w:bookmarkEnd w:id="1360"/>
    </w:p>
    <w:p w14:paraId="4BC0855D" w14:textId="4DD069C2" w:rsidR="00C8524B" w:rsidRDefault="00C8524B" w:rsidP="00C8524B">
      <w:pPr>
        <w:pStyle w:val="NormalText"/>
      </w:pPr>
      <w:r>
        <w:t>The following first aid instructions are required for all anticoagulant rodenticide products in all formulations and pack sizes</w:t>
      </w:r>
    </w:p>
    <w:p w14:paraId="1A11B9BD" w14:textId="3DFC0BF7" w:rsidR="00C8524B" w:rsidRPr="007F331A" w:rsidRDefault="00C8524B" w:rsidP="007F331A">
      <w:pPr>
        <w:pStyle w:val="NormalText"/>
        <w:ind w:left="567"/>
        <w:rPr>
          <w:i/>
          <w:iCs/>
        </w:rPr>
      </w:pPr>
      <w:r w:rsidRPr="007F331A">
        <w:rPr>
          <w:b/>
          <w:bCs/>
        </w:rPr>
        <w:t>First aid instructions</w:t>
      </w:r>
      <w:r w:rsidR="008E69B6">
        <w:rPr>
          <w:b/>
          <w:bCs/>
        </w:rPr>
        <w:br/>
      </w:r>
      <w:r w:rsidRPr="007F331A">
        <w:rPr>
          <w:i/>
          <w:iCs/>
        </w:rPr>
        <w:t>If poisoning occurs, contact a doctor or Poisons Information Centre. Phone Australia 13 11 26, New Zealand 0800 764 766.</w:t>
      </w:r>
      <w:r w:rsidR="008E69B6">
        <w:rPr>
          <w:i/>
          <w:iCs/>
        </w:rPr>
        <w:br/>
      </w:r>
      <w:r w:rsidRPr="007F331A">
        <w:rPr>
          <w:i/>
          <w:iCs/>
        </w:rPr>
        <w:t>Vitamin K1 (Phytomenadione) is antidotal.</w:t>
      </w:r>
    </w:p>
    <w:p w14:paraId="2C5137DD" w14:textId="2DD91365" w:rsidR="00607CB8" w:rsidRDefault="00607CB8" w:rsidP="007F331A">
      <w:pPr>
        <w:pStyle w:val="NormalText"/>
        <w:ind w:left="567"/>
      </w:pPr>
      <w:bookmarkStart w:id="1361" w:name="_Toc155357460"/>
      <w:r w:rsidRPr="007F331A">
        <w:rPr>
          <w:b/>
          <w:bCs/>
        </w:rPr>
        <w:t>Warning statements</w:t>
      </w:r>
      <w:bookmarkEnd w:id="1361"/>
      <w:r w:rsidR="008E69B6">
        <w:rPr>
          <w:b/>
          <w:bCs/>
        </w:rPr>
        <w:br/>
      </w:r>
      <w:r>
        <w:t>Nil</w:t>
      </w:r>
    </w:p>
    <w:p w14:paraId="42D8E364" w14:textId="30E588FC" w:rsidR="00607CB8" w:rsidRPr="00580F2B" w:rsidRDefault="00607CB8" w:rsidP="00BD2F8D">
      <w:pPr>
        <w:pStyle w:val="Heading3"/>
      </w:pPr>
      <w:bookmarkStart w:id="1362" w:name="_Toc185345597"/>
      <w:bookmarkStart w:id="1363" w:name="_Toc214025519"/>
      <w:bookmarkStart w:id="1364" w:name="_Toc155357458"/>
      <w:bookmarkStart w:id="1365" w:name="_Toc216695603"/>
      <w:r w:rsidRPr="00880F5B">
        <w:lastRenderedPageBreak/>
        <w:t>Safety Direction</w:t>
      </w:r>
      <w:r>
        <w:t>s</w:t>
      </w:r>
      <w:bookmarkEnd w:id="1362"/>
      <w:bookmarkEnd w:id="1363"/>
      <w:bookmarkEnd w:id="1365"/>
    </w:p>
    <w:p w14:paraId="15983F75" w14:textId="12F3A08D" w:rsidR="00607CB8" w:rsidRDefault="00607CB8" w:rsidP="00BD2F8D">
      <w:pPr>
        <w:pStyle w:val="Heading4"/>
      </w:pPr>
      <w:bookmarkStart w:id="1366" w:name="_Toc185345598"/>
      <w:bookmarkStart w:id="1367" w:name="_Toc122402304"/>
      <w:bookmarkStart w:id="1368" w:name="_Toc122407706"/>
      <w:bookmarkStart w:id="1369" w:name="_Toc122409839"/>
      <w:bookmarkStart w:id="1370" w:name="_Toc122410223"/>
      <w:bookmarkStart w:id="1371" w:name="_Toc122752582"/>
      <w:bookmarkStart w:id="1372" w:name="_Toc122753389"/>
      <w:bookmarkStart w:id="1373" w:name="_Toc122754221"/>
      <w:bookmarkStart w:id="1374" w:name="_Toc122926558"/>
      <w:bookmarkStart w:id="1375" w:name="_Toc122928561"/>
      <w:bookmarkStart w:id="1376" w:name="_Toc122928753"/>
      <w:bookmarkStart w:id="1377" w:name="_Toc126560882"/>
      <w:bookmarkEnd w:id="1364"/>
      <w:r w:rsidRPr="00B37BCB">
        <w:t xml:space="preserve">Products in sachets </w:t>
      </w:r>
      <w:r w:rsidRPr="001C78C1">
        <w:t xml:space="preserve">or single use bait </w:t>
      </w:r>
      <w:r w:rsidRPr="00580F2B">
        <w:t>boxes</w:t>
      </w:r>
      <w:r w:rsidRPr="001C78C1">
        <w:t>/place packs</w:t>
      </w:r>
      <w:bookmarkEnd w:id="1366"/>
    </w:p>
    <w:p w14:paraId="51BC31BD" w14:textId="315710C7" w:rsidR="00A916DE" w:rsidRPr="00A916DE" w:rsidRDefault="00A916DE" w:rsidP="00A916DE">
      <w:pPr>
        <w:pStyle w:val="Heading5"/>
        <w:numPr>
          <w:ilvl w:val="0"/>
          <w:numId w:val="0"/>
        </w:numPr>
        <w:tabs>
          <w:tab w:val="num" w:pos="907"/>
        </w:tabs>
        <w:rPr>
          <w:rFonts w:eastAsia="Times New Roman"/>
          <w14:ligatures w14:val="none"/>
        </w:rPr>
      </w:pPr>
      <w:r w:rsidRPr="00A916DE">
        <w:rPr>
          <w:rFonts w:eastAsia="Times New Roman"/>
          <w14:ligatures w14:val="none"/>
        </w:rPr>
        <w:t>Brodifacoum, bromadiolone, flocoumafen or coumatetralyl</w:t>
      </w:r>
      <w:r w:rsidRPr="00A916DE">
        <w:t xml:space="preserve"> </w:t>
      </w:r>
      <w:r w:rsidRPr="00B37BCB">
        <w:t xml:space="preserve">in sachets </w:t>
      </w:r>
      <w:r w:rsidRPr="001C78C1">
        <w:t xml:space="preserve">or single use bait </w:t>
      </w:r>
      <w:r w:rsidRPr="00580F2B">
        <w:t>boxes</w:t>
      </w:r>
      <w:r w:rsidRPr="001C78C1">
        <w:t>/place packs</w:t>
      </w:r>
    </w:p>
    <w:p w14:paraId="4C6F0260" w14:textId="77777777" w:rsidR="003861AC" w:rsidRPr="007F331A" w:rsidRDefault="007F207C" w:rsidP="003861AC">
      <w:pPr>
        <w:pStyle w:val="NormalText"/>
        <w:rPr>
          <w:i/>
          <w:iCs/>
        </w:rPr>
      </w:pPr>
      <w:r>
        <w:t>The following safety directions are required for</w:t>
      </w:r>
      <w:r w:rsidR="00A916DE" w:rsidRPr="00A916DE">
        <w:t xml:space="preserve"> </w:t>
      </w:r>
      <w:r w:rsidR="00A916DE">
        <w:t>b</w:t>
      </w:r>
      <w:r w:rsidR="00A916DE" w:rsidRPr="00A916DE">
        <w:t xml:space="preserve">rodifacoum, bromadiolone, flocoumafen </w:t>
      </w:r>
      <w:r w:rsidR="00A916DE">
        <w:t>and</w:t>
      </w:r>
      <w:r w:rsidR="00A916DE" w:rsidRPr="00A916DE">
        <w:t xml:space="preserve"> coumatetralyl</w:t>
      </w:r>
      <w:r>
        <w:t xml:space="preserve"> products in </w:t>
      </w:r>
      <w:r w:rsidRPr="00B37BCB">
        <w:t xml:space="preserve">sachets </w:t>
      </w:r>
      <w:r w:rsidRPr="001C78C1">
        <w:t>or place packs</w:t>
      </w:r>
      <w:r w:rsidR="00115C4F">
        <w:t xml:space="preserve"> with the concentrations listed in </w:t>
      </w:r>
      <w:r w:rsidR="006F0BBB">
        <w:fldChar w:fldCharType="begin"/>
      </w:r>
      <w:r w:rsidR="006F0BBB">
        <w:instrText xml:space="preserve"> REF _Ref213770953 \h </w:instrText>
      </w:r>
      <w:r w:rsidR="00A916DE">
        <w:instrText xml:space="preserve"> \* MERGEFORMAT </w:instrText>
      </w:r>
      <w:r w:rsidR="006F0BBB">
        <w:fldChar w:fldCharType="separate"/>
      </w:r>
      <w:r w:rsidR="003861AC" w:rsidRPr="003861AC">
        <w:t>Safety Directions</w:t>
      </w:r>
      <w:r w:rsidR="003861AC">
        <w:rPr>
          <w:b/>
          <w:bCs/>
        </w:rPr>
        <w:br/>
      </w:r>
      <w:r w:rsidR="003861AC" w:rsidRPr="007F331A">
        <w:rPr>
          <w:i/>
          <w:iCs/>
        </w:rPr>
        <w:t>Repeated minor exposure may have a cumulative poisoning effect.</w:t>
      </w:r>
      <w:r w:rsidR="003861AC" w:rsidRPr="007F331A">
        <w:rPr>
          <w:i/>
          <w:iCs/>
        </w:rPr>
        <w:br/>
        <w:t>When using the product wear disposable gloves.</w:t>
      </w:r>
      <w:r w:rsidR="003861AC" w:rsidRPr="007F331A">
        <w:rPr>
          <w:i/>
          <w:iCs/>
        </w:rPr>
        <w:br/>
        <w:t>During cleanup, disposal operations of bait and bait stations and when handling rodent carcasses wear single layer clothing and disposable gloves.</w:t>
      </w:r>
      <w:r w:rsidR="003861AC" w:rsidRPr="007F331A">
        <w:rPr>
          <w:i/>
          <w:iCs/>
        </w:rPr>
        <w:br/>
        <w:t>If on skin and after each baiting, wash thoroughly with soap and water.</w:t>
      </w:r>
      <w:r w:rsidR="003861AC" w:rsidRPr="007F331A">
        <w:rPr>
          <w:i/>
          <w:iCs/>
        </w:rPr>
        <w:br/>
        <w:t>After each day’s use wash contaminated clothing.</w:t>
      </w:r>
    </w:p>
    <w:p w14:paraId="21866B1A" w14:textId="752D156D" w:rsidR="00C8524B" w:rsidRDefault="003861AC">
      <w:pPr>
        <w:pStyle w:val="NormalText"/>
      </w:pPr>
      <w:r>
        <w:t xml:space="preserve">Table </w:t>
      </w:r>
      <w:r>
        <w:rPr>
          <w:noProof/>
        </w:rPr>
        <w:t>67</w:t>
      </w:r>
      <w:r w:rsidR="006F0BBB">
        <w:fldChar w:fldCharType="end"/>
      </w:r>
      <w:r w:rsidR="006F0BBB">
        <w:t>.</w:t>
      </w:r>
    </w:p>
    <w:p w14:paraId="42185756" w14:textId="3DC2C38F" w:rsidR="007F331A" w:rsidRPr="007F331A" w:rsidRDefault="007F331A" w:rsidP="007F331A">
      <w:pPr>
        <w:pStyle w:val="NormalText"/>
        <w:ind w:left="567"/>
        <w:rPr>
          <w:i/>
          <w:iCs/>
        </w:rPr>
      </w:pPr>
      <w:bookmarkStart w:id="1378" w:name="_Ref213770953"/>
      <w:bookmarkStart w:id="1379" w:name="_Toc213946043"/>
      <w:r w:rsidRPr="007F331A">
        <w:rPr>
          <w:b/>
          <w:bCs/>
        </w:rPr>
        <w:t>Safety Directions</w:t>
      </w:r>
      <w:r>
        <w:rPr>
          <w:b/>
          <w:bCs/>
        </w:rPr>
        <w:br/>
      </w:r>
      <w:r w:rsidRPr="007F331A">
        <w:rPr>
          <w:i/>
          <w:iCs/>
        </w:rPr>
        <w:t>Repeated minor exposure may have a cumulative poisoning effect.</w:t>
      </w:r>
      <w:r w:rsidRPr="007F331A">
        <w:rPr>
          <w:i/>
          <w:iCs/>
        </w:rPr>
        <w:br/>
        <w:t>When using the product wear disposable gloves.</w:t>
      </w:r>
      <w:bookmarkStart w:id="1380" w:name="_Hlk214967091"/>
      <w:r w:rsidRPr="007F331A">
        <w:rPr>
          <w:i/>
          <w:iCs/>
        </w:rPr>
        <w:br/>
        <w:t>During cleanup, disposal operations of bait and bait stations and when handling rodent carcasses wear single layer clothing and disposable gloves.</w:t>
      </w:r>
      <w:r w:rsidRPr="007F331A">
        <w:rPr>
          <w:i/>
          <w:iCs/>
        </w:rPr>
        <w:br/>
        <w:t>If on skin and after each baiting, wash thoroughly with soap and water.</w:t>
      </w:r>
      <w:r w:rsidRPr="007F331A">
        <w:rPr>
          <w:i/>
          <w:iCs/>
        </w:rPr>
        <w:br/>
        <w:t>After each day’s use wash contaminated clothing</w:t>
      </w:r>
      <w:bookmarkEnd w:id="1380"/>
      <w:r w:rsidRPr="007F331A">
        <w:rPr>
          <w:i/>
          <w:iCs/>
        </w:rPr>
        <w:t>.</w:t>
      </w:r>
    </w:p>
    <w:p w14:paraId="699F053B" w14:textId="17D3C2F5" w:rsidR="00607CB8" w:rsidRPr="00B37BCB" w:rsidRDefault="00115C4F" w:rsidP="00377F3A">
      <w:pPr>
        <w:pStyle w:val="Caption"/>
      </w:pPr>
      <w:bookmarkStart w:id="1381" w:name="_Toc216695729"/>
      <w:r>
        <w:t xml:space="preserve">Table </w:t>
      </w:r>
      <w:r>
        <w:fldChar w:fldCharType="begin"/>
      </w:r>
      <w:r>
        <w:instrText xml:space="preserve"> SEQ Table \* ARABIC </w:instrText>
      </w:r>
      <w:r>
        <w:fldChar w:fldCharType="separate"/>
      </w:r>
      <w:r w:rsidR="003861AC">
        <w:rPr>
          <w:noProof/>
        </w:rPr>
        <w:t>67</w:t>
      </w:r>
      <w:r>
        <w:fldChar w:fldCharType="end"/>
      </w:r>
      <w:bookmarkEnd w:id="1378"/>
      <w:r>
        <w:t xml:space="preserve">: Active constituent concentration of </w:t>
      </w:r>
      <w:r w:rsidR="00A916DE">
        <w:t>b</w:t>
      </w:r>
      <w:r w:rsidR="00A916DE" w:rsidRPr="00A916DE">
        <w:t xml:space="preserve">rodifacoum, bromadiolone, flocoumafen </w:t>
      </w:r>
      <w:r w:rsidR="00A916DE">
        <w:t>and</w:t>
      </w:r>
      <w:r w:rsidR="00A916DE" w:rsidRPr="00A916DE">
        <w:t xml:space="preserve"> coumatetralyl </w:t>
      </w:r>
      <w:r>
        <w:t xml:space="preserve">products in </w:t>
      </w:r>
      <w:r w:rsidRPr="00B37BCB">
        <w:t xml:space="preserve">sachets </w:t>
      </w:r>
      <w:r w:rsidRPr="001C78C1">
        <w:t>or place packs</w:t>
      </w:r>
      <w:bookmarkEnd w:id="1379"/>
      <w:bookmarkEnd w:id="13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5305"/>
        <w:gridCol w:w="2369"/>
      </w:tblGrid>
      <w:tr w:rsidR="00A453BF" w:rsidRPr="00B37BCB" w14:paraId="4D9B3C42" w14:textId="77777777" w:rsidTr="0017134F">
        <w:tc>
          <w:tcPr>
            <w:tcW w:w="1019" w:type="pct"/>
            <w:tcBorders>
              <w:top w:val="nil"/>
              <w:left w:val="nil"/>
              <w:bottom w:val="nil"/>
              <w:right w:val="nil"/>
            </w:tcBorders>
            <w:shd w:val="clear" w:color="auto" w:fill="53284F"/>
          </w:tcPr>
          <w:p w14:paraId="149894A2" w14:textId="77777777" w:rsidR="00607CB8" w:rsidRPr="00B37BCB" w:rsidRDefault="00607CB8" w:rsidP="00BA7F4F">
            <w:pPr>
              <w:pStyle w:val="TableHead"/>
            </w:pPr>
            <w:r w:rsidRPr="00B37BCB">
              <w:t>Substance</w:t>
            </w:r>
          </w:p>
        </w:tc>
        <w:tc>
          <w:tcPr>
            <w:tcW w:w="2752" w:type="pct"/>
            <w:tcBorders>
              <w:top w:val="nil"/>
              <w:left w:val="nil"/>
              <w:bottom w:val="nil"/>
              <w:right w:val="nil"/>
            </w:tcBorders>
            <w:shd w:val="clear" w:color="auto" w:fill="53284F"/>
          </w:tcPr>
          <w:p w14:paraId="3C8AC96B" w14:textId="77777777" w:rsidR="00607CB8" w:rsidRPr="00B37BCB" w:rsidRDefault="00607CB8" w:rsidP="00BA7F4F">
            <w:pPr>
              <w:pStyle w:val="TableHead"/>
            </w:pPr>
            <w:r w:rsidRPr="00B37BCB">
              <w:t>Formulation</w:t>
            </w:r>
          </w:p>
        </w:tc>
        <w:tc>
          <w:tcPr>
            <w:tcW w:w="1229" w:type="pct"/>
            <w:tcBorders>
              <w:top w:val="nil"/>
              <w:left w:val="nil"/>
              <w:bottom w:val="nil"/>
              <w:right w:val="nil"/>
            </w:tcBorders>
            <w:shd w:val="clear" w:color="auto" w:fill="53284F"/>
          </w:tcPr>
          <w:p w14:paraId="335DDB0C" w14:textId="77777777" w:rsidR="00607CB8" w:rsidRPr="00B37BCB" w:rsidRDefault="00607CB8" w:rsidP="00BA7F4F">
            <w:pPr>
              <w:pStyle w:val="TableHead"/>
            </w:pPr>
            <w:r w:rsidRPr="00B37BCB">
              <w:t>Statement Codes</w:t>
            </w:r>
          </w:p>
        </w:tc>
      </w:tr>
      <w:tr w:rsidR="00A453BF" w:rsidRPr="001C78C1" w14:paraId="49A6F54F" w14:textId="77777777" w:rsidTr="00BD2F8D">
        <w:tc>
          <w:tcPr>
            <w:tcW w:w="1019" w:type="pct"/>
            <w:tcBorders>
              <w:top w:val="nil"/>
              <w:left w:val="nil"/>
              <w:bottom w:val="single" w:sz="4" w:space="0" w:color="auto"/>
              <w:right w:val="nil"/>
            </w:tcBorders>
          </w:tcPr>
          <w:p w14:paraId="20EEF141" w14:textId="77777777" w:rsidR="00607CB8" w:rsidRPr="001C78C1" w:rsidRDefault="00607CB8" w:rsidP="00BA7F4F">
            <w:pPr>
              <w:pStyle w:val="TableText"/>
              <w:rPr>
                <w:shd w:val="clear" w:color="auto" w:fill="FFFFFF"/>
              </w:rPr>
            </w:pPr>
            <w:r w:rsidRPr="00B37BCB">
              <w:rPr>
                <w:shd w:val="clear" w:color="auto" w:fill="FFFFFF"/>
              </w:rPr>
              <w:t>Brodifacoum</w:t>
            </w:r>
          </w:p>
        </w:tc>
        <w:tc>
          <w:tcPr>
            <w:tcW w:w="2752" w:type="pct"/>
            <w:tcBorders>
              <w:top w:val="nil"/>
              <w:left w:val="nil"/>
              <w:bottom w:val="single" w:sz="4" w:space="0" w:color="auto"/>
              <w:right w:val="nil"/>
            </w:tcBorders>
          </w:tcPr>
          <w:p w14:paraId="09A9FFE4" w14:textId="5AA75218" w:rsidR="00607CB8" w:rsidRPr="001C78C1" w:rsidRDefault="0092443E" w:rsidP="00BA7F4F">
            <w:pPr>
              <w:pStyle w:val="TableText"/>
            </w:pPr>
            <w:r>
              <w:t>RB</w:t>
            </w:r>
            <w:r w:rsidRPr="001C78C1">
              <w:t xml:space="preserve"> </w:t>
            </w:r>
            <w:r w:rsidR="00607CB8" w:rsidRPr="001C78C1">
              <w:t>0.05 g/kg or less in sachet or place pack</w:t>
            </w:r>
          </w:p>
        </w:tc>
        <w:tc>
          <w:tcPr>
            <w:tcW w:w="1229" w:type="pct"/>
            <w:vMerge w:val="restart"/>
            <w:tcBorders>
              <w:top w:val="nil"/>
              <w:left w:val="nil"/>
              <w:bottom w:val="single" w:sz="4" w:space="0" w:color="auto"/>
              <w:right w:val="nil"/>
            </w:tcBorders>
          </w:tcPr>
          <w:p w14:paraId="59CA86EC" w14:textId="6BA2CEB6" w:rsidR="00607CB8" w:rsidRPr="001C78C1" w:rsidRDefault="00607CB8" w:rsidP="00BA7F4F">
            <w:pPr>
              <w:pStyle w:val="TableText"/>
              <w:rPr>
                <w:lang w:eastAsia="en-AU"/>
              </w:rPr>
            </w:pPr>
            <w:r w:rsidRPr="00B37BCB">
              <w:rPr>
                <w:lang w:eastAsia="en-AU"/>
              </w:rPr>
              <w:t xml:space="preserve">190 279 283 </w:t>
            </w:r>
            <w:r w:rsidRPr="002635E9">
              <w:rPr>
                <w:szCs w:val="17"/>
                <w:lang w:eastAsia="en-AU"/>
              </w:rPr>
              <w:t xml:space="preserve">290 </w:t>
            </w:r>
            <w:r w:rsidR="002635E9" w:rsidRPr="00CB467B">
              <w:rPr>
                <w:rFonts w:eastAsia="Times New Roman" w:cs="Times New Roman"/>
                <w:kern w:val="0"/>
                <w:szCs w:val="17"/>
                <w:lang w:eastAsia="en-AU"/>
                <w14:ligatures w14:val="none"/>
              </w:rPr>
              <w:t>292b</w:t>
            </w:r>
            <w:r w:rsidR="002635E9" w:rsidRPr="00B37BCB">
              <w:rPr>
                <w:lang w:eastAsia="en-AU"/>
              </w:rPr>
              <w:t xml:space="preserve"> </w:t>
            </w:r>
            <w:r w:rsidRPr="00B37BCB">
              <w:rPr>
                <w:lang w:eastAsia="en-AU"/>
              </w:rPr>
              <w:t xml:space="preserve">321 </w:t>
            </w:r>
            <w:r w:rsidR="002635E9" w:rsidRPr="002635E9">
              <w:rPr>
                <w:lang w:eastAsia="en-AU"/>
              </w:rPr>
              <w:t xml:space="preserve">during cleanup, disposal operations and when handling rodent carcasses </w:t>
            </w:r>
            <w:r w:rsidRPr="00B37BCB">
              <w:rPr>
                <w:lang w:eastAsia="en-AU"/>
              </w:rPr>
              <w:t>252</w:t>
            </w:r>
            <w:r w:rsidR="002635E9">
              <w:rPr>
                <w:lang w:eastAsia="en-AU"/>
              </w:rPr>
              <w:t xml:space="preserve"> </w:t>
            </w:r>
            <w:r w:rsidR="002635E9" w:rsidRPr="002635E9">
              <w:rPr>
                <w:lang w:eastAsia="en-AU"/>
              </w:rPr>
              <w:t>360 366</w:t>
            </w:r>
          </w:p>
        </w:tc>
      </w:tr>
      <w:tr w:rsidR="00607CB8" w:rsidRPr="001C78C1" w14:paraId="1BC48C5A" w14:textId="77777777" w:rsidTr="00BD2F8D">
        <w:trPr>
          <w:trHeight w:val="283"/>
        </w:trPr>
        <w:tc>
          <w:tcPr>
            <w:tcW w:w="1019" w:type="pct"/>
            <w:tcBorders>
              <w:top w:val="single" w:sz="4" w:space="0" w:color="auto"/>
              <w:left w:val="nil"/>
              <w:bottom w:val="single" w:sz="4" w:space="0" w:color="auto"/>
              <w:right w:val="nil"/>
            </w:tcBorders>
          </w:tcPr>
          <w:p w14:paraId="251DAEEB" w14:textId="77777777" w:rsidR="00607CB8" w:rsidRPr="001C78C1" w:rsidRDefault="00607CB8" w:rsidP="00BA7F4F">
            <w:pPr>
              <w:pStyle w:val="TableText"/>
              <w:rPr>
                <w:shd w:val="clear" w:color="auto" w:fill="FFFFFF"/>
              </w:rPr>
            </w:pPr>
            <w:r w:rsidRPr="00B37BCB">
              <w:rPr>
                <w:shd w:val="clear" w:color="auto" w:fill="FFFFFF"/>
              </w:rPr>
              <w:t>Bromadiolone</w:t>
            </w:r>
          </w:p>
        </w:tc>
        <w:tc>
          <w:tcPr>
            <w:tcW w:w="2752" w:type="pct"/>
            <w:tcBorders>
              <w:top w:val="single" w:sz="4" w:space="0" w:color="auto"/>
              <w:left w:val="nil"/>
              <w:bottom w:val="single" w:sz="4" w:space="0" w:color="auto"/>
              <w:right w:val="nil"/>
            </w:tcBorders>
          </w:tcPr>
          <w:p w14:paraId="7ECC3154" w14:textId="4D77092A" w:rsidR="00607CB8" w:rsidRPr="001C78C1" w:rsidRDefault="0092443E" w:rsidP="00BA7F4F">
            <w:pPr>
              <w:pStyle w:val="TableText"/>
            </w:pPr>
            <w:r>
              <w:t>RB</w:t>
            </w:r>
            <w:r w:rsidRPr="001C78C1" w:rsidDel="0092443E">
              <w:t xml:space="preserve"> </w:t>
            </w:r>
            <w:r w:rsidR="00607CB8" w:rsidRPr="001C78C1">
              <w:t>0.05 g/kg or less in sachet or place pack</w:t>
            </w:r>
          </w:p>
        </w:tc>
        <w:tc>
          <w:tcPr>
            <w:tcW w:w="1229" w:type="pct"/>
            <w:vMerge/>
            <w:tcBorders>
              <w:top w:val="nil"/>
              <w:left w:val="nil"/>
              <w:bottom w:val="single" w:sz="4" w:space="0" w:color="auto"/>
              <w:right w:val="nil"/>
            </w:tcBorders>
          </w:tcPr>
          <w:p w14:paraId="7A8D5A0D" w14:textId="77777777" w:rsidR="00607CB8" w:rsidRPr="001C78C1" w:rsidRDefault="00607CB8" w:rsidP="00BD2F8D">
            <w:pPr>
              <w:keepNext/>
              <w:spacing w:after="0"/>
              <w:ind w:left="55"/>
              <w:rPr>
                <w:lang w:eastAsia="en-AU"/>
              </w:rPr>
            </w:pPr>
          </w:p>
        </w:tc>
      </w:tr>
      <w:tr w:rsidR="00607CB8" w:rsidRPr="001C78C1" w14:paraId="3B92AE5C" w14:textId="77777777" w:rsidTr="00BD2F8D">
        <w:trPr>
          <w:trHeight w:val="283"/>
        </w:trPr>
        <w:tc>
          <w:tcPr>
            <w:tcW w:w="1019" w:type="pct"/>
            <w:tcBorders>
              <w:top w:val="single" w:sz="4" w:space="0" w:color="auto"/>
              <w:left w:val="nil"/>
              <w:bottom w:val="single" w:sz="4" w:space="0" w:color="auto"/>
              <w:right w:val="nil"/>
            </w:tcBorders>
          </w:tcPr>
          <w:p w14:paraId="5E491443" w14:textId="77777777" w:rsidR="00607CB8" w:rsidRPr="001C78C1" w:rsidRDefault="00607CB8" w:rsidP="00BA7F4F">
            <w:pPr>
              <w:pStyle w:val="TableText"/>
              <w:rPr>
                <w:shd w:val="clear" w:color="auto" w:fill="FFFFFF"/>
              </w:rPr>
            </w:pPr>
            <w:r w:rsidRPr="00B37BCB">
              <w:rPr>
                <w:shd w:val="clear" w:color="auto" w:fill="FFFFFF"/>
              </w:rPr>
              <w:t>Coumatetralyl</w:t>
            </w:r>
          </w:p>
        </w:tc>
        <w:tc>
          <w:tcPr>
            <w:tcW w:w="2752" w:type="pct"/>
            <w:tcBorders>
              <w:top w:val="single" w:sz="4" w:space="0" w:color="auto"/>
              <w:left w:val="nil"/>
              <w:bottom w:val="single" w:sz="4" w:space="0" w:color="auto"/>
              <w:right w:val="nil"/>
            </w:tcBorders>
          </w:tcPr>
          <w:p w14:paraId="349B37B1" w14:textId="1863029C" w:rsidR="00607CB8" w:rsidRPr="001C78C1" w:rsidRDefault="0092443E" w:rsidP="00BA7F4F">
            <w:pPr>
              <w:pStyle w:val="TableText"/>
            </w:pPr>
            <w:r>
              <w:t>RB</w:t>
            </w:r>
            <w:r w:rsidRPr="001C78C1" w:rsidDel="0092443E">
              <w:t xml:space="preserve"> </w:t>
            </w:r>
            <w:r w:rsidR="00607CB8" w:rsidRPr="001C78C1">
              <w:t>0.4 g/kg or less in sachet or place pack</w:t>
            </w:r>
          </w:p>
        </w:tc>
        <w:tc>
          <w:tcPr>
            <w:tcW w:w="1229" w:type="pct"/>
            <w:vMerge/>
            <w:tcBorders>
              <w:top w:val="nil"/>
              <w:left w:val="nil"/>
              <w:bottom w:val="single" w:sz="4" w:space="0" w:color="auto"/>
              <w:right w:val="nil"/>
            </w:tcBorders>
          </w:tcPr>
          <w:p w14:paraId="41B4439D" w14:textId="77777777" w:rsidR="00607CB8" w:rsidRPr="001C78C1" w:rsidRDefault="00607CB8" w:rsidP="00BD2F8D">
            <w:pPr>
              <w:keepNext/>
              <w:spacing w:after="0"/>
              <w:ind w:left="55"/>
              <w:rPr>
                <w:lang w:eastAsia="en-AU"/>
              </w:rPr>
            </w:pPr>
          </w:p>
        </w:tc>
      </w:tr>
      <w:tr w:rsidR="00A453BF" w:rsidRPr="001C78C1" w14:paraId="692205A6" w14:textId="77777777" w:rsidTr="00A453BF">
        <w:trPr>
          <w:trHeight w:val="283"/>
        </w:trPr>
        <w:tc>
          <w:tcPr>
            <w:tcW w:w="1019" w:type="pct"/>
            <w:tcBorders>
              <w:top w:val="single" w:sz="4" w:space="0" w:color="auto"/>
              <w:left w:val="nil"/>
              <w:bottom w:val="single" w:sz="4" w:space="0" w:color="auto"/>
              <w:right w:val="nil"/>
            </w:tcBorders>
          </w:tcPr>
          <w:p w14:paraId="49D0FCE0" w14:textId="77777777" w:rsidR="00607CB8" w:rsidRPr="001C78C1" w:rsidRDefault="00607CB8" w:rsidP="00BA7F4F">
            <w:pPr>
              <w:pStyle w:val="TableText"/>
              <w:rPr>
                <w:shd w:val="clear" w:color="auto" w:fill="FFFFFF"/>
              </w:rPr>
            </w:pPr>
            <w:r w:rsidRPr="00B37BCB">
              <w:rPr>
                <w:shd w:val="clear" w:color="auto" w:fill="FFFFFF"/>
              </w:rPr>
              <w:t>Flocoumafen</w:t>
            </w:r>
          </w:p>
        </w:tc>
        <w:tc>
          <w:tcPr>
            <w:tcW w:w="2752" w:type="pct"/>
            <w:tcBorders>
              <w:top w:val="single" w:sz="4" w:space="0" w:color="auto"/>
              <w:left w:val="nil"/>
              <w:bottom w:val="single" w:sz="4" w:space="0" w:color="auto"/>
              <w:right w:val="nil"/>
            </w:tcBorders>
          </w:tcPr>
          <w:p w14:paraId="7182054C" w14:textId="273BF8D1" w:rsidR="00607CB8" w:rsidRPr="001C78C1" w:rsidRDefault="0092443E" w:rsidP="00BA7F4F">
            <w:pPr>
              <w:pStyle w:val="TableText"/>
            </w:pPr>
            <w:r>
              <w:t>RB</w:t>
            </w:r>
            <w:r w:rsidRPr="001C78C1" w:rsidDel="0092443E">
              <w:t xml:space="preserve"> </w:t>
            </w:r>
            <w:r w:rsidR="00607CB8" w:rsidRPr="001C78C1">
              <w:t>0.05 g/kg or less in sachet or place pack</w:t>
            </w:r>
          </w:p>
        </w:tc>
        <w:tc>
          <w:tcPr>
            <w:tcW w:w="1229" w:type="pct"/>
            <w:vMerge/>
            <w:tcBorders>
              <w:top w:val="nil"/>
              <w:left w:val="nil"/>
              <w:bottom w:val="single" w:sz="4" w:space="0" w:color="auto"/>
              <w:right w:val="nil"/>
            </w:tcBorders>
          </w:tcPr>
          <w:p w14:paraId="24123257" w14:textId="77777777" w:rsidR="00607CB8" w:rsidRPr="001C78C1" w:rsidRDefault="00607CB8" w:rsidP="00BD2F8D">
            <w:pPr>
              <w:keepNext/>
              <w:spacing w:after="0"/>
              <w:ind w:left="55"/>
              <w:rPr>
                <w:lang w:eastAsia="en-AU"/>
              </w:rPr>
            </w:pPr>
          </w:p>
        </w:tc>
      </w:tr>
    </w:tbl>
    <w:p w14:paraId="370A83B4" w14:textId="7460CD40" w:rsidR="002635E9" w:rsidRPr="00A916DE" w:rsidRDefault="002635E9" w:rsidP="00A916DE">
      <w:pPr>
        <w:pStyle w:val="Heading5"/>
        <w:numPr>
          <w:ilvl w:val="0"/>
          <w:numId w:val="0"/>
        </w:numPr>
        <w:tabs>
          <w:tab w:val="num" w:pos="907"/>
        </w:tabs>
        <w:rPr>
          <w:rFonts w:eastAsia="Times New Roman"/>
          <w14:ligatures w14:val="none"/>
        </w:rPr>
      </w:pPr>
      <w:r w:rsidRPr="00A916DE">
        <w:rPr>
          <w:rFonts w:eastAsia="Times New Roman"/>
          <w14:ligatures w14:val="none"/>
        </w:rPr>
        <w:t>Difenacoum products in sachets or single use bait boxes/place packs</w:t>
      </w:r>
    </w:p>
    <w:p w14:paraId="58B8DAC9" w14:textId="77777777" w:rsidR="003861AC" w:rsidRPr="007F331A" w:rsidRDefault="002635E9" w:rsidP="007F331A">
      <w:pPr>
        <w:pStyle w:val="NormalText"/>
        <w:ind w:left="567"/>
        <w:rPr>
          <w:i/>
          <w:iCs/>
        </w:rPr>
      </w:pPr>
      <w:r>
        <w:t>The following safety directions are required for</w:t>
      </w:r>
      <w:r w:rsidR="00A916DE">
        <w:t xml:space="preserve"> difenacoum</w:t>
      </w:r>
      <w:r>
        <w:t xml:space="preserve"> products in </w:t>
      </w:r>
      <w:r w:rsidRPr="00B37BCB">
        <w:t xml:space="preserve">sachets </w:t>
      </w:r>
      <w:r w:rsidRPr="001C78C1">
        <w:t>or place packs</w:t>
      </w:r>
      <w:r>
        <w:t xml:space="preserve"> with the concentrations listed in </w:t>
      </w:r>
      <w:r>
        <w:fldChar w:fldCharType="begin"/>
      </w:r>
      <w:r>
        <w:instrText xml:space="preserve"> REF _Ref213770953 \h </w:instrText>
      </w:r>
      <w:r>
        <w:fldChar w:fldCharType="separate"/>
      </w:r>
      <w:r w:rsidR="003861AC" w:rsidRPr="007F331A">
        <w:rPr>
          <w:b/>
          <w:bCs/>
        </w:rPr>
        <w:t>Safety Directions</w:t>
      </w:r>
      <w:r w:rsidR="003861AC">
        <w:rPr>
          <w:b/>
          <w:bCs/>
        </w:rPr>
        <w:br/>
      </w:r>
      <w:r w:rsidR="003861AC" w:rsidRPr="007F331A">
        <w:rPr>
          <w:i/>
          <w:iCs/>
        </w:rPr>
        <w:t>Repeated minor exposure may have a cumulative poisoning effect.</w:t>
      </w:r>
      <w:r w:rsidR="003861AC" w:rsidRPr="007F331A">
        <w:rPr>
          <w:i/>
          <w:iCs/>
        </w:rPr>
        <w:br/>
        <w:t>When using the product wear disposable gloves.</w:t>
      </w:r>
      <w:r w:rsidR="003861AC" w:rsidRPr="007F331A">
        <w:rPr>
          <w:i/>
          <w:iCs/>
        </w:rPr>
        <w:br/>
        <w:t>During cleanup, disposal operations of bait and bait stations and when handling rodent carcasses wear single layer clothing and disposable gloves.</w:t>
      </w:r>
      <w:r w:rsidR="003861AC" w:rsidRPr="007F331A">
        <w:rPr>
          <w:i/>
          <w:iCs/>
        </w:rPr>
        <w:br/>
        <w:t>If on skin and after each baiting, wash thoroughly with soap and water.</w:t>
      </w:r>
      <w:r w:rsidR="003861AC" w:rsidRPr="007F331A">
        <w:rPr>
          <w:i/>
          <w:iCs/>
        </w:rPr>
        <w:br/>
        <w:t>After each day’s use wash contaminated clothing.</w:t>
      </w:r>
    </w:p>
    <w:p w14:paraId="296B7073" w14:textId="26BCBCE9" w:rsidR="002635E9" w:rsidRDefault="003861AC" w:rsidP="002635E9">
      <w:pPr>
        <w:pStyle w:val="NormalText"/>
      </w:pPr>
      <w:r>
        <w:lastRenderedPageBreak/>
        <w:t xml:space="preserve">Table </w:t>
      </w:r>
      <w:r>
        <w:rPr>
          <w:noProof/>
        </w:rPr>
        <w:t>67</w:t>
      </w:r>
      <w:r w:rsidR="002635E9">
        <w:fldChar w:fldCharType="end"/>
      </w:r>
      <w:r w:rsidR="002635E9">
        <w:t>.</w:t>
      </w:r>
    </w:p>
    <w:p w14:paraId="6C6CAA18" w14:textId="7DAC66AA" w:rsidR="002635E9" w:rsidRPr="007F331A" w:rsidRDefault="002635E9" w:rsidP="007F331A">
      <w:pPr>
        <w:pStyle w:val="NormalText"/>
        <w:ind w:left="567"/>
        <w:rPr>
          <w:i/>
          <w:iCs/>
        </w:rPr>
      </w:pPr>
      <w:r w:rsidRPr="007F331A">
        <w:rPr>
          <w:b/>
          <w:bCs/>
        </w:rPr>
        <w:t>Safety Directions</w:t>
      </w:r>
      <w:r w:rsidR="007F331A">
        <w:rPr>
          <w:b/>
          <w:bCs/>
        </w:rPr>
        <w:br/>
      </w:r>
      <w:r w:rsidRPr="007F331A">
        <w:rPr>
          <w:i/>
          <w:iCs/>
        </w:rPr>
        <w:t>Repeated minor exposure may have a cumulative poisoning effect.</w:t>
      </w:r>
      <w:r w:rsidR="007F331A" w:rsidRPr="007F331A">
        <w:rPr>
          <w:i/>
          <w:iCs/>
        </w:rPr>
        <w:br/>
      </w:r>
      <w:r w:rsidRPr="007F331A">
        <w:rPr>
          <w:i/>
          <w:iCs/>
        </w:rPr>
        <w:t>Will irritate the skin. May irritate eyes. Avoid contact with eyes and skin.</w:t>
      </w:r>
      <w:r w:rsidR="007F331A" w:rsidRPr="007F331A">
        <w:rPr>
          <w:i/>
          <w:iCs/>
        </w:rPr>
        <w:br/>
      </w:r>
      <w:r w:rsidRPr="007F331A">
        <w:rPr>
          <w:i/>
          <w:iCs/>
        </w:rPr>
        <w:t>When using the product wear disposable gloves.</w:t>
      </w:r>
      <w:r w:rsidR="007F331A" w:rsidRPr="007F331A">
        <w:rPr>
          <w:i/>
          <w:iCs/>
        </w:rPr>
        <w:br/>
      </w:r>
      <w:r w:rsidRPr="007F331A">
        <w:rPr>
          <w:i/>
          <w:iCs/>
        </w:rPr>
        <w:t>During cleanup, disposal operations of bait and bait stations and when handling rodent carcasses wear single layer clothing and disposable gloves.</w:t>
      </w:r>
      <w:r w:rsidR="007F331A" w:rsidRPr="007F331A">
        <w:rPr>
          <w:i/>
          <w:iCs/>
        </w:rPr>
        <w:br/>
      </w:r>
      <w:r w:rsidRPr="007F331A">
        <w:rPr>
          <w:i/>
          <w:iCs/>
        </w:rPr>
        <w:t>If on skin and after each baiting, wash thoroughly with soap and water.</w:t>
      </w:r>
      <w:r w:rsidR="007F331A" w:rsidRPr="007F331A">
        <w:rPr>
          <w:i/>
          <w:iCs/>
        </w:rPr>
        <w:br/>
      </w:r>
      <w:r w:rsidRPr="007F331A">
        <w:rPr>
          <w:i/>
          <w:iCs/>
        </w:rPr>
        <w:t>After each day’s use wash contaminated clothing.</w:t>
      </w:r>
    </w:p>
    <w:p w14:paraId="40125303" w14:textId="49CF8BE7" w:rsidR="002635E9" w:rsidRPr="00B37BCB" w:rsidRDefault="002635E9" w:rsidP="002635E9">
      <w:pPr>
        <w:pStyle w:val="Caption"/>
      </w:pPr>
      <w:bookmarkStart w:id="1382" w:name="_Toc216695730"/>
      <w:r>
        <w:t xml:space="preserve">Table </w:t>
      </w:r>
      <w:r>
        <w:fldChar w:fldCharType="begin"/>
      </w:r>
      <w:r>
        <w:instrText xml:space="preserve"> SEQ Table \* ARABIC </w:instrText>
      </w:r>
      <w:r>
        <w:fldChar w:fldCharType="separate"/>
      </w:r>
      <w:r w:rsidR="003861AC">
        <w:rPr>
          <w:noProof/>
        </w:rPr>
        <w:t>68</w:t>
      </w:r>
      <w:r>
        <w:fldChar w:fldCharType="end"/>
      </w:r>
      <w:r>
        <w:t xml:space="preserve">: Active constituent concentration of </w:t>
      </w:r>
      <w:r w:rsidR="00A916DE">
        <w:t xml:space="preserve">difenacoum </w:t>
      </w:r>
      <w:r>
        <w:t xml:space="preserve">products in </w:t>
      </w:r>
      <w:r w:rsidRPr="00B37BCB">
        <w:t xml:space="preserve">sachets </w:t>
      </w:r>
      <w:r w:rsidRPr="001C78C1">
        <w:t>or place packs</w:t>
      </w:r>
      <w:bookmarkEnd w:id="13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5305"/>
        <w:gridCol w:w="2369"/>
      </w:tblGrid>
      <w:tr w:rsidR="002635E9" w:rsidRPr="00B37BCB" w14:paraId="5DAD866F" w14:textId="77777777" w:rsidTr="0017134F">
        <w:tc>
          <w:tcPr>
            <w:tcW w:w="1019" w:type="pct"/>
            <w:tcBorders>
              <w:top w:val="nil"/>
              <w:left w:val="nil"/>
              <w:bottom w:val="nil"/>
              <w:right w:val="nil"/>
            </w:tcBorders>
            <w:shd w:val="clear" w:color="auto" w:fill="53284F"/>
          </w:tcPr>
          <w:p w14:paraId="3282F184" w14:textId="77777777" w:rsidR="002635E9" w:rsidRPr="00B37BCB" w:rsidRDefault="002635E9" w:rsidP="004824A6">
            <w:pPr>
              <w:pStyle w:val="TableHead"/>
            </w:pPr>
            <w:r w:rsidRPr="00B37BCB">
              <w:t>Substance</w:t>
            </w:r>
          </w:p>
        </w:tc>
        <w:tc>
          <w:tcPr>
            <w:tcW w:w="2752" w:type="pct"/>
            <w:tcBorders>
              <w:top w:val="nil"/>
              <w:left w:val="nil"/>
              <w:bottom w:val="nil"/>
              <w:right w:val="nil"/>
            </w:tcBorders>
            <w:shd w:val="clear" w:color="auto" w:fill="53284F"/>
          </w:tcPr>
          <w:p w14:paraId="64781551" w14:textId="77777777" w:rsidR="002635E9" w:rsidRPr="00B37BCB" w:rsidRDefault="002635E9" w:rsidP="004824A6">
            <w:pPr>
              <w:pStyle w:val="TableHead"/>
            </w:pPr>
            <w:r w:rsidRPr="00B37BCB">
              <w:t>Formulation</w:t>
            </w:r>
          </w:p>
        </w:tc>
        <w:tc>
          <w:tcPr>
            <w:tcW w:w="1229" w:type="pct"/>
            <w:tcBorders>
              <w:top w:val="nil"/>
              <w:left w:val="nil"/>
              <w:bottom w:val="nil"/>
              <w:right w:val="nil"/>
            </w:tcBorders>
            <w:shd w:val="clear" w:color="auto" w:fill="53284F"/>
          </w:tcPr>
          <w:p w14:paraId="6DD69F63" w14:textId="77777777" w:rsidR="002635E9" w:rsidRPr="00B37BCB" w:rsidRDefault="002635E9" w:rsidP="004824A6">
            <w:pPr>
              <w:pStyle w:val="TableHead"/>
            </w:pPr>
            <w:r w:rsidRPr="00B37BCB">
              <w:t>Statement Codes</w:t>
            </w:r>
          </w:p>
        </w:tc>
      </w:tr>
      <w:tr w:rsidR="002635E9" w:rsidRPr="001C78C1" w14:paraId="40C8A5D5" w14:textId="77777777" w:rsidTr="004824A6">
        <w:tc>
          <w:tcPr>
            <w:tcW w:w="1019" w:type="pct"/>
            <w:tcBorders>
              <w:top w:val="nil"/>
              <w:left w:val="nil"/>
              <w:bottom w:val="single" w:sz="4" w:space="0" w:color="auto"/>
              <w:right w:val="nil"/>
            </w:tcBorders>
          </w:tcPr>
          <w:p w14:paraId="650B38B3" w14:textId="1FCC994F" w:rsidR="002635E9" w:rsidRPr="001C78C1" w:rsidRDefault="002635E9" w:rsidP="002635E9">
            <w:pPr>
              <w:pStyle w:val="TableText"/>
              <w:rPr>
                <w:shd w:val="clear" w:color="auto" w:fill="FFFFFF"/>
              </w:rPr>
            </w:pPr>
            <w:r w:rsidRPr="00FF0A0C">
              <w:t>Difenacoum</w:t>
            </w:r>
          </w:p>
        </w:tc>
        <w:tc>
          <w:tcPr>
            <w:tcW w:w="2752" w:type="pct"/>
            <w:tcBorders>
              <w:top w:val="nil"/>
              <w:left w:val="nil"/>
              <w:bottom w:val="single" w:sz="4" w:space="0" w:color="auto"/>
              <w:right w:val="nil"/>
            </w:tcBorders>
          </w:tcPr>
          <w:p w14:paraId="7A8B05D6" w14:textId="35362269" w:rsidR="002635E9" w:rsidRPr="001C78C1" w:rsidRDefault="002635E9" w:rsidP="002635E9">
            <w:pPr>
              <w:pStyle w:val="TableText"/>
            </w:pPr>
            <w:r w:rsidRPr="00FF0A0C">
              <w:t>RB 0.05 g/kg or less in sachet or place pack</w:t>
            </w:r>
          </w:p>
        </w:tc>
        <w:tc>
          <w:tcPr>
            <w:tcW w:w="1229" w:type="pct"/>
            <w:tcBorders>
              <w:top w:val="nil"/>
              <w:left w:val="nil"/>
              <w:bottom w:val="single" w:sz="4" w:space="0" w:color="auto"/>
              <w:right w:val="nil"/>
            </w:tcBorders>
          </w:tcPr>
          <w:p w14:paraId="426BE8A4" w14:textId="1AEE545F" w:rsidR="002635E9" w:rsidRPr="001C78C1" w:rsidRDefault="002635E9" w:rsidP="002635E9">
            <w:pPr>
              <w:pStyle w:val="TableText"/>
              <w:rPr>
                <w:lang w:eastAsia="en-AU"/>
              </w:rPr>
            </w:pPr>
            <w:r w:rsidRPr="002635E9">
              <w:rPr>
                <w:lang w:eastAsia="en-AU"/>
              </w:rPr>
              <w:t xml:space="preserve">190 </w:t>
            </w:r>
            <w:r>
              <w:rPr>
                <w:lang w:eastAsia="en-AU"/>
              </w:rPr>
              <w:t xml:space="preserve">161 164 160 162 210 211 </w:t>
            </w:r>
            <w:r w:rsidRPr="002635E9">
              <w:rPr>
                <w:lang w:eastAsia="en-AU"/>
              </w:rPr>
              <w:t xml:space="preserve">279 283 290 </w:t>
            </w:r>
            <w:r>
              <w:rPr>
                <w:lang w:eastAsia="en-AU"/>
              </w:rPr>
              <w:t xml:space="preserve">321 290 </w:t>
            </w:r>
            <w:r w:rsidRPr="002635E9">
              <w:rPr>
                <w:lang w:eastAsia="en-AU"/>
              </w:rPr>
              <w:t>292b 321 during cleanup, disposal operations and when handling rodent carcasses 252 360 366</w:t>
            </w:r>
          </w:p>
        </w:tc>
      </w:tr>
    </w:tbl>
    <w:p w14:paraId="4749CE58" w14:textId="32E6CDF5" w:rsidR="002635E9" w:rsidRPr="00A916DE" w:rsidRDefault="002635E9" w:rsidP="00A916DE">
      <w:pPr>
        <w:pStyle w:val="Heading5"/>
        <w:numPr>
          <w:ilvl w:val="0"/>
          <w:numId w:val="0"/>
        </w:numPr>
        <w:tabs>
          <w:tab w:val="num" w:pos="907"/>
        </w:tabs>
        <w:rPr>
          <w:rFonts w:eastAsia="Times New Roman"/>
          <w14:ligatures w14:val="none"/>
        </w:rPr>
      </w:pPr>
      <w:r w:rsidRPr="00A916DE">
        <w:rPr>
          <w:rFonts w:eastAsia="Times New Roman"/>
          <w14:ligatures w14:val="none"/>
        </w:rPr>
        <w:t>Difethialone products in sachets or single use bait boxes/place packs</w:t>
      </w:r>
    </w:p>
    <w:p w14:paraId="2A9184AF" w14:textId="77777777" w:rsidR="003861AC" w:rsidRPr="007F331A" w:rsidRDefault="002635E9" w:rsidP="007F331A">
      <w:pPr>
        <w:pStyle w:val="NormalText"/>
        <w:ind w:left="567"/>
        <w:rPr>
          <w:i/>
          <w:iCs/>
        </w:rPr>
      </w:pPr>
      <w:r>
        <w:t xml:space="preserve">The following safety directions are required for </w:t>
      </w:r>
      <w:r w:rsidR="00A916DE">
        <w:t xml:space="preserve">difethialone </w:t>
      </w:r>
      <w:r>
        <w:t xml:space="preserve">products in </w:t>
      </w:r>
      <w:r w:rsidRPr="00B37BCB">
        <w:t xml:space="preserve">sachets </w:t>
      </w:r>
      <w:r w:rsidRPr="001C78C1">
        <w:t>or place packs</w:t>
      </w:r>
      <w:r>
        <w:t xml:space="preserve"> with the concentrations listed in </w:t>
      </w:r>
      <w:r>
        <w:fldChar w:fldCharType="begin"/>
      </w:r>
      <w:r>
        <w:instrText xml:space="preserve"> REF _Ref213770953 \h </w:instrText>
      </w:r>
      <w:r>
        <w:fldChar w:fldCharType="separate"/>
      </w:r>
      <w:r w:rsidR="003861AC" w:rsidRPr="007F331A">
        <w:rPr>
          <w:b/>
          <w:bCs/>
        </w:rPr>
        <w:t>Safety Directions</w:t>
      </w:r>
      <w:r w:rsidR="003861AC">
        <w:rPr>
          <w:b/>
          <w:bCs/>
        </w:rPr>
        <w:br/>
      </w:r>
      <w:r w:rsidR="003861AC" w:rsidRPr="007F331A">
        <w:rPr>
          <w:i/>
          <w:iCs/>
        </w:rPr>
        <w:t>Repeated minor exposure may have a cumulative poisoning effect.</w:t>
      </w:r>
      <w:r w:rsidR="003861AC" w:rsidRPr="007F331A">
        <w:rPr>
          <w:i/>
          <w:iCs/>
        </w:rPr>
        <w:br/>
        <w:t>When using the product wear disposable gloves.</w:t>
      </w:r>
      <w:r w:rsidR="003861AC" w:rsidRPr="007F331A">
        <w:rPr>
          <w:i/>
          <w:iCs/>
        </w:rPr>
        <w:br/>
        <w:t>During cleanup, disposal operations of bait and bait stations and when handling rodent carcasses wear single layer clothing and disposable gloves.</w:t>
      </w:r>
      <w:r w:rsidR="003861AC" w:rsidRPr="007F331A">
        <w:rPr>
          <w:i/>
          <w:iCs/>
        </w:rPr>
        <w:br/>
        <w:t>If on skin and after each baiting, wash thoroughly with soap and water.</w:t>
      </w:r>
      <w:r w:rsidR="003861AC" w:rsidRPr="007F331A">
        <w:rPr>
          <w:i/>
          <w:iCs/>
        </w:rPr>
        <w:br/>
        <w:t>After each day’s use wash contaminated clothing.</w:t>
      </w:r>
    </w:p>
    <w:p w14:paraId="757DDC95" w14:textId="18A7C3C8" w:rsidR="002635E9" w:rsidRDefault="003861AC" w:rsidP="002635E9">
      <w:pPr>
        <w:pStyle w:val="NormalText"/>
      </w:pPr>
      <w:r>
        <w:t xml:space="preserve">Table </w:t>
      </w:r>
      <w:r>
        <w:rPr>
          <w:noProof/>
        </w:rPr>
        <w:t>67</w:t>
      </w:r>
      <w:r w:rsidR="002635E9">
        <w:fldChar w:fldCharType="end"/>
      </w:r>
      <w:r w:rsidR="002635E9">
        <w:t>.</w:t>
      </w:r>
    </w:p>
    <w:p w14:paraId="14FD1C13" w14:textId="2DBF6F5D" w:rsidR="002635E9" w:rsidRPr="002635E9" w:rsidRDefault="002635E9" w:rsidP="007F331A">
      <w:pPr>
        <w:pStyle w:val="NormalText"/>
        <w:ind w:left="567"/>
        <w:rPr>
          <w:i/>
          <w:iCs/>
        </w:rPr>
      </w:pPr>
      <w:r w:rsidRPr="007F331A">
        <w:rPr>
          <w:b/>
          <w:bCs/>
        </w:rPr>
        <w:t>Safety Directions</w:t>
      </w:r>
      <w:r w:rsidR="007F331A">
        <w:rPr>
          <w:b/>
          <w:bCs/>
        </w:rPr>
        <w:br/>
      </w:r>
      <w:r w:rsidRPr="002635E9">
        <w:rPr>
          <w:i/>
          <w:iCs/>
        </w:rPr>
        <w:t>Repeated minor exposure may have a cumulative poisoning effect.</w:t>
      </w:r>
      <w:r w:rsidR="007F331A">
        <w:rPr>
          <w:i/>
          <w:iCs/>
        </w:rPr>
        <w:br/>
      </w:r>
      <w:r w:rsidRPr="002635E9">
        <w:rPr>
          <w:i/>
          <w:iCs/>
        </w:rPr>
        <w:t>May irritate eyes.</w:t>
      </w:r>
      <w:r w:rsidRPr="002635E9">
        <w:t xml:space="preserve"> </w:t>
      </w:r>
      <w:r w:rsidRPr="002635E9">
        <w:rPr>
          <w:i/>
          <w:iCs/>
        </w:rPr>
        <w:t>Avoid contact with eyes.</w:t>
      </w:r>
      <w:r w:rsidR="007F331A">
        <w:rPr>
          <w:i/>
          <w:iCs/>
        </w:rPr>
        <w:br/>
      </w:r>
      <w:r w:rsidRPr="002635E9">
        <w:rPr>
          <w:i/>
          <w:iCs/>
        </w:rPr>
        <w:t>When using the product wear disposable gloves.</w:t>
      </w:r>
      <w:r w:rsidR="007F331A">
        <w:rPr>
          <w:i/>
          <w:iCs/>
        </w:rPr>
        <w:br/>
      </w:r>
      <w:r w:rsidRPr="002635E9">
        <w:rPr>
          <w:i/>
          <w:iCs/>
        </w:rPr>
        <w:t>During cleanup, disposal operations of bait and bait stations and when handling rodent carcasses wear single layer clothing and disposable gloves.</w:t>
      </w:r>
      <w:r w:rsidR="007F331A">
        <w:rPr>
          <w:i/>
          <w:iCs/>
        </w:rPr>
        <w:br/>
      </w:r>
      <w:r w:rsidRPr="002635E9">
        <w:rPr>
          <w:i/>
          <w:iCs/>
        </w:rPr>
        <w:t>If on skin and after each baiting, wash thoroughly with soap and water.</w:t>
      </w:r>
      <w:r w:rsidR="007F331A">
        <w:rPr>
          <w:i/>
          <w:iCs/>
        </w:rPr>
        <w:br/>
      </w:r>
      <w:r w:rsidRPr="002635E9">
        <w:rPr>
          <w:i/>
          <w:iCs/>
        </w:rPr>
        <w:t>After each day’s use wash contaminated clothing.</w:t>
      </w:r>
    </w:p>
    <w:p w14:paraId="0957A8C3" w14:textId="3D43937C" w:rsidR="002635E9" w:rsidRPr="00B37BCB" w:rsidRDefault="002635E9" w:rsidP="002635E9">
      <w:pPr>
        <w:pStyle w:val="Caption"/>
      </w:pPr>
      <w:bookmarkStart w:id="1383" w:name="_Toc216695731"/>
      <w:r>
        <w:t xml:space="preserve">Table </w:t>
      </w:r>
      <w:r>
        <w:fldChar w:fldCharType="begin"/>
      </w:r>
      <w:r>
        <w:instrText xml:space="preserve"> SEQ Table \* ARABIC </w:instrText>
      </w:r>
      <w:r>
        <w:fldChar w:fldCharType="separate"/>
      </w:r>
      <w:r w:rsidR="003861AC">
        <w:rPr>
          <w:noProof/>
        </w:rPr>
        <w:t>69</w:t>
      </w:r>
      <w:r>
        <w:fldChar w:fldCharType="end"/>
      </w:r>
      <w:r>
        <w:t xml:space="preserve">: Active constituent concentration of products in </w:t>
      </w:r>
      <w:r w:rsidRPr="00B37BCB">
        <w:t xml:space="preserve">sachets </w:t>
      </w:r>
      <w:r w:rsidRPr="001C78C1">
        <w:t>or place packs</w:t>
      </w:r>
      <w:bookmarkEnd w:id="13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5305"/>
        <w:gridCol w:w="2369"/>
      </w:tblGrid>
      <w:tr w:rsidR="002635E9" w:rsidRPr="00B37BCB" w14:paraId="19D5B064" w14:textId="77777777" w:rsidTr="0017134F">
        <w:tc>
          <w:tcPr>
            <w:tcW w:w="1019" w:type="pct"/>
            <w:tcBorders>
              <w:top w:val="nil"/>
              <w:left w:val="nil"/>
              <w:bottom w:val="nil"/>
              <w:right w:val="nil"/>
            </w:tcBorders>
            <w:shd w:val="clear" w:color="auto" w:fill="53284F"/>
          </w:tcPr>
          <w:p w14:paraId="02F1F465" w14:textId="77777777" w:rsidR="002635E9" w:rsidRPr="00B37BCB" w:rsidRDefault="002635E9" w:rsidP="004824A6">
            <w:pPr>
              <w:pStyle w:val="TableHead"/>
            </w:pPr>
            <w:r w:rsidRPr="00B37BCB">
              <w:t>Substance</w:t>
            </w:r>
          </w:p>
        </w:tc>
        <w:tc>
          <w:tcPr>
            <w:tcW w:w="2752" w:type="pct"/>
            <w:tcBorders>
              <w:top w:val="nil"/>
              <w:left w:val="nil"/>
              <w:bottom w:val="nil"/>
              <w:right w:val="nil"/>
            </w:tcBorders>
            <w:shd w:val="clear" w:color="auto" w:fill="53284F"/>
          </w:tcPr>
          <w:p w14:paraId="173978F9" w14:textId="77777777" w:rsidR="002635E9" w:rsidRPr="00B37BCB" w:rsidRDefault="002635E9" w:rsidP="004824A6">
            <w:pPr>
              <w:pStyle w:val="TableHead"/>
            </w:pPr>
            <w:r w:rsidRPr="00B37BCB">
              <w:t>Formulation</w:t>
            </w:r>
          </w:p>
        </w:tc>
        <w:tc>
          <w:tcPr>
            <w:tcW w:w="1229" w:type="pct"/>
            <w:tcBorders>
              <w:top w:val="nil"/>
              <w:left w:val="nil"/>
              <w:bottom w:val="nil"/>
              <w:right w:val="nil"/>
            </w:tcBorders>
            <w:shd w:val="clear" w:color="auto" w:fill="53284F"/>
          </w:tcPr>
          <w:p w14:paraId="12E2975E" w14:textId="77777777" w:rsidR="002635E9" w:rsidRPr="00B37BCB" w:rsidRDefault="002635E9" w:rsidP="004824A6">
            <w:pPr>
              <w:pStyle w:val="TableHead"/>
            </w:pPr>
            <w:r w:rsidRPr="00B37BCB">
              <w:t>Statement Codes</w:t>
            </w:r>
          </w:p>
        </w:tc>
      </w:tr>
      <w:tr w:rsidR="002635E9" w:rsidRPr="001C78C1" w14:paraId="21A02A55" w14:textId="77777777" w:rsidTr="004824A6">
        <w:tc>
          <w:tcPr>
            <w:tcW w:w="1019" w:type="pct"/>
            <w:tcBorders>
              <w:top w:val="nil"/>
              <w:left w:val="nil"/>
              <w:bottom w:val="single" w:sz="4" w:space="0" w:color="auto"/>
              <w:right w:val="nil"/>
            </w:tcBorders>
          </w:tcPr>
          <w:p w14:paraId="35DCAB7E" w14:textId="4415138E" w:rsidR="002635E9" w:rsidRPr="001C78C1" w:rsidRDefault="002635E9" w:rsidP="002635E9">
            <w:pPr>
              <w:pStyle w:val="TableText"/>
              <w:rPr>
                <w:shd w:val="clear" w:color="auto" w:fill="FFFFFF"/>
              </w:rPr>
            </w:pPr>
            <w:r w:rsidRPr="00C67E02">
              <w:t>Difethialone</w:t>
            </w:r>
          </w:p>
        </w:tc>
        <w:tc>
          <w:tcPr>
            <w:tcW w:w="2752" w:type="pct"/>
            <w:tcBorders>
              <w:top w:val="nil"/>
              <w:left w:val="nil"/>
              <w:bottom w:val="single" w:sz="4" w:space="0" w:color="auto"/>
              <w:right w:val="nil"/>
            </w:tcBorders>
          </w:tcPr>
          <w:p w14:paraId="6DABDF55" w14:textId="14429D5D" w:rsidR="002635E9" w:rsidRPr="001C78C1" w:rsidRDefault="002635E9" w:rsidP="002635E9">
            <w:pPr>
              <w:pStyle w:val="TableText"/>
            </w:pPr>
            <w:r w:rsidRPr="00C67E02">
              <w:t>RB 0.025 g/kg or less in sachet or place pack</w:t>
            </w:r>
          </w:p>
        </w:tc>
        <w:tc>
          <w:tcPr>
            <w:tcW w:w="1229" w:type="pct"/>
            <w:tcBorders>
              <w:top w:val="nil"/>
              <w:left w:val="nil"/>
              <w:bottom w:val="single" w:sz="4" w:space="0" w:color="auto"/>
              <w:right w:val="nil"/>
            </w:tcBorders>
          </w:tcPr>
          <w:p w14:paraId="75A3A28E" w14:textId="3BFCC23F" w:rsidR="002635E9" w:rsidRPr="001C78C1" w:rsidRDefault="002635E9" w:rsidP="002635E9">
            <w:pPr>
              <w:pStyle w:val="TableText"/>
              <w:rPr>
                <w:lang w:eastAsia="en-AU"/>
              </w:rPr>
            </w:pPr>
            <w:r w:rsidRPr="002635E9">
              <w:rPr>
                <w:lang w:eastAsia="en-AU"/>
              </w:rPr>
              <w:t xml:space="preserve">190 160 162 210 162 279 283 290 231 290 292b </w:t>
            </w:r>
            <w:r w:rsidRPr="002635E9">
              <w:rPr>
                <w:lang w:eastAsia="en-AU"/>
              </w:rPr>
              <w:lastRenderedPageBreak/>
              <w:t>321 during cleanup, disposal operations and when handling rodent carcasses 252 360 366</w:t>
            </w:r>
          </w:p>
        </w:tc>
      </w:tr>
    </w:tbl>
    <w:p w14:paraId="0008372E" w14:textId="6D649B8D" w:rsidR="00607CB8" w:rsidRDefault="00607CB8" w:rsidP="00BD2F8D">
      <w:pPr>
        <w:pStyle w:val="Heading4"/>
      </w:pPr>
      <w:bookmarkStart w:id="1384" w:name="_Toc185345599"/>
      <w:r w:rsidRPr="00B37BCB">
        <w:lastRenderedPageBreak/>
        <w:t>Products in block formulation</w:t>
      </w:r>
      <w:bookmarkEnd w:id="1384"/>
    </w:p>
    <w:p w14:paraId="3F35FEBA" w14:textId="45BF737B" w:rsidR="009E32D0" w:rsidRPr="00CB467B" w:rsidRDefault="009E32D0" w:rsidP="00CB467B">
      <w:pPr>
        <w:pStyle w:val="Heading5"/>
        <w:numPr>
          <w:ilvl w:val="0"/>
          <w:numId w:val="0"/>
        </w:numPr>
        <w:tabs>
          <w:tab w:val="num" w:pos="907"/>
        </w:tabs>
        <w:rPr>
          <w:rFonts w:eastAsia="Times New Roman"/>
          <w14:ligatures w14:val="none"/>
        </w:rPr>
      </w:pPr>
      <w:r w:rsidRPr="00CB467B">
        <w:rPr>
          <w:rFonts w:eastAsia="Times New Roman"/>
          <w14:ligatures w14:val="none"/>
        </w:rPr>
        <w:t>Brodifacoum, bromadiolone, coumatetralyl, diphacinone and flocoumafen products in block formation</w:t>
      </w:r>
    </w:p>
    <w:p w14:paraId="099FCD7E" w14:textId="0CC7418E" w:rsidR="006F0BBB" w:rsidRDefault="006F0BBB" w:rsidP="006F0BBB">
      <w:pPr>
        <w:pStyle w:val="NormalText"/>
      </w:pPr>
      <w:r>
        <w:t xml:space="preserve">The following safety directions are required for products formulated as blocks with the concentrations listed in </w:t>
      </w:r>
      <w:r>
        <w:fldChar w:fldCharType="begin"/>
      </w:r>
      <w:r>
        <w:instrText xml:space="preserve"> REF _Ref213772259 \h </w:instrText>
      </w:r>
      <w:r>
        <w:fldChar w:fldCharType="separate"/>
      </w:r>
      <w:r w:rsidR="003861AC">
        <w:t xml:space="preserve">Table </w:t>
      </w:r>
      <w:r w:rsidR="003861AC">
        <w:rPr>
          <w:noProof/>
        </w:rPr>
        <w:t>70</w:t>
      </w:r>
      <w:r>
        <w:fldChar w:fldCharType="end"/>
      </w:r>
      <w:r>
        <w:t>.</w:t>
      </w:r>
    </w:p>
    <w:p w14:paraId="3C53F277" w14:textId="6EE6729F" w:rsidR="006F0BBB" w:rsidRPr="007F331A" w:rsidRDefault="006F0BBB" w:rsidP="007F331A">
      <w:pPr>
        <w:pStyle w:val="NormalText"/>
        <w:ind w:left="567"/>
        <w:rPr>
          <w:i/>
          <w:iCs/>
        </w:rPr>
      </w:pPr>
      <w:r w:rsidRPr="007F331A">
        <w:rPr>
          <w:b/>
          <w:bCs/>
        </w:rPr>
        <w:t>Safety Directions</w:t>
      </w:r>
      <w:r w:rsidR="007F331A">
        <w:rPr>
          <w:b/>
          <w:bCs/>
        </w:rPr>
        <w:br/>
      </w:r>
      <w:r w:rsidRPr="007F331A">
        <w:rPr>
          <w:i/>
          <w:iCs/>
        </w:rPr>
        <w:t>Repeated minor exposure may have a cumulative poisoning effect.</w:t>
      </w:r>
      <w:r w:rsidR="007F331A" w:rsidRPr="007F331A">
        <w:rPr>
          <w:i/>
          <w:iCs/>
        </w:rPr>
        <w:br/>
      </w:r>
      <w:r w:rsidRPr="007F331A">
        <w:rPr>
          <w:i/>
          <w:iCs/>
        </w:rPr>
        <w:t>DO NOT touch bait, use scoop or measure.</w:t>
      </w:r>
      <w:r w:rsidR="007F331A" w:rsidRPr="007F331A">
        <w:rPr>
          <w:i/>
          <w:iCs/>
        </w:rPr>
        <w:br/>
      </w:r>
      <w:r w:rsidRPr="007F331A">
        <w:rPr>
          <w:i/>
          <w:iCs/>
        </w:rPr>
        <w:t>When using the product wear disposable gloves.</w:t>
      </w:r>
      <w:r w:rsidR="007F331A" w:rsidRPr="007F331A">
        <w:rPr>
          <w:i/>
          <w:iCs/>
        </w:rPr>
        <w:br/>
      </w:r>
      <w:r w:rsidRPr="007F331A">
        <w:rPr>
          <w:i/>
          <w:iCs/>
        </w:rPr>
        <w:t>If on skin and after each baiting, wash thoroughly with soap and water.</w:t>
      </w:r>
    </w:p>
    <w:p w14:paraId="7069CA12" w14:textId="3D2E1BCD" w:rsidR="00607CB8" w:rsidRPr="00B37BCB" w:rsidRDefault="006F0BBB" w:rsidP="00377F3A">
      <w:pPr>
        <w:pStyle w:val="Caption"/>
      </w:pPr>
      <w:bookmarkStart w:id="1385" w:name="_Ref213772259"/>
      <w:bookmarkStart w:id="1386" w:name="_Toc213946044"/>
      <w:bookmarkStart w:id="1387" w:name="_Toc216695732"/>
      <w:r>
        <w:t xml:space="preserve">Table </w:t>
      </w:r>
      <w:r>
        <w:fldChar w:fldCharType="begin"/>
      </w:r>
      <w:r>
        <w:instrText xml:space="preserve"> SEQ Table \* ARABIC </w:instrText>
      </w:r>
      <w:r>
        <w:fldChar w:fldCharType="separate"/>
      </w:r>
      <w:r w:rsidR="003861AC">
        <w:rPr>
          <w:noProof/>
        </w:rPr>
        <w:t>70</w:t>
      </w:r>
      <w:r>
        <w:fldChar w:fldCharType="end"/>
      </w:r>
      <w:bookmarkEnd w:id="1385"/>
      <w:r>
        <w:t>:</w:t>
      </w:r>
      <w:r w:rsidRPr="006F0BBB">
        <w:t xml:space="preserve"> </w:t>
      </w:r>
      <w:r>
        <w:t xml:space="preserve">Active constituent concentration of products in </w:t>
      </w:r>
      <w:r w:rsidRPr="001C78C1">
        <w:t>block formulation</w:t>
      </w:r>
      <w:bookmarkEnd w:id="1386"/>
      <w:bookmarkEnd w:id="1387"/>
    </w:p>
    <w:tbl>
      <w:tblPr>
        <w:tblW w:w="5000" w:type="pct"/>
        <w:tblLook w:val="01E0" w:firstRow="1" w:lastRow="1" w:firstColumn="1" w:lastColumn="1" w:noHBand="0" w:noVBand="0"/>
      </w:tblPr>
      <w:tblGrid>
        <w:gridCol w:w="1939"/>
        <w:gridCol w:w="5164"/>
        <w:gridCol w:w="2535"/>
      </w:tblGrid>
      <w:tr w:rsidR="001D2ED4" w:rsidRPr="00B37BCB" w14:paraId="46986CE8" w14:textId="77777777" w:rsidTr="0017134F">
        <w:trPr>
          <w:trHeight w:val="283"/>
        </w:trPr>
        <w:tc>
          <w:tcPr>
            <w:tcW w:w="1000" w:type="pct"/>
            <w:shd w:val="clear" w:color="auto" w:fill="53284F"/>
          </w:tcPr>
          <w:p w14:paraId="2579F712" w14:textId="77777777" w:rsidR="00607CB8" w:rsidRPr="00B37BCB" w:rsidRDefault="00607CB8" w:rsidP="00BA7F4F">
            <w:pPr>
              <w:pStyle w:val="TableHead"/>
            </w:pPr>
            <w:r w:rsidRPr="00B37BCB">
              <w:t>Substance</w:t>
            </w:r>
          </w:p>
        </w:tc>
        <w:tc>
          <w:tcPr>
            <w:tcW w:w="2663" w:type="pct"/>
            <w:shd w:val="clear" w:color="auto" w:fill="53284F"/>
          </w:tcPr>
          <w:p w14:paraId="530841FB" w14:textId="77777777" w:rsidR="00607CB8" w:rsidRPr="00B37BCB" w:rsidRDefault="00607CB8" w:rsidP="00BA7F4F">
            <w:pPr>
              <w:pStyle w:val="TableHead"/>
            </w:pPr>
            <w:r w:rsidRPr="00B37BCB">
              <w:t>Formulation</w:t>
            </w:r>
          </w:p>
        </w:tc>
        <w:tc>
          <w:tcPr>
            <w:tcW w:w="1307" w:type="pct"/>
            <w:shd w:val="clear" w:color="auto" w:fill="53284F"/>
          </w:tcPr>
          <w:p w14:paraId="7ED82F38" w14:textId="77777777" w:rsidR="00607CB8" w:rsidRPr="00B37BCB" w:rsidRDefault="00607CB8" w:rsidP="00BA7F4F">
            <w:pPr>
              <w:pStyle w:val="TableHead"/>
            </w:pPr>
            <w:r w:rsidRPr="00B37BCB">
              <w:t>Statement Codes</w:t>
            </w:r>
          </w:p>
        </w:tc>
      </w:tr>
      <w:tr w:rsidR="001D2ED4" w:rsidRPr="001C78C1" w14:paraId="6E501E4A" w14:textId="77777777" w:rsidTr="00BD2F8D">
        <w:trPr>
          <w:trHeight w:val="283"/>
        </w:trPr>
        <w:tc>
          <w:tcPr>
            <w:tcW w:w="1000" w:type="pct"/>
            <w:tcBorders>
              <w:bottom w:val="single" w:sz="4" w:space="0" w:color="auto"/>
            </w:tcBorders>
          </w:tcPr>
          <w:p w14:paraId="6096D9F8" w14:textId="77777777" w:rsidR="00607CB8" w:rsidRPr="00B37BCB" w:rsidRDefault="00607CB8" w:rsidP="00BA7F4F">
            <w:pPr>
              <w:pStyle w:val="TableText"/>
            </w:pPr>
            <w:r w:rsidRPr="00B37BCB">
              <w:rPr>
                <w:shd w:val="clear" w:color="auto" w:fill="FFFFFF"/>
              </w:rPr>
              <w:t xml:space="preserve">Brodifacoum </w:t>
            </w:r>
          </w:p>
        </w:tc>
        <w:tc>
          <w:tcPr>
            <w:tcW w:w="2663" w:type="pct"/>
            <w:tcBorders>
              <w:bottom w:val="single" w:sz="4" w:space="0" w:color="auto"/>
            </w:tcBorders>
          </w:tcPr>
          <w:p w14:paraId="1634E932" w14:textId="256EF3EF" w:rsidR="00607CB8" w:rsidRPr="00B37BCB" w:rsidRDefault="0092443E" w:rsidP="00BA7F4F">
            <w:pPr>
              <w:pStyle w:val="TableText"/>
            </w:pPr>
            <w:r>
              <w:t>RB</w:t>
            </w:r>
            <w:r w:rsidRPr="001C78C1">
              <w:t xml:space="preserve"> </w:t>
            </w:r>
            <w:r w:rsidR="00607CB8" w:rsidRPr="001C78C1">
              <w:t>0.05 g/kg or less in block formulation</w:t>
            </w:r>
          </w:p>
        </w:tc>
        <w:tc>
          <w:tcPr>
            <w:tcW w:w="1307" w:type="pct"/>
            <w:vMerge w:val="restart"/>
            <w:tcBorders>
              <w:bottom w:val="single" w:sz="4" w:space="0" w:color="auto"/>
            </w:tcBorders>
          </w:tcPr>
          <w:p w14:paraId="06E2DE70" w14:textId="77777777" w:rsidR="00607CB8" w:rsidRPr="00B37BCB" w:rsidRDefault="00607CB8" w:rsidP="00BA7F4F">
            <w:pPr>
              <w:pStyle w:val="TableText"/>
            </w:pPr>
            <w:r w:rsidRPr="00B37BCB">
              <w:t>190 250 251 279 283 290 321 252</w:t>
            </w:r>
          </w:p>
        </w:tc>
      </w:tr>
      <w:tr w:rsidR="001D2ED4" w:rsidRPr="001C78C1" w14:paraId="6ADA5540" w14:textId="77777777" w:rsidTr="00BD2F8D">
        <w:trPr>
          <w:trHeight w:val="283"/>
        </w:trPr>
        <w:tc>
          <w:tcPr>
            <w:tcW w:w="1000" w:type="pct"/>
            <w:tcBorders>
              <w:top w:val="single" w:sz="4" w:space="0" w:color="auto"/>
              <w:bottom w:val="single" w:sz="4" w:space="0" w:color="auto"/>
            </w:tcBorders>
          </w:tcPr>
          <w:p w14:paraId="5B5D2C44" w14:textId="77777777" w:rsidR="00607CB8" w:rsidRPr="001C78C1" w:rsidRDefault="00607CB8" w:rsidP="00BA7F4F">
            <w:pPr>
              <w:pStyle w:val="TableText"/>
              <w:rPr>
                <w:shd w:val="clear" w:color="auto" w:fill="FFFFFF"/>
              </w:rPr>
            </w:pPr>
            <w:r w:rsidRPr="00B37BCB">
              <w:rPr>
                <w:shd w:val="clear" w:color="auto" w:fill="FFFFFF"/>
              </w:rPr>
              <w:t>Bromadiolone</w:t>
            </w:r>
          </w:p>
        </w:tc>
        <w:tc>
          <w:tcPr>
            <w:tcW w:w="2663" w:type="pct"/>
            <w:tcBorders>
              <w:top w:val="single" w:sz="4" w:space="0" w:color="auto"/>
              <w:bottom w:val="single" w:sz="4" w:space="0" w:color="auto"/>
            </w:tcBorders>
          </w:tcPr>
          <w:p w14:paraId="207821E5" w14:textId="351FADD0" w:rsidR="00607CB8" w:rsidRPr="001C78C1" w:rsidRDefault="0092443E" w:rsidP="00BA7F4F">
            <w:pPr>
              <w:pStyle w:val="TableText"/>
            </w:pPr>
            <w:r>
              <w:t>RB</w:t>
            </w:r>
            <w:r w:rsidR="00607CB8" w:rsidRPr="001C78C1">
              <w:t xml:space="preserve"> 0.05 g/kg or less in block formulation</w:t>
            </w:r>
          </w:p>
        </w:tc>
        <w:tc>
          <w:tcPr>
            <w:tcW w:w="1307" w:type="pct"/>
            <w:vMerge/>
            <w:tcBorders>
              <w:bottom w:val="single" w:sz="4" w:space="0" w:color="auto"/>
            </w:tcBorders>
          </w:tcPr>
          <w:p w14:paraId="3BB904F7" w14:textId="77777777" w:rsidR="00607CB8" w:rsidRPr="001C78C1" w:rsidRDefault="00607CB8" w:rsidP="00BD2F8D">
            <w:pPr>
              <w:keepNext/>
              <w:spacing w:after="0"/>
              <w:ind w:left="55"/>
            </w:pPr>
          </w:p>
        </w:tc>
      </w:tr>
      <w:tr w:rsidR="001D2ED4" w:rsidRPr="001C78C1" w14:paraId="2BFB73FF" w14:textId="77777777" w:rsidTr="00BD2F8D">
        <w:trPr>
          <w:trHeight w:val="283"/>
        </w:trPr>
        <w:tc>
          <w:tcPr>
            <w:tcW w:w="1000" w:type="pct"/>
            <w:tcBorders>
              <w:top w:val="single" w:sz="4" w:space="0" w:color="auto"/>
              <w:bottom w:val="single" w:sz="4" w:space="0" w:color="auto"/>
            </w:tcBorders>
          </w:tcPr>
          <w:p w14:paraId="5A014E53" w14:textId="77777777" w:rsidR="00607CB8" w:rsidRPr="001C78C1" w:rsidRDefault="00607CB8" w:rsidP="00BA7F4F">
            <w:pPr>
              <w:pStyle w:val="TableText"/>
              <w:rPr>
                <w:shd w:val="clear" w:color="auto" w:fill="FFFFFF"/>
              </w:rPr>
            </w:pPr>
            <w:r w:rsidRPr="00B37BCB">
              <w:rPr>
                <w:shd w:val="clear" w:color="auto" w:fill="FFFFFF"/>
              </w:rPr>
              <w:t>Coumatetralyl</w:t>
            </w:r>
          </w:p>
        </w:tc>
        <w:tc>
          <w:tcPr>
            <w:tcW w:w="2663" w:type="pct"/>
            <w:tcBorders>
              <w:top w:val="single" w:sz="4" w:space="0" w:color="auto"/>
              <w:bottom w:val="single" w:sz="4" w:space="0" w:color="auto"/>
            </w:tcBorders>
          </w:tcPr>
          <w:p w14:paraId="7F26A4DC" w14:textId="014CDBAE" w:rsidR="00607CB8" w:rsidRPr="001C78C1" w:rsidRDefault="0092443E" w:rsidP="00BA7F4F">
            <w:pPr>
              <w:pStyle w:val="TableText"/>
            </w:pPr>
            <w:r>
              <w:t>RB</w:t>
            </w:r>
            <w:r w:rsidR="00607CB8" w:rsidRPr="001C78C1">
              <w:t xml:space="preserve"> 0.4 g/kg or less in block formulation</w:t>
            </w:r>
          </w:p>
        </w:tc>
        <w:tc>
          <w:tcPr>
            <w:tcW w:w="1307" w:type="pct"/>
            <w:vMerge/>
            <w:tcBorders>
              <w:bottom w:val="single" w:sz="4" w:space="0" w:color="auto"/>
            </w:tcBorders>
          </w:tcPr>
          <w:p w14:paraId="088F7C8B" w14:textId="77777777" w:rsidR="00607CB8" w:rsidRPr="001C78C1" w:rsidRDefault="00607CB8" w:rsidP="00BD2F8D">
            <w:pPr>
              <w:keepNext/>
              <w:spacing w:after="0"/>
              <w:ind w:left="55"/>
            </w:pPr>
          </w:p>
        </w:tc>
      </w:tr>
      <w:tr w:rsidR="001D2ED4" w:rsidRPr="001C78C1" w14:paraId="4B166D89" w14:textId="77777777" w:rsidTr="00BD2F8D">
        <w:trPr>
          <w:trHeight w:val="283"/>
        </w:trPr>
        <w:tc>
          <w:tcPr>
            <w:tcW w:w="1000" w:type="pct"/>
            <w:tcBorders>
              <w:top w:val="single" w:sz="4" w:space="0" w:color="auto"/>
              <w:bottom w:val="single" w:sz="4" w:space="0" w:color="auto"/>
            </w:tcBorders>
          </w:tcPr>
          <w:p w14:paraId="1BAA089D" w14:textId="77777777" w:rsidR="00607CB8" w:rsidRPr="001C78C1" w:rsidRDefault="00607CB8" w:rsidP="00BA7F4F">
            <w:pPr>
              <w:pStyle w:val="TableText"/>
              <w:rPr>
                <w:shd w:val="clear" w:color="auto" w:fill="FFFFFF"/>
              </w:rPr>
            </w:pPr>
            <w:r w:rsidRPr="00B37BCB">
              <w:rPr>
                <w:shd w:val="clear" w:color="auto" w:fill="FFFFFF"/>
              </w:rPr>
              <w:t>Diphacinone</w:t>
            </w:r>
          </w:p>
        </w:tc>
        <w:tc>
          <w:tcPr>
            <w:tcW w:w="2663" w:type="pct"/>
            <w:tcBorders>
              <w:top w:val="single" w:sz="4" w:space="0" w:color="auto"/>
              <w:bottom w:val="single" w:sz="4" w:space="0" w:color="auto"/>
            </w:tcBorders>
          </w:tcPr>
          <w:p w14:paraId="651937F0" w14:textId="5656E23F" w:rsidR="00607CB8" w:rsidRPr="001C78C1" w:rsidRDefault="0092443E" w:rsidP="00BA7F4F">
            <w:pPr>
              <w:pStyle w:val="TableText"/>
            </w:pPr>
            <w:r>
              <w:t>RB</w:t>
            </w:r>
            <w:r w:rsidR="00607CB8" w:rsidRPr="001C78C1">
              <w:t xml:space="preserve"> 0.05 g/kg or less in block formulation</w:t>
            </w:r>
          </w:p>
        </w:tc>
        <w:tc>
          <w:tcPr>
            <w:tcW w:w="1307" w:type="pct"/>
            <w:vMerge/>
            <w:tcBorders>
              <w:bottom w:val="single" w:sz="4" w:space="0" w:color="auto"/>
            </w:tcBorders>
          </w:tcPr>
          <w:p w14:paraId="1383E847" w14:textId="77777777" w:rsidR="00607CB8" w:rsidRPr="001C78C1" w:rsidRDefault="00607CB8" w:rsidP="00BD2F8D">
            <w:pPr>
              <w:keepNext/>
              <w:spacing w:after="0"/>
              <w:ind w:left="55"/>
            </w:pPr>
          </w:p>
        </w:tc>
      </w:tr>
      <w:tr w:rsidR="001D2ED4" w:rsidRPr="001C78C1" w14:paraId="6F5704B8" w14:textId="77777777" w:rsidTr="00BD2F8D">
        <w:trPr>
          <w:trHeight w:val="283"/>
        </w:trPr>
        <w:tc>
          <w:tcPr>
            <w:tcW w:w="1000" w:type="pct"/>
            <w:tcBorders>
              <w:top w:val="single" w:sz="4" w:space="0" w:color="auto"/>
              <w:bottom w:val="single" w:sz="4" w:space="0" w:color="auto"/>
            </w:tcBorders>
          </w:tcPr>
          <w:p w14:paraId="37DBDA27" w14:textId="77777777" w:rsidR="00607CB8" w:rsidRPr="001C78C1" w:rsidRDefault="00607CB8" w:rsidP="00BA7F4F">
            <w:pPr>
              <w:pStyle w:val="TableText"/>
              <w:rPr>
                <w:shd w:val="clear" w:color="auto" w:fill="FFFFFF"/>
              </w:rPr>
            </w:pPr>
            <w:r w:rsidRPr="00B37BCB">
              <w:rPr>
                <w:shd w:val="clear" w:color="auto" w:fill="FFFFFF"/>
              </w:rPr>
              <w:t>Flocoumafen</w:t>
            </w:r>
          </w:p>
        </w:tc>
        <w:tc>
          <w:tcPr>
            <w:tcW w:w="2663" w:type="pct"/>
            <w:tcBorders>
              <w:top w:val="single" w:sz="4" w:space="0" w:color="auto"/>
              <w:bottom w:val="single" w:sz="4" w:space="0" w:color="auto"/>
            </w:tcBorders>
          </w:tcPr>
          <w:p w14:paraId="084CCC2F" w14:textId="0C967AC7" w:rsidR="00607CB8" w:rsidRPr="001C78C1" w:rsidRDefault="0092443E" w:rsidP="00BA7F4F">
            <w:pPr>
              <w:pStyle w:val="TableText"/>
            </w:pPr>
            <w:r>
              <w:t>RB</w:t>
            </w:r>
            <w:r w:rsidR="00607CB8" w:rsidRPr="001C78C1">
              <w:t xml:space="preserve"> 0.05 g/kg or less in block formulation</w:t>
            </w:r>
          </w:p>
        </w:tc>
        <w:tc>
          <w:tcPr>
            <w:tcW w:w="1307" w:type="pct"/>
            <w:vMerge/>
            <w:tcBorders>
              <w:bottom w:val="single" w:sz="4" w:space="0" w:color="auto"/>
            </w:tcBorders>
          </w:tcPr>
          <w:p w14:paraId="0541DB87" w14:textId="77777777" w:rsidR="00607CB8" w:rsidRPr="001C78C1" w:rsidRDefault="00607CB8" w:rsidP="00BD2F8D">
            <w:pPr>
              <w:keepNext/>
              <w:spacing w:after="0"/>
              <w:ind w:left="55"/>
            </w:pPr>
          </w:p>
        </w:tc>
      </w:tr>
    </w:tbl>
    <w:p w14:paraId="10E143CF" w14:textId="7ABBD386" w:rsidR="00607CB8" w:rsidRPr="00CB467B" w:rsidRDefault="004E1AC5" w:rsidP="00CB467B">
      <w:pPr>
        <w:pStyle w:val="Heading5"/>
        <w:numPr>
          <w:ilvl w:val="0"/>
          <w:numId w:val="0"/>
        </w:numPr>
        <w:tabs>
          <w:tab w:val="num" w:pos="907"/>
        </w:tabs>
        <w:rPr>
          <w:rFonts w:eastAsia="Times New Roman"/>
          <w14:ligatures w14:val="none"/>
        </w:rPr>
      </w:pPr>
      <w:bookmarkStart w:id="1388" w:name="_Toc185345600"/>
      <w:r w:rsidRPr="00CB467B">
        <w:rPr>
          <w:rFonts w:eastAsia="Times New Roman"/>
          <w14:ligatures w14:val="none"/>
        </w:rPr>
        <w:t>D</w:t>
      </w:r>
      <w:r w:rsidR="00607CB8" w:rsidRPr="00CB467B">
        <w:rPr>
          <w:rFonts w:eastAsia="Times New Roman"/>
          <w14:ligatures w14:val="none"/>
        </w:rPr>
        <w:t>ifethialone</w:t>
      </w:r>
      <w:bookmarkEnd w:id="1388"/>
      <w:r w:rsidRPr="00CB467B">
        <w:rPr>
          <w:rFonts w:eastAsia="Times New Roman"/>
          <w14:ligatures w14:val="none"/>
        </w:rPr>
        <w:t xml:space="preserve"> products in block formulation</w:t>
      </w:r>
    </w:p>
    <w:p w14:paraId="4BE36157" w14:textId="311E29C9" w:rsidR="006F0BBB" w:rsidRDefault="006F0BBB" w:rsidP="006F0BBB">
      <w:pPr>
        <w:pStyle w:val="NormalText"/>
      </w:pPr>
      <w:r>
        <w:t xml:space="preserve">The following safety directions are required for products containing </w:t>
      </w:r>
      <w:r w:rsidR="0092443E">
        <w:t xml:space="preserve">up to </w:t>
      </w:r>
      <w:r w:rsidRPr="001C78C1">
        <w:t>0.025 g/kg</w:t>
      </w:r>
      <w:r>
        <w:t xml:space="preserve"> difethialone and formulated as blocks</w:t>
      </w:r>
      <w:r w:rsidR="0092443E">
        <w:t xml:space="preserve"> (RB </w:t>
      </w:r>
      <w:r w:rsidR="0092443E" w:rsidRPr="0092443E">
        <w:t>0.025 g/kg or less in block formulation</w:t>
      </w:r>
      <w:r w:rsidR="0092443E">
        <w:t>)</w:t>
      </w:r>
      <w:r>
        <w:t>.</w:t>
      </w:r>
    </w:p>
    <w:p w14:paraId="282FF167" w14:textId="300A5DC1" w:rsidR="006F0BBB" w:rsidRPr="007F331A" w:rsidRDefault="006F0BBB" w:rsidP="007F331A">
      <w:pPr>
        <w:pStyle w:val="NormalText"/>
        <w:ind w:left="567"/>
        <w:rPr>
          <w:i/>
          <w:iCs/>
        </w:rPr>
      </w:pPr>
      <w:r w:rsidRPr="007F331A">
        <w:rPr>
          <w:b/>
          <w:bCs/>
        </w:rPr>
        <w:t>Safety Directions</w:t>
      </w:r>
      <w:r w:rsidR="007F331A">
        <w:rPr>
          <w:b/>
          <w:bCs/>
        </w:rPr>
        <w:br/>
      </w:r>
      <w:r w:rsidRPr="007F331A">
        <w:rPr>
          <w:i/>
          <w:iCs/>
        </w:rPr>
        <w:t>Repeated minor exposure may have a cumulative poisoning effect. May irritate eyes.</w:t>
      </w:r>
      <w:r w:rsidR="007F331A" w:rsidRPr="007F331A">
        <w:rPr>
          <w:i/>
          <w:iCs/>
        </w:rPr>
        <w:br/>
      </w:r>
      <w:r w:rsidRPr="007F331A">
        <w:rPr>
          <w:i/>
          <w:iCs/>
        </w:rPr>
        <w:t>Avoid contact with eyes.</w:t>
      </w:r>
      <w:r w:rsidR="007F331A" w:rsidRPr="007F331A">
        <w:rPr>
          <w:i/>
          <w:iCs/>
        </w:rPr>
        <w:br/>
      </w:r>
      <w:r w:rsidRPr="007F331A">
        <w:rPr>
          <w:i/>
          <w:iCs/>
        </w:rPr>
        <w:t>DO NOT touch bait, use scoop or measure.</w:t>
      </w:r>
      <w:r w:rsidR="006D5B9D" w:rsidRPr="007F331A">
        <w:rPr>
          <w:i/>
          <w:iCs/>
        </w:rPr>
        <w:t xml:space="preserve"> </w:t>
      </w:r>
      <w:r w:rsidRPr="007F331A">
        <w:rPr>
          <w:i/>
          <w:iCs/>
        </w:rPr>
        <w:t>When using the product wear disposable gloves.</w:t>
      </w:r>
      <w:r w:rsidR="007F331A" w:rsidRPr="007F331A">
        <w:rPr>
          <w:i/>
          <w:iCs/>
        </w:rPr>
        <w:br/>
      </w:r>
      <w:r w:rsidRPr="007F331A">
        <w:rPr>
          <w:i/>
          <w:iCs/>
        </w:rPr>
        <w:t>If on skin and after each baiting, wash thoroughly with soap and water.</w:t>
      </w:r>
    </w:p>
    <w:p w14:paraId="60C5B2F0" w14:textId="5500181F" w:rsidR="00607CB8" w:rsidRPr="00CB467B" w:rsidRDefault="004E1AC5" w:rsidP="00CB467B">
      <w:pPr>
        <w:pStyle w:val="Heading5"/>
        <w:numPr>
          <w:ilvl w:val="0"/>
          <w:numId w:val="0"/>
        </w:numPr>
        <w:tabs>
          <w:tab w:val="num" w:pos="907"/>
        </w:tabs>
        <w:rPr>
          <w:rFonts w:eastAsia="Times New Roman"/>
          <w14:ligatures w14:val="none"/>
        </w:rPr>
      </w:pPr>
      <w:bookmarkStart w:id="1389" w:name="_Toc185345601"/>
      <w:r w:rsidRPr="00CB467B">
        <w:rPr>
          <w:rFonts w:eastAsia="Times New Roman"/>
          <w14:ligatures w14:val="none"/>
        </w:rPr>
        <w:t>D</w:t>
      </w:r>
      <w:r w:rsidR="00607CB8" w:rsidRPr="00CB467B">
        <w:rPr>
          <w:rFonts w:eastAsia="Times New Roman"/>
          <w14:ligatures w14:val="none"/>
        </w:rPr>
        <w:t>ifenacoum</w:t>
      </w:r>
      <w:bookmarkEnd w:id="1389"/>
      <w:r w:rsidRPr="00CB467B">
        <w:rPr>
          <w:rFonts w:eastAsia="Times New Roman"/>
          <w14:ligatures w14:val="none"/>
        </w:rPr>
        <w:t xml:space="preserve"> products in block formulation</w:t>
      </w:r>
    </w:p>
    <w:p w14:paraId="0DB03402" w14:textId="081F0258" w:rsidR="00C02D3C" w:rsidRDefault="00C02D3C" w:rsidP="00C02D3C">
      <w:pPr>
        <w:pStyle w:val="NormalText"/>
      </w:pPr>
      <w:r>
        <w:t xml:space="preserve">The following safety directions are required for products containing </w:t>
      </w:r>
      <w:r w:rsidR="0092443E">
        <w:t xml:space="preserve">up to </w:t>
      </w:r>
      <w:r w:rsidRPr="001C78C1">
        <w:t>0.05 g/kg</w:t>
      </w:r>
      <w:r>
        <w:t xml:space="preserve"> difenacoum and formulated as blocks</w:t>
      </w:r>
      <w:r w:rsidR="0092443E">
        <w:t xml:space="preserve"> (RB </w:t>
      </w:r>
      <w:r w:rsidR="0092443E" w:rsidRPr="0092443E">
        <w:t>0.05 g/kg or less in block formulation</w:t>
      </w:r>
      <w:r w:rsidR="0092443E">
        <w:t>)</w:t>
      </w:r>
      <w:r>
        <w:t>.</w:t>
      </w:r>
    </w:p>
    <w:p w14:paraId="51BAB493" w14:textId="3CC1F40E" w:rsidR="006F0BBB" w:rsidRPr="008E69B6" w:rsidRDefault="00C02D3C" w:rsidP="008E69B6">
      <w:pPr>
        <w:pStyle w:val="NormalText"/>
        <w:ind w:left="567"/>
      </w:pPr>
      <w:r w:rsidRPr="008E69B6">
        <w:rPr>
          <w:b/>
          <w:bCs/>
        </w:rPr>
        <w:t>Safety Directions</w:t>
      </w:r>
      <w:r w:rsidR="008E69B6">
        <w:rPr>
          <w:b/>
          <w:bCs/>
        </w:rPr>
        <w:br/>
      </w:r>
      <w:r w:rsidRPr="008E69B6">
        <w:rPr>
          <w:i/>
          <w:iCs/>
        </w:rPr>
        <w:t>Repeated minor exposure may have a cumulative poisoning effect.</w:t>
      </w:r>
      <w:r w:rsidR="008E69B6" w:rsidRPr="008E69B6">
        <w:rPr>
          <w:i/>
          <w:iCs/>
        </w:rPr>
        <w:br/>
      </w:r>
      <w:r w:rsidRPr="008E69B6">
        <w:rPr>
          <w:i/>
          <w:iCs/>
        </w:rPr>
        <w:lastRenderedPageBreak/>
        <w:t>Will irritate the skin.</w:t>
      </w:r>
      <w:r w:rsidR="0092443E" w:rsidRPr="008E69B6">
        <w:rPr>
          <w:i/>
          <w:iCs/>
        </w:rPr>
        <w:t xml:space="preserve"> </w:t>
      </w:r>
      <w:r w:rsidRPr="008E69B6">
        <w:rPr>
          <w:i/>
          <w:iCs/>
        </w:rPr>
        <w:t>May irritate eyes. Avoid contact with eyes and skin.</w:t>
      </w:r>
      <w:r w:rsidR="008E69B6" w:rsidRPr="008E69B6">
        <w:rPr>
          <w:i/>
          <w:iCs/>
        </w:rPr>
        <w:br/>
      </w:r>
      <w:r w:rsidRPr="008E69B6">
        <w:rPr>
          <w:i/>
          <w:iCs/>
        </w:rPr>
        <w:t>D</w:t>
      </w:r>
      <w:r w:rsidR="0022329B" w:rsidRPr="008E69B6">
        <w:rPr>
          <w:i/>
          <w:iCs/>
        </w:rPr>
        <w:t>O NOT</w:t>
      </w:r>
      <w:r w:rsidRPr="008E69B6">
        <w:rPr>
          <w:i/>
          <w:iCs/>
        </w:rPr>
        <w:t xml:space="preserve"> touch bait, use scoop or measure. When using the product wear disposable gloves.</w:t>
      </w:r>
      <w:r w:rsidR="008E69B6" w:rsidRPr="008E69B6">
        <w:rPr>
          <w:i/>
          <w:iCs/>
        </w:rPr>
        <w:br/>
      </w:r>
      <w:r w:rsidRPr="008E69B6">
        <w:rPr>
          <w:i/>
          <w:iCs/>
        </w:rPr>
        <w:t>If on skin and after each baiting, wash thoroughly with soap and water.</w:t>
      </w:r>
    </w:p>
    <w:p w14:paraId="7577D12E" w14:textId="2E48CD12" w:rsidR="0092443E" w:rsidRDefault="0092443E" w:rsidP="0092443E">
      <w:pPr>
        <w:pStyle w:val="Heading4"/>
      </w:pPr>
      <w:bookmarkStart w:id="1390" w:name="_Toc185345602"/>
      <w:r w:rsidRPr="00B37BCB">
        <w:t xml:space="preserve">Products in </w:t>
      </w:r>
      <w:r w:rsidRPr="0092443E">
        <w:t>in loose pellet/grain bait formulation</w:t>
      </w:r>
    </w:p>
    <w:p w14:paraId="4480CFAC" w14:textId="5853286C" w:rsidR="0022329B" w:rsidRDefault="0022329B" w:rsidP="0022329B">
      <w:pPr>
        <w:pStyle w:val="Heading5"/>
        <w:numPr>
          <w:ilvl w:val="0"/>
          <w:numId w:val="0"/>
        </w:numPr>
        <w:tabs>
          <w:tab w:val="num" w:pos="907"/>
        </w:tabs>
        <w:rPr>
          <w:rFonts w:eastAsia="Times New Roman"/>
          <w14:ligatures w14:val="none"/>
        </w:rPr>
      </w:pPr>
      <w:r w:rsidRPr="0033612E">
        <w:rPr>
          <w:rFonts w:eastAsia="Times New Roman"/>
          <w14:ligatures w14:val="none"/>
        </w:rPr>
        <w:t>Brodifacoum, bromadiolone, coumatetralyl</w:t>
      </w:r>
      <w:r>
        <w:rPr>
          <w:rFonts w:eastAsia="Times New Roman"/>
          <w14:ligatures w14:val="none"/>
        </w:rPr>
        <w:t xml:space="preserve"> and</w:t>
      </w:r>
      <w:r w:rsidRPr="0033612E">
        <w:rPr>
          <w:rFonts w:eastAsia="Times New Roman"/>
          <w14:ligatures w14:val="none"/>
        </w:rPr>
        <w:t xml:space="preserve"> diphacinone products in </w:t>
      </w:r>
      <w:r>
        <w:rPr>
          <w:rFonts w:eastAsia="Times New Roman"/>
          <w14:ligatures w14:val="none"/>
        </w:rPr>
        <w:t>loose pellet/grain bait</w:t>
      </w:r>
      <w:r w:rsidRPr="0033612E">
        <w:rPr>
          <w:rFonts w:eastAsia="Times New Roman"/>
          <w14:ligatures w14:val="none"/>
        </w:rPr>
        <w:t xml:space="preserve"> formation</w:t>
      </w:r>
    </w:p>
    <w:p w14:paraId="00F22C9F" w14:textId="3FBD5CB4" w:rsidR="0022329B" w:rsidRDefault="0022329B" w:rsidP="0022329B">
      <w:pPr>
        <w:pStyle w:val="NormalText"/>
      </w:pPr>
      <w:r>
        <w:t>The following safety directions are required for products formulated as loose pellets or grain baits with the concentrations of b</w:t>
      </w:r>
      <w:r w:rsidRPr="0022329B">
        <w:t xml:space="preserve">rodifacoum, bromadiolone, coumatetralyl and diphacinone </w:t>
      </w:r>
      <w:r>
        <w:t xml:space="preserve">listed in </w:t>
      </w:r>
      <w:r>
        <w:fldChar w:fldCharType="begin"/>
      </w:r>
      <w:r>
        <w:instrText xml:space="preserve"> REF _Ref214893454 \h </w:instrText>
      </w:r>
      <w:r>
        <w:fldChar w:fldCharType="separate"/>
      </w:r>
      <w:r w:rsidR="003861AC">
        <w:t xml:space="preserve">Table </w:t>
      </w:r>
      <w:r w:rsidR="003861AC">
        <w:rPr>
          <w:noProof/>
        </w:rPr>
        <w:t>71</w:t>
      </w:r>
      <w:r>
        <w:fldChar w:fldCharType="end"/>
      </w:r>
      <w:r>
        <w:t>.</w:t>
      </w:r>
    </w:p>
    <w:p w14:paraId="3E9A2CA4" w14:textId="6F7F8574" w:rsidR="0022329B" w:rsidRPr="008E69B6" w:rsidRDefault="0022329B" w:rsidP="008E69B6">
      <w:pPr>
        <w:pStyle w:val="NormalText"/>
        <w:ind w:left="567"/>
      </w:pPr>
      <w:r w:rsidRPr="008E69B6">
        <w:rPr>
          <w:b/>
          <w:bCs/>
        </w:rPr>
        <w:t>Safety Directions</w:t>
      </w:r>
      <w:r w:rsidR="008E69B6">
        <w:rPr>
          <w:b/>
          <w:bCs/>
        </w:rPr>
        <w:br/>
      </w:r>
      <w:r w:rsidRPr="008E69B6">
        <w:rPr>
          <w:i/>
          <w:iCs/>
        </w:rPr>
        <w:t>Repeated minor exposure may have a cumulative poisoning effect.</w:t>
      </w:r>
      <w:r w:rsidR="008E69B6" w:rsidRPr="008E69B6">
        <w:rPr>
          <w:i/>
          <w:iCs/>
        </w:rPr>
        <w:br/>
      </w:r>
      <w:r w:rsidRPr="008E69B6">
        <w:rPr>
          <w:i/>
          <w:iCs/>
        </w:rPr>
        <w:t>Avoid contact with eyes and skin. DO NOT inhale dust.</w:t>
      </w:r>
      <w:r w:rsidR="008E69B6" w:rsidRPr="008E69B6">
        <w:rPr>
          <w:i/>
          <w:iCs/>
        </w:rPr>
        <w:br/>
      </w:r>
      <w:r w:rsidRPr="008E69B6">
        <w:rPr>
          <w:i/>
          <w:iCs/>
        </w:rPr>
        <w:t>DO NOT touch bait, use scoop or measure. When using the product wear disposable gloves.</w:t>
      </w:r>
      <w:r w:rsidR="008E69B6" w:rsidRPr="008E69B6">
        <w:rPr>
          <w:i/>
          <w:iCs/>
        </w:rPr>
        <w:br/>
      </w:r>
      <w:r w:rsidRPr="008E69B6">
        <w:rPr>
          <w:i/>
          <w:iCs/>
        </w:rPr>
        <w:t>If on skin and after each baiting, wash thoroughly with soap and water.</w:t>
      </w:r>
    </w:p>
    <w:p w14:paraId="482349AB" w14:textId="04B7D6C6" w:rsidR="0022329B" w:rsidRDefault="0022329B" w:rsidP="00284BE8">
      <w:pPr>
        <w:pStyle w:val="Caption"/>
      </w:pPr>
      <w:bookmarkStart w:id="1391" w:name="_Ref214893454"/>
      <w:bookmarkStart w:id="1392" w:name="_Ref214893448"/>
      <w:bookmarkStart w:id="1393" w:name="_Toc216695733"/>
      <w:r>
        <w:t xml:space="preserve">Table </w:t>
      </w:r>
      <w:r>
        <w:fldChar w:fldCharType="begin"/>
      </w:r>
      <w:r>
        <w:instrText xml:space="preserve"> SEQ Table \* ARABIC </w:instrText>
      </w:r>
      <w:r>
        <w:fldChar w:fldCharType="separate"/>
      </w:r>
      <w:r w:rsidR="003861AC">
        <w:rPr>
          <w:noProof/>
        </w:rPr>
        <w:t>71</w:t>
      </w:r>
      <w:r>
        <w:fldChar w:fldCharType="end"/>
      </w:r>
      <w:bookmarkEnd w:id="1391"/>
      <w:r>
        <w:t>: Active constituent concentration of b</w:t>
      </w:r>
      <w:r w:rsidRPr="0022329B">
        <w:t xml:space="preserve">rodifacoum, bromadiolone, coumatetralyl and diphacinone </w:t>
      </w:r>
      <w:r>
        <w:t>products in loose pellets/grain formulations</w:t>
      </w:r>
      <w:bookmarkEnd w:id="1392"/>
      <w:bookmarkEnd w:id="1393"/>
    </w:p>
    <w:tbl>
      <w:tblPr>
        <w:tblW w:w="5000" w:type="pct"/>
        <w:tblLook w:val="01E0" w:firstRow="1" w:lastRow="1" w:firstColumn="1" w:lastColumn="1" w:noHBand="0" w:noVBand="0"/>
      </w:tblPr>
      <w:tblGrid>
        <w:gridCol w:w="1939"/>
        <w:gridCol w:w="5164"/>
        <w:gridCol w:w="2535"/>
      </w:tblGrid>
      <w:tr w:rsidR="0022329B" w:rsidRPr="00B37BCB" w14:paraId="2BE0710F" w14:textId="77777777" w:rsidTr="0017134F">
        <w:trPr>
          <w:cantSplit/>
          <w:trHeight w:val="283"/>
          <w:tblHeader/>
        </w:trPr>
        <w:tc>
          <w:tcPr>
            <w:tcW w:w="1006" w:type="pct"/>
            <w:shd w:val="clear" w:color="auto" w:fill="53284F"/>
          </w:tcPr>
          <w:p w14:paraId="587A53BF" w14:textId="77777777" w:rsidR="0022329B" w:rsidRPr="00B37BCB" w:rsidRDefault="0022329B" w:rsidP="0033612E">
            <w:pPr>
              <w:pStyle w:val="TableHead"/>
            </w:pPr>
            <w:r w:rsidRPr="00B37BCB">
              <w:t>Substance</w:t>
            </w:r>
          </w:p>
        </w:tc>
        <w:tc>
          <w:tcPr>
            <w:tcW w:w="2679" w:type="pct"/>
            <w:shd w:val="clear" w:color="auto" w:fill="53284F"/>
          </w:tcPr>
          <w:p w14:paraId="67EBA3E5" w14:textId="77777777" w:rsidR="0022329B" w:rsidRPr="00B37BCB" w:rsidRDefault="0022329B" w:rsidP="0033612E">
            <w:pPr>
              <w:pStyle w:val="TableHead"/>
            </w:pPr>
            <w:r w:rsidRPr="00B37BCB">
              <w:t>Formulation</w:t>
            </w:r>
          </w:p>
        </w:tc>
        <w:tc>
          <w:tcPr>
            <w:tcW w:w="1315" w:type="pct"/>
            <w:shd w:val="clear" w:color="auto" w:fill="53284F"/>
          </w:tcPr>
          <w:p w14:paraId="55FB7C67" w14:textId="77777777" w:rsidR="0022329B" w:rsidRPr="00B37BCB" w:rsidRDefault="0022329B" w:rsidP="0033612E">
            <w:pPr>
              <w:pStyle w:val="TableHead"/>
            </w:pPr>
            <w:r w:rsidRPr="00B37BCB">
              <w:t>Statement Codes</w:t>
            </w:r>
          </w:p>
        </w:tc>
      </w:tr>
      <w:tr w:rsidR="0022329B" w:rsidRPr="001C78C1" w14:paraId="491F957A" w14:textId="77777777" w:rsidTr="008E69B6">
        <w:trPr>
          <w:cantSplit/>
          <w:trHeight w:val="283"/>
          <w:tblHeader/>
        </w:trPr>
        <w:tc>
          <w:tcPr>
            <w:tcW w:w="1006" w:type="pct"/>
            <w:tcBorders>
              <w:bottom w:val="single" w:sz="4" w:space="0" w:color="auto"/>
            </w:tcBorders>
          </w:tcPr>
          <w:p w14:paraId="5C5E06AB" w14:textId="4CE1DB41" w:rsidR="0022329B" w:rsidRPr="00B37BCB" w:rsidRDefault="0022329B" w:rsidP="0022329B">
            <w:pPr>
              <w:pStyle w:val="TableText"/>
            </w:pPr>
            <w:r w:rsidRPr="00350D1A">
              <w:t>Brodifacoum</w:t>
            </w:r>
          </w:p>
        </w:tc>
        <w:tc>
          <w:tcPr>
            <w:tcW w:w="2679" w:type="pct"/>
            <w:tcBorders>
              <w:bottom w:val="single" w:sz="4" w:space="0" w:color="auto"/>
            </w:tcBorders>
          </w:tcPr>
          <w:p w14:paraId="1E32AD22" w14:textId="1404A31A" w:rsidR="0022329B" w:rsidRPr="00B37BCB" w:rsidRDefault="0022329B" w:rsidP="0022329B">
            <w:pPr>
              <w:pStyle w:val="TableText"/>
            </w:pPr>
            <w:r>
              <w:t>RB</w:t>
            </w:r>
            <w:r w:rsidRPr="00350D1A">
              <w:t xml:space="preserve"> 0.05 g/kg or less in pellet formulation</w:t>
            </w:r>
          </w:p>
        </w:tc>
        <w:tc>
          <w:tcPr>
            <w:tcW w:w="1315" w:type="pct"/>
            <w:vMerge w:val="restart"/>
          </w:tcPr>
          <w:p w14:paraId="1928B11E" w14:textId="71871F08" w:rsidR="0022329B" w:rsidRPr="00B37BCB" w:rsidRDefault="0022329B" w:rsidP="0022329B">
            <w:pPr>
              <w:pStyle w:val="TableText"/>
            </w:pPr>
            <w:r w:rsidRPr="0022329B">
              <w:t>190 210 211 220 221 250 251 279 283 290 321 252</w:t>
            </w:r>
          </w:p>
        </w:tc>
      </w:tr>
      <w:tr w:rsidR="0022329B" w:rsidRPr="001C78C1" w14:paraId="3EA31A00" w14:textId="77777777" w:rsidTr="008E69B6">
        <w:trPr>
          <w:cantSplit/>
          <w:trHeight w:val="283"/>
          <w:tblHeader/>
        </w:trPr>
        <w:tc>
          <w:tcPr>
            <w:tcW w:w="1006" w:type="pct"/>
            <w:tcBorders>
              <w:top w:val="single" w:sz="4" w:space="0" w:color="auto"/>
              <w:bottom w:val="single" w:sz="4" w:space="0" w:color="auto"/>
            </w:tcBorders>
          </w:tcPr>
          <w:p w14:paraId="5BB65165" w14:textId="50A6A072" w:rsidR="0022329B" w:rsidRPr="001C78C1" w:rsidRDefault="0022329B" w:rsidP="0022329B">
            <w:pPr>
              <w:pStyle w:val="TableText"/>
              <w:rPr>
                <w:shd w:val="clear" w:color="auto" w:fill="FFFFFF"/>
              </w:rPr>
            </w:pPr>
            <w:r w:rsidRPr="00350D1A">
              <w:t>Bromadiolone</w:t>
            </w:r>
          </w:p>
        </w:tc>
        <w:tc>
          <w:tcPr>
            <w:tcW w:w="2679" w:type="pct"/>
            <w:tcBorders>
              <w:top w:val="single" w:sz="4" w:space="0" w:color="auto"/>
              <w:bottom w:val="single" w:sz="4" w:space="0" w:color="auto"/>
            </w:tcBorders>
          </w:tcPr>
          <w:p w14:paraId="7C5D74FE" w14:textId="5292CA7C" w:rsidR="0022329B" w:rsidRPr="001C78C1" w:rsidRDefault="0022329B" w:rsidP="0022329B">
            <w:pPr>
              <w:pStyle w:val="TableText"/>
            </w:pPr>
            <w:r>
              <w:t>RB</w:t>
            </w:r>
            <w:r w:rsidRPr="00350D1A">
              <w:t xml:space="preserve"> 0.05 g/kg or less in pellet formulation</w:t>
            </w:r>
          </w:p>
        </w:tc>
        <w:tc>
          <w:tcPr>
            <w:tcW w:w="1315" w:type="pct"/>
            <w:vMerge/>
          </w:tcPr>
          <w:p w14:paraId="285E244B" w14:textId="77777777" w:rsidR="0022329B" w:rsidRPr="001C78C1" w:rsidRDefault="0022329B" w:rsidP="0022329B">
            <w:pPr>
              <w:keepNext/>
              <w:spacing w:after="0"/>
              <w:ind w:left="55"/>
            </w:pPr>
          </w:p>
        </w:tc>
      </w:tr>
      <w:tr w:rsidR="0022329B" w:rsidRPr="001C78C1" w14:paraId="69DCAF6D" w14:textId="77777777" w:rsidTr="008E69B6">
        <w:trPr>
          <w:cantSplit/>
          <w:trHeight w:val="283"/>
          <w:tblHeader/>
        </w:trPr>
        <w:tc>
          <w:tcPr>
            <w:tcW w:w="1006" w:type="pct"/>
            <w:tcBorders>
              <w:top w:val="single" w:sz="4" w:space="0" w:color="auto"/>
              <w:bottom w:val="single" w:sz="4" w:space="0" w:color="auto"/>
            </w:tcBorders>
          </w:tcPr>
          <w:p w14:paraId="77C17BED" w14:textId="1EF6702F" w:rsidR="0022329B" w:rsidRPr="001C78C1" w:rsidRDefault="0022329B" w:rsidP="0022329B">
            <w:pPr>
              <w:pStyle w:val="TableText"/>
              <w:rPr>
                <w:shd w:val="clear" w:color="auto" w:fill="FFFFFF"/>
              </w:rPr>
            </w:pPr>
            <w:r w:rsidRPr="00350D1A">
              <w:t>Coumatetralyl</w:t>
            </w:r>
          </w:p>
        </w:tc>
        <w:tc>
          <w:tcPr>
            <w:tcW w:w="2679" w:type="pct"/>
            <w:tcBorders>
              <w:top w:val="single" w:sz="4" w:space="0" w:color="auto"/>
              <w:bottom w:val="single" w:sz="4" w:space="0" w:color="auto"/>
            </w:tcBorders>
          </w:tcPr>
          <w:p w14:paraId="54BC2AD5" w14:textId="3F7AA79F" w:rsidR="0022329B" w:rsidRPr="001C78C1" w:rsidRDefault="0022329B" w:rsidP="0022329B">
            <w:pPr>
              <w:pStyle w:val="TableText"/>
            </w:pPr>
            <w:r>
              <w:t>RB</w:t>
            </w:r>
            <w:r w:rsidRPr="00350D1A">
              <w:t xml:space="preserve"> 0.4 g/kg or less in pellet formulation</w:t>
            </w:r>
          </w:p>
        </w:tc>
        <w:tc>
          <w:tcPr>
            <w:tcW w:w="1315" w:type="pct"/>
            <w:vMerge/>
          </w:tcPr>
          <w:p w14:paraId="51C41168" w14:textId="77777777" w:rsidR="0022329B" w:rsidRPr="001C78C1" w:rsidRDefault="0022329B" w:rsidP="0022329B">
            <w:pPr>
              <w:keepNext/>
              <w:spacing w:after="0"/>
              <w:ind w:left="55"/>
            </w:pPr>
          </w:p>
        </w:tc>
      </w:tr>
      <w:tr w:rsidR="0022329B" w:rsidRPr="001C78C1" w14:paraId="654F4911" w14:textId="77777777" w:rsidTr="008E69B6">
        <w:trPr>
          <w:cantSplit/>
          <w:trHeight w:val="283"/>
          <w:tblHeader/>
        </w:trPr>
        <w:tc>
          <w:tcPr>
            <w:tcW w:w="1006" w:type="pct"/>
            <w:tcBorders>
              <w:top w:val="single" w:sz="4" w:space="0" w:color="auto"/>
              <w:bottom w:val="single" w:sz="4" w:space="0" w:color="auto"/>
            </w:tcBorders>
          </w:tcPr>
          <w:p w14:paraId="21785DC3" w14:textId="2F652C42" w:rsidR="0022329B" w:rsidRPr="001C78C1" w:rsidRDefault="0022329B" w:rsidP="0022329B">
            <w:pPr>
              <w:pStyle w:val="TableText"/>
              <w:rPr>
                <w:shd w:val="clear" w:color="auto" w:fill="FFFFFF"/>
              </w:rPr>
            </w:pPr>
            <w:r w:rsidRPr="00350D1A">
              <w:t>Diphacinone</w:t>
            </w:r>
          </w:p>
        </w:tc>
        <w:tc>
          <w:tcPr>
            <w:tcW w:w="2679" w:type="pct"/>
            <w:tcBorders>
              <w:top w:val="single" w:sz="4" w:space="0" w:color="auto"/>
              <w:bottom w:val="single" w:sz="4" w:space="0" w:color="auto"/>
            </w:tcBorders>
          </w:tcPr>
          <w:p w14:paraId="21B1BBC3" w14:textId="3634F60E" w:rsidR="0022329B" w:rsidRPr="001C78C1" w:rsidRDefault="0022329B" w:rsidP="0022329B">
            <w:pPr>
              <w:pStyle w:val="TableText"/>
            </w:pPr>
            <w:r>
              <w:t>RB</w:t>
            </w:r>
            <w:r w:rsidRPr="00350D1A">
              <w:t xml:space="preserve"> 0.05 g/kg or less in pellet formulation</w:t>
            </w:r>
          </w:p>
        </w:tc>
        <w:tc>
          <w:tcPr>
            <w:tcW w:w="1315" w:type="pct"/>
            <w:vMerge/>
            <w:tcBorders>
              <w:bottom w:val="single" w:sz="4" w:space="0" w:color="auto"/>
            </w:tcBorders>
          </w:tcPr>
          <w:p w14:paraId="3A7CEAFA" w14:textId="77777777" w:rsidR="0022329B" w:rsidRPr="001C78C1" w:rsidRDefault="0022329B" w:rsidP="0022329B">
            <w:pPr>
              <w:keepNext/>
              <w:spacing w:after="0"/>
              <w:ind w:left="55"/>
            </w:pPr>
          </w:p>
        </w:tc>
      </w:tr>
    </w:tbl>
    <w:p w14:paraId="5805BF63" w14:textId="1944F416" w:rsidR="0022329B" w:rsidRDefault="0022329B" w:rsidP="0022329B">
      <w:pPr>
        <w:pStyle w:val="Heading5"/>
        <w:numPr>
          <w:ilvl w:val="0"/>
          <w:numId w:val="0"/>
        </w:numPr>
        <w:tabs>
          <w:tab w:val="num" w:pos="907"/>
        </w:tabs>
        <w:rPr>
          <w:rFonts w:eastAsia="Times New Roman"/>
          <w14:ligatures w14:val="none"/>
        </w:rPr>
      </w:pPr>
      <w:r w:rsidRPr="0033612E">
        <w:rPr>
          <w:rFonts w:eastAsia="Times New Roman"/>
          <w14:ligatures w14:val="none"/>
        </w:rPr>
        <w:t>Difethialone</w:t>
      </w:r>
      <w:r>
        <w:rPr>
          <w:rFonts w:eastAsia="Times New Roman"/>
          <w14:ligatures w14:val="none"/>
        </w:rPr>
        <w:t xml:space="preserve"> and difenacoum</w:t>
      </w:r>
      <w:r w:rsidRPr="0033612E">
        <w:rPr>
          <w:rFonts w:eastAsia="Times New Roman"/>
          <w14:ligatures w14:val="none"/>
        </w:rPr>
        <w:t xml:space="preserve"> products in </w:t>
      </w:r>
      <w:r>
        <w:rPr>
          <w:rFonts w:eastAsia="Times New Roman"/>
          <w14:ligatures w14:val="none"/>
        </w:rPr>
        <w:t>loose pellet/grain bait</w:t>
      </w:r>
      <w:r w:rsidRPr="0033612E">
        <w:rPr>
          <w:rFonts w:eastAsia="Times New Roman"/>
          <w14:ligatures w14:val="none"/>
        </w:rPr>
        <w:t xml:space="preserve"> formation</w:t>
      </w:r>
    </w:p>
    <w:p w14:paraId="5572F639" w14:textId="5672E952" w:rsidR="0092443E" w:rsidRDefault="0092443E" w:rsidP="0092443E">
      <w:pPr>
        <w:pStyle w:val="NormalText"/>
      </w:pPr>
      <w:r>
        <w:t xml:space="preserve">The following safety directions are required for products formulated as loose pellets or grain baits with the concentrations </w:t>
      </w:r>
      <w:r w:rsidR="0022329B">
        <w:t xml:space="preserve">of difenacoum and difethialone </w:t>
      </w:r>
      <w:r>
        <w:t xml:space="preserve">listed in </w:t>
      </w:r>
      <w:r>
        <w:fldChar w:fldCharType="begin"/>
      </w:r>
      <w:r>
        <w:instrText xml:space="preserve"> REF _Ref214829590 \h </w:instrText>
      </w:r>
      <w:r>
        <w:fldChar w:fldCharType="separate"/>
      </w:r>
      <w:r w:rsidR="003861AC">
        <w:t xml:space="preserve">Table </w:t>
      </w:r>
      <w:r w:rsidR="003861AC">
        <w:rPr>
          <w:noProof/>
        </w:rPr>
        <w:t>72</w:t>
      </w:r>
      <w:r>
        <w:fldChar w:fldCharType="end"/>
      </w:r>
      <w:r>
        <w:t>.</w:t>
      </w:r>
    </w:p>
    <w:p w14:paraId="5BFB7C7D" w14:textId="5B8AFDC9" w:rsidR="0092443E" w:rsidRPr="008E69B6" w:rsidRDefault="0092443E" w:rsidP="008E69B6">
      <w:pPr>
        <w:pStyle w:val="NormalText"/>
        <w:ind w:left="567"/>
      </w:pPr>
      <w:r w:rsidRPr="008E69B6">
        <w:rPr>
          <w:b/>
          <w:bCs/>
        </w:rPr>
        <w:t>Safety Directions</w:t>
      </w:r>
      <w:r w:rsidR="008E69B6">
        <w:rPr>
          <w:b/>
          <w:bCs/>
        </w:rPr>
        <w:br/>
      </w:r>
      <w:r w:rsidRPr="008E69B6">
        <w:t>Repeated minor exposure may have a cumulative poisoning effect.</w:t>
      </w:r>
      <w:r w:rsidR="008E69B6">
        <w:br/>
      </w:r>
      <w:r w:rsidRPr="008E69B6">
        <w:t>May irritate eyes. Avoid contact with eyes and skin. D</w:t>
      </w:r>
      <w:r w:rsidR="00A43EC9" w:rsidRPr="008E69B6">
        <w:t>O NOT</w:t>
      </w:r>
      <w:r w:rsidRPr="008E69B6">
        <w:t xml:space="preserve"> inhale dust.</w:t>
      </w:r>
      <w:r w:rsidR="008E69B6">
        <w:br/>
      </w:r>
      <w:r w:rsidRPr="008E69B6">
        <w:t>D</w:t>
      </w:r>
      <w:r w:rsidR="00A43EC9" w:rsidRPr="008E69B6">
        <w:t>O NOT</w:t>
      </w:r>
      <w:r w:rsidRPr="008E69B6">
        <w:t xml:space="preserve"> touch bait, use scoop or measure. When using the product wear disposable gloves.</w:t>
      </w:r>
      <w:r w:rsidR="008E69B6">
        <w:br/>
      </w:r>
      <w:r w:rsidRPr="008E69B6">
        <w:t>If on skin and after each baiting, wash thoroughly with soap and water.</w:t>
      </w:r>
    </w:p>
    <w:p w14:paraId="61A6ECF3" w14:textId="468793C1" w:rsidR="0092443E" w:rsidRPr="00B37BCB" w:rsidRDefault="0092443E" w:rsidP="0092443E">
      <w:pPr>
        <w:pStyle w:val="Caption"/>
      </w:pPr>
      <w:bookmarkStart w:id="1394" w:name="_Ref214829590"/>
      <w:bookmarkStart w:id="1395" w:name="_Toc216695734"/>
      <w:r>
        <w:t xml:space="preserve">Table </w:t>
      </w:r>
      <w:r>
        <w:fldChar w:fldCharType="begin"/>
      </w:r>
      <w:r>
        <w:instrText xml:space="preserve"> SEQ Table \* ARABIC </w:instrText>
      </w:r>
      <w:r>
        <w:fldChar w:fldCharType="separate"/>
      </w:r>
      <w:r w:rsidR="003861AC">
        <w:rPr>
          <w:noProof/>
        </w:rPr>
        <w:t>72</w:t>
      </w:r>
      <w:r>
        <w:fldChar w:fldCharType="end"/>
      </w:r>
      <w:bookmarkEnd w:id="1394"/>
      <w:r>
        <w:t xml:space="preserve">: Active constituent concentration of </w:t>
      </w:r>
      <w:r w:rsidR="0022329B">
        <w:t xml:space="preserve">difenacoum and difethialone </w:t>
      </w:r>
      <w:r>
        <w:t>products in loose pellets/grain formulations</w:t>
      </w:r>
      <w:bookmarkEnd w:id="1395"/>
    </w:p>
    <w:tbl>
      <w:tblPr>
        <w:tblW w:w="5000" w:type="pct"/>
        <w:tblLook w:val="01E0" w:firstRow="1" w:lastRow="1" w:firstColumn="1" w:lastColumn="1" w:noHBand="0" w:noVBand="0"/>
      </w:tblPr>
      <w:tblGrid>
        <w:gridCol w:w="1939"/>
        <w:gridCol w:w="5164"/>
        <w:gridCol w:w="2535"/>
      </w:tblGrid>
      <w:tr w:rsidR="0092443E" w:rsidRPr="00B37BCB" w14:paraId="2BF0BD24" w14:textId="77777777" w:rsidTr="0017134F">
        <w:trPr>
          <w:trHeight w:val="283"/>
        </w:trPr>
        <w:tc>
          <w:tcPr>
            <w:tcW w:w="1006" w:type="pct"/>
            <w:shd w:val="clear" w:color="auto" w:fill="53284F"/>
          </w:tcPr>
          <w:p w14:paraId="46EC7C90" w14:textId="77777777" w:rsidR="0092443E" w:rsidRPr="00B37BCB" w:rsidRDefault="0092443E" w:rsidP="00B06659">
            <w:pPr>
              <w:pStyle w:val="TableHead"/>
            </w:pPr>
            <w:r w:rsidRPr="00B37BCB">
              <w:t>Substance</w:t>
            </w:r>
          </w:p>
        </w:tc>
        <w:tc>
          <w:tcPr>
            <w:tcW w:w="2679" w:type="pct"/>
            <w:shd w:val="clear" w:color="auto" w:fill="53284F"/>
          </w:tcPr>
          <w:p w14:paraId="797367F1" w14:textId="77777777" w:rsidR="0092443E" w:rsidRPr="00B37BCB" w:rsidRDefault="0092443E" w:rsidP="00B06659">
            <w:pPr>
              <w:pStyle w:val="TableHead"/>
            </w:pPr>
            <w:r w:rsidRPr="00B37BCB">
              <w:t>Formulation</w:t>
            </w:r>
          </w:p>
        </w:tc>
        <w:tc>
          <w:tcPr>
            <w:tcW w:w="1315" w:type="pct"/>
            <w:shd w:val="clear" w:color="auto" w:fill="53284F"/>
          </w:tcPr>
          <w:p w14:paraId="5B677B44" w14:textId="77777777" w:rsidR="0092443E" w:rsidRPr="00B37BCB" w:rsidRDefault="0092443E" w:rsidP="00B06659">
            <w:pPr>
              <w:pStyle w:val="TableHead"/>
            </w:pPr>
            <w:r w:rsidRPr="00B37BCB">
              <w:t>Statement Codes</w:t>
            </w:r>
          </w:p>
        </w:tc>
      </w:tr>
      <w:tr w:rsidR="0092443E" w:rsidRPr="001C78C1" w14:paraId="178B17E5" w14:textId="77777777" w:rsidTr="0092443E">
        <w:trPr>
          <w:trHeight w:val="283"/>
        </w:trPr>
        <w:tc>
          <w:tcPr>
            <w:tcW w:w="1006" w:type="pct"/>
            <w:tcBorders>
              <w:bottom w:val="single" w:sz="4" w:space="0" w:color="auto"/>
            </w:tcBorders>
          </w:tcPr>
          <w:p w14:paraId="4D94D4F6" w14:textId="72AC75C2" w:rsidR="0092443E" w:rsidRPr="00B37BCB" w:rsidRDefault="0092443E" w:rsidP="0092443E">
            <w:pPr>
              <w:pStyle w:val="TableText"/>
            </w:pPr>
            <w:r w:rsidRPr="005646C4">
              <w:t>Difenacoum</w:t>
            </w:r>
          </w:p>
        </w:tc>
        <w:tc>
          <w:tcPr>
            <w:tcW w:w="2679" w:type="pct"/>
            <w:tcBorders>
              <w:bottom w:val="single" w:sz="4" w:space="0" w:color="auto"/>
            </w:tcBorders>
          </w:tcPr>
          <w:p w14:paraId="61BAB4C3" w14:textId="6C4878AF" w:rsidR="0092443E" w:rsidRPr="00B37BCB" w:rsidRDefault="0092443E" w:rsidP="0092443E">
            <w:pPr>
              <w:pStyle w:val="TableText"/>
            </w:pPr>
            <w:r>
              <w:t>RB</w:t>
            </w:r>
            <w:r w:rsidRPr="005646C4">
              <w:t xml:space="preserve"> 0.05 g/kg or less in pellet formulation</w:t>
            </w:r>
          </w:p>
        </w:tc>
        <w:tc>
          <w:tcPr>
            <w:tcW w:w="1315" w:type="pct"/>
            <w:vMerge w:val="restart"/>
            <w:tcBorders>
              <w:bottom w:val="single" w:sz="4" w:space="0" w:color="auto"/>
            </w:tcBorders>
          </w:tcPr>
          <w:p w14:paraId="52B57D0C" w14:textId="68430F18" w:rsidR="0092443E" w:rsidRPr="00B37BCB" w:rsidRDefault="0092443E" w:rsidP="0092443E">
            <w:pPr>
              <w:pStyle w:val="TableText"/>
            </w:pPr>
            <w:r w:rsidRPr="0092443E">
              <w:t>190 160 162 210 211 220 221 250 251 279 283 290 321 252</w:t>
            </w:r>
          </w:p>
        </w:tc>
      </w:tr>
      <w:tr w:rsidR="0092443E" w:rsidRPr="001C78C1" w14:paraId="14BAD324" w14:textId="77777777" w:rsidTr="0092443E">
        <w:trPr>
          <w:trHeight w:val="283"/>
        </w:trPr>
        <w:tc>
          <w:tcPr>
            <w:tcW w:w="1006" w:type="pct"/>
            <w:tcBorders>
              <w:top w:val="single" w:sz="4" w:space="0" w:color="auto"/>
              <w:bottom w:val="single" w:sz="4" w:space="0" w:color="auto"/>
            </w:tcBorders>
          </w:tcPr>
          <w:p w14:paraId="4E205A32" w14:textId="5D4EFE44" w:rsidR="0092443E" w:rsidRPr="001C78C1" w:rsidRDefault="0092443E" w:rsidP="0092443E">
            <w:pPr>
              <w:pStyle w:val="TableText"/>
              <w:rPr>
                <w:shd w:val="clear" w:color="auto" w:fill="FFFFFF"/>
              </w:rPr>
            </w:pPr>
            <w:r w:rsidRPr="005646C4">
              <w:t>Difethialone</w:t>
            </w:r>
          </w:p>
        </w:tc>
        <w:tc>
          <w:tcPr>
            <w:tcW w:w="2679" w:type="pct"/>
            <w:tcBorders>
              <w:top w:val="single" w:sz="4" w:space="0" w:color="auto"/>
              <w:bottom w:val="single" w:sz="4" w:space="0" w:color="auto"/>
            </w:tcBorders>
          </w:tcPr>
          <w:p w14:paraId="4A311E3C" w14:textId="32C50402" w:rsidR="0092443E" w:rsidRPr="001C78C1" w:rsidRDefault="0092443E" w:rsidP="0092443E">
            <w:pPr>
              <w:pStyle w:val="TableText"/>
            </w:pPr>
            <w:r>
              <w:t>RB</w:t>
            </w:r>
            <w:r w:rsidRPr="005646C4">
              <w:t xml:space="preserve"> 0.025 g/kg or less in pellet formulation</w:t>
            </w:r>
          </w:p>
        </w:tc>
        <w:tc>
          <w:tcPr>
            <w:tcW w:w="1315" w:type="pct"/>
            <w:vMerge/>
            <w:tcBorders>
              <w:bottom w:val="single" w:sz="4" w:space="0" w:color="auto"/>
            </w:tcBorders>
          </w:tcPr>
          <w:p w14:paraId="5961B71E" w14:textId="77777777" w:rsidR="0092443E" w:rsidRPr="001C78C1" w:rsidRDefault="0092443E" w:rsidP="0092443E">
            <w:pPr>
              <w:keepNext/>
              <w:spacing w:after="0"/>
              <w:ind w:left="55"/>
            </w:pPr>
          </w:p>
        </w:tc>
      </w:tr>
    </w:tbl>
    <w:p w14:paraId="071A868D" w14:textId="77777777" w:rsidR="0092443E" w:rsidRDefault="0092443E" w:rsidP="0092443E">
      <w:pPr>
        <w:pStyle w:val="Heading4"/>
      </w:pPr>
      <w:r w:rsidRPr="00B37BCB">
        <w:lastRenderedPageBreak/>
        <w:t xml:space="preserve">Products </w:t>
      </w:r>
      <w:r>
        <w:t xml:space="preserve">for use in a </w:t>
      </w:r>
      <w:r w:rsidRPr="00B37BCB">
        <w:t>caulking gun</w:t>
      </w:r>
      <w:r>
        <w:t xml:space="preserve"> (paste)</w:t>
      </w:r>
    </w:p>
    <w:p w14:paraId="1FA88FBD" w14:textId="3D207FF7" w:rsidR="0092443E" w:rsidRDefault="0092443E" w:rsidP="0092443E">
      <w:pPr>
        <w:pStyle w:val="NormalText"/>
      </w:pPr>
      <w:r>
        <w:t>The following safety directions are required for products formulated as paste for use in a caulking gun with the concentrations listed in.</w:t>
      </w:r>
    </w:p>
    <w:p w14:paraId="7FF590E4" w14:textId="1EB7DC6D" w:rsidR="0092443E" w:rsidRDefault="0092443E" w:rsidP="008E69B6">
      <w:pPr>
        <w:pStyle w:val="NormalText"/>
        <w:ind w:left="567"/>
        <w:rPr>
          <w:i/>
          <w:iCs/>
        </w:rPr>
      </w:pPr>
      <w:r w:rsidRPr="008E69B6">
        <w:rPr>
          <w:b/>
          <w:bCs/>
        </w:rPr>
        <w:t>Safety Directions</w:t>
      </w:r>
      <w:r w:rsidR="008E69B6">
        <w:rPr>
          <w:b/>
          <w:bCs/>
        </w:rPr>
        <w:br/>
      </w:r>
      <w:r w:rsidRPr="00377F3A">
        <w:rPr>
          <w:i/>
          <w:iCs/>
        </w:rPr>
        <w:t>Repeated minor exposure may have a cumulative poisoning effect.</w:t>
      </w:r>
      <w:r w:rsidR="008E69B6">
        <w:rPr>
          <w:i/>
          <w:iCs/>
        </w:rPr>
        <w:br/>
      </w:r>
      <w:r w:rsidRPr="00377F3A">
        <w:rPr>
          <w:i/>
          <w:iCs/>
        </w:rPr>
        <w:t>Do not touch bait. When using the product wear disposable gloves.</w:t>
      </w:r>
      <w:r w:rsidR="008E69B6">
        <w:rPr>
          <w:i/>
          <w:iCs/>
        </w:rPr>
        <w:br/>
      </w:r>
      <w:r w:rsidRPr="00377F3A">
        <w:rPr>
          <w:i/>
          <w:iCs/>
        </w:rPr>
        <w:t>If on skin and after each baiting, wash thoroughly with soap and water.</w:t>
      </w:r>
    </w:p>
    <w:p w14:paraId="6D6EEC74" w14:textId="5E0F3EF2" w:rsidR="0092443E" w:rsidRDefault="0092443E" w:rsidP="00284BE8">
      <w:pPr>
        <w:pStyle w:val="Caption"/>
      </w:pPr>
      <w:bookmarkStart w:id="1396" w:name="_Toc216695735"/>
      <w:r>
        <w:t xml:space="preserve">Table </w:t>
      </w:r>
      <w:r>
        <w:fldChar w:fldCharType="begin"/>
      </w:r>
      <w:r>
        <w:instrText xml:space="preserve"> SEQ Table \* ARABIC </w:instrText>
      </w:r>
      <w:r>
        <w:fldChar w:fldCharType="separate"/>
      </w:r>
      <w:r w:rsidR="003861AC">
        <w:rPr>
          <w:noProof/>
        </w:rPr>
        <w:t>73</w:t>
      </w:r>
      <w:r>
        <w:fldChar w:fldCharType="end"/>
      </w:r>
      <w:r>
        <w:t>:</w:t>
      </w:r>
      <w:r w:rsidRPr="0092443E">
        <w:t xml:space="preserve"> </w:t>
      </w:r>
      <w:r>
        <w:t>Active constituent concentration of products as a</w:t>
      </w:r>
      <w:r w:rsidRPr="0092443E">
        <w:t xml:space="preserve"> paste formulation for use in a caulking gun</w:t>
      </w:r>
      <w:bookmarkEnd w:id="1396"/>
    </w:p>
    <w:tbl>
      <w:tblPr>
        <w:tblW w:w="5000" w:type="pct"/>
        <w:tblLook w:val="01E0" w:firstRow="1" w:lastRow="1" w:firstColumn="1" w:lastColumn="1" w:noHBand="0" w:noVBand="0"/>
      </w:tblPr>
      <w:tblGrid>
        <w:gridCol w:w="1939"/>
        <w:gridCol w:w="5164"/>
        <w:gridCol w:w="2535"/>
      </w:tblGrid>
      <w:tr w:rsidR="0092443E" w:rsidRPr="00B37BCB" w14:paraId="6470B8BE" w14:textId="77777777" w:rsidTr="0017134F">
        <w:trPr>
          <w:trHeight w:val="283"/>
        </w:trPr>
        <w:tc>
          <w:tcPr>
            <w:tcW w:w="1006" w:type="pct"/>
            <w:shd w:val="clear" w:color="auto" w:fill="53284F"/>
          </w:tcPr>
          <w:p w14:paraId="2598CF79" w14:textId="77777777" w:rsidR="0092443E" w:rsidRPr="00B37BCB" w:rsidRDefault="0092443E" w:rsidP="00B06659">
            <w:pPr>
              <w:pStyle w:val="TableHead"/>
            </w:pPr>
            <w:r w:rsidRPr="00B37BCB">
              <w:t>Substance</w:t>
            </w:r>
          </w:p>
        </w:tc>
        <w:tc>
          <w:tcPr>
            <w:tcW w:w="2679" w:type="pct"/>
            <w:shd w:val="clear" w:color="auto" w:fill="53284F"/>
          </w:tcPr>
          <w:p w14:paraId="725C1252" w14:textId="77777777" w:rsidR="0092443E" w:rsidRPr="00B37BCB" w:rsidRDefault="0092443E" w:rsidP="00B06659">
            <w:pPr>
              <w:pStyle w:val="TableHead"/>
            </w:pPr>
            <w:r w:rsidRPr="00B37BCB">
              <w:t>Formulation</w:t>
            </w:r>
          </w:p>
        </w:tc>
        <w:tc>
          <w:tcPr>
            <w:tcW w:w="1315" w:type="pct"/>
            <w:shd w:val="clear" w:color="auto" w:fill="53284F"/>
          </w:tcPr>
          <w:p w14:paraId="5137CAED" w14:textId="77777777" w:rsidR="0092443E" w:rsidRPr="00B37BCB" w:rsidRDefault="0092443E" w:rsidP="00B06659">
            <w:pPr>
              <w:pStyle w:val="TableHead"/>
            </w:pPr>
            <w:r w:rsidRPr="00B37BCB">
              <w:t>Statement Codes</w:t>
            </w:r>
          </w:p>
        </w:tc>
      </w:tr>
      <w:tr w:rsidR="0092443E" w:rsidRPr="001C78C1" w14:paraId="7749CE35" w14:textId="77777777" w:rsidTr="00B06659">
        <w:trPr>
          <w:trHeight w:val="283"/>
        </w:trPr>
        <w:tc>
          <w:tcPr>
            <w:tcW w:w="1006" w:type="pct"/>
            <w:tcBorders>
              <w:bottom w:val="single" w:sz="4" w:space="0" w:color="auto"/>
            </w:tcBorders>
          </w:tcPr>
          <w:p w14:paraId="536C3846" w14:textId="79E02249" w:rsidR="0092443E" w:rsidRPr="00B37BCB" w:rsidRDefault="0092443E" w:rsidP="0092443E">
            <w:pPr>
              <w:pStyle w:val="TableText"/>
            </w:pPr>
            <w:r w:rsidRPr="00431665">
              <w:t>Bromadiolone</w:t>
            </w:r>
          </w:p>
        </w:tc>
        <w:tc>
          <w:tcPr>
            <w:tcW w:w="2679" w:type="pct"/>
            <w:tcBorders>
              <w:bottom w:val="single" w:sz="4" w:space="0" w:color="auto"/>
            </w:tcBorders>
          </w:tcPr>
          <w:p w14:paraId="79B7BACE" w14:textId="26904794" w:rsidR="0092443E" w:rsidRPr="00B37BCB" w:rsidRDefault="0092443E" w:rsidP="0092443E">
            <w:pPr>
              <w:pStyle w:val="TableText"/>
            </w:pPr>
            <w:r w:rsidRPr="00431665">
              <w:t>BA 0.1 g/kg or less as a paste in caulking gun</w:t>
            </w:r>
          </w:p>
        </w:tc>
        <w:tc>
          <w:tcPr>
            <w:tcW w:w="1315" w:type="pct"/>
            <w:vMerge w:val="restart"/>
            <w:tcBorders>
              <w:bottom w:val="single" w:sz="4" w:space="0" w:color="auto"/>
            </w:tcBorders>
          </w:tcPr>
          <w:p w14:paraId="188667D3" w14:textId="37769C84" w:rsidR="0092443E" w:rsidRPr="00B37BCB" w:rsidRDefault="0092443E" w:rsidP="0092443E">
            <w:pPr>
              <w:pStyle w:val="TableText"/>
            </w:pPr>
            <w:r w:rsidRPr="00CB467B">
              <w:t>190 250 279 283 290 321 252</w:t>
            </w:r>
          </w:p>
        </w:tc>
      </w:tr>
      <w:tr w:rsidR="0092443E" w:rsidRPr="001C78C1" w14:paraId="3F0CA18D" w14:textId="77777777" w:rsidTr="00B06659">
        <w:trPr>
          <w:trHeight w:val="283"/>
        </w:trPr>
        <w:tc>
          <w:tcPr>
            <w:tcW w:w="1006" w:type="pct"/>
            <w:tcBorders>
              <w:top w:val="single" w:sz="4" w:space="0" w:color="auto"/>
              <w:bottom w:val="single" w:sz="4" w:space="0" w:color="auto"/>
            </w:tcBorders>
          </w:tcPr>
          <w:p w14:paraId="6578CF2C" w14:textId="0816B264" w:rsidR="0092443E" w:rsidRPr="001C78C1" w:rsidRDefault="0092443E" w:rsidP="0092443E">
            <w:pPr>
              <w:pStyle w:val="TableText"/>
              <w:rPr>
                <w:shd w:val="clear" w:color="auto" w:fill="FFFFFF"/>
              </w:rPr>
            </w:pPr>
            <w:r w:rsidRPr="00431665">
              <w:t>Brodifacoum</w:t>
            </w:r>
          </w:p>
        </w:tc>
        <w:tc>
          <w:tcPr>
            <w:tcW w:w="2679" w:type="pct"/>
            <w:tcBorders>
              <w:top w:val="single" w:sz="4" w:space="0" w:color="auto"/>
              <w:bottom w:val="single" w:sz="4" w:space="0" w:color="auto"/>
            </w:tcBorders>
          </w:tcPr>
          <w:p w14:paraId="66B0B801" w14:textId="69C64D97" w:rsidR="0092443E" w:rsidRPr="001C78C1" w:rsidRDefault="0092443E" w:rsidP="0092443E">
            <w:pPr>
              <w:pStyle w:val="TableText"/>
            </w:pPr>
            <w:r w:rsidRPr="00431665">
              <w:t>BA 0.05 g/kg or less as a paste in caulking gun</w:t>
            </w:r>
          </w:p>
        </w:tc>
        <w:tc>
          <w:tcPr>
            <w:tcW w:w="1315" w:type="pct"/>
            <w:vMerge/>
            <w:tcBorders>
              <w:bottom w:val="single" w:sz="4" w:space="0" w:color="auto"/>
            </w:tcBorders>
          </w:tcPr>
          <w:p w14:paraId="248FE338" w14:textId="77777777" w:rsidR="0092443E" w:rsidRPr="001C78C1" w:rsidRDefault="0092443E" w:rsidP="0092443E">
            <w:pPr>
              <w:keepNext/>
              <w:spacing w:after="0"/>
              <w:ind w:left="55"/>
            </w:pPr>
          </w:p>
        </w:tc>
      </w:tr>
    </w:tbl>
    <w:p w14:paraId="23018C9C" w14:textId="543EF9EE" w:rsidR="00607CB8" w:rsidRDefault="007D6D6C" w:rsidP="00377F3A">
      <w:pPr>
        <w:pStyle w:val="Heading4"/>
      </w:pPr>
      <w:r>
        <w:t>P</w:t>
      </w:r>
      <w:r w:rsidR="00607CB8" w:rsidRPr="00B37BCB">
        <w:t xml:space="preserve">roducts </w:t>
      </w:r>
      <w:r w:rsidR="00C02D3C" w:rsidRPr="00B37BCB">
        <w:t xml:space="preserve">powder </w:t>
      </w:r>
      <w:r w:rsidR="00C02D3C">
        <w:t xml:space="preserve">or </w:t>
      </w:r>
      <w:r w:rsidR="00C02D3C" w:rsidRPr="00B37BCB">
        <w:t xml:space="preserve">liquid </w:t>
      </w:r>
      <w:r w:rsidR="00607CB8" w:rsidRPr="001C78C1">
        <w:t xml:space="preserve">bait </w:t>
      </w:r>
      <w:r w:rsidR="00607CB8" w:rsidRPr="00B37BCB">
        <w:t>formulation</w:t>
      </w:r>
      <w:bookmarkEnd w:id="1390"/>
      <w:r w:rsidR="00C02D3C">
        <w:t>s</w:t>
      </w:r>
    </w:p>
    <w:p w14:paraId="1092AA58" w14:textId="3AC7BB6D" w:rsidR="00607CB8" w:rsidRPr="00B37BCB" w:rsidRDefault="00C02D3C" w:rsidP="00377F3A">
      <w:pPr>
        <w:pStyle w:val="NormalText"/>
      </w:pPr>
      <w:r>
        <w:t>Products formulated as powder or liquid are recommended to be cancelled and accordingly no safety directions have been recommended</w:t>
      </w:r>
    </w:p>
    <w:p w14:paraId="2AE6538D" w14:textId="07B109F3" w:rsidR="00607CB8" w:rsidRPr="00D514C1" w:rsidRDefault="00607CB8" w:rsidP="00CB467B">
      <w:pPr>
        <w:pStyle w:val="Heading3"/>
      </w:pPr>
      <w:bookmarkStart w:id="1397" w:name="_Toc185345607"/>
      <w:bookmarkStart w:id="1398" w:name="_Toc214025520"/>
      <w:bookmarkStart w:id="1399" w:name="_Toc216695604"/>
      <w:r w:rsidRPr="00D514C1">
        <w:t>Additional Labelling Recommendations</w:t>
      </w:r>
      <w:bookmarkEnd w:id="1397"/>
      <w:bookmarkEnd w:id="1398"/>
      <w:bookmarkEnd w:id="1399"/>
    </w:p>
    <w:p w14:paraId="6120115A" w14:textId="77777777" w:rsidR="00607CB8" w:rsidRDefault="00607CB8" w:rsidP="00377F3A">
      <w:pPr>
        <w:pStyle w:val="NormalText"/>
      </w:pPr>
      <w:r>
        <w:t>The following statements are intended to supplement any restraints that may appear on existing product labels and are not meant to replace current label restraints.</w:t>
      </w:r>
    </w:p>
    <w:p w14:paraId="26468E53" w14:textId="77777777" w:rsidR="00607CB8" w:rsidRDefault="00607CB8" w:rsidP="00CB467B">
      <w:pPr>
        <w:pStyle w:val="Heading4"/>
      </w:pPr>
      <w:r>
        <w:t>Restraints</w:t>
      </w:r>
    </w:p>
    <w:p w14:paraId="5D496871" w14:textId="4532CC3D" w:rsidR="00D20A82" w:rsidRPr="00377F3A" w:rsidRDefault="00607CB8" w:rsidP="00377F3A">
      <w:pPr>
        <w:pStyle w:val="NormalText"/>
        <w:ind w:left="567"/>
        <w:rPr>
          <w:i/>
          <w:iCs/>
        </w:rPr>
      </w:pPr>
      <w:r w:rsidRPr="00377F3A">
        <w:rPr>
          <w:i/>
          <w:iCs/>
        </w:rPr>
        <w:t>DO NOT place bait in areas that are accessible to children. In child-accessible areas baits must be place in tamper-proof bait stations</w:t>
      </w:r>
      <w:r w:rsidRPr="00377F3A">
        <w:rPr>
          <w:rStyle w:val="FootnoteReference"/>
          <w:i/>
          <w:iCs/>
        </w:rPr>
        <w:footnoteReference w:id="15"/>
      </w:r>
      <w:r w:rsidRPr="00377F3A">
        <w:rPr>
          <w:i/>
          <w:iCs/>
        </w:rPr>
        <w:t>. If bait can be dislodged from bait station, bait station must be secured</w:t>
      </w:r>
      <w:r w:rsidRPr="00377F3A">
        <w:rPr>
          <w:rStyle w:val="FootnoteReference"/>
          <w:i/>
          <w:iCs/>
        </w:rPr>
        <w:footnoteReference w:id="16"/>
      </w:r>
      <w:r w:rsidRPr="00377F3A">
        <w:rPr>
          <w:i/>
          <w:iCs/>
        </w:rPr>
        <w:t xml:space="preserve"> in place.</w:t>
      </w:r>
    </w:p>
    <w:p w14:paraId="29E81FBC" w14:textId="64FBC8CC" w:rsidR="006D5B9D" w:rsidRDefault="00D20A82" w:rsidP="00CB467B">
      <w:pPr>
        <w:pStyle w:val="Heading4"/>
      </w:pPr>
      <w:r w:rsidRPr="00D20A82">
        <w:t>Re-handling Statements</w:t>
      </w:r>
      <w:r>
        <w:t xml:space="preserve"> </w:t>
      </w:r>
    </w:p>
    <w:bookmarkEnd w:id="1367"/>
    <w:bookmarkEnd w:id="1368"/>
    <w:bookmarkEnd w:id="1369"/>
    <w:bookmarkEnd w:id="1370"/>
    <w:bookmarkEnd w:id="1371"/>
    <w:bookmarkEnd w:id="1372"/>
    <w:bookmarkEnd w:id="1373"/>
    <w:bookmarkEnd w:id="1374"/>
    <w:bookmarkEnd w:id="1375"/>
    <w:bookmarkEnd w:id="1376"/>
    <w:bookmarkEnd w:id="1377"/>
    <w:p w14:paraId="52399EBF" w14:textId="34C16C5F" w:rsidR="000B3703" w:rsidRDefault="00607CB8" w:rsidP="00D514C1">
      <w:pPr>
        <w:pStyle w:val="NormalText"/>
        <w:ind w:left="567"/>
        <w:rPr>
          <w:i/>
          <w:iCs/>
        </w:rPr>
      </w:pPr>
      <w:r w:rsidRPr="00377F3A">
        <w:rPr>
          <w:i/>
          <w:iCs/>
        </w:rPr>
        <w:t>During cleanup and disposal operations of bait and bait stations, wear a single layer of clothing and disposable gloves.</w:t>
      </w:r>
      <w:r w:rsidR="00D514C1">
        <w:rPr>
          <w:i/>
          <w:iCs/>
        </w:rPr>
        <w:br/>
      </w:r>
      <w:r w:rsidRPr="00377F3A">
        <w:rPr>
          <w:i/>
          <w:iCs/>
        </w:rPr>
        <w:lastRenderedPageBreak/>
        <w:t xml:space="preserve">Wear disposable gloves when handling rodent carcasses. </w:t>
      </w:r>
      <w:r w:rsidR="00D514C1">
        <w:rPr>
          <w:i/>
          <w:iCs/>
        </w:rPr>
        <w:br/>
      </w:r>
      <w:r w:rsidRPr="00377F3A">
        <w:rPr>
          <w:i/>
          <w:iCs/>
        </w:rPr>
        <w:t>Wash clothes after performing re-handling activities.</w:t>
      </w:r>
    </w:p>
    <w:p w14:paraId="4DAD5B32" w14:textId="1C2D970B" w:rsidR="00607CB8" w:rsidRDefault="00607CB8" w:rsidP="006F78D3">
      <w:pPr>
        <w:pStyle w:val="Heading3"/>
      </w:pPr>
      <w:bookmarkStart w:id="1400" w:name="_Toc213943896"/>
      <w:bookmarkStart w:id="1401" w:name="_Toc213945675"/>
      <w:bookmarkStart w:id="1402" w:name="_Toc214835278"/>
      <w:bookmarkStart w:id="1403" w:name="_Toc214835882"/>
      <w:bookmarkStart w:id="1404" w:name="_Toc214836333"/>
      <w:bookmarkStart w:id="1405" w:name="_Toc214897815"/>
      <w:bookmarkStart w:id="1406" w:name="_Toc214898390"/>
      <w:bookmarkStart w:id="1407" w:name="_Toc215150696"/>
      <w:bookmarkStart w:id="1408" w:name="_Ref214837015"/>
      <w:bookmarkStart w:id="1409" w:name="_Toc214025521"/>
      <w:bookmarkStart w:id="1410" w:name="_Toc185345608"/>
      <w:bookmarkStart w:id="1411" w:name="_Toc216695605"/>
      <w:bookmarkEnd w:id="1400"/>
      <w:bookmarkEnd w:id="1401"/>
      <w:bookmarkEnd w:id="1402"/>
      <w:bookmarkEnd w:id="1403"/>
      <w:bookmarkEnd w:id="1404"/>
      <w:bookmarkEnd w:id="1405"/>
      <w:bookmarkEnd w:id="1406"/>
      <w:bookmarkEnd w:id="1407"/>
      <w:r>
        <w:t>Formulation Recommendations</w:t>
      </w:r>
      <w:bookmarkEnd w:id="1408"/>
      <w:bookmarkEnd w:id="1409"/>
      <w:bookmarkEnd w:id="1411"/>
    </w:p>
    <w:p w14:paraId="0E905ED7" w14:textId="0E901359" w:rsidR="00607CB8" w:rsidRDefault="00607CB8" w:rsidP="00377F3A">
      <w:pPr>
        <w:pStyle w:val="NormalText"/>
        <w:rPr>
          <w:rFonts w:eastAsiaTheme="majorEastAsia"/>
        </w:rPr>
      </w:pPr>
      <w:r w:rsidRPr="00F941BA">
        <w:rPr>
          <w:rFonts w:eastAsiaTheme="majorEastAsia"/>
        </w:rPr>
        <w:t>The addition of a bittering agent and a marker dye to product formulations</w:t>
      </w:r>
      <w:r>
        <w:rPr>
          <w:rFonts w:eastAsiaTheme="majorEastAsia"/>
        </w:rPr>
        <w:t xml:space="preserve"> is recommended for all products to assist with mitigation of the risk of poisoning incidents in children.</w:t>
      </w:r>
    </w:p>
    <w:p w14:paraId="53931121" w14:textId="2D6CFA0C" w:rsidR="00607CB8" w:rsidRDefault="000B3703" w:rsidP="00377F3A">
      <w:pPr>
        <w:pStyle w:val="Heading2"/>
      </w:pPr>
      <w:r>
        <w:t xml:space="preserve"> </w:t>
      </w:r>
      <w:bookmarkStart w:id="1412" w:name="_Toc214025522"/>
      <w:bookmarkStart w:id="1413" w:name="_Toc216695606"/>
      <w:r w:rsidR="00607CB8">
        <w:t>Poison Standard</w:t>
      </w:r>
      <w:bookmarkStart w:id="1414" w:name="_Hlk185584221"/>
      <w:bookmarkEnd w:id="1410"/>
      <w:bookmarkEnd w:id="1412"/>
      <w:bookmarkEnd w:id="1413"/>
    </w:p>
    <w:bookmarkEnd w:id="1414"/>
    <w:p w14:paraId="2CCA4C65" w14:textId="736D89F6" w:rsidR="00BC105E" w:rsidRPr="000B3703" w:rsidRDefault="00BC105E" w:rsidP="00377F3A">
      <w:pPr>
        <w:pStyle w:val="NormalText"/>
      </w:pPr>
      <w:r w:rsidRPr="000B3703">
        <w:t xml:space="preserve">The Poison Standard </w:t>
      </w:r>
      <w:r w:rsidR="0094278E" w:rsidRPr="000B3703">
        <w:t>consists of decisions regarding the classification of medicines and poisons into Schedules to promote uniform scheduling of substances and uniform labelling and packaging requirements throughout Australia.</w:t>
      </w:r>
    </w:p>
    <w:p w14:paraId="5197700C" w14:textId="4842F754" w:rsidR="00BC105E" w:rsidRPr="000B3703" w:rsidRDefault="00607CB8" w:rsidP="00377F3A">
      <w:pPr>
        <w:pStyle w:val="NormalText"/>
      </w:pPr>
      <w:r w:rsidRPr="000B3703">
        <w:t>Most of the active constituents considered in this review are included in Schedule 7 of the Standard for the Uniform Scheduling of Medicines and Poisons (SUSMP), with cut-off concentrations to Schedule 6</w:t>
      </w:r>
      <w:r w:rsidR="0094278E" w:rsidRPr="000B3703">
        <w:t>, meaning these active constituents found below the cut-off concentration are scheduled differently</w:t>
      </w:r>
      <w:r w:rsidR="00BC105E" w:rsidRPr="000B3703">
        <w:t>. C</w:t>
      </w:r>
      <w:r w:rsidRPr="000B3703">
        <w:t>oumatetralyl</w:t>
      </w:r>
      <w:r w:rsidR="00BC105E" w:rsidRPr="000B3703">
        <w:t xml:space="preserve"> has </w:t>
      </w:r>
      <w:r w:rsidRPr="000B3703">
        <w:t>an additional cut-off concentration to Schedule 5.</w:t>
      </w:r>
    </w:p>
    <w:p w14:paraId="4C051394" w14:textId="04EEE78D" w:rsidR="00607CB8" w:rsidRPr="000B3703" w:rsidRDefault="00BC105E" w:rsidP="00377F3A">
      <w:pPr>
        <w:pStyle w:val="NormalText"/>
      </w:pPr>
      <w:r w:rsidRPr="000B3703">
        <w:t>D</w:t>
      </w:r>
      <w:r w:rsidR="00607CB8" w:rsidRPr="000B3703">
        <w:t>iphacinone</w:t>
      </w:r>
      <w:r w:rsidRPr="000B3703">
        <w:t xml:space="preserve"> is included in </w:t>
      </w:r>
      <w:r w:rsidR="00607CB8" w:rsidRPr="000B3703">
        <w:t>Schedule 6 with no exceptions or cut-offs</w:t>
      </w:r>
      <w:r w:rsidR="0094278E" w:rsidRPr="000B3703">
        <w:t>. W</w:t>
      </w:r>
      <w:r w:rsidR="00607CB8" w:rsidRPr="000B3703">
        <w:t>arfarin</w:t>
      </w:r>
      <w:r w:rsidR="0094278E" w:rsidRPr="000B3703">
        <w:t xml:space="preserve"> </w:t>
      </w:r>
      <w:r w:rsidR="00607CB8" w:rsidRPr="000B3703">
        <w:t xml:space="preserve">is included in Schedule 4 for human therapeutic use, </w:t>
      </w:r>
      <w:r w:rsidR="0094278E" w:rsidRPr="000B3703">
        <w:t xml:space="preserve">Schedule 5 when in rodent baits containing 0.1% or less warfarin, and otherwise included in </w:t>
      </w:r>
      <w:r w:rsidR="00607CB8" w:rsidRPr="000B3703">
        <w:t>Schedule 6</w:t>
      </w:r>
      <w:r w:rsidR="0094278E" w:rsidRPr="000B3703">
        <w:t>.</w:t>
      </w:r>
    </w:p>
    <w:p w14:paraId="5FE887B5" w14:textId="4C171B9F" w:rsidR="0094278E" w:rsidRPr="000B3703" w:rsidRDefault="0094278E" w:rsidP="00377F3A">
      <w:pPr>
        <w:pStyle w:val="NormalText"/>
      </w:pPr>
      <w:r w:rsidRPr="000B3703">
        <w:t>D</w:t>
      </w:r>
      <w:r w:rsidR="00607CB8" w:rsidRPr="000B3703">
        <w:t xml:space="preserve">iphacinone and warfarin both meet the </w:t>
      </w:r>
      <w:bookmarkStart w:id="1415" w:name="_Hlk214830408"/>
      <w:r w:rsidRPr="000B3703">
        <w:t xml:space="preserve">Scheduling Policy Framework </w:t>
      </w:r>
      <w:r w:rsidR="00607CB8" w:rsidRPr="000B3703">
        <w:t xml:space="preserve">criteria </w:t>
      </w:r>
      <w:bookmarkEnd w:id="1415"/>
      <w:r w:rsidR="00607CB8" w:rsidRPr="000B3703">
        <w:t>for inclusion in</w:t>
      </w:r>
      <w:r w:rsidRPr="000B3703">
        <w:t>to</w:t>
      </w:r>
      <w:r w:rsidR="00607CB8" w:rsidRPr="000B3703">
        <w:t xml:space="preserve"> Schedule 7</w:t>
      </w:r>
      <w:r w:rsidRPr="000B3703">
        <w:t xml:space="preserve">, considering acute hazard. A </w:t>
      </w:r>
      <w:r w:rsidR="00607CB8" w:rsidRPr="000B3703">
        <w:t>proposal to amend the</w:t>
      </w:r>
      <w:r w:rsidRPr="000B3703">
        <w:t>se</w:t>
      </w:r>
      <w:r w:rsidR="00607CB8" w:rsidRPr="000B3703">
        <w:t xml:space="preserve"> entries will be prepared separately.</w:t>
      </w:r>
    </w:p>
    <w:p w14:paraId="1BB4F2D8" w14:textId="0BDE977C" w:rsidR="00A702CA" w:rsidRPr="000B3703" w:rsidRDefault="0094278E" w:rsidP="00377F3A">
      <w:pPr>
        <w:pStyle w:val="NormalText"/>
      </w:pPr>
      <w:r w:rsidRPr="000B3703">
        <w:t xml:space="preserve">Based on the concentration of active constituents in currently registered anticoagulant rodenticide </w:t>
      </w:r>
      <w:r w:rsidR="00A702CA" w:rsidRPr="000B3703">
        <w:t>products, all products include the appropriate signal words on their product labels.</w:t>
      </w:r>
    </w:p>
    <w:p w14:paraId="43CE1A4B" w14:textId="31735792" w:rsidR="00607CB8" w:rsidRPr="00697F63" w:rsidRDefault="000B3703" w:rsidP="00377F3A">
      <w:pPr>
        <w:pStyle w:val="Heading2"/>
      </w:pPr>
      <w:bookmarkStart w:id="1416" w:name="_Toc212449395"/>
      <w:bookmarkStart w:id="1417" w:name="_Toc185345609"/>
      <w:bookmarkEnd w:id="1416"/>
      <w:r>
        <w:t xml:space="preserve"> </w:t>
      </w:r>
      <w:bookmarkStart w:id="1418" w:name="_Toc214025523"/>
      <w:bookmarkStart w:id="1419" w:name="_Toc216695607"/>
      <w:r w:rsidR="00607CB8" w:rsidRPr="00697F63">
        <w:t>Health</w:t>
      </w:r>
      <w:r w:rsidR="00607CB8">
        <w:t xml:space="preserve"> B</w:t>
      </w:r>
      <w:r w:rsidR="00607CB8" w:rsidRPr="00697F63">
        <w:t xml:space="preserve">ased Guidance </w:t>
      </w:r>
      <w:r w:rsidR="00607CB8">
        <w:t>V</w:t>
      </w:r>
      <w:r w:rsidR="00607CB8" w:rsidRPr="00697F63">
        <w:t>alues</w:t>
      </w:r>
      <w:bookmarkEnd w:id="1417"/>
      <w:bookmarkEnd w:id="1418"/>
      <w:bookmarkEnd w:id="1419"/>
    </w:p>
    <w:p w14:paraId="5B3D7412" w14:textId="2D8B6EE4" w:rsidR="00A702CA" w:rsidRDefault="00607CB8" w:rsidP="00377F3A">
      <w:pPr>
        <w:pStyle w:val="NormalText"/>
      </w:pPr>
      <w:r w:rsidRPr="005F3550">
        <w:t xml:space="preserve">Traditional health-based guidance values </w:t>
      </w:r>
      <w:r w:rsidR="00A702CA">
        <w:t xml:space="preserve">such as </w:t>
      </w:r>
      <w:r w:rsidRPr="005F3550">
        <w:t>acceptable daily intake (ADI)</w:t>
      </w:r>
      <w:r w:rsidR="00A702CA">
        <w:t xml:space="preserve"> or </w:t>
      </w:r>
      <w:r w:rsidRPr="005F3550">
        <w:t xml:space="preserve">acute reference dose (ARfD) are not appropriate </w:t>
      </w:r>
      <w:r w:rsidR="00A702CA">
        <w:t xml:space="preserve">when products are not applied to foods, and their residues not expected to enter the food chain, as is the case with anticoagulant rodenticides. Evidence of secondary poisoning, and residues detected in commodities including pork and components of traditional </w:t>
      </w:r>
      <w:r w:rsidR="00A702CA" w:rsidRPr="005F3550">
        <w:t>indigenous diets (e.g., snake, goanna)</w:t>
      </w:r>
      <w:r w:rsidR="00A702CA">
        <w:t xml:space="preserve"> suggest potential</w:t>
      </w:r>
      <w:r w:rsidR="006D5B9D">
        <w:t xml:space="preserve"> for exposure through the diet</w:t>
      </w:r>
      <w:r w:rsidR="00A702CA">
        <w:t>.</w:t>
      </w:r>
      <w:r w:rsidR="00312BB0">
        <w:t xml:space="preserve"> Therefore, health-based guidance values for chemical contaminants have been considered, such as the tolerable daily intake (TDI) and the a</w:t>
      </w:r>
      <w:r w:rsidR="00312BB0" w:rsidRPr="00312BB0">
        <w:t>cute tolerable intake</w:t>
      </w:r>
      <w:r w:rsidR="00312BB0">
        <w:t>.</w:t>
      </w:r>
    </w:p>
    <w:p w14:paraId="5352D63F" w14:textId="64B4407E" w:rsidR="00607CB8" w:rsidRDefault="006D5B9D" w:rsidP="00CB467B">
      <w:pPr>
        <w:pStyle w:val="Heading3"/>
      </w:pPr>
      <w:bookmarkStart w:id="1420" w:name="_Toc212449397"/>
      <w:bookmarkEnd w:id="1420"/>
      <w:r>
        <w:t xml:space="preserve"> </w:t>
      </w:r>
      <w:bookmarkStart w:id="1421" w:name="_Toc214025524"/>
      <w:bookmarkStart w:id="1422" w:name="_Toc216695608"/>
      <w:r w:rsidR="00607CB8">
        <w:t>Tolerable daily intake</w:t>
      </w:r>
      <w:r w:rsidR="00557FCB">
        <w:t xml:space="preserve"> – TDI</w:t>
      </w:r>
      <w:bookmarkEnd w:id="1421"/>
      <w:bookmarkEnd w:id="1422"/>
    </w:p>
    <w:p w14:paraId="5CC23C82" w14:textId="354AF563" w:rsidR="00557FCB" w:rsidRDefault="00557FCB" w:rsidP="00377F3A">
      <w:pPr>
        <w:pStyle w:val="NormalText"/>
      </w:pPr>
      <w:r>
        <w:t>T</w:t>
      </w:r>
      <w:r w:rsidR="00312BB0">
        <w:t xml:space="preserve">he tolerable daily intake (TDI) </w:t>
      </w:r>
      <w:r>
        <w:t xml:space="preserve">is a measure of a </w:t>
      </w:r>
      <w:r w:rsidR="00312BB0">
        <w:t xml:space="preserve">chemical contaminant </w:t>
      </w:r>
      <w:r>
        <w:t>that can be taken daily over a lifetime without appreciable health risk.</w:t>
      </w:r>
      <w:r w:rsidR="00312BB0">
        <w:t xml:space="preserve"> </w:t>
      </w:r>
      <w:r w:rsidR="00607CB8">
        <w:t xml:space="preserve">TDI values are proposed </w:t>
      </w:r>
      <w:r>
        <w:t>for each active constituent reviewed here</w:t>
      </w:r>
      <w:r w:rsidR="00A65621">
        <w:t xml:space="preserve"> (</w:t>
      </w:r>
      <w:r w:rsidR="00A65621">
        <w:fldChar w:fldCharType="begin"/>
      </w:r>
      <w:r w:rsidR="00A65621">
        <w:instrText xml:space="preserve"> REF _Ref213229179 \h </w:instrText>
      </w:r>
      <w:r w:rsidR="00A65621">
        <w:fldChar w:fldCharType="separate"/>
      </w:r>
      <w:r w:rsidR="003861AC">
        <w:t xml:space="preserve">Table </w:t>
      </w:r>
      <w:r w:rsidR="003861AC">
        <w:rPr>
          <w:noProof/>
        </w:rPr>
        <w:t>74</w:t>
      </w:r>
      <w:r w:rsidR="00A65621">
        <w:fldChar w:fldCharType="end"/>
      </w:r>
      <w:r w:rsidR="00A65621">
        <w:t>)</w:t>
      </w:r>
      <w:r>
        <w:t xml:space="preserve">. The only exception is </w:t>
      </w:r>
      <w:r w:rsidR="00607CB8">
        <w:t>warfarin</w:t>
      </w:r>
      <w:r>
        <w:t xml:space="preserve">, as the value derived from a standard risk assessment methodology would be significantly smaller than a </w:t>
      </w:r>
      <w:r w:rsidR="00607CB8">
        <w:t>therapeutic dose</w:t>
      </w:r>
      <w:r>
        <w:t>.</w:t>
      </w:r>
    </w:p>
    <w:p w14:paraId="20E7AD97" w14:textId="5929E948" w:rsidR="00557FCB" w:rsidRDefault="00607CB8" w:rsidP="00377F3A">
      <w:pPr>
        <w:pStyle w:val="NormalText"/>
      </w:pPr>
      <w:r>
        <w:lastRenderedPageBreak/>
        <w:t xml:space="preserve">An uncertainty factor of 1000 </w:t>
      </w:r>
      <w:r w:rsidR="00557FCB">
        <w:t>has been used in each calculation</w:t>
      </w:r>
      <w:r w:rsidR="00312BB0">
        <w:t>, which incorporates</w:t>
      </w:r>
      <w:r w:rsidR="00557FCB">
        <w:t xml:space="preserve"> </w:t>
      </w:r>
      <w:r>
        <w:t xml:space="preserve">the traditional </w:t>
      </w:r>
      <w:r w:rsidR="00312BB0">
        <w:t xml:space="preserve">uncertainty factor </w:t>
      </w:r>
      <w:r>
        <w:t>of 100 to account for inter-species extrapolation (10x)</w:t>
      </w:r>
      <w:r w:rsidR="00557FCB">
        <w:t xml:space="preserve"> and</w:t>
      </w:r>
      <w:r>
        <w:t xml:space="preserve"> intra-species variability in response (10x)</w:t>
      </w:r>
      <w:r w:rsidR="00312BB0">
        <w:t>, with a</w:t>
      </w:r>
      <w:r>
        <w:t>n additional</w:t>
      </w:r>
      <w:r w:rsidR="00312BB0">
        <w:t xml:space="preserve"> uncertainty </w:t>
      </w:r>
      <w:r>
        <w:t xml:space="preserve">factor of 10 to account for </w:t>
      </w:r>
      <w:r w:rsidR="00557FCB">
        <w:t xml:space="preserve">a relative paucity of chronic data available for each active constituent combined with </w:t>
      </w:r>
      <w:r>
        <w:t xml:space="preserve">evidence that repeat exposure </w:t>
      </w:r>
      <w:r w:rsidR="00557FCB">
        <w:t xml:space="preserve">to these active constituents </w:t>
      </w:r>
      <w:r>
        <w:t xml:space="preserve">may </w:t>
      </w:r>
      <w:r w:rsidR="00557FCB">
        <w:t xml:space="preserve">produce </w:t>
      </w:r>
      <w:r>
        <w:t>a cumulative effect.</w:t>
      </w:r>
    </w:p>
    <w:p w14:paraId="2BF222A7" w14:textId="06F67AE9" w:rsidR="00607CB8" w:rsidRDefault="00607CB8" w:rsidP="00377F3A">
      <w:pPr>
        <w:pStyle w:val="NormalText"/>
      </w:pPr>
      <w:r w:rsidRPr="00377F3A">
        <w:t>While the point of departure for difenacoum is based on a LOAEL</w:t>
      </w:r>
      <w:r w:rsidR="00312BB0">
        <w:t xml:space="preserve"> (rather than a NOAEL)</w:t>
      </w:r>
      <w:r w:rsidRPr="00377F3A">
        <w:t>, the additional uncertainty factor of 10 is considered adequate as the endpoint of concern is the same (i.e., haemorrhage in multiple tissues).</w:t>
      </w:r>
    </w:p>
    <w:p w14:paraId="03282C80" w14:textId="19072DC9" w:rsidR="00607CB8" w:rsidRDefault="006D5B9D" w:rsidP="00CB467B">
      <w:pPr>
        <w:pStyle w:val="Heading3"/>
      </w:pPr>
      <w:r>
        <w:t xml:space="preserve"> </w:t>
      </w:r>
      <w:bookmarkStart w:id="1423" w:name="_Toc214025525"/>
      <w:bookmarkStart w:id="1424" w:name="_Toc216695609"/>
      <w:r w:rsidR="00607CB8">
        <w:t>Acute tolerable intake (acute reference dose</w:t>
      </w:r>
      <w:r w:rsidR="00557FCB">
        <w:t xml:space="preserve"> – </w:t>
      </w:r>
      <w:bookmarkEnd w:id="1423"/>
      <w:r w:rsidR="00557FCB">
        <w:t>A</w:t>
      </w:r>
      <w:r w:rsidR="00A43EC9">
        <w:t>R</w:t>
      </w:r>
      <w:r w:rsidR="00557FCB">
        <w:t>fD</w:t>
      </w:r>
      <w:r w:rsidR="00A43EC9">
        <w:t>)</w:t>
      </w:r>
      <w:bookmarkEnd w:id="1424"/>
    </w:p>
    <w:p w14:paraId="4FE07577" w14:textId="7A7B46CE" w:rsidR="00557FCB" w:rsidRPr="00557FCB" w:rsidRDefault="00312BB0" w:rsidP="00377F3A">
      <w:pPr>
        <w:pStyle w:val="NormalText"/>
      </w:pPr>
      <w:r>
        <w:t xml:space="preserve">The </w:t>
      </w:r>
      <w:r w:rsidR="00A65621">
        <w:t>a</w:t>
      </w:r>
      <w:r w:rsidR="00557FCB">
        <w:t xml:space="preserve">cute tolerable intake </w:t>
      </w:r>
      <w:r w:rsidR="007B2447">
        <w:t xml:space="preserve">represents the </w:t>
      </w:r>
      <w:r w:rsidR="007B2447" w:rsidRPr="007B2447">
        <w:t>maximum</w:t>
      </w:r>
      <w:r w:rsidR="007B2447">
        <w:t>,</w:t>
      </w:r>
      <w:r w:rsidR="007B2447" w:rsidRPr="007B2447">
        <w:t xml:space="preserve"> single day oral exposure </w:t>
      </w:r>
      <w:r w:rsidR="00A65621">
        <w:t xml:space="preserve">of a chemical contaminant </w:t>
      </w:r>
      <w:r w:rsidR="007B2447" w:rsidRPr="007B2447">
        <w:t>which is anticipated to be without appreciable risk for the general population.</w:t>
      </w:r>
      <w:r w:rsidR="00A65621">
        <w:t xml:space="preserve"> Acute tolerable intake (ARfD) values are proposed for each second-generation active constituent reviewed here (</w:t>
      </w:r>
      <w:r w:rsidR="00A65621">
        <w:fldChar w:fldCharType="begin"/>
      </w:r>
      <w:r w:rsidR="00A65621">
        <w:instrText xml:space="preserve"> REF _Ref213229179 \h </w:instrText>
      </w:r>
      <w:r w:rsidR="00A65621">
        <w:fldChar w:fldCharType="separate"/>
      </w:r>
      <w:r w:rsidR="003861AC">
        <w:t xml:space="preserve">Table </w:t>
      </w:r>
      <w:r w:rsidR="003861AC">
        <w:rPr>
          <w:noProof/>
        </w:rPr>
        <w:t>74</w:t>
      </w:r>
      <w:r w:rsidR="00A65621">
        <w:fldChar w:fldCharType="end"/>
      </w:r>
      <w:r w:rsidR="00A65621">
        <w:t>).</w:t>
      </w:r>
    </w:p>
    <w:p w14:paraId="373FD715" w14:textId="1F9B9FDB" w:rsidR="00607CB8" w:rsidRPr="00FD5B78" w:rsidRDefault="00A65621" w:rsidP="00377F3A">
      <w:pPr>
        <w:pStyle w:val="NormalText"/>
      </w:pPr>
      <w:r>
        <w:t xml:space="preserve">A </w:t>
      </w:r>
      <w:r w:rsidR="00607CB8">
        <w:t xml:space="preserve">standard uncertainty factor of 100 </w:t>
      </w:r>
      <w:r>
        <w:t>has been used in each calculation</w:t>
      </w:r>
      <w:r w:rsidR="00607CB8">
        <w:t xml:space="preserve"> </w:t>
      </w:r>
      <w:r w:rsidR="007B2447">
        <w:t>(</w:t>
      </w:r>
      <w:r w:rsidR="00607CB8">
        <w:t xml:space="preserve">except where the critical point of departure is based on a LOAEL, in which case an additional factor of 3 is applied to determine the </w:t>
      </w:r>
      <w:r w:rsidR="00A43EC9">
        <w:t>acute tolerable intake</w:t>
      </w:r>
      <w:r w:rsidR="007B2447">
        <w:t>)</w:t>
      </w:r>
      <w:r w:rsidR="00607CB8">
        <w:t>.</w:t>
      </w:r>
      <w:r w:rsidRPr="00A65621">
        <w:t xml:space="preserve"> </w:t>
      </w:r>
      <w:r>
        <w:t>The additional 10-fold uncertainty applied in the establishment of TDIs is not relevant to acute exposure.</w:t>
      </w:r>
    </w:p>
    <w:p w14:paraId="6478E38E" w14:textId="0D6AFE8A" w:rsidR="00E83C67" w:rsidRDefault="00E83C67" w:rsidP="00BD2F8D">
      <w:pPr>
        <w:pStyle w:val="Caption"/>
      </w:pPr>
      <w:bookmarkStart w:id="1425" w:name="_Ref213229179"/>
      <w:bookmarkStart w:id="1426" w:name="_Toc213946045"/>
      <w:bookmarkStart w:id="1427" w:name="_Toc216695736"/>
      <w:r>
        <w:t xml:space="preserve">Table </w:t>
      </w:r>
      <w:r>
        <w:fldChar w:fldCharType="begin"/>
      </w:r>
      <w:r>
        <w:instrText xml:space="preserve"> SEQ Table \* ARABIC </w:instrText>
      </w:r>
      <w:r>
        <w:fldChar w:fldCharType="separate"/>
      </w:r>
      <w:r w:rsidR="003861AC">
        <w:rPr>
          <w:noProof/>
        </w:rPr>
        <w:t>74</w:t>
      </w:r>
      <w:r>
        <w:fldChar w:fldCharType="end"/>
      </w:r>
      <w:bookmarkEnd w:id="1425"/>
      <w:r>
        <w:t>: Health-based guidance values recommended for publication on the APVMA website</w:t>
      </w:r>
      <w:bookmarkEnd w:id="1426"/>
      <w:bookmarkEnd w:id="1427"/>
    </w:p>
    <w:tbl>
      <w:tblPr>
        <w:tblStyle w:val="TableGrid"/>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927"/>
        <w:gridCol w:w="2255"/>
        <w:gridCol w:w="5088"/>
      </w:tblGrid>
      <w:tr w:rsidR="00F14654" w:rsidRPr="00AE34F3" w14:paraId="315A83E8" w14:textId="77777777" w:rsidTr="0017134F">
        <w:tc>
          <w:tcPr>
            <w:tcW w:w="1418" w:type="dxa"/>
            <w:shd w:val="clear" w:color="auto" w:fill="53284F"/>
          </w:tcPr>
          <w:p w14:paraId="54832DE2" w14:textId="657AB3E2" w:rsidR="00965D1C" w:rsidRPr="00AE34F3" w:rsidRDefault="00965D1C" w:rsidP="00C02D3C">
            <w:pPr>
              <w:pStyle w:val="TableHead"/>
            </w:pPr>
            <w:r>
              <w:t>Active Constituent</w:t>
            </w:r>
          </w:p>
        </w:tc>
        <w:tc>
          <w:tcPr>
            <w:tcW w:w="927" w:type="dxa"/>
            <w:shd w:val="clear" w:color="auto" w:fill="53284F"/>
          </w:tcPr>
          <w:p w14:paraId="47841609" w14:textId="720F87A4" w:rsidR="00965D1C" w:rsidRPr="00AE34F3" w:rsidRDefault="00965D1C" w:rsidP="00C02D3C">
            <w:pPr>
              <w:pStyle w:val="TableHead"/>
            </w:pPr>
            <w:r w:rsidRPr="00AE34F3">
              <w:t>Measure</w:t>
            </w:r>
          </w:p>
        </w:tc>
        <w:tc>
          <w:tcPr>
            <w:tcW w:w="2255" w:type="dxa"/>
            <w:shd w:val="clear" w:color="auto" w:fill="53284F"/>
          </w:tcPr>
          <w:p w14:paraId="16D048A0" w14:textId="77777777" w:rsidR="00965D1C" w:rsidRPr="00AE34F3" w:rsidRDefault="00965D1C" w:rsidP="00C02D3C">
            <w:pPr>
              <w:pStyle w:val="TableHead"/>
            </w:pPr>
          </w:p>
        </w:tc>
        <w:tc>
          <w:tcPr>
            <w:tcW w:w="5088" w:type="dxa"/>
            <w:shd w:val="clear" w:color="auto" w:fill="53284F"/>
          </w:tcPr>
          <w:p w14:paraId="38ABC969" w14:textId="644FFA51" w:rsidR="00965D1C" w:rsidRPr="00AE34F3" w:rsidRDefault="009F4D56" w:rsidP="00C02D3C">
            <w:pPr>
              <w:pStyle w:val="TableHead"/>
            </w:pPr>
            <w:r>
              <w:t>Based upon</w:t>
            </w:r>
          </w:p>
        </w:tc>
      </w:tr>
      <w:tr w:rsidR="00AE3763" w:rsidRPr="00AE34F3" w14:paraId="715F9D91" w14:textId="77777777" w:rsidTr="00AE3763">
        <w:tc>
          <w:tcPr>
            <w:tcW w:w="1418" w:type="dxa"/>
            <w:vMerge w:val="restart"/>
          </w:tcPr>
          <w:p w14:paraId="2BDFFB7B" w14:textId="5C42506A" w:rsidR="00AE3763" w:rsidRDefault="00AE3763" w:rsidP="00C02D3C">
            <w:pPr>
              <w:pStyle w:val="TableText"/>
            </w:pPr>
            <w:r>
              <w:t>B</w:t>
            </w:r>
            <w:r w:rsidRPr="006966A3">
              <w:t>rodifacoum</w:t>
            </w:r>
          </w:p>
        </w:tc>
        <w:tc>
          <w:tcPr>
            <w:tcW w:w="927" w:type="dxa"/>
            <w:tcBorders>
              <w:bottom w:val="single" w:sz="4" w:space="0" w:color="auto"/>
            </w:tcBorders>
          </w:tcPr>
          <w:p w14:paraId="4ABF762C" w14:textId="18719E24" w:rsidR="00AE3763" w:rsidRPr="00AE34F3" w:rsidRDefault="00AE3763" w:rsidP="00C02D3C">
            <w:pPr>
              <w:pStyle w:val="TableText"/>
            </w:pPr>
            <w:r>
              <w:t>TDI</w:t>
            </w:r>
          </w:p>
        </w:tc>
        <w:tc>
          <w:tcPr>
            <w:tcW w:w="2255" w:type="dxa"/>
            <w:tcBorders>
              <w:bottom w:val="single" w:sz="4" w:space="0" w:color="auto"/>
            </w:tcBorders>
          </w:tcPr>
          <w:p w14:paraId="2E2563AE" w14:textId="0E5917B6" w:rsidR="00AE3763" w:rsidRPr="00AE34F3" w:rsidRDefault="00AE3763" w:rsidP="00C02D3C">
            <w:pPr>
              <w:pStyle w:val="TableText"/>
            </w:pPr>
            <w:r>
              <w:t>0.000001 mg/kg bw/day</w:t>
            </w:r>
          </w:p>
        </w:tc>
        <w:tc>
          <w:tcPr>
            <w:tcW w:w="5088" w:type="dxa"/>
            <w:tcBorders>
              <w:bottom w:val="single" w:sz="4" w:space="0" w:color="auto"/>
            </w:tcBorders>
          </w:tcPr>
          <w:p w14:paraId="6B6DE10D" w14:textId="1AF71F2F" w:rsidR="00AE3763" w:rsidRPr="00AE34F3" w:rsidRDefault="00AE3763" w:rsidP="00C02D3C">
            <w:pPr>
              <w:pStyle w:val="TableText"/>
            </w:pPr>
            <w:r w:rsidRPr="006966A3">
              <w:t xml:space="preserve">NOAEL of 0.001 mg/kg </w:t>
            </w:r>
            <w:r w:rsidRPr="009F1194">
              <w:t>bw/d</w:t>
            </w:r>
            <w:r>
              <w:t>ay</w:t>
            </w:r>
            <w:r w:rsidRPr="009F1194">
              <w:t xml:space="preserve"> </w:t>
            </w:r>
            <w:r w:rsidRPr="006966A3">
              <w:t xml:space="preserve">for prolonged prothrombin time in a 90-day </w:t>
            </w:r>
            <w:r>
              <w:t>dietary toxicity</w:t>
            </w:r>
            <w:r w:rsidRPr="006966A3">
              <w:t xml:space="preserve"> study in rats</w:t>
            </w:r>
            <w:r>
              <w:t>.</w:t>
            </w:r>
          </w:p>
        </w:tc>
      </w:tr>
      <w:tr w:rsidR="00AE3763" w:rsidRPr="00AE34F3" w14:paraId="5D14852C" w14:textId="77777777" w:rsidTr="00AE3763">
        <w:tc>
          <w:tcPr>
            <w:tcW w:w="1418" w:type="dxa"/>
            <w:vMerge/>
            <w:tcBorders>
              <w:bottom w:val="single" w:sz="4" w:space="0" w:color="auto"/>
            </w:tcBorders>
          </w:tcPr>
          <w:p w14:paraId="476CECD0" w14:textId="77777777" w:rsidR="00AE3763" w:rsidRDefault="00AE3763" w:rsidP="00C02D3C">
            <w:pPr>
              <w:pStyle w:val="TableText"/>
            </w:pPr>
          </w:p>
        </w:tc>
        <w:tc>
          <w:tcPr>
            <w:tcW w:w="927" w:type="dxa"/>
            <w:tcBorders>
              <w:top w:val="single" w:sz="4" w:space="0" w:color="auto"/>
              <w:bottom w:val="single" w:sz="4" w:space="0" w:color="auto"/>
            </w:tcBorders>
          </w:tcPr>
          <w:p w14:paraId="38C5CB38" w14:textId="054EB3C5" w:rsidR="00AE3763" w:rsidRDefault="00AE3763" w:rsidP="00C02D3C">
            <w:pPr>
              <w:pStyle w:val="TableText"/>
            </w:pPr>
            <w:r>
              <w:t>ARfD</w:t>
            </w:r>
          </w:p>
        </w:tc>
        <w:tc>
          <w:tcPr>
            <w:tcW w:w="2255" w:type="dxa"/>
            <w:tcBorders>
              <w:top w:val="single" w:sz="4" w:space="0" w:color="auto"/>
              <w:bottom w:val="single" w:sz="4" w:space="0" w:color="auto"/>
            </w:tcBorders>
          </w:tcPr>
          <w:p w14:paraId="1711ED27" w14:textId="42A21502" w:rsidR="00AE3763" w:rsidRDefault="00AE3763" w:rsidP="00C02D3C">
            <w:pPr>
              <w:pStyle w:val="TableText"/>
            </w:pPr>
            <w:r>
              <w:t>0.00001 mg/kg bw</w:t>
            </w:r>
          </w:p>
        </w:tc>
        <w:tc>
          <w:tcPr>
            <w:tcW w:w="5088" w:type="dxa"/>
            <w:tcBorders>
              <w:top w:val="single" w:sz="4" w:space="0" w:color="auto"/>
              <w:bottom w:val="single" w:sz="4" w:space="0" w:color="auto"/>
            </w:tcBorders>
          </w:tcPr>
          <w:p w14:paraId="25C3A16C" w14:textId="439B0D99" w:rsidR="00AE3763" w:rsidRPr="006966A3" w:rsidRDefault="00AE3763" w:rsidP="00C02D3C">
            <w:pPr>
              <w:pStyle w:val="TableText"/>
            </w:pPr>
            <w:r>
              <w:t>NOAEL of 0.001 mg/kg bw/day from both the rat and rabbit developmental toxicity studies.</w:t>
            </w:r>
          </w:p>
        </w:tc>
      </w:tr>
      <w:tr w:rsidR="00AE3763" w:rsidRPr="00AE34F3" w14:paraId="724EF74C" w14:textId="77777777" w:rsidTr="004E22F1">
        <w:tc>
          <w:tcPr>
            <w:tcW w:w="1418" w:type="dxa"/>
            <w:vMerge w:val="restart"/>
            <w:tcBorders>
              <w:top w:val="single" w:sz="4" w:space="0" w:color="auto"/>
            </w:tcBorders>
          </w:tcPr>
          <w:p w14:paraId="6BE9E36B" w14:textId="45AD5DEB" w:rsidR="00AE3763" w:rsidRDefault="00AE3763" w:rsidP="00C02D3C">
            <w:pPr>
              <w:pStyle w:val="TableText"/>
            </w:pPr>
            <w:r>
              <w:t>B</w:t>
            </w:r>
            <w:r w:rsidRPr="00982BFC">
              <w:t>romadiolone</w:t>
            </w:r>
          </w:p>
        </w:tc>
        <w:tc>
          <w:tcPr>
            <w:tcW w:w="927" w:type="dxa"/>
            <w:tcBorders>
              <w:top w:val="single" w:sz="4" w:space="0" w:color="auto"/>
              <w:bottom w:val="single" w:sz="4" w:space="0" w:color="auto"/>
            </w:tcBorders>
          </w:tcPr>
          <w:p w14:paraId="06C66601" w14:textId="547D3F6C" w:rsidR="00AE3763" w:rsidRDefault="00AE3763" w:rsidP="00C02D3C">
            <w:pPr>
              <w:pStyle w:val="TableText"/>
            </w:pPr>
            <w:r w:rsidRPr="00982BFC">
              <w:t>TDI</w:t>
            </w:r>
          </w:p>
        </w:tc>
        <w:tc>
          <w:tcPr>
            <w:tcW w:w="2255" w:type="dxa"/>
            <w:tcBorders>
              <w:top w:val="single" w:sz="4" w:space="0" w:color="auto"/>
              <w:bottom w:val="single" w:sz="4" w:space="0" w:color="auto"/>
            </w:tcBorders>
          </w:tcPr>
          <w:p w14:paraId="0443D7A9" w14:textId="61D4E4CC" w:rsidR="00AE3763" w:rsidRDefault="00AE3763" w:rsidP="00C02D3C">
            <w:pPr>
              <w:pStyle w:val="TableText"/>
            </w:pPr>
            <w:r w:rsidRPr="00982BFC">
              <w:rPr>
                <w:color w:val="000000"/>
              </w:rPr>
              <w:t xml:space="preserve">0.0000005 </w:t>
            </w:r>
            <w:r w:rsidRPr="00982BFC">
              <w:t>mg/kg bw/day</w:t>
            </w:r>
          </w:p>
        </w:tc>
        <w:tc>
          <w:tcPr>
            <w:tcW w:w="5088" w:type="dxa"/>
            <w:tcBorders>
              <w:top w:val="single" w:sz="4" w:space="0" w:color="auto"/>
              <w:bottom w:val="single" w:sz="4" w:space="0" w:color="auto"/>
            </w:tcBorders>
          </w:tcPr>
          <w:p w14:paraId="39B510B6" w14:textId="48E36A37" w:rsidR="00AE3763" w:rsidRDefault="00AE3763" w:rsidP="00C02D3C">
            <w:pPr>
              <w:pStyle w:val="TableText"/>
            </w:pPr>
            <w:r w:rsidRPr="00982BFC">
              <w:t xml:space="preserve">NOAEL of </w:t>
            </w:r>
            <w:r w:rsidRPr="00982BFC">
              <w:rPr>
                <w:color w:val="000000"/>
              </w:rPr>
              <w:t xml:space="preserve">0.0005 </w:t>
            </w:r>
            <w:r w:rsidRPr="00982BFC">
              <w:t>mg/kg bw/day for increased prothrombin time in a subchronic toxicity study in rabbits</w:t>
            </w:r>
          </w:p>
        </w:tc>
      </w:tr>
      <w:tr w:rsidR="00AE3763" w:rsidRPr="00AE34F3" w14:paraId="43C1CE36" w14:textId="77777777" w:rsidTr="004E22F1">
        <w:tc>
          <w:tcPr>
            <w:tcW w:w="1418" w:type="dxa"/>
            <w:vMerge/>
            <w:tcBorders>
              <w:bottom w:val="single" w:sz="4" w:space="0" w:color="auto"/>
            </w:tcBorders>
          </w:tcPr>
          <w:p w14:paraId="09830EFE" w14:textId="77777777" w:rsidR="00AE3763" w:rsidRDefault="00AE3763" w:rsidP="00C02D3C">
            <w:pPr>
              <w:pStyle w:val="TableText"/>
            </w:pPr>
          </w:p>
        </w:tc>
        <w:tc>
          <w:tcPr>
            <w:tcW w:w="927" w:type="dxa"/>
            <w:tcBorders>
              <w:top w:val="single" w:sz="4" w:space="0" w:color="auto"/>
              <w:bottom w:val="single" w:sz="4" w:space="0" w:color="auto"/>
            </w:tcBorders>
          </w:tcPr>
          <w:p w14:paraId="03E2E644" w14:textId="2297AF92" w:rsidR="00AE3763" w:rsidRPr="00982BFC" w:rsidRDefault="00AE3763" w:rsidP="00C02D3C">
            <w:pPr>
              <w:pStyle w:val="TableText"/>
            </w:pPr>
            <w:r>
              <w:t>ARfD</w:t>
            </w:r>
          </w:p>
        </w:tc>
        <w:tc>
          <w:tcPr>
            <w:tcW w:w="2255" w:type="dxa"/>
            <w:tcBorders>
              <w:top w:val="single" w:sz="4" w:space="0" w:color="auto"/>
              <w:bottom w:val="single" w:sz="4" w:space="0" w:color="auto"/>
            </w:tcBorders>
          </w:tcPr>
          <w:p w14:paraId="32A876D3" w14:textId="4009F391" w:rsidR="00AE3763" w:rsidRPr="00982BFC" w:rsidRDefault="00AE3763" w:rsidP="00C02D3C">
            <w:pPr>
              <w:pStyle w:val="TableText"/>
              <w:rPr>
                <w:color w:val="000000"/>
              </w:rPr>
            </w:pPr>
            <w:r>
              <w:t>0.0000007 mg/kg bw</w:t>
            </w:r>
          </w:p>
        </w:tc>
        <w:tc>
          <w:tcPr>
            <w:tcW w:w="5088" w:type="dxa"/>
            <w:tcBorders>
              <w:top w:val="single" w:sz="4" w:space="0" w:color="auto"/>
              <w:bottom w:val="single" w:sz="4" w:space="0" w:color="auto"/>
            </w:tcBorders>
          </w:tcPr>
          <w:p w14:paraId="03E3585E" w14:textId="0990203F" w:rsidR="00AE3763" w:rsidRPr="00982BFC" w:rsidRDefault="00AE3763" w:rsidP="00C02D3C">
            <w:pPr>
              <w:pStyle w:val="TableText"/>
            </w:pPr>
            <w:r>
              <w:t>LOAEL of 0.002 mg/kg bw/day for maternal toxicity in a developmental toxicity study in rabbits.</w:t>
            </w:r>
          </w:p>
        </w:tc>
      </w:tr>
      <w:tr w:rsidR="009F4D56" w:rsidRPr="00AE34F3" w14:paraId="3309A0EB" w14:textId="77777777" w:rsidTr="00BD2F8D">
        <w:tc>
          <w:tcPr>
            <w:tcW w:w="1418" w:type="dxa"/>
            <w:tcBorders>
              <w:top w:val="single" w:sz="4" w:space="0" w:color="auto"/>
              <w:bottom w:val="single" w:sz="4" w:space="0" w:color="auto"/>
            </w:tcBorders>
          </w:tcPr>
          <w:p w14:paraId="7C7C68AA" w14:textId="6CC7862B" w:rsidR="009F4D56" w:rsidRDefault="009F4D56" w:rsidP="00C02D3C">
            <w:pPr>
              <w:pStyle w:val="TableText"/>
            </w:pPr>
            <w:r>
              <w:t>C</w:t>
            </w:r>
            <w:r w:rsidRPr="00B05D4B">
              <w:t>oumatetralyl</w:t>
            </w:r>
          </w:p>
        </w:tc>
        <w:tc>
          <w:tcPr>
            <w:tcW w:w="927" w:type="dxa"/>
            <w:tcBorders>
              <w:top w:val="single" w:sz="4" w:space="0" w:color="auto"/>
              <w:bottom w:val="single" w:sz="4" w:space="0" w:color="auto"/>
            </w:tcBorders>
          </w:tcPr>
          <w:p w14:paraId="4BC8428F" w14:textId="65D02FD3" w:rsidR="009F4D56" w:rsidRDefault="009F4D56" w:rsidP="00C02D3C">
            <w:pPr>
              <w:pStyle w:val="TableText"/>
            </w:pPr>
            <w:r w:rsidRPr="00B05D4B">
              <w:t>TDI</w:t>
            </w:r>
          </w:p>
        </w:tc>
        <w:tc>
          <w:tcPr>
            <w:tcW w:w="2255" w:type="dxa"/>
            <w:tcBorders>
              <w:top w:val="single" w:sz="4" w:space="0" w:color="auto"/>
              <w:bottom w:val="single" w:sz="4" w:space="0" w:color="auto"/>
            </w:tcBorders>
          </w:tcPr>
          <w:p w14:paraId="5CAE4B14" w14:textId="2E249B76" w:rsidR="009F4D56" w:rsidRDefault="009F4D56" w:rsidP="00C02D3C">
            <w:pPr>
              <w:pStyle w:val="TableText"/>
            </w:pPr>
            <w:r>
              <w:t>0.0000068 mg/kg bw/day</w:t>
            </w:r>
          </w:p>
        </w:tc>
        <w:tc>
          <w:tcPr>
            <w:tcW w:w="5088" w:type="dxa"/>
            <w:tcBorders>
              <w:top w:val="single" w:sz="4" w:space="0" w:color="auto"/>
              <w:bottom w:val="single" w:sz="4" w:space="0" w:color="auto"/>
            </w:tcBorders>
          </w:tcPr>
          <w:p w14:paraId="25832405" w14:textId="7535E323" w:rsidR="009F4D56" w:rsidRDefault="009F4D56" w:rsidP="00C02D3C">
            <w:pPr>
              <w:pStyle w:val="TableText"/>
            </w:pPr>
            <w:r w:rsidRPr="00B05D4B">
              <w:t xml:space="preserve">NOAEL of </w:t>
            </w:r>
            <w:r w:rsidRPr="00B05D4B">
              <w:rPr>
                <w:color w:val="000000"/>
              </w:rPr>
              <w:t xml:space="preserve">0.0068 </w:t>
            </w:r>
            <w:r w:rsidRPr="00B05D4B">
              <w:t>mg/kg bw/day for significantly increased blood clotting time and haemorrhage from a 16</w:t>
            </w:r>
            <w:r>
              <w:t>-</w:t>
            </w:r>
            <w:r w:rsidRPr="00B05D4B">
              <w:t xml:space="preserve">week dietary </w:t>
            </w:r>
            <w:r>
              <w:t xml:space="preserve">toxicity </w:t>
            </w:r>
            <w:r w:rsidRPr="00B05D4B">
              <w:t>study</w:t>
            </w:r>
            <w:r>
              <w:t xml:space="preserve"> in rats</w:t>
            </w:r>
            <w:r w:rsidRPr="00B05D4B">
              <w:t>.</w:t>
            </w:r>
          </w:p>
        </w:tc>
      </w:tr>
      <w:tr w:rsidR="009F4D56" w:rsidRPr="00AE34F3" w14:paraId="0BC8397F" w14:textId="77777777" w:rsidTr="00BD2F8D">
        <w:tc>
          <w:tcPr>
            <w:tcW w:w="1418" w:type="dxa"/>
            <w:tcBorders>
              <w:top w:val="single" w:sz="4" w:space="0" w:color="auto"/>
            </w:tcBorders>
          </w:tcPr>
          <w:p w14:paraId="3B355315" w14:textId="13451EC6" w:rsidR="009F4D56" w:rsidRPr="00B05D4B" w:rsidRDefault="009F4D56" w:rsidP="00C02D3C">
            <w:pPr>
              <w:pStyle w:val="TableText"/>
            </w:pPr>
            <w:r>
              <w:t>Difenacoum</w:t>
            </w:r>
          </w:p>
        </w:tc>
        <w:tc>
          <w:tcPr>
            <w:tcW w:w="927" w:type="dxa"/>
            <w:tcBorders>
              <w:top w:val="single" w:sz="4" w:space="0" w:color="auto"/>
              <w:bottom w:val="single" w:sz="4" w:space="0" w:color="auto"/>
            </w:tcBorders>
          </w:tcPr>
          <w:p w14:paraId="07C11FA7" w14:textId="1E95AC9D" w:rsidR="009F4D56" w:rsidRPr="00B05D4B" w:rsidRDefault="009F4D56" w:rsidP="00C02D3C">
            <w:pPr>
              <w:pStyle w:val="TableText"/>
            </w:pPr>
            <w:r w:rsidRPr="006966A3">
              <w:t>TDI</w:t>
            </w:r>
          </w:p>
        </w:tc>
        <w:tc>
          <w:tcPr>
            <w:tcW w:w="2255" w:type="dxa"/>
            <w:tcBorders>
              <w:top w:val="single" w:sz="4" w:space="0" w:color="auto"/>
              <w:bottom w:val="single" w:sz="4" w:space="0" w:color="auto"/>
            </w:tcBorders>
          </w:tcPr>
          <w:p w14:paraId="16E80709" w14:textId="2E8A52CB" w:rsidR="009F4D56" w:rsidRDefault="009F4D56" w:rsidP="00C02D3C">
            <w:pPr>
              <w:pStyle w:val="TableText"/>
            </w:pPr>
            <w:r w:rsidRPr="000C6169">
              <w:rPr>
                <w:color w:val="000000"/>
              </w:rPr>
              <w:t>0.0000</w:t>
            </w:r>
            <w:r>
              <w:rPr>
                <w:color w:val="000000"/>
              </w:rPr>
              <w:t>01</w:t>
            </w:r>
            <w:r w:rsidRPr="000C6169">
              <w:rPr>
                <w:color w:val="000000"/>
              </w:rPr>
              <w:t xml:space="preserve"> </w:t>
            </w:r>
            <w:r w:rsidRPr="006966A3">
              <w:t>mg/kg </w:t>
            </w:r>
            <w:r w:rsidRPr="009F1194">
              <w:t>bw/d</w:t>
            </w:r>
            <w:r>
              <w:t>ay</w:t>
            </w:r>
          </w:p>
        </w:tc>
        <w:tc>
          <w:tcPr>
            <w:tcW w:w="5088" w:type="dxa"/>
            <w:tcBorders>
              <w:top w:val="single" w:sz="4" w:space="0" w:color="auto"/>
              <w:bottom w:val="single" w:sz="4" w:space="0" w:color="auto"/>
            </w:tcBorders>
          </w:tcPr>
          <w:p w14:paraId="5E62B50A" w14:textId="2C3A9CC4" w:rsidR="009F4D56" w:rsidRPr="00B05D4B" w:rsidRDefault="009F4D56" w:rsidP="00C02D3C">
            <w:pPr>
              <w:pStyle w:val="TableText"/>
            </w:pPr>
            <w:r>
              <w:t>L</w:t>
            </w:r>
            <w:r w:rsidRPr="006966A3">
              <w:t xml:space="preserve">OAEL of </w:t>
            </w:r>
            <w:r w:rsidRPr="006966A3">
              <w:rPr>
                <w:color w:val="000000"/>
              </w:rPr>
              <w:t xml:space="preserve">0.001 </w:t>
            </w:r>
            <w:r w:rsidRPr="006966A3">
              <w:t xml:space="preserve">mg/kg </w:t>
            </w:r>
            <w:r w:rsidRPr="009F1194">
              <w:t>bw/d</w:t>
            </w:r>
            <w:r>
              <w:t>ay</w:t>
            </w:r>
            <w:r w:rsidRPr="006966A3">
              <w:t xml:space="preserve"> for </w:t>
            </w:r>
            <w:r w:rsidRPr="000B489E">
              <w:t xml:space="preserve">haemorrhage in multiple tissues/organs </w:t>
            </w:r>
            <w:r>
              <w:t>in a developmental toxicity study in rabbits</w:t>
            </w:r>
            <w:r w:rsidRPr="006966A3">
              <w:t>.</w:t>
            </w:r>
          </w:p>
        </w:tc>
      </w:tr>
      <w:tr w:rsidR="009F4D56" w:rsidRPr="00AE34F3" w14:paraId="34360669" w14:textId="77777777" w:rsidTr="00BD2F8D">
        <w:tc>
          <w:tcPr>
            <w:tcW w:w="1418" w:type="dxa"/>
            <w:tcBorders>
              <w:bottom w:val="single" w:sz="4" w:space="0" w:color="auto"/>
            </w:tcBorders>
          </w:tcPr>
          <w:p w14:paraId="525F9729" w14:textId="77777777" w:rsidR="009F4D56" w:rsidRDefault="009F4D56" w:rsidP="00C02D3C">
            <w:pPr>
              <w:pStyle w:val="TableText"/>
            </w:pPr>
          </w:p>
        </w:tc>
        <w:tc>
          <w:tcPr>
            <w:tcW w:w="927" w:type="dxa"/>
            <w:tcBorders>
              <w:top w:val="single" w:sz="4" w:space="0" w:color="auto"/>
              <w:bottom w:val="single" w:sz="4" w:space="0" w:color="auto"/>
            </w:tcBorders>
          </w:tcPr>
          <w:p w14:paraId="3836DD7B" w14:textId="0F9E9A4D" w:rsidR="009F4D56" w:rsidRPr="006966A3" w:rsidRDefault="009F4D56" w:rsidP="00C02D3C">
            <w:pPr>
              <w:pStyle w:val="TableText"/>
            </w:pPr>
            <w:r>
              <w:t>ARfD</w:t>
            </w:r>
          </w:p>
        </w:tc>
        <w:tc>
          <w:tcPr>
            <w:tcW w:w="2255" w:type="dxa"/>
            <w:tcBorders>
              <w:top w:val="single" w:sz="4" w:space="0" w:color="auto"/>
              <w:bottom w:val="single" w:sz="4" w:space="0" w:color="auto"/>
            </w:tcBorders>
          </w:tcPr>
          <w:p w14:paraId="2BDB8C81" w14:textId="12D404F5" w:rsidR="009F4D56" w:rsidRPr="000C6169" w:rsidRDefault="009F4D56" w:rsidP="00C02D3C">
            <w:pPr>
              <w:pStyle w:val="TableText"/>
              <w:rPr>
                <w:color w:val="000000"/>
              </w:rPr>
            </w:pPr>
            <w:r>
              <w:t>0.00003 mg/kg bw</w:t>
            </w:r>
          </w:p>
        </w:tc>
        <w:tc>
          <w:tcPr>
            <w:tcW w:w="5088" w:type="dxa"/>
            <w:tcBorders>
              <w:top w:val="single" w:sz="4" w:space="0" w:color="auto"/>
              <w:bottom w:val="single" w:sz="4" w:space="0" w:color="auto"/>
            </w:tcBorders>
          </w:tcPr>
          <w:p w14:paraId="20A9FC05" w14:textId="29FA3583" w:rsidR="009F4D56" w:rsidRDefault="009F4D56" w:rsidP="00C02D3C">
            <w:pPr>
              <w:pStyle w:val="TableText"/>
            </w:pPr>
            <w:r>
              <w:t>LOAEL of 0.001 mg/kg bw in a developmental toxicity study in rabbits.</w:t>
            </w:r>
          </w:p>
        </w:tc>
      </w:tr>
      <w:tr w:rsidR="009F4D56" w:rsidRPr="00AE34F3" w14:paraId="66251C22" w14:textId="77777777" w:rsidTr="00BD2F8D">
        <w:tc>
          <w:tcPr>
            <w:tcW w:w="1418" w:type="dxa"/>
            <w:tcBorders>
              <w:top w:val="single" w:sz="4" w:space="0" w:color="auto"/>
            </w:tcBorders>
          </w:tcPr>
          <w:p w14:paraId="6AD6805F" w14:textId="15C25D16" w:rsidR="009F4D56" w:rsidRDefault="00F14654" w:rsidP="00C02D3C">
            <w:pPr>
              <w:pStyle w:val="TableText"/>
            </w:pPr>
            <w:r>
              <w:t>D</w:t>
            </w:r>
            <w:r w:rsidR="009F4D56" w:rsidRPr="006966A3">
              <w:t>ifethialone</w:t>
            </w:r>
          </w:p>
        </w:tc>
        <w:tc>
          <w:tcPr>
            <w:tcW w:w="927" w:type="dxa"/>
            <w:tcBorders>
              <w:top w:val="single" w:sz="4" w:space="0" w:color="auto"/>
              <w:bottom w:val="single" w:sz="4" w:space="0" w:color="auto"/>
            </w:tcBorders>
          </w:tcPr>
          <w:p w14:paraId="4207A111" w14:textId="5E4C49CF" w:rsidR="009F4D56" w:rsidRDefault="009F4D56" w:rsidP="00C02D3C">
            <w:pPr>
              <w:pStyle w:val="TableText"/>
            </w:pPr>
            <w:r w:rsidRPr="006966A3">
              <w:t>TDI</w:t>
            </w:r>
          </w:p>
        </w:tc>
        <w:tc>
          <w:tcPr>
            <w:tcW w:w="2255" w:type="dxa"/>
            <w:tcBorders>
              <w:top w:val="single" w:sz="4" w:space="0" w:color="auto"/>
              <w:bottom w:val="single" w:sz="4" w:space="0" w:color="auto"/>
            </w:tcBorders>
          </w:tcPr>
          <w:p w14:paraId="39BADA06" w14:textId="3C9860D1" w:rsidR="009F4D56" w:rsidRDefault="009F4D56" w:rsidP="00C02D3C">
            <w:pPr>
              <w:pStyle w:val="TableText"/>
            </w:pPr>
            <w:r>
              <w:t>0.0000013 mg/kg bw/day</w:t>
            </w:r>
          </w:p>
        </w:tc>
        <w:tc>
          <w:tcPr>
            <w:tcW w:w="5088" w:type="dxa"/>
            <w:tcBorders>
              <w:top w:val="single" w:sz="4" w:space="0" w:color="auto"/>
              <w:bottom w:val="single" w:sz="4" w:space="0" w:color="auto"/>
            </w:tcBorders>
          </w:tcPr>
          <w:p w14:paraId="504AF1A5" w14:textId="2EF122CD" w:rsidR="009F4D56" w:rsidRDefault="00827D3C" w:rsidP="00C02D3C">
            <w:pPr>
              <w:pStyle w:val="TableText"/>
            </w:pPr>
            <w:r w:rsidRPr="006966A3">
              <w:t xml:space="preserve">NOAEL of </w:t>
            </w:r>
            <w:r w:rsidRPr="006966A3">
              <w:rPr>
                <w:color w:val="000000"/>
              </w:rPr>
              <w:t xml:space="preserve">0.00125 </w:t>
            </w:r>
            <w:r w:rsidRPr="006966A3">
              <w:t xml:space="preserve">mg/kg </w:t>
            </w:r>
            <w:r w:rsidRPr="009F1194">
              <w:t>bw/d</w:t>
            </w:r>
            <w:r>
              <w:t>ay</w:t>
            </w:r>
            <w:r w:rsidRPr="009F1194">
              <w:t xml:space="preserve"> </w:t>
            </w:r>
            <w:r w:rsidRPr="006966A3">
              <w:t>for incidence of incompletely ossified sternebra</w:t>
            </w:r>
            <w:r>
              <w:t>e</w:t>
            </w:r>
            <w:r w:rsidRPr="006966A3">
              <w:t xml:space="preserve"> from a developmental</w:t>
            </w:r>
            <w:r>
              <w:t xml:space="preserve"> toxicity </w:t>
            </w:r>
            <w:r w:rsidRPr="006966A3">
              <w:t>study in rabbits.</w:t>
            </w:r>
          </w:p>
        </w:tc>
      </w:tr>
      <w:tr w:rsidR="00827D3C" w:rsidRPr="00AE34F3" w14:paraId="77EAEE48" w14:textId="77777777" w:rsidTr="00BD2F8D">
        <w:tc>
          <w:tcPr>
            <w:tcW w:w="1418" w:type="dxa"/>
            <w:tcBorders>
              <w:bottom w:val="single" w:sz="4" w:space="0" w:color="auto"/>
            </w:tcBorders>
          </w:tcPr>
          <w:p w14:paraId="2D0E0E1D" w14:textId="77777777" w:rsidR="00827D3C" w:rsidRPr="006966A3" w:rsidRDefault="00827D3C" w:rsidP="00C02D3C">
            <w:pPr>
              <w:pStyle w:val="TableText"/>
            </w:pPr>
          </w:p>
        </w:tc>
        <w:tc>
          <w:tcPr>
            <w:tcW w:w="927" w:type="dxa"/>
            <w:tcBorders>
              <w:top w:val="single" w:sz="4" w:space="0" w:color="auto"/>
              <w:bottom w:val="single" w:sz="4" w:space="0" w:color="auto"/>
            </w:tcBorders>
          </w:tcPr>
          <w:p w14:paraId="0F402829" w14:textId="45726DF8" w:rsidR="00827D3C" w:rsidRPr="006966A3" w:rsidRDefault="00827D3C" w:rsidP="00C02D3C">
            <w:pPr>
              <w:pStyle w:val="TableText"/>
            </w:pPr>
            <w:r>
              <w:t>ARfD</w:t>
            </w:r>
          </w:p>
        </w:tc>
        <w:tc>
          <w:tcPr>
            <w:tcW w:w="2255" w:type="dxa"/>
            <w:tcBorders>
              <w:top w:val="single" w:sz="4" w:space="0" w:color="auto"/>
              <w:bottom w:val="single" w:sz="4" w:space="0" w:color="auto"/>
            </w:tcBorders>
          </w:tcPr>
          <w:p w14:paraId="2B515429" w14:textId="28FCB514" w:rsidR="00827D3C" w:rsidRDefault="00827D3C" w:rsidP="00C02D3C">
            <w:pPr>
              <w:pStyle w:val="TableText"/>
            </w:pPr>
            <w:r>
              <w:t>0.000013 mg/kg bw/day</w:t>
            </w:r>
          </w:p>
        </w:tc>
        <w:tc>
          <w:tcPr>
            <w:tcW w:w="5088" w:type="dxa"/>
            <w:tcBorders>
              <w:top w:val="single" w:sz="4" w:space="0" w:color="auto"/>
              <w:bottom w:val="single" w:sz="4" w:space="0" w:color="auto"/>
            </w:tcBorders>
          </w:tcPr>
          <w:p w14:paraId="6A166343" w14:textId="6D54668D" w:rsidR="00827D3C" w:rsidRPr="006966A3" w:rsidRDefault="00827D3C" w:rsidP="00C02D3C">
            <w:pPr>
              <w:pStyle w:val="TableText"/>
            </w:pPr>
            <w:r>
              <w:t>NOAEL of 0.00125 mg/kg bw/day from a developmental toxicity study in rabbits.</w:t>
            </w:r>
          </w:p>
        </w:tc>
      </w:tr>
      <w:tr w:rsidR="00F14654" w:rsidRPr="00AE34F3" w14:paraId="09E8ED3D" w14:textId="77777777" w:rsidTr="00BD2F8D">
        <w:tc>
          <w:tcPr>
            <w:tcW w:w="1418" w:type="dxa"/>
            <w:tcBorders>
              <w:top w:val="single" w:sz="4" w:space="0" w:color="auto"/>
              <w:bottom w:val="single" w:sz="4" w:space="0" w:color="auto"/>
            </w:tcBorders>
          </w:tcPr>
          <w:p w14:paraId="53A31428" w14:textId="46FC89C1" w:rsidR="00F14654" w:rsidRPr="006966A3" w:rsidRDefault="00F14654" w:rsidP="00C02D3C">
            <w:pPr>
              <w:pStyle w:val="TableText"/>
            </w:pPr>
            <w:r>
              <w:t>Diphacinone</w:t>
            </w:r>
          </w:p>
        </w:tc>
        <w:tc>
          <w:tcPr>
            <w:tcW w:w="927" w:type="dxa"/>
            <w:tcBorders>
              <w:top w:val="single" w:sz="4" w:space="0" w:color="auto"/>
              <w:bottom w:val="single" w:sz="4" w:space="0" w:color="auto"/>
            </w:tcBorders>
          </w:tcPr>
          <w:p w14:paraId="324926A3" w14:textId="0B350D62" w:rsidR="00F14654" w:rsidRDefault="00F14654" w:rsidP="00C02D3C">
            <w:pPr>
              <w:pStyle w:val="TableText"/>
            </w:pPr>
            <w:r>
              <w:t>TDI</w:t>
            </w:r>
          </w:p>
        </w:tc>
        <w:tc>
          <w:tcPr>
            <w:tcW w:w="2255" w:type="dxa"/>
            <w:tcBorders>
              <w:top w:val="single" w:sz="4" w:space="0" w:color="auto"/>
              <w:bottom w:val="single" w:sz="4" w:space="0" w:color="auto"/>
            </w:tcBorders>
          </w:tcPr>
          <w:p w14:paraId="3B5C0877" w14:textId="55975E18" w:rsidR="00F14654" w:rsidRDefault="00F14654" w:rsidP="00C02D3C">
            <w:pPr>
              <w:pStyle w:val="TableText"/>
            </w:pPr>
            <w:r>
              <w:t>of 0.000025 mg/kg bw/day</w:t>
            </w:r>
          </w:p>
        </w:tc>
        <w:tc>
          <w:tcPr>
            <w:tcW w:w="5088" w:type="dxa"/>
            <w:tcBorders>
              <w:top w:val="single" w:sz="4" w:space="0" w:color="auto"/>
              <w:bottom w:val="single" w:sz="4" w:space="0" w:color="auto"/>
            </w:tcBorders>
          </w:tcPr>
          <w:p w14:paraId="54BDA17C" w14:textId="0969A2C4" w:rsidR="00F14654" w:rsidRDefault="00F14654" w:rsidP="00C02D3C">
            <w:pPr>
              <w:pStyle w:val="TableText"/>
            </w:pPr>
            <w:r>
              <w:t xml:space="preserve">NOAEL of 0.025 mg/kg bw/day for </w:t>
            </w:r>
            <w:r w:rsidRPr="008D0245">
              <w:t xml:space="preserve">increased incidence </w:t>
            </w:r>
            <w:r>
              <w:t>of maternal toxicity in a rat developmental toxicity study</w:t>
            </w:r>
            <w:r w:rsidRPr="008D0245">
              <w:t>.</w:t>
            </w:r>
          </w:p>
        </w:tc>
      </w:tr>
      <w:tr w:rsidR="00F14654" w:rsidRPr="00AE34F3" w14:paraId="0154EDA5" w14:textId="77777777" w:rsidTr="00BD2F8D">
        <w:tc>
          <w:tcPr>
            <w:tcW w:w="1418" w:type="dxa"/>
            <w:tcBorders>
              <w:top w:val="single" w:sz="4" w:space="0" w:color="auto"/>
            </w:tcBorders>
          </w:tcPr>
          <w:p w14:paraId="731EE751" w14:textId="7024847A" w:rsidR="00F14654" w:rsidRDefault="00F14654" w:rsidP="00C02D3C">
            <w:pPr>
              <w:pStyle w:val="TableText"/>
            </w:pPr>
            <w:r>
              <w:t>F</w:t>
            </w:r>
            <w:r w:rsidRPr="009F1194">
              <w:t>locoumafen</w:t>
            </w:r>
          </w:p>
        </w:tc>
        <w:tc>
          <w:tcPr>
            <w:tcW w:w="927" w:type="dxa"/>
            <w:tcBorders>
              <w:top w:val="single" w:sz="4" w:space="0" w:color="auto"/>
              <w:bottom w:val="single" w:sz="4" w:space="0" w:color="auto"/>
            </w:tcBorders>
          </w:tcPr>
          <w:p w14:paraId="039CF3A8" w14:textId="42F701CE" w:rsidR="00F14654" w:rsidRDefault="00F14654" w:rsidP="00C02D3C">
            <w:pPr>
              <w:pStyle w:val="TableText"/>
            </w:pPr>
            <w:r>
              <w:t>T</w:t>
            </w:r>
            <w:r w:rsidRPr="009F1194">
              <w:t>DI</w:t>
            </w:r>
          </w:p>
        </w:tc>
        <w:tc>
          <w:tcPr>
            <w:tcW w:w="2255" w:type="dxa"/>
            <w:tcBorders>
              <w:top w:val="single" w:sz="4" w:space="0" w:color="auto"/>
              <w:bottom w:val="single" w:sz="4" w:space="0" w:color="auto"/>
            </w:tcBorders>
          </w:tcPr>
          <w:p w14:paraId="373C36CB" w14:textId="140B8B26" w:rsidR="00F14654" w:rsidRDefault="00F14654" w:rsidP="00C02D3C">
            <w:pPr>
              <w:pStyle w:val="TableText"/>
            </w:pPr>
            <w:r>
              <w:t>0.0000014 mg/kg bw/day</w:t>
            </w:r>
          </w:p>
        </w:tc>
        <w:tc>
          <w:tcPr>
            <w:tcW w:w="5088" w:type="dxa"/>
            <w:tcBorders>
              <w:top w:val="single" w:sz="4" w:space="0" w:color="auto"/>
              <w:bottom w:val="single" w:sz="4" w:space="0" w:color="auto"/>
            </w:tcBorders>
          </w:tcPr>
          <w:p w14:paraId="1C0EDD85" w14:textId="6E2A6375" w:rsidR="0017134F" w:rsidRDefault="00F14654" w:rsidP="00C02D3C">
            <w:pPr>
              <w:pStyle w:val="TableText"/>
            </w:pPr>
            <w:r w:rsidRPr="006966A3">
              <w:t>NOAEL</w:t>
            </w:r>
            <w:r w:rsidRPr="009F1194">
              <w:t xml:space="preserve"> of </w:t>
            </w:r>
            <w:r w:rsidRPr="009F1194">
              <w:rPr>
                <w:color w:val="000000"/>
              </w:rPr>
              <w:t xml:space="preserve">0.0014 </w:t>
            </w:r>
            <w:r w:rsidRPr="009F1194">
              <w:t>mg/kg bw/d</w:t>
            </w:r>
            <w:r>
              <w:t>ay</w:t>
            </w:r>
            <w:r w:rsidRPr="009F1194">
              <w:t xml:space="preserve"> for incidence of increased levels of serum cholesterol from a </w:t>
            </w:r>
            <w:r>
              <w:t xml:space="preserve">subchronic </w:t>
            </w:r>
            <w:r w:rsidRPr="009F1194">
              <w:t xml:space="preserve">dietary </w:t>
            </w:r>
            <w:r>
              <w:t xml:space="preserve">toxicity </w:t>
            </w:r>
            <w:r w:rsidRPr="009F1194">
              <w:t>study in rats.</w:t>
            </w:r>
          </w:p>
        </w:tc>
      </w:tr>
      <w:tr w:rsidR="00F14654" w:rsidRPr="00AE34F3" w14:paraId="31D9A563" w14:textId="77777777" w:rsidTr="00CB467B">
        <w:tc>
          <w:tcPr>
            <w:tcW w:w="1418" w:type="dxa"/>
            <w:tcBorders>
              <w:bottom w:val="single" w:sz="4" w:space="0" w:color="auto"/>
            </w:tcBorders>
          </w:tcPr>
          <w:p w14:paraId="72203EF4" w14:textId="77777777" w:rsidR="00F14654" w:rsidRPr="009F1194" w:rsidRDefault="00F14654" w:rsidP="00C02D3C">
            <w:pPr>
              <w:pStyle w:val="TableText"/>
            </w:pPr>
          </w:p>
        </w:tc>
        <w:tc>
          <w:tcPr>
            <w:tcW w:w="927" w:type="dxa"/>
            <w:tcBorders>
              <w:top w:val="single" w:sz="4" w:space="0" w:color="auto"/>
              <w:bottom w:val="single" w:sz="4" w:space="0" w:color="auto"/>
            </w:tcBorders>
          </w:tcPr>
          <w:p w14:paraId="5A1BF86C" w14:textId="348B1227" w:rsidR="00F14654" w:rsidRDefault="00F14654" w:rsidP="00C02D3C">
            <w:pPr>
              <w:pStyle w:val="TableText"/>
            </w:pPr>
            <w:r>
              <w:t>ARfD</w:t>
            </w:r>
          </w:p>
        </w:tc>
        <w:tc>
          <w:tcPr>
            <w:tcW w:w="2255" w:type="dxa"/>
            <w:tcBorders>
              <w:top w:val="single" w:sz="4" w:space="0" w:color="auto"/>
              <w:bottom w:val="single" w:sz="4" w:space="0" w:color="auto"/>
            </w:tcBorders>
          </w:tcPr>
          <w:p w14:paraId="7E1622B8" w14:textId="703AD58C" w:rsidR="00F14654" w:rsidRDefault="00F14654" w:rsidP="00C02D3C">
            <w:pPr>
              <w:pStyle w:val="TableText"/>
            </w:pPr>
            <w:r>
              <w:t>0.00002 mg/kg bw/day</w:t>
            </w:r>
          </w:p>
        </w:tc>
        <w:tc>
          <w:tcPr>
            <w:tcW w:w="5088" w:type="dxa"/>
            <w:tcBorders>
              <w:top w:val="single" w:sz="4" w:space="0" w:color="auto"/>
              <w:bottom w:val="single" w:sz="4" w:space="0" w:color="auto"/>
            </w:tcBorders>
          </w:tcPr>
          <w:p w14:paraId="323EE4BB" w14:textId="37EF1AF5" w:rsidR="00F14654" w:rsidRPr="006966A3" w:rsidRDefault="00F14654" w:rsidP="00C02D3C">
            <w:pPr>
              <w:pStyle w:val="TableText"/>
            </w:pPr>
            <w:r>
              <w:t>NOAEL of 0.002 from a developmental toxicity study in rabbits.</w:t>
            </w:r>
          </w:p>
        </w:tc>
      </w:tr>
      <w:tr w:rsidR="00A65621" w:rsidRPr="00AE34F3" w14:paraId="5AEFA985" w14:textId="77777777" w:rsidTr="000E3494">
        <w:tc>
          <w:tcPr>
            <w:tcW w:w="1418" w:type="dxa"/>
            <w:tcBorders>
              <w:top w:val="single" w:sz="4" w:space="0" w:color="auto"/>
            </w:tcBorders>
          </w:tcPr>
          <w:p w14:paraId="6A3199C5" w14:textId="19526D9D" w:rsidR="00A65621" w:rsidRPr="009F1194" w:rsidRDefault="00A65621" w:rsidP="00C02D3C">
            <w:pPr>
              <w:pStyle w:val="TableText"/>
            </w:pPr>
            <w:r>
              <w:t>Warfarin</w:t>
            </w:r>
          </w:p>
        </w:tc>
        <w:tc>
          <w:tcPr>
            <w:tcW w:w="927" w:type="dxa"/>
            <w:tcBorders>
              <w:top w:val="single" w:sz="4" w:space="0" w:color="auto"/>
              <w:bottom w:val="single" w:sz="4" w:space="0" w:color="auto"/>
            </w:tcBorders>
          </w:tcPr>
          <w:p w14:paraId="0BE51AC6" w14:textId="7B0BB5BE" w:rsidR="00A65621" w:rsidRDefault="00A65621" w:rsidP="00C02D3C">
            <w:pPr>
              <w:pStyle w:val="TableText"/>
            </w:pPr>
            <w:r>
              <w:t>TDI</w:t>
            </w:r>
          </w:p>
        </w:tc>
        <w:tc>
          <w:tcPr>
            <w:tcW w:w="7343" w:type="dxa"/>
            <w:gridSpan w:val="2"/>
            <w:tcBorders>
              <w:top w:val="single" w:sz="4" w:space="0" w:color="auto"/>
              <w:bottom w:val="single" w:sz="4" w:space="0" w:color="auto"/>
            </w:tcBorders>
          </w:tcPr>
          <w:p w14:paraId="2375028D" w14:textId="14739CFF" w:rsidR="00A65621" w:rsidRDefault="00A65621" w:rsidP="00C02D3C">
            <w:pPr>
              <w:pStyle w:val="TableText"/>
            </w:pPr>
            <w:r>
              <w:t>Not established by the APVMA</w:t>
            </w:r>
          </w:p>
        </w:tc>
      </w:tr>
      <w:tr w:rsidR="00A65621" w:rsidRPr="00AE34F3" w14:paraId="757051F8" w14:textId="77777777" w:rsidTr="00543D25">
        <w:tc>
          <w:tcPr>
            <w:tcW w:w="1418" w:type="dxa"/>
            <w:tcBorders>
              <w:bottom w:val="single" w:sz="4" w:space="0" w:color="auto"/>
            </w:tcBorders>
          </w:tcPr>
          <w:p w14:paraId="5936E6B3" w14:textId="77777777" w:rsidR="00A65621" w:rsidRDefault="00A65621" w:rsidP="00C02D3C">
            <w:pPr>
              <w:pStyle w:val="TableText"/>
            </w:pPr>
          </w:p>
        </w:tc>
        <w:tc>
          <w:tcPr>
            <w:tcW w:w="927" w:type="dxa"/>
            <w:tcBorders>
              <w:top w:val="single" w:sz="4" w:space="0" w:color="auto"/>
              <w:bottom w:val="single" w:sz="4" w:space="0" w:color="auto"/>
            </w:tcBorders>
          </w:tcPr>
          <w:p w14:paraId="2A3D46B5" w14:textId="2E9EB21C" w:rsidR="00A65621" w:rsidRDefault="00A65621" w:rsidP="00C02D3C">
            <w:pPr>
              <w:pStyle w:val="TableText"/>
            </w:pPr>
            <w:r>
              <w:t>ARfD</w:t>
            </w:r>
          </w:p>
        </w:tc>
        <w:tc>
          <w:tcPr>
            <w:tcW w:w="7343" w:type="dxa"/>
            <w:gridSpan w:val="2"/>
            <w:tcBorders>
              <w:top w:val="single" w:sz="4" w:space="0" w:color="auto"/>
              <w:bottom w:val="single" w:sz="4" w:space="0" w:color="auto"/>
            </w:tcBorders>
          </w:tcPr>
          <w:p w14:paraId="057505E8" w14:textId="670D8D17" w:rsidR="00A65621" w:rsidRDefault="00A65621" w:rsidP="00C02D3C">
            <w:pPr>
              <w:pStyle w:val="TableText"/>
            </w:pPr>
            <w:r>
              <w:t>Not established by the APVMA</w:t>
            </w:r>
          </w:p>
        </w:tc>
      </w:tr>
    </w:tbl>
    <w:p w14:paraId="30A17A4C" w14:textId="395E1C31" w:rsidR="00DE07CF" w:rsidRDefault="00DE07CF" w:rsidP="00DE07CF">
      <w:pPr>
        <w:pStyle w:val="Heading1"/>
      </w:pPr>
      <w:bookmarkStart w:id="1428" w:name="_Toc212449400"/>
      <w:bookmarkStart w:id="1429" w:name="_Toc212449401"/>
      <w:bookmarkStart w:id="1430" w:name="_Toc212449402"/>
      <w:bookmarkStart w:id="1431" w:name="_Toc212449403"/>
      <w:bookmarkStart w:id="1432" w:name="_Toc212449404"/>
      <w:bookmarkStart w:id="1433" w:name="_Toc212449405"/>
      <w:bookmarkStart w:id="1434" w:name="_Toc212449406"/>
      <w:bookmarkStart w:id="1435" w:name="_Toc212449407"/>
      <w:bookmarkStart w:id="1436" w:name="_Toc212449408"/>
      <w:bookmarkStart w:id="1437" w:name="_Toc212449409"/>
      <w:bookmarkStart w:id="1438" w:name="_Toc212449410"/>
      <w:bookmarkStart w:id="1439" w:name="_Toc212449411"/>
      <w:bookmarkStart w:id="1440" w:name="_Toc212449412"/>
      <w:bookmarkStart w:id="1441" w:name="_Toc212449413"/>
      <w:bookmarkStart w:id="1442" w:name="_Toc214025526"/>
      <w:bookmarkStart w:id="1443" w:name="_Toc216695610"/>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lastRenderedPageBreak/>
        <w:t>Residues and trade</w:t>
      </w:r>
      <w:bookmarkEnd w:id="1442"/>
      <w:bookmarkEnd w:id="1443"/>
    </w:p>
    <w:p w14:paraId="1D926031" w14:textId="37E761CC" w:rsidR="00E761A4" w:rsidRDefault="004A6CC6" w:rsidP="006F6AE5">
      <w:pPr>
        <w:pStyle w:val="NormalText"/>
      </w:pPr>
      <w:r w:rsidRPr="004A6CC6">
        <w:t>Anticoagulant rodenticides are not registered for use on crops intended for human consumption, nor for application to food</w:t>
      </w:r>
      <w:r w:rsidRPr="004A6CC6">
        <w:rPr>
          <w:rFonts w:ascii="Cambria Math" w:hAnsi="Cambria Math" w:cs="Cambria Math"/>
        </w:rPr>
        <w:t>‑</w:t>
      </w:r>
      <w:r w:rsidRPr="004A6CC6">
        <w:t>producing livestock or poultry</w:t>
      </w:r>
      <w:r>
        <w:t xml:space="preserve">, Therefore, any plant or animal exposures to these chemicals would be the result of off-label use or incidental contamination </w:t>
      </w:r>
      <w:r w:rsidR="00E761A4">
        <w:t>by the pests which the products are registered to control (</w:t>
      </w:r>
      <w:r>
        <w:t>e.g.,</w:t>
      </w:r>
      <w:r w:rsidR="00E761A4">
        <w:t xml:space="preserve"> animal droppings, movement of baits, consumption of the treated pest by livestock or other non-target animals used for human consumption). </w:t>
      </w:r>
      <w:r w:rsidR="00A50D0B" w:rsidRPr="006F6AE5">
        <w:t xml:space="preserve">This residues and trade </w:t>
      </w:r>
      <w:r w:rsidR="00E761A4">
        <w:t xml:space="preserve">risk </w:t>
      </w:r>
      <w:r w:rsidR="00A50D0B" w:rsidRPr="006F6AE5">
        <w:t>assessment consider</w:t>
      </w:r>
      <w:r w:rsidR="006F6AE5" w:rsidRPr="00377F3A">
        <w:t>ed</w:t>
      </w:r>
      <w:r w:rsidR="00A50D0B" w:rsidRPr="006F6AE5">
        <w:t xml:space="preserve"> whether </w:t>
      </w:r>
      <w:r w:rsidR="00E761A4">
        <w:t xml:space="preserve">anticoagulant rodenticide </w:t>
      </w:r>
      <w:r w:rsidR="00A50D0B" w:rsidRPr="006F6AE5">
        <w:t xml:space="preserve">product labels </w:t>
      </w:r>
      <w:r w:rsidR="00E761A4">
        <w:t>contain</w:t>
      </w:r>
      <w:r w:rsidR="00A50D0B" w:rsidRPr="006F6AE5">
        <w:t xml:space="preserve"> adequate instructions and warning statements to prevent residues in foods as well as consumer safety and trade.</w:t>
      </w:r>
    </w:p>
    <w:p w14:paraId="25F3FA27" w14:textId="429FA580" w:rsidR="00A50D0B" w:rsidRPr="00A50D0B" w:rsidRDefault="00A50D0B" w:rsidP="006F6AE5">
      <w:pPr>
        <w:pStyle w:val="NormalText"/>
      </w:pPr>
      <w:r w:rsidRPr="00A50D0B">
        <w:t>Analytical methods for detection of residues of the anticoagulant rodenticides are available in various commodities. However, these are not relied on in this assessment because there are no registered uses in food crops or animals.</w:t>
      </w:r>
    </w:p>
    <w:p w14:paraId="6C3F37E4" w14:textId="702E2C7C" w:rsidR="00CF7D3A" w:rsidRDefault="00716611" w:rsidP="00CF7D3A">
      <w:pPr>
        <w:pStyle w:val="Heading2"/>
        <w:suppressAutoHyphens w:val="0"/>
        <w:spacing w:before="120" w:after="120" w:line="240" w:lineRule="auto"/>
      </w:pPr>
      <w:bookmarkStart w:id="1444" w:name="_Toc213943905"/>
      <w:bookmarkStart w:id="1445" w:name="_Toc213945684"/>
      <w:bookmarkStart w:id="1446" w:name="_Toc213943906"/>
      <w:bookmarkStart w:id="1447" w:name="_Toc213945685"/>
      <w:bookmarkStart w:id="1448" w:name="_Toc213335205"/>
      <w:bookmarkStart w:id="1449" w:name="_Toc213772051"/>
      <w:bookmarkStart w:id="1450" w:name="_Toc213943907"/>
      <w:bookmarkStart w:id="1451" w:name="_Toc213945686"/>
      <w:bookmarkStart w:id="1452" w:name="_Toc213335335"/>
      <w:bookmarkStart w:id="1453" w:name="_Toc213772181"/>
      <w:bookmarkStart w:id="1454" w:name="_Toc213944037"/>
      <w:bookmarkStart w:id="1455" w:name="_Toc213945816"/>
      <w:bookmarkStart w:id="1456" w:name="_Toc213944038"/>
      <w:bookmarkStart w:id="1457" w:name="_Toc213945817"/>
      <w:bookmarkStart w:id="1458" w:name="_Toc213944039"/>
      <w:bookmarkStart w:id="1459" w:name="_Toc213945818"/>
      <w:bookmarkStart w:id="1460" w:name="_Toc213944040"/>
      <w:bookmarkStart w:id="1461" w:name="_Toc213945819"/>
      <w:bookmarkStart w:id="1462" w:name="_Toc213944041"/>
      <w:bookmarkStart w:id="1463" w:name="_Toc213945820"/>
      <w:bookmarkStart w:id="1464" w:name="_Toc213944042"/>
      <w:bookmarkStart w:id="1465" w:name="_Toc213945821"/>
      <w:bookmarkStart w:id="1466" w:name="_Toc213944043"/>
      <w:bookmarkStart w:id="1467" w:name="_Toc213945822"/>
      <w:bookmarkStart w:id="1468" w:name="_Toc213944044"/>
      <w:bookmarkStart w:id="1469" w:name="_Toc213945823"/>
      <w:bookmarkStart w:id="1470" w:name="_Toc214025576"/>
      <w:bookmarkStart w:id="1471" w:name="_Toc216695611"/>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t xml:space="preserve">Potential for contamination </w:t>
      </w:r>
      <w:r w:rsidR="00745C5A">
        <w:t>in food producing situations</w:t>
      </w:r>
      <w:bookmarkEnd w:id="1470"/>
      <w:bookmarkEnd w:id="1471"/>
    </w:p>
    <w:p w14:paraId="29D080B2" w14:textId="77777777" w:rsidR="00CF7D3A" w:rsidRPr="00353E15" w:rsidRDefault="00CF7D3A" w:rsidP="00377F3A">
      <w:pPr>
        <w:pStyle w:val="Heading3"/>
      </w:pPr>
      <w:bookmarkStart w:id="1472" w:name="_Toc213944046"/>
      <w:bookmarkStart w:id="1473" w:name="_Toc213945825"/>
      <w:bookmarkStart w:id="1474" w:name="_Toc214025577"/>
      <w:bookmarkStart w:id="1475" w:name="_Toc216695612"/>
      <w:bookmarkEnd w:id="1472"/>
      <w:bookmarkEnd w:id="1473"/>
      <w:r w:rsidRPr="00353E15">
        <w:t>Field crops</w:t>
      </w:r>
      <w:bookmarkEnd w:id="1474"/>
      <w:bookmarkEnd w:id="1475"/>
      <w:r w:rsidRPr="00353E15">
        <w:t xml:space="preserve"> </w:t>
      </w:r>
    </w:p>
    <w:p w14:paraId="3EE5EFF3" w14:textId="019D09E7" w:rsidR="00CF7D3A" w:rsidRDefault="00CF7D3A" w:rsidP="00377F3A">
      <w:pPr>
        <w:pStyle w:val="NormalText"/>
      </w:pPr>
      <w:r>
        <w:t xml:space="preserve">There are no registered uses of </w:t>
      </w:r>
      <w:r w:rsidR="00BD54DC">
        <w:t>first- or second-generation</w:t>
      </w:r>
      <w:r>
        <w:t xml:space="preserve"> anticoagulant rodenticides for direct application to food crops</w:t>
      </w:r>
      <w:r w:rsidR="00655F0E">
        <w:t>. U</w:t>
      </w:r>
      <w:r>
        <w:t xml:space="preserve">se patterns/labels indicate </w:t>
      </w:r>
      <w:r w:rsidRPr="001E45AB">
        <w:t xml:space="preserve">bait must be placed in a bait station </w:t>
      </w:r>
      <w:r w:rsidR="003A68E3">
        <w:t xml:space="preserve">in such a way to ensure </w:t>
      </w:r>
      <w:r>
        <w:t>the bait will not come into</w:t>
      </w:r>
      <w:r w:rsidRPr="001E45AB">
        <w:t xml:space="preserve"> direct contact with the ground</w:t>
      </w:r>
      <w:r>
        <w:t xml:space="preserve"> or </w:t>
      </w:r>
      <w:r w:rsidR="00655F0E">
        <w:t xml:space="preserve">a </w:t>
      </w:r>
      <w:r>
        <w:t>crop.</w:t>
      </w:r>
    </w:p>
    <w:p w14:paraId="16331B77" w14:textId="009193B3" w:rsidR="00CF7D3A" w:rsidRDefault="00CF7D3A" w:rsidP="00377F3A">
      <w:pPr>
        <w:pStyle w:val="NormalText"/>
      </w:pPr>
      <w:r>
        <w:t xml:space="preserve">Four </w:t>
      </w:r>
      <w:r w:rsidR="006A1A08">
        <w:t xml:space="preserve">coumatetralyl-containing </w:t>
      </w:r>
      <w:r>
        <w:t>products</w:t>
      </w:r>
      <w:r w:rsidRPr="000953A0">
        <w:t xml:space="preserve"> are </w:t>
      </w:r>
      <w:r>
        <w:t xml:space="preserve">currently </w:t>
      </w:r>
      <w:r w:rsidR="006A1A08">
        <w:t xml:space="preserve">registered </w:t>
      </w:r>
      <w:r w:rsidRPr="000953A0">
        <w:t>for use in agricultural crop</w:t>
      </w:r>
      <w:r>
        <w:t>ping situations</w:t>
      </w:r>
      <w:r w:rsidRPr="000953A0">
        <w:t xml:space="preserve"> (sugarcane, macadamias and pineapples) </w:t>
      </w:r>
      <w:r>
        <w:t xml:space="preserve">where they may be used as </w:t>
      </w:r>
      <w:r w:rsidR="00655F0E">
        <w:t xml:space="preserve">component </w:t>
      </w:r>
      <w:r>
        <w:t xml:space="preserve">of a </w:t>
      </w:r>
      <w:r w:rsidRPr="0077776A">
        <w:t>comprehensive rodent control progra</w:t>
      </w:r>
      <w:r>
        <w:t>m</w:t>
      </w:r>
      <w:r w:rsidR="00655F0E">
        <w:t>,</w:t>
      </w:r>
      <w:r>
        <w:t xml:space="preserve"> as specified on the label. In these situations, baits (blocks or prepared loose grain/fruit) are </w:t>
      </w:r>
      <w:r w:rsidR="003A68E3">
        <w:t xml:space="preserve">contained in bait stations </w:t>
      </w:r>
      <w:r>
        <w:t>located around the perimeter of crops</w:t>
      </w:r>
      <w:r w:rsidR="003A68E3">
        <w:t xml:space="preserve">. Baits are </w:t>
      </w:r>
      <w:r w:rsidRPr="00353E15">
        <w:t xml:space="preserve">not in direct contact with the ground and not accessible to birds </w:t>
      </w:r>
      <w:r w:rsidR="00655F0E">
        <w:t xml:space="preserve">or </w:t>
      </w:r>
      <w:r w:rsidRPr="00353E15">
        <w:t>other wildlife.</w:t>
      </w:r>
    </w:p>
    <w:p w14:paraId="41B16412" w14:textId="1358F3C4" w:rsidR="00CF7D3A" w:rsidRDefault="003A68E3" w:rsidP="00377F3A">
      <w:pPr>
        <w:pStyle w:val="NormalText"/>
      </w:pPr>
      <w:r>
        <w:t>T</w:t>
      </w:r>
      <w:r w:rsidR="00655F0E">
        <w:t xml:space="preserve">he </w:t>
      </w:r>
      <w:r w:rsidR="006A1A08">
        <w:t>labels of the aforementioned</w:t>
      </w:r>
      <w:r w:rsidR="00655F0E">
        <w:t xml:space="preserve"> product</w:t>
      </w:r>
      <w:r w:rsidR="00CB467B">
        <w:t>’</w:t>
      </w:r>
      <w:r w:rsidR="00655F0E">
        <w:t>s describe the construction of a bait station</w:t>
      </w:r>
      <w:r w:rsidR="00CF029D">
        <w:t>. Comm</w:t>
      </w:r>
      <w:r w:rsidR="00AE3763">
        <w:t>er</w:t>
      </w:r>
      <w:r w:rsidR="00CF029D">
        <w:t xml:space="preserve">cially available </w:t>
      </w:r>
      <w:r w:rsidR="00655F0E">
        <w:t>bait station</w:t>
      </w:r>
      <w:r w:rsidR="00CF029D">
        <w:t>s</w:t>
      </w:r>
      <w:r w:rsidR="00655F0E">
        <w:t xml:space="preserve"> limit the quantity of bait material an applicator could apply. </w:t>
      </w:r>
      <w:r w:rsidR="00CF7D3A">
        <w:t xml:space="preserve">It is recommended that baiting in field crops be restricted to </w:t>
      </w:r>
      <w:r w:rsidR="00CF029D">
        <w:t xml:space="preserve">using </w:t>
      </w:r>
      <w:r w:rsidR="00655F0E">
        <w:t>commercially available</w:t>
      </w:r>
      <w:r w:rsidR="00CF029D">
        <w:t>,</w:t>
      </w:r>
      <w:r w:rsidR="00655F0E">
        <w:t xml:space="preserve"> </w:t>
      </w:r>
      <w:r w:rsidR="00CF7D3A">
        <w:t>tamper</w:t>
      </w:r>
      <w:r w:rsidR="00655F0E">
        <w:t>-</w:t>
      </w:r>
      <w:r w:rsidR="00CF7D3A">
        <w:t>proof and weather</w:t>
      </w:r>
      <w:r w:rsidR="00655F0E">
        <w:t>-</w:t>
      </w:r>
      <w:r w:rsidR="00CF7D3A">
        <w:t>resistant bait stations</w:t>
      </w:r>
      <w:r w:rsidR="00655F0E">
        <w:t xml:space="preserve"> </w:t>
      </w:r>
      <w:r w:rsidR="00AE3763">
        <w:t>to</w:t>
      </w:r>
      <w:r w:rsidR="00655F0E">
        <w:t xml:space="preserve"> reduce the quantity of bait that can be applied </w:t>
      </w:r>
      <w:r w:rsidR="006A1A08">
        <w:t>in a single use</w:t>
      </w:r>
      <w:r w:rsidR="00655F0E">
        <w:t>.</w:t>
      </w:r>
    </w:p>
    <w:p w14:paraId="4D58D716" w14:textId="1B7FD8C3" w:rsidR="00CF7D3A" w:rsidRDefault="00A6521C" w:rsidP="00377F3A">
      <w:pPr>
        <w:pStyle w:val="NormalText"/>
      </w:pPr>
      <w:r>
        <w:fldChar w:fldCharType="begin"/>
      </w:r>
      <w:r>
        <w:instrText xml:space="preserve"> REF _Ref207105721 \h </w:instrText>
      </w:r>
      <w:r w:rsidR="0059117A">
        <w:instrText xml:space="preserve"> \* MERGEFORMAT </w:instrText>
      </w:r>
      <w:r>
        <w:fldChar w:fldCharType="separate"/>
      </w:r>
      <w:r w:rsidR="003861AC">
        <w:t xml:space="preserve">Table </w:t>
      </w:r>
      <w:r w:rsidR="003861AC">
        <w:rPr>
          <w:noProof/>
        </w:rPr>
        <w:t>75</w:t>
      </w:r>
      <w:r>
        <w:fldChar w:fldCharType="end"/>
      </w:r>
      <w:r>
        <w:t xml:space="preserve"> shows t</w:t>
      </w:r>
      <w:r w:rsidR="00CF7D3A">
        <w:t>he restraints and critical comments are currently associated with field crop uses for the control of rats from APVMA product numbers 52098, 52182, 82217 and 86417:</w:t>
      </w:r>
    </w:p>
    <w:p w14:paraId="47402DCC" w14:textId="6CBAD5FA" w:rsidR="00A6521C" w:rsidRDefault="00A6521C" w:rsidP="00BD2F8D">
      <w:pPr>
        <w:pStyle w:val="Caption"/>
      </w:pPr>
      <w:bookmarkStart w:id="1476" w:name="_Ref207105721"/>
      <w:bookmarkStart w:id="1477" w:name="_Ref207105708"/>
      <w:bookmarkStart w:id="1478" w:name="_Toc213946047"/>
      <w:bookmarkStart w:id="1479" w:name="_Toc216695737"/>
      <w:r>
        <w:lastRenderedPageBreak/>
        <w:t xml:space="preserve">Table </w:t>
      </w:r>
      <w:r>
        <w:fldChar w:fldCharType="begin"/>
      </w:r>
      <w:r>
        <w:instrText xml:space="preserve"> SEQ Table \* ARABIC </w:instrText>
      </w:r>
      <w:r>
        <w:fldChar w:fldCharType="separate"/>
      </w:r>
      <w:r w:rsidR="003861AC">
        <w:rPr>
          <w:noProof/>
        </w:rPr>
        <w:t>75</w:t>
      </w:r>
      <w:r>
        <w:fldChar w:fldCharType="end"/>
      </w:r>
      <w:bookmarkEnd w:id="1476"/>
      <w:r>
        <w:t>: Restraints and critical comments associated with specific products field crop uses (52098 52182, 82217, 86417).</w:t>
      </w:r>
      <w:bookmarkEnd w:id="1477"/>
      <w:bookmarkEnd w:id="1478"/>
      <w:bookmarkEnd w:id="1479"/>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8079"/>
      </w:tblGrid>
      <w:tr w:rsidR="00F20ADF" w:rsidRPr="0045045A" w14:paraId="26E23323" w14:textId="77777777" w:rsidTr="0017134F">
        <w:trPr>
          <w:trHeight w:val="20"/>
          <w:tblHeader/>
        </w:trPr>
        <w:tc>
          <w:tcPr>
            <w:tcW w:w="1550" w:type="dxa"/>
            <w:tcBorders>
              <w:bottom w:val="single" w:sz="4" w:space="0" w:color="auto"/>
            </w:tcBorders>
            <w:shd w:val="clear" w:color="auto" w:fill="53284F"/>
            <w:vAlign w:val="bottom"/>
          </w:tcPr>
          <w:p w14:paraId="64404AF2" w14:textId="77777777" w:rsidR="00F20ADF" w:rsidRPr="0045045A" w:rsidRDefault="00F20ADF" w:rsidP="00BA7F4F">
            <w:pPr>
              <w:pStyle w:val="TableHead"/>
              <w:rPr>
                <w:lang w:eastAsia="en-AU"/>
              </w:rPr>
            </w:pPr>
            <w:r w:rsidRPr="0045045A">
              <w:rPr>
                <w:lang w:eastAsia="en-AU"/>
              </w:rPr>
              <w:t>Situation</w:t>
            </w:r>
          </w:p>
        </w:tc>
        <w:tc>
          <w:tcPr>
            <w:tcW w:w="8079" w:type="dxa"/>
            <w:tcBorders>
              <w:bottom w:val="single" w:sz="4" w:space="0" w:color="auto"/>
            </w:tcBorders>
            <w:shd w:val="clear" w:color="auto" w:fill="53284F"/>
            <w:vAlign w:val="bottom"/>
          </w:tcPr>
          <w:p w14:paraId="2B318C5A" w14:textId="77777777" w:rsidR="00F20ADF" w:rsidRPr="0045045A" w:rsidRDefault="00F20ADF" w:rsidP="00BA7F4F">
            <w:pPr>
              <w:pStyle w:val="TableHead"/>
              <w:rPr>
                <w:lang w:eastAsia="en-AU"/>
              </w:rPr>
            </w:pPr>
            <w:r w:rsidRPr="0045045A">
              <w:rPr>
                <w:lang w:eastAsia="en-AU"/>
              </w:rPr>
              <w:t>Critical comments</w:t>
            </w:r>
          </w:p>
        </w:tc>
      </w:tr>
      <w:tr w:rsidR="00F20ADF" w:rsidRPr="0045045A" w14:paraId="089E6975" w14:textId="77777777" w:rsidTr="00BD2F8D">
        <w:trPr>
          <w:trHeight w:val="20"/>
          <w:tblHeader/>
        </w:trPr>
        <w:tc>
          <w:tcPr>
            <w:tcW w:w="1550" w:type="dxa"/>
            <w:tcBorders>
              <w:left w:val="nil"/>
              <w:right w:val="nil"/>
            </w:tcBorders>
          </w:tcPr>
          <w:p w14:paraId="4ED08268" w14:textId="77777777" w:rsidR="00F20ADF" w:rsidRPr="00BD2F8D" w:rsidRDefault="00F20ADF" w:rsidP="00BA7F4F">
            <w:pPr>
              <w:pStyle w:val="TableText"/>
            </w:pPr>
            <w:r w:rsidRPr="00BD2F8D">
              <w:t>Field crops as below:</w:t>
            </w:r>
          </w:p>
        </w:tc>
        <w:tc>
          <w:tcPr>
            <w:tcW w:w="8079" w:type="dxa"/>
            <w:tcBorders>
              <w:left w:val="nil"/>
              <w:right w:val="nil"/>
            </w:tcBorders>
          </w:tcPr>
          <w:p w14:paraId="31B494BE" w14:textId="77777777" w:rsidR="00F20ADF" w:rsidRPr="0045045A" w:rsidRDefault="00F20ADF" w:rsidP="00BA7F4F">
            <w:pPr>
              <w:pStyle w:val="TableText"/>
              <w:rPr>
                <w:lang w:eastAsia="en-AU"/>
              </w:rPr>
            </w:pPr>
            <w:r w:rsidRPr="0045045A">
              <w:rPr>
                <w:b/>
                <w:bCs/>
                <w:lang w:eastAsia="en-AU"/>
              </w:rPr>
              <w:t>For block products:</w:t>
            </w:r>
            <w:r w:rsidRPr="0045045A">
              <w:rPr>
                <w:lang w:eastAsia="en-AU"/>
              </w:rPr>
              <w:t xml:space="preserve"> Follow the Baiting Strategies for in crop situations detailed below. Bait must be placed in bait stations as described in Preparation of Bait Stations below.</w:t>
            </w:r>
          </w:p>
          <w:p w14:paraId="77BB1AFB" w14:textId="77777777" w:rsidR="00F20ADF" w:rsidRPr="0045045A" w:rsidRDefault="00F20ADF" w:rsidP="00BA7F4F">
            <w:pPr>
              <w:pStyle w:val="TableText"/>
              <w:rPr>
                <w:lang w:eastAsia="en-AU"/>
              </w:rPr>
            </w:pPr>
            <w:r w:rsidRPr="0045045A">
              <w:rPr>
                <w:b/>
                <w:bCs/>
                <w:lang w:eastAsia="en-AU"/>
              </w:rPr>
              <w:t>For powder/concentrate products:</w:t>
            </w:r>
            <w:r w:rsidRPr="0045045A">
              <w:rPr>
                <w:lang w:eastAsia="en-AU"/>
              </w:rPr>
              <w:t xml:space="preserve"> As a dry bait: Mix one part by weight of the concentrate with 20 parts of suitable bait material such as cereals or fruit. Choose bait which offers the rodents an alternative to the type of foodstuffs usually available.</w:t>
            </w:r>
          </w:p>
          <w:p w14:paraId="600706D8" w14:textId="77777777" w:rsidR="00F20ADF" w:rsidRPr="0045045A" w:rsidRDefault="00F20ADF" w:rsidP="00BA7F4F">
            <w:pPr>
              <w:pStyle w:val="TableText"/>
              <w:rPr>
                <w:b/>
                <w:bCs/>
                <w:lang w:eastAsia="en-AU"/>
              </w:rPr>
            </w:pPr>
            <w:r w:rsidRPr="0045045A">
              <w:rPr>
                <w:b/>
                <w:bCs/>
                <w:lang w:eastAsia="en-AU"/>
              </w:rPr>
              <w:t>For both formulations:</w:t>
            </w:r>
            <w:r w:rsidRPr="0045045A">
              <w:rPr>
                <w:lang w:eastAsia="en-AU"/>
              </w:rPr>
              <w:t xml:space="preserve"> Baiting must be used as part of a comprehensive rodent control program. Clear gullies, weeds and scrub. Keep headlands well slashed or bare to discourage rats and to expose them to predators</w:t>
            </w:r>
          </w:p>
        </w:tc>
      </w:tr>
      <w:tr w:rsidR="00F20ADF" w:rsidRPr="0045045A" w14:paraId="5492F3B1" w14:textId="77777777" w:rsidTr="00BD2F8D">
        <w:trPr>
          <w:trHeight w:val="20"/>
        </w:trPr>
        <w:tc>
          <w:tcPr>
            <w:tcW w:w="1550" w:type="dxa"/>
            <w:tcBorders>
              <w:left w:val="nil"/>
              <w:right w:val="nil"/>
            </w:tcBorders>
          </w:tcPr>
          <w:p w14:paraId="404070F1" w14:textId="77777777" w:rsidR="00F20ADF" w:rsidRPr="00BD2F8D" w:rsidRDefault="00F20ADF" w:rsidP="00BA7F4F">
            <w:pPr>
              <w:pStyle w:val="TableText"/>
            </w:pPr>
            <w:r w:rsidRPr="00BD2F8D">
              <w:t>Sugar cane</w:t>
            </w:r>
          </w:p>
        </w:tc>
        <w:tc>
          <w:tcPr>
            <w:tcW w:w="8079" w:type="dxa"/>
            <w:tcBorders>
              <w:left w:val="nil"/>
              <w:right w:val="nil"/>
            </w:tcBorders>
          </w:tcPr>
          <w:p w14:paraId="52D51BA9" w14:textId="77777777" w:rsidR="00F20ADF" w:rsidRPr="0045045A" w:rsidRDefault="00F20ADF" w:rsidP="00BA7F4F">
            <w:pPr>
              <w:pStyle w:val="TableText"/>
              <w:rPr>
                <w:lang w:eastAsia="en-AU"/>
              </w:rPr>
            </w:pPr>
            <w:r w:rsidRPr="0045045A">
              <w:rPr>
                <w:lang w:eastAsia="en-AU"/>
              </w:rPr>
              <w:t>Practise in-crop grass and weed control. Obtain rat population monitoring data from district organisations and bait according to local recommendations. Strategic baiting is best carried out in December and January.</w:t>
            </w:r>
          </w:p>
        </w:tc>
      </w:tr>
      <w:tr w:rsidR="00F20ADF" w:rsidRPr="0045045A" w14:paraId="1634A5DE" w14:textId="77777777" w:rsidTr="00BD2F8D">
        <w:trPr>
          <w:trHeight w:val="20"/>
        </w:trPr>
        <w:tc>
          <w:tcPr>
            <w:tcW w:w="1550" w:type="dxa"/>
            <w:tcBorders>
              <w:left w:val="nil"/>
              <w:right w:val="nil"/>
            </w:tcBorders>
          </w:tcPr>
          <w:p w14:paraId="249BC138" w14:textId="77777777" w:rsidR="00F20ADF" w:rsidRPr="00BD2F8D" w:rsidRDefault="00F20ADF" w:rsidP="00BA7F4F">
            <w:pPr>
              <w:pStyle w:val="TableText"/>
            </w:pPr>
            <w:r w:rsidRPr="00BD2F8D">
              <w:t>Macadamias</w:t>
            </w:r>
          </w:p>
        </w:tc>
        <w:tc>
          <w:tcPr>
            <w:tcW w:w="8079" w:type="dxa"/>
            <w:tcBorders>
              <w:left w:val="nil"/>
              <w:right w:val="nil"/>
            </w:tcBorders>
          </w:tcPr>
          <w:p w14:paraId="4E044E17" w14:textId="77777777" w:rsidR="00F20ADF" w:rsidRPr="0045045A" w:rsidRDefault="00F20ADF" w:rsidP="00BA7F4F">
            <w:pPr>
              <w:pStyle w:val="TableText"/>
              <w:rPr>
                <w:lang w:eastAsia="en-AU"/>
              </w:rPr>
            </w:pPr>
            <w:r w:rsidRPr="0045045A">
              <w:rPr>
                <w:lang w:eastAsia="en-AU"/>
              </w:rPr>
              <w:t>If not possible to clear orchard boundaries, rehabilitate to rain forest. Monitor rodent damage levels prior to baiting. Concentrate baiting in the outer 3 rows of crop closest to scrubby habitats and when nuts are available.</w:t>
            </w:r>
          </w:p>
        </w:tc>
      </w:tr>
      <w:tr w:rsidR="00F20ADF" w:rsidRPr="0045045A" w14:paraId="429DD057" w14:textId="77777777" w:rsidTr="00BD2F8D">
        <w:trPr>
          <w:trHeight w:val="20"/>
        </w:trPr>
        <w:tc>
          <w:tcPr>
            <w:tcW w:w="1550" w:type="dxa"/>
            <w:tcBorders>
              <w:left w:val="nil"/>
              <w:right w:val="nil"/>
            </w:tcBorders>
          </w:tcPr>
          <w:p w14:paraId="7CCC037F" w14:textId="77777777" w:rsidR="00F20ADF" w:rsidRPr="00BD2F8D" w:rsidRDefault="00F20ADF" w:rsidP="00BA7F4F">
            <w:pPr>
              <w:pStyle w:val="TableText"/>
            </w:pPr>
            <w:r w:rsidRPr="00BD2F8D">
              <w:t>Pineapples</w:t>
            </w:r>
          </w:p>
        </w:tc>
        <w:tc>
          <w:tcPr>
            <w:tcW w:w="8079" w:type="dxa"/>
            <w:tcBorders>
              <w:left w:val="nil"/>
              <w:right w:val="nil"/>
            </w:tcBorders>
          </w:tcPr>
          <w:p w14:paraId="0CBCD0AA" w14:textId="77777777" w:rsidR="00F20ADF" w:rsidRPr="0045045A" w:rsidRDefault="00F20ADF" w:rsidP="00BA7F4F">
            <w:pPr>
              <w:pStyle w:val="TableText"/>
              <w:rPr>
                <w:lang w:eastAsia="en-AU"/>
              </w:rPr>
            </w:pPr>
            <w:r w:rsidRPr="0045045A">
              <w:rPr>
                <w:lang w:eastAsia="en-AU"/>
              </w:rPr>
              <w:t>Place bait stations at 9-metre intervals, 1 metre inside the block on all sides where rats are entering the block. Bait should be added to bait stations when fruit begins to form and bait replenished until after harvest.</w:t>
            </w:r>
          </w:p>
        </w:tc>
      </w:tr>
    </w:tbl>
    <w:p w14:paraId="4D3B67F8" w14:textId="5E298150" w:rsidR="00F20ADF" w:rsidRPr="0045045A" w:rsidRDefault="00F20ADF" w:rsidP="00BA7F4F">
      <w:pPr>
        <w:pStyle w:val="TableText"/>
        <w:rPr>
          <w:lang w:eastAsia="en-AU"/>
        </w:rPr>
      </w:pPr>
      <w:r>
        <w:rPr>
          <w:lang w:eastAsia="en-AU"/>
        </w:rPr>
        <w:t xml:space="preserve">Rate: </w:t>
      </w:r>
      <w:r w:rsidRPr="0045045A">
        <w:rPr>
          <w:lang w:eastAsia="en-AU"/>
        </w:rPr>
        <w:t>2 blocks</w:t>
      </w:r>
      <w:r>
        <w:rPr>
          <w:lang w:eastAsia="en-AU"/>
        </w:rPr>
        <w:t xml:space="preserve"> </w:t>
      </w:r>
      <w:r w:rsidRPr="0045045A">
        <w:rPr>
          <w:lang w:eastAsia="en-AU"/>
        </w:rPr>
        <w:t>(22.2 mg a</w:t>
      </w:r>
      <w:r w:rsidR="003404CF">
        <w:rPr>
          <w:lang w:eastAsia="en-AU"/>
        </w:rPr>
        <w:t>.c.</w:t>
      </w:r>
      <w:r w:rsidRPr="0045045A">
        <w:rPr>
          <w:lang w:eastAsia="en-AU"/>
        </w:rPr>
        <w:t>/station)</w:t>
      </w:r>
      <w:r>
        <w:rPr>
          <w:lang w:eastAsia="en-AU"/>
        </w:rPr>
        <w:t xml:space="preserve"> / </w:t>
      </w:r>
      <w:r w:rsidRPr="0045045A">
        <w:rPr>
          <w:lang w:eastAsia="en-AU"/>
        </w:rPr>
        <w:t>60-100 g prepared bait at 1:20 dilution</w:t>
      </w:r>
      <w:r>
        <w:rPr>
          <w:lang w:eastAsia="en-AU"/>
        </w:rPr>
        <w:t xml:space="preserve"> </w:t>
      </w:r>
      <w:r w:rsidRPr="0045045A">
        <w:rPr>
          <w:lang w:eastAsia="en-AU"/>
        </w:rPr>
        <w:t>(22.5-40 mg a</w:t>
      </w:r>
      <w:r w:rsidR="003404CF">
        <w:rPr>
          <w:lang w:eastAsia="en-AU"/>
        </w:rPr>
        <w:t>.c.</w:t>
      </w:r>
      <w:r w:rsidRPr="0045045A">
        <w:rPr>
          <w:lang w:eastAsia="en-AU"/>
        </w:rPr>
        <w:t>/station)</w:t>
      </w:r>
      <w:r>
        <w:rPr>
          <w:lang w:eastAsia="en-AU"/>
        </w:rPr>
        <w:t xml:space="preserve"> - </w:t>
      </w:r>
      <w:r w:rsidRPr="0045045A">
        <w:rPr>
          <w:lang w:eastAsia="en-AU"/>
        </w:rPr>
        <w:t>no longer supported</w:t>
      </w:r>
    </w:p>
    <w:p w14:paraId="7D919DF2" w14:textId="1C22BC9B" w:rsidR="00CF7D3A" w:rsidRDefault="00D3408D" w:rsidP="00377F3A">
      <w:pPr>
        <w:pStyle w:val="NormalText"/>
      </w:pPr>
      <w:r>
        <w:t>The r</w:t>
      </w:r>
      <w:r w:rsidR="00CF7D3A">
        <w:t xml:space="preserve">estraint statements </w:t>
      </w:r>
      <w:r>
        <w:t xml:space="preserve">in </w:t>
      </w:r>
      <w:r>
        <w:fldChar w:fldCharType="begin"/>
      </w:r>
      <w:r>
        <w:instrText xml:space="preserve"> REF _Ref213927931 \h </w:instrText>
      </w:r>
      <w:r>
        <w:fldChar w:fldCharType="separate"/>
      </w:r>
      <w:r w:rsidR="003861AC">
        <w:t xml:space="preserve">Table </w:t>
      </w:r>
      <w:r w:rsidR="003861AC">
        <w:rPr>
          <w:noProof/>
        </w:rPr>
        <w:t>76</w:t>
      </w:r>
      <w:r>
        <w:fldChar w:fldCharType="end"/>
      </w:r>
      <w:r>
        <w:t xml:space="preserve"> </w:t>
      </w:r>
      <w:r w:rsidR="00CF7D3A">
        <w:t xml:space="preserve">are recommended to be applied to all products </w:t>
      </w:r>
      <w:r>
        <w:t xml:space="preserve">registered for in-field </w:t>
      </w:r>
      <w:r w:rsidR="00CF7D3A">
        <w:t xml:space="preserve">use </w:t>
      </w:r>
      <w:r w:rsidR="00A6521C">
        <w:t xml:space="preserve">to reduce </w:t>
      </w:r>
      <w:r w:rsidR="0086176E">
        <w:t xml:space="preserve">the risk of </w:t>
      </w:r>
      <w:r w:rsidR="007C6C0A">
        <w:t xml:space="preserve">livestock and horticultural commodities </w:t>
      </w:r>
      <w:r w:rsidR="0086176E">
        <w:t>exposure</w:t>
      </w:r>
      <w:r>
        <w:t>.</w:t>
      </w:r>
    </w:p>
    <w:p w14:paraId="3E005E85" w14:textId="5C40B468" w:rsidR="0086176E" w:rsidRDefault="0086176E" w:rsidP="00BD2F8D">
      <w:pPr>
        <w:pStyle w:val="Caption"/>
      </w:pPr>
      <w:bookmarkStart w:id="1480" w:name="_Ref213927931"/>
      <w:bookmarkStart w:id="1481" w:name="_Toc213946048"/>
      <w:bookmarkStart w:id="1482" w:name="_Toc216695738"/>
      <w:r>
        <w:t xml:space="preserve">Table </w:t>
      </w:r>
      <w:r>
        <w:fldChar w:fldCharType="begin"/>
      </w:r>
      <w:r>
        <w:instrText xml:space="preserve"> SEQ Table \* ARABIC </w:instrText>
      </w:r>
      <w:r>
        <w:fldChar w:fldCharType="separate"/>
      </w:r>
      <w:r w:rsidR="003861AC">
        <w:rPr>
          <w:noProof/>
        </w:rPr>
        <w:t>76</w:t>
      </w:r>
      <w:r>
        <w:fldChar w:fldCharType="end"/>
      </w:r>
      <w:bookmarkEnd w:id="1480"/>
      <w:r>
        <w:t xml:space="preserve">: Restraint statements for in-field </w:t>
      </w:r>
      <w:r>
        <w:rPr>
          <w:noProof/>
        </w:rPr>
        <w:t>anticoagulant rodentice use</w:t>
      </w:r>
      <w:bookmarkEnd w:id="1481"/>
      <w:bookmarkEnd w:id="1482"/>
    </w:p>
    <w:tbl>
      <w:tblPr>
        <w:tblStyle w:val="TableGrid"/>
        <w:tblW w:w="0" w:type="auto"/>
        <w:tblLook w:val="04A0" w:firstRow="1" w:lastRow="0" w:firstColumn="1" w:lastColumn="0" w:noHBand="0" w:noVBand="1"/>
      </w:tblPr>
      <w:tblGrid>
        <w:gridCol w:w="1413"/>
        <w:gridCol w:w="8215"/>
      </w:tblGrid>
      <w:tr w:rsidR="00CF7D3A" w:rsidRPr="002F5CB3" w14:paraId="2C7DB8EC" w14:textId="77777777" w:rsidTr="0017134F">
        <w:tc>
          <w:tcPr>
            <w:tcW w:w="1413" w:type="dxa"/>
            <w:tcBorders>
              <w:bottom w:val="single" w:sz="4" w:space="0" w:color="auto"/>
            </w:tcBorders>
            <w:shd w:val="clear" w:color="auto" w:fill="53284F"/>
          </w:tcPr>
          <w:p w14:paraId="56654686" w14:textId="77777777" w:rsidR="00CF7D3A" w:rsidRPr="002F5CB3" w:rsidRDefault="00CF7D3A" w:rsidP="00BA7F4F">
            <w:pPr>
              <w:pStyle w:val="TableHead"/>
            </w:pPr>
            <w:r w:rsidRPr="002F5CB3">
              <w:t>Active</w:t>
            </w:r>
          </w:p>
        </w:tc>
        <w:tc>
          <w:tcPr>
            <w:tcW w:w="8215" w:type="dxa"/>
            <w:tcBorders>
              <w:bottom w:val="single" w:sz="4" w:space="0" w:color="auto"/>
            </w:tcBorders>
            <w:shd w:val="clear" w:color="auto" w:fill="53284F"/>
          </w:tcPr>
          <w:p w14:paraId="064F5508" w14:textId="77777777" w:rsidR="00CF7D3A" w:rsidRPr="002F5CB3" w:rsidRDefault="00CF7D3A" w:rsidP="00BA7F4F">
            <w:pPr>
              <w:pStyle w:val="TableHead"/>
            </w:pPr>
            <w:r w:rsidRPr="002F5CB3">
              <w:t>Restraint Statement</w:t>
            </w:r>
            <w:r>
              <w:t>s</w:t>
            </w:r>
          </w:p>
        </w:tc>
      </w:tr>
      <w:tr w:rsidR="00CF7D3A" w:rsidRPr="002F5CB3" w14:paraId="5C3A257D" w14:textId="77777777" w:rsidTr="00BD2F8D">
        <w:tc>
          <w:tcPr>
            <w:tcW w:w="1413" w:type="dxa"/>
            <w:tcBorders>
              <w:left w:val="nil"/>
              <w:right w:val="nil"/>
            </w:tcBorders>
          </w:tcPr>
          <w:p w14:paraId="6E2C053B" w14:textId="77777777" w:rsidR="00CF7D3A" w:rsidRPr="002F5CB3" w:rsidRDefault="00CF7D3A" w:rsidP="00BA7F4F">
            <w:pPr>
              <w:pStyle w:val="TableText"/>
            </w:pPr>
            <w:r w:rsidRPr="002F5CB3">
              <w:t>Coumatetralyl</w:t>
            </w:r>
          </w:p>
        </w:tc>
        <w:tc>
          <w:tcPr>
            <w:tcW w:w="8215" w:type="dxa"/>
            <w:tcBorders>
              <w:left w:val="nil"/>
              <w:right w:val="nil"/>
            </w:tcBorders>
          </w:tcPr>
          <w:p w14:paraId="29D19DEC" w14:textId="295662F8" w:rsidR="00CF7D3A" w:rsidRDefault="00CF7D3A" w:rsidP="00BA7F4F">
            <w:pPr>
              <w:pStyle w:val="TableText"/>
            </w:pPr>
            <w:r w:rsidRPr="002F5CB3">
              <w:t xml:space="preserve">DO NOT place bait in </w:t>
            </w:r>
            <w:r>
              <w:t xml:space="preserve">food crop situations </w:t>
            </w:r>
            <w:r w:rsidRPr="002F5CB3">
              <w:t>unless in</w:t>
            </w:r>
            <w:r>
              <w:t xml:space="preserve"> </w:t>
            </w:r>
            <w:r w:rsidRPr="00F45DBD">
              <w:t>tamper</w:t>
            </w:r>
            <w:r w:rsidR="007C251E">
              <w:t>-</w:t>
            </w:r>
            <w:r>
              <w:t>proof</w:t>
            </w:r>
            <w:r w:rsidRPr="00F45DBD">
              <w:t xml:space="preserve"> and weather</w:t>
            </w:r>
            <w:r w:rsidR="007C251E">
              <w:t>-</w:t>
            </w:r>
            <w:r w:rsidRPr="00F45DBD">
              <w:t xml:space="preserve">resistant </w:t>
            </w:r>
            <w:r w:rsidRPr="002F5CB3">
              <w:t xml:space="preserve">bait stations. </w:t>
            </w:r>
          </w:p>
          <w:p w14:paraId="69A43961" w14:textId="24772D73" w:rsidR="00CF7D3A" w:rsidRPr="002F5CB3" w:rsidRDefault="00CF7D3A" w:rsidP="00BA7F4F">
            <w:pPr>
              <w:pStyle w:val="TableText"/>
            </w:pPr>
            <w:r w:rsidRPr="002F5CB3">
              <w:t xml:space="preserve">DO NOT graze or feed livestock </w:t>
            </w:r>
            <w:r w:rsidR="007C251E">
              <w:t>near</w:t>
            </w:r>
            <w:r w:rsidR="007C251E" w:rsidRPr="002F5CB3">
              <w:t xml:space="preserve"> </w:t>
            </w:r>
            <w:r w:rsidRPr="002F5CB3">
              <w:t>treated areas whilst bait is present.</w:t>
            </w:r>
          </w:p>
        </w:tc>
      </w:tr>
    </w:tbl>
    <w:p w14:paraId="64F2FB2D" w14:textId="5FABBE95" w:rsidR="00A65621" w:rsidRDefault="00D3408D" w:rsidP="00A65621">
      <w:pPr>
        <w:pStyle w:val="NormalText"/>
      </w:pPr>
      <w:r>
        <w:t>The c</w:t>
      </w:r>
      <w:r w:rsidR="00CF7D3A">
        <w:t>ritical comment statements</w:t>
      </w:r>
      <w:r>
        <w:t xml:space="preserve"> </w:t>
      </w:r>
      <w:r w:rsidR="00A901E1">
        <w:t>in</w:t>
      </w:r>
      <w:r w:rsidR="00CF7D3A">
        <w:t xml:space="preserve"> </w:t>
      </w:r>
      <w:r>
        <w:fldChar w:fldCharType="begin"/>
      </w:r>
      <w:r>
        <w:instrText xml:space="preserve"> REF _Ref213927984 \h </w:instrText>
      </w:r>
      <w:r>
        <w:fldChar w:fldCharType="separate"/>
      </w:r>
      <w:r w:rsidR="003861AC">
        <w:t xml:space="preserve">Table </w:t>
      </w:r>
      <w:r w:rsidR="003861AC">
        <w:rPr>
          <w:noProof/>
        </w:rPr>
        <w:t>77</w:t>
      </w:r>
      <w:r>
        <w:fldChar w:fldCharType="end"/>
      </w:r>
      <w:r>
        <w:t xml:space="preserve"> </w:t>
      </w:r>
      <w:r w:rsidR="00CF7D3A">
        <w:t>are recommended to be applied to all products for commercial use containing the listed active to reduce the risk of exposure to livestock and horticultural commodities when used for in-field applications</w:t>
      </w:r>
      <w:r>
        <w:t>.</w:t>
      </w:r>
      <w:r w:rsidR="00A65621" w:rsidRPr="00A65621">
        <w:t xml:space="preserve"> </w:t>
      </w:r>
      <w:r w:rsidR="00BA5BE3">
        <w:t xml:space="preserve">This includes amendments to the </w:t>
      </w:r>
      <w:r w:rsidR="00A65621">
        <w:t xml:space="preserve">critical comments </w:t>
      </w:r>
      <w:r w:rsidR="00BA5BE3">
        <w:t>for</w:t>
      </w:r>
      <w:r w:rsidR="007647EC">
        <w:t xml:space="preserve"> use in</w:t>
      </w:r>
      <w:r w:rsidR="00BA5BE3">
        <w:t xml:space="preserve"> macadamia</w:t>
      </w:r>
      <w:r w:rsidR="007647EC">
        <w:t xml:space="preserve"> crops</w:t>
      </w:r>
      <w:r w:rsidR="00BA5BE3">
        <w:t xml:space="preserve">, noting that the critical comments in </w:t>
      </w:r>
      <w:r w:rsidR="00BA5BE3">
        <w:fldChar w:fldCharType="begin"/>
      </w:r>
      <w:r w:rsidR="00BA5BE3">
        <w:instrText xml:space="preserve"> REF _Ref207105721 \h </w:instrText>
      </w:r>
      <w:r w:rsidR="00BA5BE3">
        <w:fldChar w:fldCharType="separate"/>
      </w:r>
      <w:r w:rsidR="003861AC">
        <w:t xml:space="preserve">Table </w:t>
      </w:r>
      <w:r w:rsidR="003861AC">
        <w:rPr>
          <w:noProof/>
        </w:rPr>
        <w:t>75</w:t>
      </w:r>
      <w:r w:rsidR="00BA5BE3">
        <w:fldChar w:fldCharType="end"/>
      </w:r>
      <w:r w:rsidR="00BA5BE3">
        <w:t xml:space="preserve"> </w:t>
      </w:r>
      <w:r w:rsidR="00A65621">
        <w:t>conflict with the product instructions for macadamia, which allow the placement of bait stations within the crop. From a residues and trade perspective, this placement is</w:t>
      </w:r>
      <w:r w:rsidR="00BA5BE3">
        <w:t xml:space="preserve"> of bait stations within the crop</w:t>
      </w:r>
      <w:r w:rsidR="00A65621">
        <w:t xml:space="preserve"> acceptable, but the bait must not come into </w:t>
      </w:r>
      <w:r w:rsidR="00A65621" w:rsidRPr="00593250">
        <w:t xml:space="preserve">direct contact with </w:t>
      </w:r>
      <w:r w:rsidR="00A65621">
        <w:t>the food commodity (i.e.</w:t>
      </w:r>
      <w:r w:rsidR="00D63DEA">
        <w:t>,</w:t>
      </w:r>
      <w:r w:rsidR="00A65621">
        <w:t xml:space="preserve"> macadamia nut), the crop (i.e.</w:t>
      </w:r>
      <w:r w:rsidR="00D63DEA">
        <w:t>,</w:t>
      </w:r>
      <w:r w:rsidR="00A65621">
        <w:t xml:space="preserve"> parts of the tree),</w:t>
      </w:r>
      <w:r w:rsidR="00A65621" w:rsidRPr="00593250">
        <w:t xml:space="preserve"> or</w:t>
      </w:r>
      <w:r w:rsidR="00A65621">
        <w:t xml:space="preserve"> the </w:t>
      </w:r>
      <w:r w:rsidR="00A65621" w:rsidRPr="00593250">
        <w:t xml:space="preserve">soil in which </w:t>
      </w:r>
      <w:r w:rsidR="00A65621">
        <w:t xml:space="preserve">the </w:t>
      </w:r>
      <w:r w:rsidR="00A65621" w:rsidRPr="00593250">
        <w:t>crops are grown.</w:t>
      </w:r>
    </w:p>
    <w:p w14:paraId="19604302" w14:textId="589AD57F" w:rsidR="00CF7D3A" w:rsidRDefault="00CF7D3A" w:rsidP="00377F3A">
      <w:pPr>
        <w:pStyle w:val="NormalText"/>
      </w:pPr>
    </w:p>
    <w:p w14:paraId="7CE0CDED" w14:textId="2B0D916E" w:rsidR="0086176E" w:rsidRDefault="0086176E" w:rsidP="00BD2F8D">
      <w:pPr>
        <w:pStyle w:val="Caption"/>
      </w:pPr>
      <w:bookmarkStart w:id="1483" w:name="_Ref213927984"/>
      <w:bookmarkStart w:id="1484" w:name="_Toc213946049"/>
      <w:bookmarkStart w:id="1485" w:name="_Toc216695739"/>
      <w:r>
        <w:lastRenderedPageBreak/>
        <w:t xml:space="preserve">Table </w:t>
      </w:r>
      <w:r>
        <w:fldChar w:fldCharType="begin"/>
      </w:r>
      <w:r>
        <w:instrText xml:space="preserve"> SEQ Table \* ARABIC </w:instrText>
      </w:r>
      <w:r>
        <w:fldChar w:fldCharType="separate"/>
      </w:r>
      <w:r w:rsidR="003861AC">
        <w:rPr>
          <w:noProof/>
        </w:rPr>
        <w:t>77</w:t>
      </w:r>
      <w:r>
        <w:fldChar w:fldCharType="end"/>
      </w:r>
      <w:bookmarkEnd w:id="1483"/>
      <w:r>
        <w:t>: Critical comment statements for in-field anticoagulant rodenticide use</w:t>
      </w:r>
      <w:bookmarkEnd w:id="1484"/>
      <w:bookmarkEnd w:id="1485"/>
    </w:p>
    <w:tbl>
      <w:tblPr>
        <w:tblStyle w:val="TableGrid"/>
        <w:tblW w:w="0" w:type="auto"/>
        <w:tblLook w:val="04A0" w:firstRow="1" w:lastRow="0" w:firstColumn="1" w:lastColumn="0" w:noHBand="0" w:noVBand="1"/>
      </w:tblPr>
      <w:tblGrid>
        <w:gridCol w:w="1413"/>
        <w:gridCol w:w="8215"/>
      </w:tblGrid>
      <w:tr w:rsidR="00CF7D3A" w:rsidRPr="002F5CB3" w14:paraId="79EBB7C5" w14:textId="77777777" w:rsidTr="0017134F">
        <w:tc>
          <w:tcPr>
            <w:tcW w:w="1413" w:type="dxa"/>
            <w:tcBorders>
              <w:bottom w:val="single" w:sz="4" w:space="0" w:color="auto"/>
            </w:tcBorders>
            <w:shd w:val="clear" w:color="auto" w:fill="53284F"/>
          </w:tcPr>
          <w:p w14:paraId="1CF7684A" w14:textId="77777777" w:rsidR="00CF7D3A" w:rsidRPr="002F5CB3" w:rsidRDefault="00CF7D3A" w:rsidP="00BA7F4F">
            <w:pPr>
              <w:pStyle w:val="TableHead"/>
            </w:pPr>
            <w:r w:rsidRPr="002F5CB3">
              <w:t>Active</w:t>
            </w:r>
          </w:p>
        </w:tc>
        <w:tc>
          <w:tcPr>
            <w:tcW w:w="8215" w:type="dxa"/>
            <w:tcBorders>
              <w:bottom w:val="single" w:sz="4" w:space="0" w:color="auto"/>
            </w:tcBorders>
            <w:shd w:val="clear" w:color="auto" w:fill="53284F"/>
          </w:tcPr>
          <w:p w14:paraId="5A689A13" w14:textId="77777777" w:rsidR="00CF7D3A" w:rsidRPr="002F5CB3" w:rsidRDefault="00CF7D3A" w:rsidP="00BA7F4F">
            <w:pPr>
              <w:pStyle w:val="TableHead"/>
            </w:pPr>
            <w:r>
              <w:t>Critical Comments</w:t>
            </w:r>
          </w:p>
        </w:tc>
      </w:tr>
      <w:tr w:rsidR="00CF7D3A" w:rsidRPr="002F5CB3" w14:paraId="56196323" w14:textId="77777777" w:rsidTr="00BD2F8D">
        <w:tc>
          <w:tcPr>
            <w:tcW w:w="1413" w:type="dxa"/>
            <w:tcBorders>
              <w:left w:val="nil"/>
              <w:right w:val="nil"/>
            </w:tcBorders>
          </w:tcPr>
          <w:p w14:paraId="62F5FDD8" w14:textId="77777777" w:rsidR="00CF7D3A" w:rsidRPr="002F5CB3" w:rsidRDefault="00CF7D3A" w:rsidP="00BA7F4F">
            <w:pPr>
              <w:pStyle w:val="TableText"/>
            </w:pPr>
            <w:r w:rsidRPr="002F5CB3">
              <w:t>Coumatetralyl</w:t>
            </w:r>
          </w:p>
        </w:tc>
        <w:tc>
          <w:tcPr>
            <w:tcW w:w="8215" w:type="dxa"/>
            <w:tcBorders>
              <w:left w:val="nil"/>
              <w:right w:val="nil"/>
            </w:tcBorders>
          </w:tcPr>
          <w:p w14:paraId="12183C49" w14:textId="6BDBF705" w:rsidR="00CF7D3A" w:rsidRDefault="00CF7D3A" w:rsidP="00BA7F4F">
            <w:pPr>
              <w:pStyle w:val="TableText"/>
            </w:pPr>
            <w:r w:rsidRPr="005B505F">
              <w:t>Use in tamper</w:t>
            </w:r>
            <w:r w:rsidR="007C251E">
              <w:t>-</w:t>
            </w:r>
            <w:r>
              <w:t>proof and weather</w:t>
            </w:r>
            <w:r w:rsidR="007C251E">
              <w:t>-</w:t>
            </w:r>
            <w:r>
              <w:t>resistant</w:t>
            </w:r>
            <w:r w:rsidRPr="005B505F">
              <w:t xml:space="preserve"> bait stations only. </w:t>
            </w:r>
            <w:r>
              <w:t>B</w:t>
            </w:r>
            <w:r w:rsidRPr="005B505F">
              <w:t xml:space="preserve">ait stations </w:t>
            </w:r>
            <w:r>
              <w:t xml:space="preserve">must be fixed </w:t>
            </w:r>
            <w:r w:rsidRPr="005B505F">
              <w:t xml:space="preserve">to the </w:t>
            </w:r>
            <w:r w:rsidRPr="00321BCE">
              <w:t>ground</w:t>
            </w:r>
            <w:r w:rsidRPr="005B505F">
              <w:t xml:space="preserve"> or other structures</w:t>
            </w:r>
            <w:r>
              <w:t xml:space="preserve"> so as to prevent mobility</w:t>
            </w:r>
            <w:r w:rsidRPr="005B505F">
              <w:t>.</w:t>
            </w:r>
          </w:p>
          <w:p w14:paraId="46CD76D0" w14:textId="4C4AE8BD" w:rsidR="00CF7D3A" w:rsidRPr="00755C92" w:rsidRDefault="00CF7D3A" w:rsidP="00BA7F4F">
            <w:pPr>
              <w:pStyle w:val="TableText"/>
            </w:pPr>
            <w:r w:rsidRPr="00755C92">
              <w:t>The bait material must be placed in a bait station</w:t>
            </w:r>
            <w:r w:rsidR="007C251E">
              <w:t>. B</w:t>
            </w:r>
            <w:r>
              <w:t>ait</w:t>
            </w:r>
            <w:r w:rsidRPr="00755C92">
              <w:t xml:space="preserve"> </w:t>
            </w:r>
            <w:r w:rsidR="007C251E">
              <w:t xml:space="preserve">must </w:t>
            </w:r>
            <w:r w:rsidRPr="00755C92">
              <w:t xml:space="preserve">not </w:t>
            </w:r>
            <w:r w:rsidR="007C251E">
              <w:t xml:space="preserve">come </w:t>
            </w:r>
            <w:r w:rsidRPr="00755C92">
              <w:t>in</w:t>
            </w:r>
            <w:r w:rsidR="007C251E">
              <w:t>to</w:t>
            </w:r>
            <w:r w:rsidRPr="00755C92">
              <w:t xml:space="preserve"> direct contact with </w:t>
            </w:r>
            <w:r w:rsidRPr="00593250">
              <w:t>crops, food products or soil in which crops</w:t>
            </w:r>
            <w:r>
              <w:t xml:space="preserve"> are grown.</w:t>
            </w:r>
          </w:p>
          <w:p w14:paraId="5353EF8A" w14:textId="77777777" w:rsidR="00CF7D3A" w:rsidRPr="00755C92" w:rsidRDefault="00CF7D3A" w:rsidP="00BA7F4F">
            <w:pPr>
              <w:pStyle w:val="TableText"/>
            </w:pPr>
            <w:r w:rsidRPr="00755C92">
              <w:t>Locate bait stations around crop perimeters</w:t>
            </w:r>
            <w:r>
              <w:t xml:space="preserve"> </w:t>
            </w:r>
            <w:r w:rsidRPr="00455D09">
              <w:t>or in the outer 3 rows for macadamia</w:t>
            </w:r>
            <w:r>
              <w:t xml:space="preserve"> cropping</w:t>
            </w:r>
            <w:r w:rsidRPr="00755C92">
              <w:t xml:space="preserve"> (particularly between the crop and grassy or bush habitats), near obvious rat runs, and/or close to known rat hiding spots such as stumps, rocks, logs or burrows.</w:t>
            </w:r>
          </w:p>
        </w:tc>
      </w:tr>
    </w:tbl>
    <w:p w14:paraId="4F92DDDB" w14:textId="68E18AB2" w:rsidR="005A5F25" w:rsidRDefault="00CF7D3A" w:rsidP="00377F3A">
      <w:pPr>
        <w:pStyle w:val="Heading3"/>
      </w:pPr>
      <w:bookmarkStart w:id="1486" w:name="_Toc214025578"/>
      <w:bookmarkStart w:id="1487" w:name="_Toc216695613"/>
      <w:r w:rsidRPr="000F0FB8">
        <w:t>In and around buildings</w:t>
      </w:r>
      <w:bookmarkEnd w:id="1487"/>
    </w:p>
    <w:p w14:paraId="24BD7635" w14:textId="625E1D31" w:rsidR="00CF7D3A" w:rsidRPr="000F0FB8" w:rsidRDefault="00CF7D3A" w:rsidP="0028097C">
      <w:pPr>
        <w:pStyle w:val="Heading4"/>
      </w:pPr>
      <w:r w:rsidRPr="000F0FB8">
        <w:t>Livestock and poultry housing, food and feed preparation areas</w:t>
      </w:r>
      <w:bookmarkEnd w:id="1486"/>
    </w:p>
    <w:p w14:paraId="251A271B" w14:textId="5DEDA76F" w:rsidR="00716611" w:rsidRDefault="00CF7D3A" w:rsidP="00377F3A">
      <w:pPr>
        <w:pStyle w:val="NormalText"/>
      </w:pPr>
      <w:r>
        <w:t xml:space="preserve">All </w:t>
      </w:r>
      <w:r w:rsidR="00BA5BE3">
        <w:t xml:space="preserve">anticoagulant </w:t>
      </w:r>
      <w:r>
        <w:t>rodenticides are registered for use in and around buildings</w:t>
      </w:r>
      <w:r w:rsidR="00BA5BE3">
        <w:t xml:space="preserve">. The use of rodenticides in and around agricultural buildings </w:t>
      </w:r>
      <w:r w:rsidR="00A901E1">
        <w:t>is the use scenario that poses the</w:t>
      </w:r>
      <w:r w:rsidR="00E55825">
        <w:t xml:space="preserve"> </w:t>
      </w:r>
      <w:r w:rsidR="00627072">
        <w:t>greatest risk of entering the human food chain</w:t>
      </w:r>
      <w:r w:rsidR="00051855">
        <w:t xml:space="preserve">. This includes use in and around </w:t>
      </w:r>
      <w:r w:rsidR="00051855" w:rsidRPr="00051855">
        <w:t>animal husbandry facilities such as stables, milking parlours, cow sheds, poultry sheds, pig arks, and any building concerned in the storage, preparation, distribution, sale or consumption of food.</w:t>
      </w:r>
    </w:p>
    <w:p w14:paraId="1C7B5369" w14:textId="41C969BB" w:rsidR="00716611" w:rsidRDefault="005A5F25" w:rsidP="00716611">
      <w:pPr>
        <w:pStyle w:val="NormalText"/>
      </w:pPr>
      <w:r>
        <w:t xml:space="preserve">The potential for contamination in these situations has been historically evident, as </w:t>
      </w:r>
      <w:r w:rsidR="00716611">
        <w:t xml:space="preserve">the APVMA was </w:t>
      </w:r>
      <w:r w:rsidR="00877C13">
        <w:t>notified</w:t>
      </w:r>
      <w:r w:rsidR="00716611">
        <w:t xml:space="preserve"> that low levels of warfarin and coumatetralyl had been detected in pig livers</w:t>
      </w:r>
      <w:r>
        <w:t xml:space="preserve"> in 2015</w:t>
      </w:r>
      <w:r w:rsidR="00716611">
        <w:t>. In response, the APVMA in coordination with Food Standard Australian New Zealand (FSANZ) and the Department of Agriculture established temporary MRLs for both actives (</w:t>
      </w:r>
      <w:r w:rsidR="00716611" w:rsidRPr="00506812">
        <w:t>Gazette No. 8, 21 April 2015</w:t>
      </w:r>
      <w:r w:rsidR="00716611">
        <w:t>, Amendment instrument 2015 (No.3)</w:t>
      </w:r>
      <w:r w:rsidR="00716611">
        <w:rPr>
          <w:rStyle w:val="FootnoteReference"/>
        </w:rPr>
        <w:footnoteReference w:id="17"/>
      </w:r>
      <w:r w:rsidR="00716611">
        <w:t>. A working group was set up and an industry best-practice standard developed</w:t>
      </w:r>
      <w:r w:rsidR="00716611">
        <w:rPr>
          <w:rStyle w:val="FootnoteReference"/>
        </w:rPr>
        <w:footnoteReference w:id="18"/>
      </w:r>
      <w:r w:rsidR="00716611">
        <w:t>. Stat</w:t>
      </w:r>
      <w:r w:rsidR="00716611" w:rsidRPr="004665E3">
        <w:t xml:space="preserve">e and </w:t>
      </w:r>
      <w:r w:rsidR="00716611">
        <w:t>T</w:t>
      </w:r>
      <w:r w:rsidR="00716611" w:rsidRPr="004665E3">
        <w:t>erritory governments introduc</w:t>
      </w:r>
      <w:r w:rsidR="00716611">
        <w:t>ed</w:t>
      </w:r>
      <w:r w:rsidR="00716611" w:rsidRPr="004665E3">
        <w:t xml:space="preserve"> PigPass</w:t>
      </w:r>
      <w:r w:rsidR="00716611">
        <w:t xml:space="preserve">, a </w:t>
      </w:r>
      <w:r w:rsidR="00716611" w:rsidRPr="004665E3">
        <w:t xml:space="preserve">mandatory reporting </w:t>
      </w:r>
      <w:r w:rsidR="00716611">
        <w:t xml:space="preserve">program designed to ensure </w:t>
      </w:r>
      <w:r w:rsidR="00716611" w:rsidRPr="004665E3">
        <w:t>the transport of pigs meets agreed industry and government standards relating to food safety, welfare</w:t>
      </w:r>
      <w:r w:rsidR="00716611">
        <w:t xml:space="preserve"> standards, and animal disease control</w:t>
      </w:r>
      <w:r w:rsidR="00716611" w:rsidRPr="004665E3">
        <w:t>.</w:t>
      </w:r>
      <w:r w:rsidR="00716611">
        <w:t xml:space="preserve"> The APVMA is not aware of further detections or incidents related to warfarin or coumatetralyl in pigs.</w:t>
      </w:r>
    </w:p>
    <w:p w14:paraId="6BAA7EB1" w14:textId="3802DC49" w:rsidR="00716611" w:rsidRDefault="00D6226E" w:rsidP="00716611">
      <w:pPr>
        <w:pStyle w:val="NormalText"/>
      </w:pPr>
      <w:r>
        <w:t>T</w:t>
      </w:r>
      <w:r w:rsidR="00627072">
        <w:t>he following restrain</w:t>
      </w:r>
      <w:r w:rsidR="00E55825">
        <w:t>t</w:t>
      </w:r>
      <w:r w:rsidR="00627072">
        <w:t xml:space="preserve"> statements </w:t>
      </w:r>
      <w:r>
        <w:t xml:space="preserve">are recommended </w:t>
      </w:r>
      <w:r w:rsidR="00CF7D3A">
        <w:t>be applied to all products containing the listed actives.</w:t>
      </w:r>
      <w:r w:rsidR="00716611" w:rsidRPr="00716611">
        <w:t xml:space="preserve"> </w:t>
      </w:r>
      <w:r w:rsidR="00716611">
        <w:t xml:space="preserve">When the restraints and critical comments proposed are followed, and industry best practices applied, residues of first- and second-generation rodenticides should not occur in livestock or poultry feeds, or animal commodities including meat, offal, milk, and eggs. </w:t>
      </w:r>
    </w:p>
    <w:p w14:paraId="4D811EC2" w14:textId="144242BF" w:rsidR="0086176E" w:rsidRDefault="0086176E" w:rsidP="00BD2F8D">
      <w:pPr>
        <w:pStyle w:val="Caption"/>
      </w:pPr>
      <w:bookmarkStart w:id="1488" w:name="_Toc213946050"/>
      <w:bookmarkStart w:id="1489" w:name="_Toc216695740"/>
      <w:r>
        <w:lastRenderedPageBreak/>
        <w:t xml:space="preserve">Table </w:t>
      </w:r>
      <w:r>
        <w:fldChar w:fldCharType="begin"/>
      </w:r>
      <w:r>
        <w:instrText xml:space="preserve"> SEQ Table \* ARABIC </w:instrText>
      </w:r>
      <w:r>
        <w:fldChar w:fldCharType="separate"/>
      </w:r>
      <w:r w:rsidR="003861AC">
        <w:rPr>
          <w:noProof/>
        </w:rPr>
        <w:t>78</w:t>
      </w:r>
      <w:r>
        <w:fldChar w:fldCharType="end"/>
      </w:r>
      <w:r>
        <w:t>: Restraint statements for anticoagulant rodenticide use</w:t>
      </w:r>
      <w:r w:rsidR="00083AA0">
        <w:t xml:space="preserve"> in and around buildings</w:t>
      </w:r>
      <w:bookmarkEnd w:id="1488"/>
      <w:bookmarkEnd w:id="1489"/>
    </w:p>
    <w:tbl>
      <w:tblPr>
        <w:tblStyle w:val="TableGrid"/>
        <w:tblW w:w="0" w:type="auto"/>
        <w:tblLook w:val="04A0" w:firstRow="1" w:lastRow="0" w:firstColumn="1" w:lastColumn="0" w:noHBand="0" w:noVBand="1"/>
      </w:tblPr>
      <w:tblGrid>
        <w:gridCol w:w="1413"/>
        <w:gridCol w:w="8215"/>
      </w:tblGrid>
      <w:tr w:rsidR="00CF7D3A" w:rsidRPr="002F5CB3" w14:paraId="1F8CA814" w14:textId="77777777" w:rsidTr="0017134F">
        <w:trPr>
          <w:cantSplit/>
          <w:tblHeader/>
        </w:trPr>
        <w:tc>
          <w:tcPr>
            <w:tcW w:w="1413" w:type="dxa"/>
            <w:tcBorders>
              <w:bottom w:val="single" w:sz="4" w:space="0" w:color="auto"/>
            </w:tcBorders>
            <w:shd w:val="clear" w:color="auto" w:fill="53284F"/>
          </w:tcPr>
          <w:p w14:paraId="10441B74" w14:textId="77777777" w:rsidR="00CF7D3A" w:rsidRPr="002F5CB3" w:rsidRDefault="00CF7D3A" w:rsidP="00BA7F4F">
            <w:pPr>
              <w:pStyle w:val="TableHead"/>
            </w:pPr>
            <w:r w:rsidRPr="002F5CB3">
              <w:t>Active</w:t>
            </w:r>
          </w:p>
        </w:tc>
        <w:tc>
          <w:tcPr>
            <w:tcW w:w="8215" w:type="dxa"/>
            <w:tcBorders>
              <w:right w:val="nil"/>
            </w:tcBorders>
            <w:shd w:val="clear" w:color="auto" w:fill="53284F"/>
          </w:tcPr>
          <w:p w14:paraId="1FDDEAFD" w14:textId="77777777" w:rsidR="00CF7D3A" w:rsidRPr="002F5CB3" w:rsidRDefault="00CF7D3A" w:rsidP="00BA7F4F">
            <w:pPr>
              <w:pStyle w:val="TableHead"/>
            </w:pPr>
            <w:r w:rsidRPr="002F5CB3">
              <w:t>Restraint Statement</w:t>
            </w:r>
            <w:r>
              <w:t>s</w:t>
            </w:r>
          </w:p>
        </w:tc>
      </w:tr>
      <w:tr w:rsidR="00CF7D3A" w:rsidRPr="002F5CB3" w14:paraId="7D316B08" w14:textId="77777777" w:rsidTr="008E69B6">
        <w:trPr>
          <w:cantSplit/>
          <w:tblHeader/>
        </w:trPr>
        <w:tc>
          <w:tcPr>
            <w:tcW w:w="1413" w:type="dxa"/>
            <w:tcBorders>
              <w:left w:val="nil"/>
              <w:right w:val="nil"/>
            </w:tcBorders>
          </w:tcPr>
          <w:p w14:paraId="7218DBA2" w14:textId="77777777" w:rsidR="00CF7D3A" w:rsidRPr="002F5CB3" w:rsidRDefault="00CF7D3A" w:rsidP="00BA7F4F">
            <w:pPr>
              <w:pStyle w:val="TableText"/>
            </w:pPr>
            <w:r w:rsidRPr="002F5CB3">
              <w:t>Coumatetralyl</w:t>
            </w:r>
          </w:p>
        </w:tc>
        <w:tc>
          <w:tcPr>
            <w:tcW w:w="8215" w:type="dxa"/>
            <w:vMerge w:val="restart"/>
            <w:tcBorders>
              <w:left w:val="nil"/>
              <w:right w:val="nil"/>
            </w:tcBorders>
          </w:tcPr>
          <w:p w14:paraId="3EAEC3EC" w14:textId="77777777" w:rsidR="00CF7D3A" w:rsidRDefault="00CF7D3A" w:rsidP="00BA7F4F">
            <w:pPr>
              <w:pStyle w:val="TableText"/>
            </w:pPr>
            <w:r w:rsidRPr="00755C92">
              <w:t>DO NOT place bait in areas where there is a possibility of contaminating food, livestock feed or surfaces that come in direct contact with food</w:t>
            </w:r>
            <w:r>
              <w:t xml:space="preserve"> or livestock feed</w:t>
            </w:r>
            <w:r w:rsidRPr="00755C92">
              <w:t>.</w:t>
            </w:r>
          </w:p>
          <w:p w14:paraId="519F0821" w14:textId="77777777" w:rsidR="00CF7D3A" w:rsidRDefault="00CF7D3A" w:rsidP="00BA7F4F">
            <w:pPr>
              <w:pStyle w:val="TableText"/>
            </w:pPr>
            <w:r w:rsidRPr="00755C92">
              <w:t>DO NOT place baits in locations that are accessible to domestic animals, livestock, non-target native animals or birds</w:t>
            </w:r>
            <w:r>
              <w:t>.</w:t>
            </w:r>
          </w:p>
          <w:p w14:paraId="5D07BA32" w14:textId="77777777" w:rsidR="00CF7D3A" w:rsidRDefault="00CF7D3A" w:rsidP="00BA7F4F">
            <w:pPr>
              <w:pStyle w:val="TableText"/>
            </w:pPr>
            <w:r>
              <w:t xml:space="preserve">DO NOT place in animal or livestock housing unless used in </w:t>
            </w:r>
            <w:r w:rsidRPr="00F45DBD">
              <w:t>tamper</w:t>
            </w:r>
            <w:r>
              <w:t xml:space="preserve"> proof</w:t>
            </w:r>
            <w:r w:rsidRPr="00F45DBD">
              <w:t xml:space="preserve"> and weather resistant </w:t>
            </w:r>
            <w:r w:rsidRPr="00F011AE">
              <w:t>bait station</w:t>
            </w:r>
            <w:r>
              <w:t>s</w:t>
            </w:r>
            <w:r w:rsidRPr="00F011AE">
              <w:t xml:space="preserve"> fixed to the ground or other structures.</w:t>
            </w:r>
          </w:p>
          <w:p w14:paraId="0C7EF2B3" w14:textId="77777777" w:rsidR="00CF7D3A" w:rsidRPr="002F5CB3" w:rsidRDefault="00CF7D3A" w:rsidP="00BA7F4F">
            <w:pPr>
              <w:pStyle w:val="TableText"/>
            </w:pPr>
            <w:r w:rsidRPr="00077B52">
              <w:t xml:space="preserve">DO NOT </w:t>
            </w:r>
            <w:r>
              <w:t xml:space="preserve">place bait or bait stations above areas which would </w:t>
            </w:r>
            <w:r w:rsidRPr="00077B52">
              <w:t xml:space="preserve">allow </w:t>
            </w:r>
            <w:r>
              <w:t xml:space="preserve">them </w:t>
            </w:r>
            <w:r w:rsidRPr="00077B52">
              <w:t>to contaminate pig and poultry food</w:t>
            </w:r>
            <w:r>
              <w:t xml:space="preserve"> or drinking water</w:t>
            </w:r>
            <w:r w:rsidRPr="00077B52">
              <w:t>.</w:t>
            </w:r>
          </w:p>
        </w:tc>
      </w:tr>
      <w:tr w:rsidR="00CF7D3A" w:rsidRPr="002F5CB3" w14:paraId="3D9C3744" w14:textId="77777777" w:rsidTr="008E69B6">
        <w:trPr>
          <w:cantSplit/>
          <w:tblHeader/>
        </w:trPr>
        <w:tc>
          <w:tcPr>
            <w:tcW w:w="1413" w:type="dxa"/>
            <w:tcBorders>
              <w:left w:val="nil"/>
              <w:right w:val="nil"/>
            </w:tcBorders>
          </w:tcPr>
          <w:p w14:paraId="6BE3FFF9" w14:textId="77777777" w:rsidR="00CF7D3A" w:rsidRPr="002F5CB3" w:rsidRDefault="00CF7D3A" w:rsidP="00BA7F4F">
            <w:pPr>
              <w:pStyle w:val="TableText"/>
            </w:pPr>
            <w:r w:rsidRPr="002F5CB3">
              <w:t>Diphacinone</w:t>
            </w:r>
          </w:p>
        </w:tc>
        <w:tc>
          <w:tcPr>
            <w:tcW w:w="8215" w:type="dxa"/>
            <w:vMerge/>
            <w:tcBorders>
              <w:left w:val="nil"/>
              <w:right w:val="nil"/>
            </w:tcBorders>
          </w:tcPr>
          <w:p w14:paraId="24DFED38" w14:textId="77777777" w:rsidR="00CF7D3A" w:rsidRPr="002F5CB3" w:rsidRDefault="00CF7D3A" w:rsidP="00BD2F8D">
            <w:pPr>
              <w:keepNext/>
              <w:spacing w:after="0"/>
              <w:rPr>
                <w:sz w:val="20"/>
                <w:szCs w:val="20"/>
              </w:rPr>
            </w:pPr>
          </w:p>
        </w:tc>
      </w:tr>
      <w:tr w:rsidR="00CF7D3A" w:rsidRPr="002F5CB3" w14:paraId="41173124" w14:textId="77777777" w:rsidTr="008E69B6">
        <w:trPr>
          <w:cantSplit/>
          <w:tblHeader/>
        </w:trPr>
        <w:tc>
          <w:tcPr>
            <w:tcW w:w="1413" w:type="dxa"/>
            <w:tcBorders>
              <w:left w:val="nil"/>
              <w:right w:val="nil"/>
            </w:tcBorders>
          </w:tcPr>
          <w:p w14:paraId="2D00EED7" w14:textId="77777777" w:rsidR="00CF7D3A" w:rsidRPr="002F5CB3" w:rsidRDefault="00CF7D3A" w:rsidP="00BA7F4F">
            <w:pPr>
              <w:pStyle w:val="TableText"/>
            </w:pPr>
            <w:r w:rsidRPr="002F5CB3">
              <w:t>Warfarin</w:t>
            </w:r>
          </w:p>
        </w:tc>
        <w:tc>
          <w:tcPr>
            <w:tcW w:w="8215" w:type="dxa"/>
            <w:vMerge/>
            <w:tcBorders>
              <w:left w:val="nil"/>
              <w:right w:val="nil"/>
            </w:tcBorders>
          </w:tcPr>
          <w:p w14:paraId="17D77E5B" w14:textId="77777777" w:rsidR="00CF7D3A" w:rsidRPr="002F5CB3" w:rsidRDefault="00CF7D3A" w:rsidP="00BD2F8D">
            <w:pPr>
              <w:keepNext/>
              <w:spacing w:after="0"/>
              <w:rPr>
                <w:sz w:val="20"/>
                <w:szCs w:val="20"/>
              </w:rPr>
            </w:pPr>
          </w:p>
        </w:tc>
      </w:tr>
      <w:tr w:rsidR="00CF7D3A" w:rsidRPr="002F5CB3" w14:paraId="25D0FA0A" w14:textId="77777777" w:rsidTr="008E69B6">
        <w:trPr>
          <w:cantSplit/>
          <w:tblHeader/>
        </w:trPr>
        <w:tc>
          <w:tcPr>
            <w:tcW w:w="1413" w:type="dxa"/>
            <w:tcBorders>
              <w:left w:val="nil"/>
              <w:right w:val="nil"/>
            </w:tcBorders>
          </w:tcPr>
          <w:p w14:paraId="31C501E1" w14:textId="77777777" w:rsidR="00CF7D3A" w:rsidRPr="002F5CB3" w:rsidRDefault="00CF7D3A" w:rsidP="00BA7F4F">
            <w:pPr>
              <w:pStyle w:val="TableText"/>
            </w:pPr>
            <w:r w:rsidRPr="002F5CB3">
              <w:t>Brodifacoum</w:t>
            </w:r>
          </w:p>
        </w:tc>
        <w:tc>
          <w:tcPr>
            <w:tcW w:w="8215" w:type="dxa"/>
            <w:vMerge/>
            <w:tcBorders>
              <w:left w:val="nil"/>
              <w:right w:val="nil"/>
            </w:tcBorders>
          </w:tcPr>
          <w:p w14:paraId="6DE5D95F" w14:textId="77777777" w:rsidR="00CF7D3A" w:rsidRPr="002F5CB3" w:rsidRDefault="00CF7D3A" w:rsidP="00BD2F8D">
            <w:pPr>
              <w:keepNext/>
              <w:spacing w:after="0"/>
              <w:rPr>
                <w:sz w:val="20"/>
                <w:szCs w:val="20"/>
              </w:rPr>
            </w:pPr>
          </w:p>
        </w:tc>
      </w:tr>
      <w:tr w:rsidR="00CF7D3A" w:rsidRPr="002F5CB3" w14:paraId="7301F5FD" w14:textId="77777777" w:rsidTr="008E69B6">
        <w:trPr>
          <w:cantSplit/>
          <w:tblHeader/>
        </w:trPr>
        <w:tc>
          <w:tcPr>
            <w:tcW w:w="1413" w:type="dxa"/>
            <w:tcBorders>
              <w:left w:val="nil"/>
              <w:right w:val="nil"/>
            </w:tcBorders>
          </w:tcPr>
          <w:p w14:paraId="5D151418" w14:textId="77777777" w:rsidR="00CF7D3A" w:rsidRPr="002F5CB3" w:rsidRDefault="00CF7D3A" w:rsidP="00BA7F4F">
            <w:pPr>
              <w:pStyle w:val="TableText"/>
            </w:pPr>
            <w:r w:rsidRPr="002F5CB3">
              <w:t>Bromadiolone</w:t>
            </w:r>
          </w:p>
        </w:tc>
        <w:tc>
          <w:tcPr>
            <w:tcW w:w="8215" w:type="dxa"/>
            <w:vMerge/>
            <w:tcBorders>
              <w:left w:val="nil"/>
              <w:right w:val="nil"/>
            </w:tcBorders>
          </w:tcPr>
          <w:p w14:paraId="0CB0BAFB" w14:textId="77777777" w:rsidR="00CF7D3A" w:rsidRPr="002F5CB3" w:rsidRDefault="00CF7D3A" w:rsidP="00BD2F8D">
            <w:pPr>
              <w:keepNext/>
              <w:spacing w:after="0"/>
              <w:rPr>
                <w:sz w:val="20"/>
                <w:szCs w:val="20"/>
              </w:rPr>
            </w:pPr>
          </w:p>
        </w:tc>
      </w:tr>
      <w:tr w:rsidR="00CF7D3A" w:rsidRPr="002F5CB3" w14:paraId="1E7E8538" w14:textId="77777777" w:rsidTr="008E69B6">
        <w:trPr>
          <w:cantSplit/>
          <w:tblHeader/>
        </w:trPr>
        <w:tc>
          <w:tcPr>
            <w:tcW w:w="1413" w:type="dxa"/>
            <w:tcBorders>
              <w:left w:val="nil"/>
              <w:right w:val="nil"/>
            </w:tcBorders>
          </w:tcPr>
          <w:p w14:paraId="2D46DDB4" w14:textId="77777777" w:rsidR="00CF7D3A" w:rsidRPr="002F5CB3" w:rsidRDefault="00CF7D3A" w:rsidP="00BA7F4F">
            <w:pPr>
              <w:pStyle w:val="TableText"/>
            </w:pPr>
            <w:r w:rsidRPr="002F5CB3">
              <w:t>Difenacoum</w:t>
            </w:r>
          </w:p>
        </w:tc>
        <w:tc>
          <w:tcPr>
            <w:tcW w:w="8215" w:type="dxa"/>
            <w:vMerge/>
            <w:tcBorders>
              <w:left w:val="nil"/>
              <w:right w:val="nil"/>
            </w:tcBorders>
          </w:tcPr>
          <w:p w14:paraId="12B4005C" w14:textId="77777777" w:rsidR="00CF7D3A" w:rsidRPr="002F5CB3" w:rsidRDefault="00CF7D3A" w:rsidP="00BD2F8D">
            <w:pPr>
              <w:keepNext/>
              <w:spacing w:after="0"/>
              <w:rPr>
                <w:sz w:val="20"/>
                <w:szCs w:val="20"/>
              </w:rPr>
            </w:pPr>
          </w:p>
        </w:tc>
      </w:tr>
      <w:tr w:rsidR="00CF7D3A" w:rsidRPr="002F5CB3" w14:paraId="67E22299" w14:textId="77777777" w:rsidTr="008E69B6">
        <w:trPr>
          <w:cantSplit/>
          <w:tblHeader/>
        </w:trPr>
        <w:tc>
          <w:tcPr>
            <w:tcW w:w="1413" w:type="dxa"/>
            <w:tcBorders>
              <w:left w:val="nil"/>
              <w:right w:val="nil"/>
            </w:tcBorders>
          </w:tcPr>
          <w:p w14:paraId="76C966DE" w14:textId="77777777" w:rsidR="00CF7D3A" w:rsidRPr="002F5CB3" w:rsidRDefault="00CF7D3A" w:rsidP="00BA7F4F">
            <w:pPr>
              <w:pStyle w:val="TableText"/>
            </w:pPr>
            <w:r w:rsidRPr="002F5CB3">
              <w:t>Difethialone</w:t>
            </w:r>
          </w:p>
        </w:tc>
        <w:tc>
          <w:tcPr>
            <w:tcW w:w="8215" w:type="dxa"/>
            <w:vMerge/>
            <w:tcBorders>
              <w:left w:val="nil"/>
              <w:right w:val="nil"/>
            </w:tcBorders>
          </w:tcPr>
          <w:p w14:paraId="277C5553" w14:textId="77777777" w:rsidR="00CF7D3A" w:rsidRPr="002F5CB3" w:rsidRDefault="00CF7D3A" w:rsidP="00BD2F8D">
            <w:pPr>
              <w:keepNext/>
              <w:spacing w:after="0"/>
              <w:rPr>
                <w:sz w:val="20"/>
                <w:szCs w:val="20"/>
              </w:rPr>
            </w:pPr>
          </w:p>
        </w:tc>
      </w:tr>
      <w:tr w:rsidR="00CF7D3A" w:rsidRPr="002F5CB3" w14:paraId="75256BD9" w14:textId="77777777" w:rsidTr="008E69B6">
        <w:trPr>
          <w:cantSplit/>
          <w:tblHeader/>
        </w:trPr>
        <w:tc>
          <w:tcPr>
            <w:tcW w:w="1413" w:type="dxa"/>
            <w:tcBorders>
              <w:left w:val="nil"/>
              <w:right w:val="nil"/>
            </w:tcBorders>
          </w:tcPr>
          <w:p w14:paraId="6956326D" w14:textId="77777777" w:rsidR="00CF7D3A" w:rsidRPr="002F5CB3" w:rsidRDefault="00CF7D3A" w:rsidP="00BA7F4F">
            <w:pPr>
              <w:pStyle w:val="TableText"/>
            </w:pPr>
            <w:r w:rsidRPr="002F5CB3">
              <w:t>Flocoumafen</w:t>
            </w:r>
          </w:p>
        </w:tc>
        <w:tc>
          <w:tcPr>
            <w:tcW w:w="8215" w:type="dxa"/>
            <w:vMerge/>
            <w:tcBorders>
              <w:left w:val="nil"/>
              <w:right w:val="nil"/>
            </w:tcBorders>
          </w:tcPr>
          <w:p w14:paraId="2AD9808D" w14:textId="77777777" w:rsidR="00CF7D3A" w:rsidRPr="002F5CB3" w:rsidRDefault="00CF7D3A" w:rsidP="0023656E">
            <w:pPr>
              <w:spacing w:after="0"/>
              <w:rPr>
                <w:sz w:val="20"/>
                <w:szCs w:val="20"/>
              </w:rPr>
            </w:pPr>
          </w:p>
        </w:tc>
      </w:tr>
    </w:tbl>
    <w:p w14:paraId="37A760BD" w14:textId="5C97AD23" w:rsidR="00CF7D3A" w:rsidRDefault="00CF7D3A" w:rsidP="00377F3A">
      <w:pPr>
        <w:pStyle w:val="NormalText"/>
      </w:pPr>
      <w:r>
        <w:t xml:space="preserve">The following critical comment statements are recommended to be applied to all products </w:t>
      </w:r>
      <w:r w:rsidR="00183F1B">
        <w:t xml:space="preserve">containing the listed actives </w:t>
      </w:r>
      <w:r>
        <w:t>for commercial use.</w:t>
      </w:r>
    </w:p>
    <w:p w14:paraId="5CF8AACB" w14:textId="72D2DE4B" w:rsidR="00083AA0" w:rsidRDefault="00083AA0" w:rsidP="00BD2F8D">
      <w:pPr>
        <w:pStyle w:val="Caption"/>
      </w:pPr>
      <w:bookmarkStart w:id="1490" w:name="_Toc213946051"/>
      <w:bookmarkStart w:id="1491" w:name="_Toc216695741"/>
      <w:r>
        <w:t xml:space="preserve">Table </w:t>
      </w:r>
      <w:r>
        <w:fldChar w:fldCharType="begin"/>
      </w:r>
      <w:r>
        <w:instrText xml:space="preserve"> SEQ Table \* ARABIC </w:instrText>
      </w:r>
      <w:r>
        <w:fldChar w:fldCharType="separate"/>
      </w:r>
      <w:r w:rsidR="003861AC">
        <w:rPr>
          <w:noProof/>
        </w:rPr>
        <w:t>79</w:t>
      </w:r>
      <w:r>
        <w:fldChar w:fldCharType="end"/>
      </w:r>
      <w:r>
        <w:t>: Critical comments for anticoagulant rodenticides use in and around commercial buildings</w:t>
      </w:r>
      <w:bookmarkEnd w:id="1490"/>
      <w:bookmarkEnd w:id="1491"/>
    </w:p>
    <w:tbl>
      <w:tblPr>
        <w:tblStyle w:val="TableGrid"/>
        <w:tblW w:w="0" w:type="auto"/>
        <w:tblLook w:val="04A0" w:firstRow="1" w:lastRow="0" w:firstColumn="1" w:lastColumn="0" w:noHBand="0" w:noVBand="1"/>
      </w:tblPr>
      <w:tblGrid>
        <w:gridCol w:w="1413"/>
        <w:gridCol w:w="8215"/>
      </w:tblGrid>
      <w:tr w:rsidR="00CF7D3A" w:rsidRPr="002F5CB3" w14:paraId="6F2CD8BE" w14:textId="77777777" w:rsidTr="0017134F">
        <w:tc>
          <w:tcPr>
            <w:tcW w:w="1413" w:type="dxa"/>
            <w:tcBorders>
              <w:bottom w:val="single" w:sz="4" w:space="0" w:color="auto"/>
            </w:tcBorders>
            <w:shd w:val="clear" w:color="auto" w:fill="53284F"/>
          </w:tcPr>
          <w:p w14:paraId="2B3704B5" w14:textId="77777777" w:rsidR="00CF7D3A" w:rsidRPr="002F5CB3" w:rsidRDefault="00CF7D3A" w:rsidP="00BA7F4F">
            <w:pPr>
              <w:pStyle w:val="TableHead"/>
            </w:pPr>
            <w:r w:rsidRPr="002F5CB3">
              <w:t>Active</w:t>
            </w:r>
          </w:p>
        </w:tc>
        <w:tc>
          <w:tcPr>
            <w:tcW w:w="8215" w:type="dxa"/>
            <w:tcBorders>
              <w:right w:val="nil"/>
            </w:tcBorders>
            <w:shd w:val="clear" w:color="auto" w:fill="53284F"/>
          </w:tcPr>
          <w:p w14:paraId="78BC699E" w14:textId="77777777" w:rsidR="00CF7D3A" w:rsidRPr="002F5CB3" w:rsidRDefault="00CF7D3A" w:rsidP="00BA7F4F">
            <w:pPr>
              <w:pStyle w:val="TableHead"/>
            </w:pPr>
            <w:r>
              <w:t>Critical Comments</w:t>
            </w:r>
          </w:p>
        </w:tc>
      </w:tr>
      <w:tr w:rsidR="00CF7D3A" w:rsidRPr="002F5CB3" w14:paraId="0DFFEAC7" w14:textId="77777777" w:rsidTr="00BD2F8D">
        <w:tc>
          <w:tcPr>
            <w:tcW w:w="1413" w:type="dxa"/>
            <w:tcBorders>
              <w:left w:val="nil"/>
              <w:right w:val="nil"/>
            </w:tcBorders>
          </w:tcPr>
          <w:p w14:paraId="2683E517" w14:textId="77777777" w:rsidR="00CF7D3A" w:rsidRPr="002F5CB3" w:rsidRDefault="00CF7D3A" w:rsidP="00BA7F4F">
            <w:pPr>
              <w:pStyle w:val="TableText"/>
            </w:pPr>
            <w:r w:rsidRPr="002F5CB3">
              <w:t>Coumatetralyl</w:t>
            </w:r>
          </w:p>
        </w:tc>
        <w:tc>
          <w:tcPr>
            <w:tcW w:w="8215" w:type="dxa"/>
            <w:vMerge w:val="restart"/>
            <w:tcBorders>
              <w:left w:val="nil"/>
              <w:right w:val="nil"/>
            </w:tcBorders>
          </w:tcPr>
          <w:p w14:paraId="503EA2FF" w14:textId="036694DD" w:rsidR="00CF7D3A" w:rsidRPr="00BD2F8D" w:rsidRDefault="00183F1B" w:rsidP="00BA7F4F">
            <w:pPr>
              <w:pStyle w:val="TableText"/>
            </w:pPr>
            <w:r>
              <w:t xml:space="preserve">Careful consideration is necessary when placing bait stations in food producing animal housing situations to prevent contamination of water, feed, or livestock with rodenticide. </w:t>
            </w:r>
          </w:p>
        </w:tc>
      </w:tr>
      <w:tr w:rsidR="00CF7D3A" w:rsidRPr="002F5CB3" w14:paraId="131B60CC" w14:textId="77777777" w:rsidTr="00BD2F8D">
        <w:tc>
          <w:tcPr>
            <w:tcW w:w="1413" w:type="dxa"/>
            <w:tcBorders>
              <w:left w:val="nil"/>
              <w:right w:val="nil"/>
            </w:tcBorders>
          </w:tcPr>
          <w:p w14:paraId="2DDE9B7A" w14:textId="77777777" w:rsidR="00CF7D3A" w:rsidRPr="002F5CB3" w:rsidRDefault="00CF7D3A" w:rsidP="00BA7F4F">
            <w:pPr>
              <w:pStyle w:val="TableText"/>
            </w:pPr>
            <w:r w:rsidRPr="002F5CB3">
              <w:t>Diphacinone</w:t>
            </w:r>
          </w:p>
        </w:tc>
        <w:tc>
          <w:tcPr>
            <w:tcW w:w="8215" w:type="dxa"/>
            <w:vMerge/>
            <w:tcBorders>
              <w:left w:val="nil"/>
              <w:right w:val="nil"/>
            </w:tcBorders>
          </w:tcPr>
          <w:p w14:paraId="4FFF603A" w14:textId="77777777" w:rsidR="00CF7D3A" w:rsidRPr="002F5CB3" w:rsidRDefault="00CF7D3A" w:rsidP="00BD2F8D">
            <w:pPr>
              <w:keepNext/>
              <w:spacing w:after="0"/>
              <w:rPr>
                <w:sz w:val="20"/>
                <w:szCs w:val="20"/>
              </w:rPr>
            </w:pPr>
          </w:p>
        </w:tc>
      </w:tr>
      <w:tr w:rsidR="00CF7D3A" w:rsidRPr="002F5CB3" w14:paraId="6E090EC6" w14:textId="77777777" w:rsidTr="00BD2F8D">
        <w:tc>
          <w:tcPr>
            <w:tcW w:w="1413" w:type="dxa"/>
            <w:tcBorders>
              <w:left w:val="nil"/>
              <w:right w:val="nil"/>
            </w:tcBorders>
          </w:tcPr>
          <w:p w14:paraId="1C5D2FC7" w14:textId="77777777" w:rsidR="00CF7D3A" w:rsidRPr="002F5CB3" w:rsidRDefault="00CF7D3A" w:rsidP="00BA7F4F">
            <w:pPr>
              <w:pStyle w:val="TableText"/>
            </w:pPr>
            <w:r w:rsidRPr="002F5CB3">
              <w:t>Warfarin</w:t>
            </w:r>
          </w:p>
        </w:tc>
        <w:tc>
          <w:tcPr>
            <w:tcW w:w="8215" w:type="dxa"/>
            <w:vMerge/>
            <w:tcBorders>
              <w:left w:val="nil"/>
              <w:right w:val="nil"/>
            </w:tcBorders>
          </w:tcPr>
          <w:p w14:paraId="3DFEAB93" w14:textId="77777777" w:rsidR="00CF7D3A" w:rsidRPr="002F5CB3" w:rsidRDefault="00CF7D3A" w:rsidP="00BD2F8D">
            <w:pPr>
              <w:keepNext/>
              <w:spacing w:after="0"/>
              <w:rPr>
                <w:sz w:val="20"/>
                <w:szCs w:val="20"/>
              </w:rPr>
            </w:pPr>
          </w:p>
        </w:tc>
      </w:tr>
      <w:tr w:rsidR="00CF7D3A" w:rsidRPr="002F5CB3" w14:paraId="1F79743A" w14:textId="77777777" w:rsidTr="00BD2F8D">
        <w:tc>
          <w:tcPr>
            <w:tcW w:w="1413" w:type="dxa"/>
            <w:tcBorders>
              <w:left w:val="nil"/>
              <w:right w:val="nil"/>
            </w:tcBorders>
          </w:tcPr>
          <w:p w14:paraId="6C88C31B" w14:textId="77777777" w:rsidR="00CF7D3A" w:rsidRPr="002F5CB3" w:rsidRDefault="00CF7D3A" w:rsidP="00BA7F4F">
            <w:pPr>
              <w:pStyle w:val="TableText"/>
            </w:pPr>
            <w:r w:rsidRPr="002F5CB3">
              <w:t>Brodifacoum</w:t>
            </w:r>
          </w:p>
        </w:tc>
        <w:tc>
          <w:tcPr>
            <w:tcW w:w="8215" w:type="dxa"/>
            <w:vMerge/>
            <w:tcBorders>
              <w:left w:val="nil"/>
              <w:right w:val="nil"/>
            </w:tcBorders>
          </w:tcPr>
          <w:p w14:paraId="55B1C257" w14:textId="77777777" w:rsidR="00CF7D3A" w:rsidRPr="002F5CB3" w:rsidRDefault="00CF7D3A" w:rsidP="00BD2F8D">
            <w:pPr>
              <w:keepNext/>
              <w:spacing w:after="0"/>
              <w:rPr>
                <w:sz w:val="20"/>
                <w:szCs w:val="20"/>
              </w:rPr>
            </w:pPr>
          </w:p>
        </w:tc>
      </w:tr>
      <w:tr w:rsidR="00CF7D3A" w:rsidRPr="002F5CB3" w14:paraId="0C225C79" w14:textId="77777777" w:rsidTr="00BD2F8D">
        <w:tc>
          <w:tcPr>
            <w:tcW w:w="1413" w:type="dxa"/>
            <w:tcBorders>
              <w:left w:val="nil"/>
              <w:right w:val="nil"/>
            </w:tcBorders>
          </w:tcPr>
          <w:p w14:paraId="116C88C6" w14:textId="77777777" w:rsidR="00CF7D3A" w:rsidRPr="002F5CB3" w:rsidRDefault="00CF7D3A" w:rsidP="00BA7F4F">
            <w:pPr>
              <w:pStyle w:val="TableText"/>
            </w:pPr>
            <w:r w:rsidRPr="002F5CB3">
              <w:t>Bromadiolone</w:t>
            </w:r>
          </w:p>
        </w:tc>
        <w:tc>
          <w:tcPr>
            <w:tcW w:w="8215" w:type="dxa"/>
            <w:vMerge/>
            <w:tcBorders>
              <w:left w:val="nil"/>
              <w:right w:val="nil"/>
            </w:tcBorders>
          </w:tcPr>
          <w:p w14:paraId="0BC7D426" w14:textId="77777777" w:rsidR="00CF7D3A" w:rsidRPr="002F5CB3" w:rsidRDefault="00CF7D3A" w:rsidP="00BD2F8D">
            <w:pPr>
              <w:keepNext/>
              <w:spacing w:after="0"/>
              <w:rPr>
                <w:sz w:val="20"/>
                <w:szCs w:val="20"/>
              </w:rPr>
            </w:pPr>
          </w:p>
        </w:tc>
      </w:tr>
      <w:tr w:rsidR="00CF7D3A" w:rsidRPr="002F5CB3" w14:paraId="6777F755" w14:textId="77777777" w:rsidTr="00BD2F8D">
        <w:tc>
          <w:tcPr>
            <w:tcW w:w="1413" w:type="dxa"/>
            <w:tcBorders>
              <w:left w:val="nil"/>
              <w:right w:val="nil"/>
            </w:tcBorders>
          </w:tcPr>
          <w:p w14:paraId="1D4236F2" w14:textId="77777777" w:rsidR="00CF7D3A" w:rsidRPr="002F5CB3" w:rsidRDefault="00CF7D3A" w:rsidP="00BA7F4F">
            <w:pPr>
              <w:pStyle w:val="TableText"/>
            </w:pPr>
            <w:r w:rsidRPr="002F5CB3">
              <w:t>Difenacoum</w:t>
            </w:r>
          </w:p>
        </w:tc>
        <w:tc>
          <w:tcPr>
            <w:tcW w:w="8215" w:type="dxa"/>
            <w:vMerge/>
            <w:tcBorders>
              <w:left w:val="nil"/>
              <w:right w:val="nil"/>
            </w:tcBorders>
          </w:tcPr>
          <w:p w14:paraId="1042A31B" w14:textId="77777777" w:rsidR="00CF7D3A" w:rsidRPr="002F5CB3" w:rsidRDefault="00CF7D3A" w:rsidP="00BD2F8D">
            <w:pPr>
              <w:keepNext/>
              <w:spacing w:after="0"/>
              <w:rPr>
                <w:sz w:val="20"/>
                <w:szCs w:val="20"/>
              </w:rPr>
            </w:pPr>
          </w:p>
        </w:tc>
      </w:tr>
      <w:tr w:rsidR="00CF7D3A" w:rsidRPr="002F5CB3" w14:paraId="2C4575DE" w14:textId="77777777" w:rsidTr="00BD2F8D">
        <w:tc>
          <w:tcPr>
            <w:tcW w:w="1413" w:type="dxa"/>
            <w:tcBorders>
              <w:left w:val="nil"/>
              <w:right w:val="nil"/>
            </w:tcBorders>
          </w:tcPr>
          <w:p w14:paraId="00585E63" w14:textId="77777777" w:rsidR="00CF7D3A" w:rsidRPr="002F5CB3" w:rsidRDefault="00CF7D3A" w:rsidP="00BA7F4F">
            <w:pPr>
              <w:pStyle w:val="TableText"/>
            </w:pPr>
            <w:r w:rsidRPr="002F5CB3">
              <w:t>Difethialone</w:t>
            </w:r>
          </w:p>
        </w:tc>
        <w:tc>
          <w:tcPr>
            <w:tcW w:w="8215" w:type="dxa"/>
            <w:vMerge/>
            <w:tcBorders>
              <w:left w:val="nil"/>
              <w:right w:val="nil"/>
            </w:tcBorders>
          </w:tcPr>
          <w:p w14:paraId="59299BA9" w14:textId="77777777" w:rsidR="00CF7D3A" w:rsidRPr="002F5CB3" w:rsidRDefault="00CF7D3A" w:rsidP="00BD2F8D">
            <w:pPr>
              <w:keepNext/>
              <w:spacing w:after="0"/>
              <w:rPr>
                <w:sz w:val="20"/>
                <w:szCs w:val="20"/>
              </w:rPr>
            </w:pPr>
          </w:p>
        </w:tc>
      </w:tr>
      <w:tr w:rsidR="00CF7D3A" w:rsidRPr="002F5CB3" w14:paraId="4E84528B" w14:textId="77777777" w:rsidTr="00BD2F8D">
        <w:tc>
          <w:tcPr>
            <w:tcW w:w="1413" w:type="dxa"/>
            <w:tcBorders>
              <w:left w:val="nil"/>
              <w:right w:val="nil"/>
            </w:tcBorders>
          </w:tcPr>
          <w:p w14:paraId="7FC794D8" w14:textId="77777777" w:rsidR="00CF7D3A" w:rsidRPr="002F5CB3" w:rsidRDefault="00CF7D3A" w:rsidP="00BA7F4F">
            <w:pPr>
              <w:pStyle w:val="TableText"/>
            </w:pPr>
            <w:r w:rsidRPr="002F5CB3">
              <w:t>Flocoumafen</w:t>
            </w:r>
          </w:p>
        </w:tc>
        <w:tc>
          <w:tcPr>
            <w:tcW w:w="8215" w:type="dxa"/>
            <w:vMerge/>
            <w:tcBorders>
              <w:left w:val="nil"/>
              <w:right w:val="nil"/>
            </w:tcBorders>
          </w:tcPr>
          <w:p w14:paraId="26A62273" w14:textId="77777777" w:rsidR="00CF7D3A" w:rsidRPr="002F5CB3" w:rsidRDefault="00CF7D3A" w:rsidP="0023656E">
            <w:pPr>
              <w:spacing w:after="0"/>
              <w:rPr>
                <w:sz w:val="20"/>
                <w:szCs w:val="20"/>
              </w:rPr>
            </w:pPr>
          </w:p>
        </w:tc>
      </w:tr>
    </w:tbl>
    <w:p w14:paraId="4DA5288A" w14:textId="510BE7E2" w:rsidR="003A7FAE" w:rsidRDefault="003A7FAE" w:rsidP="006F78D3">
      <w:pPr>
        <w:pStyle w:val="NormalText"/>
      </w:pPr>
      <w:bookmarkStart w:id="1492" w:name="_Ref207625929"/>
      <w:r>
        <w:t>The environment risk assessment also recommended that all first- and second-generation rodenticides products with instructions for use in commercial situations should be declared Restricted Chemical Products to be supplied and used by only authorised persons. This recommendation is supported in this residues risk assessment, as authorised individuals would be expected to have specific training or qualifications in the safe handling and use of these products and industry best practices, greatly reducing the risk of unintentional or incidental exposure involving commodities for human consumption.</w:t>
      </w:r>
    </w:p>
    <w:p w14:paraId="3D874B03" w14:textId="75F8320E" w:rsidR="00CF7D3A" w:rsidRPr="00BB33A3" w:rsidRDefault="00CF7D3A" w:rsidP="00BD2F8D">
      <w:pPr>
        <w:pStyle w:val="Heading4"/>
      </w:pPr>
      <w:r w:rsidRPr="00BB33A3">
        <w:lastRenderedPageBreak/>
        <w:t xml:space="preserve">In and around buildings </w:t>
      </w:r>
      <w:r>
        <w:t>– Non-agricultural uses</w:t>
      </w:r>
      <w:bookmarkEnd w:id="1492"/>
      <w:r>
        <w:t xml:space="preserve"> </w:t>
      </w:r>
    </w:p>
    <w:p w14:paraId="0A559586" w14:textId="70A05A9B" w:rsidR="00CF7D3A" w:rsidRDefault="00183F1B" w:rsidP="00377F3A">
      <w:pPr>
        <w:pStyle w:val="NormalText"/>
      </w:pPr>
      <w:r>
        <w:t xml:space="preserve">All first- and second-generation rodenticides are registered for use in and around </w:t>
      </w:r>
      <w:r w:rsidR="00CF7D3A">
        <w:t xml:space="preserve">domestic and industrial buildings which may or may not be associated with </w:t>
      </w:r>
      <w:r w:rsidR="00CF7D3A" w:rsidRPr="0078261B">
        <w:t>the storage, preparation, distribution, sale or consumption of food</w:t>
      </w:r>
      <w:r w:rsidR="00CF7D3A">
        <w:t>. Restraints and critical comments associated with uses in and around buildings having to do with l</w:t>
      </w:r>
      <w:r w:rsidR="00CF7D3A" w:rsidRPr="00FB15CD">
        <w:t>ivestock and poultry housing</w:t>
      </w:r>
      <w:r>
        <w:t>,</w:t>
      </w:r>
      <w:r w:rsidR="00CF7D3A">
        <w:t xml:space="preserve"> and</w:t>
      </w:r>
      <w:r w:rsidR="00CF7D3A" w:rsidRPr="00FB15CD">
        <w:t xml:space="preserve"> food and feed preparation areas</w:t>
      </w:r>
      <w:r w:rsidR="00CF7D3A">
        <w:t xml:space="preserve"> are considered sufficient to </w:t>
      </w:r>
      <w:r>
        <w:t xml:space="preserve">address </w:t>
      </w:r>
      <w:r w:rsidR="00E55825">
        <w:t xml:space="preserve">the </w:t>
      </w:r>
      <w:r w:rsidR="00CF7D3A">
        <w:t>risk</w:t>
      </w:r>
      <w:r w:rsidR="00E55825">
        <w:t>s</w:t>
      </w:r>
      <w:r w:rsidR="00CF7D3A">
        <w:t xml:space="preserve"> associated with non-agricultural uses.</w:t>
      </w:r>
    </w:p>
    <w:p w14:paraId="1055EA95" w14:textId="7A3CFA9D" w:rsidR="00CF7D3A" w:rsidRPr="001D29FB" w:rsidRDefault="00CF7D3A" w:rsidP="00BD2F8D">
      <w:pPr>
        <w:pStyle w:val="Heading4"/>
      </w:pPr>
      <w:r w:rsidRPr="001D29FB">
        <w:t>Transport vehicles</w:t>
      </w:r>
    </w:p>
    <w:p w14:paraId="3C1D3A83" w14:textId="52C0F175" w:rsidR="00E55825" w:rsidRDefault="00CF7D3A" w:rsidP="00377F3A">
      <w:pPr>
        <w:pStyle w:val="NormalText"/>
      </w:pPr>
      <w:r>
        <w:t>Bromadiolone, brodifacoum, coumatetralyl, flocoumafen and warfarin are registered for use inside transport vehicles</w:t>
      </w:r>
      <w:r w:rsidR="00E55825">
        <w:t xml:space="preserve">. </w:t>
      </w:r>
      <w:r w:rsidR="00EF525C">
        <w:t xml:space="preserve">This </w:t>
      </w:r>
      <w:r>
        <w:t>includ</w:t>
      </w:r>
      <w:r w:rsidR="00EF525C">
        <w:t>es</w:t>
      </w:r>
      <w:r>
        <w:t xml:space="preserve"> ships </w:t>
      </w:r>
      <w:r w:rsidR="00EF525C">
        <w:t>(</w:t>
      </w:r>
      <w:r>
        <w:t>and their wharfs</w:t>
      </w:r>
      <w:r w:rsidR="00EF525C">
        <w:t>)</w:t>
      </w:r>
      <w:r>
        <w:t xml:space="preserve"> which </w:t>
      </w:r>
      <w:r w:rsidR="00183F1B">
        <w:t xml:space="preserve">may </w:t>
      </w:r>
      <w:r>
        <w:t>transport edible commodities</w:t>
      </w:r>
      <w:r w:rsidR="00EF525C">
        <w:t>,</w:t>
      </w:r>
      <w:r>
        <w:t xml:space="preserve"> or commercial livestock. </w:t>
      </w:r>
      <w:r w:rsidRPr="00E50F7B">
        <w:t xml:space="preserve">Restraints and critical comments associated with uses in and around buildings having to do with livestock and poultry housing, </w:t>
      </w:r>
      <w:r>
        <w:t xml:space="preserve">and </w:t>
      </w:r>
      <w:r w:rsidRPr="00E50F7B">
        <w:t xml:space="preserve">food and feed preparation areas are considered sufficient to </w:t>
      </w:r>
      <w:bookmarkStart w:id="1493" w:name="_Toc192682449"/>
      <w:r w:rsidR="00E55825">
        <w:t>address the risks associated with non-agricultural uses.</w:t>
      </w:r>
    </w:p>
    <w:p w14:paraId="10A3FD3D" w14:textId="485A9359" w:rsidR="00CF7D3A" w:rsidRDefault="00CF7D3A" w:rsidP="00BD2F8D">
      <w:pPr>
        <w:pStyle w:val="Heading3"/>
      </w:pPr>
      <w:bookmarkStart w:id="1494" w:name="_Toc214025579"/>
      <w:bookmarkStart w:id="1495" w:name="_Toc216695614"/>
      <w:r>
        <w:t>Bait formulation</w:t>
      </w:r>
      <w:bookmarkEnd w:id="1493"/>
      <w:bookmarkEnd w:id="1494"/>
      <w:bookmarkEnd w:id="1495"/>
    </w:p>
    <w:p w14:paraId="396C0862" w14:textId="33F07F26" w:rsidR="00CF7D3A" w:rsidRDefault="00B9713B" w:rsidP="00377F3A">
      <w:pPr>
        <w:pStyle w:val="NormalText"/>
      </w:pPr>
      <w:r>
        <w:t>Ready-to-use coumatetralyl</w:t>
      </w:r>
      <w:r w:rsidR="00CF7D3A">
        <w:t xml:space="preserve"> </w:t>
      </w:r>
      <w:r>
        <w:t xml:space="preserve">wax </w:t>
      </w:r>
      <w:r w:rsidR="00CF7D3A">
        <w:t>block</w:t>
      </w:r>
      <w:r>
        <w:t>s and coumatetralyl</w:t>
      </w:r>
      <w:r w:rsidR="00CF7D3A">
        <w:t xml:space="preserve"> powder concentrate</w:t>
      </w:r>
      <w:r w:rsidR="00E55825">
        <w:t>s</w:t>
      </w:r>
      <w:r w:rsidR="00CF7D3A">
        <w:t xml:space="preserve"> for dry-bait preparation (1:20 product to</w:t>
      </w:r>
      <w:r w:rsidR="00CF7D3A" w:rsidRPr="00994696">
        <w:t xml:space="preserve"> cereal or fruit bait matrix</w:t>
      </w:r>
      <w:r w:rsidR="00CF7D3A">
        <w:t>) are currently registered</w:t>
      </w:r>
      <w:r>
        <w:t xml:space="preserve"> for use in crops</w:t>
      </w:r>
      <w:r w:rsidR="00CF7D3A">
        <w:t>.</w:t>
      </w:r>
      <w:r w:rsidR="00211D7E">
        <w:t xml:space="preserve"> </w:t>
      </w:r>
      <w:r w:rsidR="00CF7D3A" w:rsidRPr="00270BDF">
        <w:t>Solid bait formulations (blocks, pastes, pellets, treated grain, and</w:t>
      </w:r>
      <w:r w:rsidR="00CF7D3A">
        <w:t xml:space="preserve"> consumer</w:t>
      </w:r>
      <w:r w:rsidR="00CF7D3A" w:rsidRPr="00CF0173">
        <w:t xml:space="preserve"> </w:t>
      </w:r>
      <w:r w:rsidR="00CF7D3A" w:rsidRPr="00270BDF">
        <w:t>prepared dry</w:t>
      </w:r>
      <w:r w:rsidR="00CF7D3A">
        <w:t>-</w:t>
      </w:r>
      <w:r w:rsidR="00CF7D3A" w:rsidRPr="00270BDF">
        <w:t>bait), contact formulations (powder)</w:t>
      </w:r>
      <w:r w:rsidR="00D93C66">
        <w:t>,</w:t>
      </w:r>
      <w:r w:rsidR="00CF7D3A" w:rsidRPr="00270BDF">
        <w:t xml:space="preserve"> and liquid formulations of anticoagulant rodenticides are registered for use in and around buildings.</w:t>
      </w:r>
    </w:p>
    <w:p w14:paraId="03B9F17A" w14:textId="0043090D" w:rsidR="003A7FAE" w:rsidRDefault="00211D7E" w:rsidP="00377F3A">
      <w:pPr>
        <w:pStyle w:val="NormalText"/>
      </w:pPr>
      <w:r>
        <w:t>The use of anticoagulant rodenticide t</w:t>
      </w:r>
      <w:r w:rsidR="00CF7D3A" w:rsidRPr="00674CB9">
        <w:t xml:space="preserve">racking powders, drinks, </w:t>
      </w:r>
      <w:r w:rsidR="00ED6D9D">
        <w:t xml:space="preserve">and non-ready-to-use </w:t>
      </w:r>
      <w:r w:rsidR="00CF7D3A" w:rsidRPr="00674CB9">
        <w:t>products</w:t>
      </w:r>
      <w:r>
        <w:t xml:space="preserve"> </w:t>
      </w:r>
      <w:r w:rsidR="00186171">
        <w:t>are</w:t>
      </w:r>
      <w:r>
        <w:t xml:space="preserve"> </w:t>
      </w:r>
      <w:r w:rsidR="00B9713B">
        <w:t>not</w:t>
      </w:r>
      <w:r>
        <w:t xml:space="preserve"> supported by the </w:t>
      </w:r>
      <w:r w:rsidR="00B9713B">
        <w:t>e</w:t>
      </w:r>
      <w:r w:rsidR="00186171">
        <w:t xml:space="preserve">nvironment </w:t>
      </w:r>
      <w:r w:rsidR="00C61D6B">
        <w:t>risk assessment</w:t>
      </w:r>
      <w:r w:rsidR="00B9713B">
        <w:t xml:space="preserve"> recommendations(see section </w:t>
      </w:r>
      <w:r w:rsidR="00B9713B">
        <w:fldChar w:fldCharType="begin"/>
      </w:r>
      <w:r w:rsidR="00B9713B">
        <w:instrText xml:space="preserve"> REF _Ref213159569 \w \h </w:instrText>
      </w:r>
      <w:r w:rsidR="00B9713B">
        <w:fldChar w:fldCharType="separate"/>
      </w:r>
      <w:r w:rsidR="003861AC">
        <w:t>3.4.1</w:t>
      </w:r>
      <w:r w:rsidR="00B9713B">
        <w:fldChar w:fldCharType="end"/>
      </w:r>
      <w:r w:rsidR="00B9713B">
        <w:t xml:space="preserve"> above)</w:t>
      </w:r>
      <w:r w:rsidR="00E55825">
        <w:t xml:space="preserve">. </w:t>
      </w:r>
      <w:r w:rsidR="00186171">
        <w:t xml:space="preserve">These types of </w:t>
      </w:r>
      <w:r w:rsidR="00E55825">
        <w:t xml:space="preserve">products </w:t>
      </w:r>
      <w:r w:rsidR="00ED6D9D">
        <w:t xml:space="preserve">present increased </w:t>
      </w:r>
      <w:r w:rsidR="00CF7D3A" w:rsidRPr="00674CB9">
        <w:t>risk</w:t>
      </w:r>
      <w:r w:rsidR="006F3612">
        <w:t>s</w:t>
      </w:r>
      <w:r w:rsidR="00CF7D3A" w:rsidRPr="00674CB9">
        <w:t xml:space="preserve"> of unintentional exposure and misuse</w:t>
      </w:r>
      <w:r w:rsidR="006F3612">
        <w:t xml:space="preserve"> </w:t>
      </w:r>
      <w:r w:rsidR="00EF525C">
        <w:t xml:space="preserve">due to </w:t>
      </w:r>
      <w:r w:rsidR="00186171">
        <w:t>a</w:t>
      </w:r>
      <w:r w:rsidR="00CF7D3A">
        <w:t xml:space="preserve"> high concentration of active constituent </w:t>
      </w:r>
      <w:r w:rsidR="00186171">
        <w:t xml:space="preserve">applied in </w:t>
      </w:r>
      <w:r w:rsidR="00CF7D3A">
        <w:t xml:space="preserve">a </w:t>
      </w:r>
      <w:r w:rsidR="00ED6D9D">
        <w:t xml:space="preserve">particular </w:t>
      </w:r>
      <w:r w:rsidR="00CF7D3A">
        <w:t xml:space="preserve">area or single baiting location. </w:t>
      </w:r>
      <w:r w:rsidR="005A5F25">
        <w:t xml:space="preserve">These safety concerns are also applicable to the potential contamination of </w:t>
      </w:r>
      <w:r w:rsidR="005A5F25" w:rsidRPr="005A5F25">
        <w:t>food or feed or exposure of non-target livestock or other animals</w:t>
      </w:r>
      <w:r w:rsidR="005A5F25">
        <w:t xml:space="preserve"> when </w:t>
      </w:r>
      <w:r w:rsidR="00B26177">
        <w:t>these products</w:t>
      </w:r>
      <w:r w:rsidR="005A5F25">
        <w:t xml:space="preserve"> are used </w:t>
      </w:r>
      <w:r w:rsidR="00B26177">
        <w:t>in food producing situations</w:t>
      </w:r>
      <w:r w:rsidR="003A7FAE">
        <w:t>, and therefore are</w:t>
      </w:r>
      <w:r w:rsidR="00B26177">
        <w:t xml:space="preserve"> also</w:t>
      </w:r>
      <w:r w:rsidR="003A7FAE">
        <w:t xml:space="preserve"> not supported in this residues risk assessment.</w:t>
      </w:r>
    </w:p>
    <w:p w14:paraId="4FB90009" w14:textId="30D22363" w:rsidR="00D01126" w:rsidRDefault="003A7FAE" w:rsidP="00377F3A">
      <w:pPr>
        <w:pStyle w:val="NormalText"/>
        <w:rPr>
          <w:i/>
          <w:iCs/>
        </w:rPr>
      </w:pPr>
      <w:r>
        <w:t xml:space="preserve">Further, the use of </w:t>
      </w:r>
      <w:r w:rsidR="00EE4DA9">
        <w:t xml:space="preserve">loose pellets or grains is also not supported </w:t>
      </w:r>
      <w:r>
        <w:t>in l</w:t>
      </w:r>
      <w:r w:rsidRPr="003A7FAE">
        <w:t>ivestock and poultry housing, food and feed preparation areas</w:t>
      </w:r>
      <w:r>
        <w:t xml:space="preserve">, </w:t>
      </w:r>
      <w:r w:rsidR="00EE4DA9">
        <w:t>as t</w:t>
      </w:r>
      <w:r w:rsidR="006F3612">
        <w:t>he</w:t>
      </w:r>
      <w:r w:rsidR="00EF525C">
        <w:t>se formulation types</w:t>
      </w:r>
      <w:r w:rsidR="00C61D6B">
        <w:t xml:space="preserve"> also</w:t>
      </w:r>
      <w:r w:rsidR="00EF525C">
        <w:t xml:space="preserve"> </w:t>
      </w:r>
      <w:r w:rsidR="00186171">
        <w:t xml:space="preserve">present </w:t>
      </w:r>
      <w:r w:rsidR="006F3612">
        <w:t xml:space="preserve">a </w:t>
      </w:r>
      <w:r w:rsidR="00CF7D3A">
        <w:t xml:space="preserve">greater </w:t>
      </w:r>
      <w:r w:rsidR="00186171">
        <w:t xml:space="preserve">chance </w:t>
      </w:r>
      <w:r w:rsidR="00CF7D3A">
        <w:t xml:space="preserve">of </w:t>
      </w:r>
      <w:r w:rsidR="00EF525C">
        <w:t xml:space="preserve">being removed from a bait station by an animal, or a spill occurring during routine checking or refilling </w:t>
      </w:r>
      <w:r w:rsidR="00186171">
        <w:t>(compared to solid block formulations).</w:t>
      </w:r>
      <w:bookmarkStart w:id="1496" w:name="_Toc214835339"/>
      <w:bookmarkStart w:id="1497" w:name="_Toc214835943"/>
      <w:bookmarkStart w:id="1498" w:name="_Toc214836394"/>
      <w:bookmarkStart w:id="1499" w:name="_Toc214835340"/>
      <w:bookmarkStart w:id="1500" w:name="_Toc214835944"/>
      <w:bookmarkStart w:id="1501" w:name="_Toc214836395"/>
      <w:bookmarkStart w:id="1502" w:name="_Toc214835341"/>
      <w:bookmarkStart w:id="1503" w:name="_Toc214835945"/>
      <w:bookmarkStart w:id="1504" w:name="_Toc214836396"/>
      <w:bookmarkStart w:id="1505" w:name="_Toc214835342"/>
      <w:bookmarkStart w:id="1506" w:name="_Toc214835946"/>
      <w:bookmarkStart w:id="1507" w:name="_Toc214836397"/>
      <w:bookmarkStart w:id="1508" w:name="_Toc214835343"/>
      <w:bookmarkStart w:id="1509" w:name="_Toc214835947"/>
      <w:bookmarkStart w:id="1510" w:name="_Toc214836398"/>
      <w:bookmarkStart w:id="1511" w:name="_Toc214835344"/>
      <w:bookmarkStart w:id="1512" w:name="_Toc214835948"/>
      <w:bookmarkStart w:id="1513" w:name="_Toc214836399"/>
      <w:bookmarkStart w:id="1514" w:name="_Toc214835345"/>
      <w:bookmarkStart w:id="1515" w:name="_Toc214835949"/>
      <w:bookmarkStart w:id="1516" w:name="_Toc214836400"/>
      <w:bookmarkStart w:id="1517" w:name="_Toc214835346"/>
      <w:bookmarkStart w:id="1518" w:name="_Toc214835950"/>
      <w:bookmarkStart w:id="1519" w:name="_Toc214836401"/>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0CB2EE6F" w14:textId="55B6C275" w:rsidR="00716611" w:rsidRPr="00E756BE" w:rsidRDefault="00716611" w:rsidP="00716611">
      <w:pPr>
        <w:pStyle w:val="Heading3"/>
        <w:suppressAutoHyphens w:val="0"/>
        <w:spacing w:before="40" w:after="120" w:line="240" w:lineRule="auto"/>
      </w:pPr>
      <w:bookmarkStart w:id="1520" w:name="_Toc214025582"/>
      <w:bookmarkStart w:id="1521" w:name="_Toc216695615"/>
      <w:r>
        <w:t>Edible wildlife (non-target) exposure</w:t>
      </w:r>
      <w:bookmarkEnd w:id="1520"/>
      <w:bookmarkEnd w:id="1521"/>
    </w:p>
    <w:p w14:paraId="4771C5BB" w14:textId="078DDB78" w:rsidR="00716611" w:rsidRDefault="00716611" w:rsidP="00716611">
      <w:pPr>
        <w:pStyle w:val="NormalText"/>
      </w:pPr>
      <w:r>
        <w:t xml:space="preserve">The monitoring data available on anticoagulant rodenticide residues found in fish, terrestrial invertebrates, native rodents, and </w:t>
      </w:r>
      <w:r w:rsidRPr="007E1746">
        <w:t>rodent-eating species in Australia</w:t>
      </w:r>
      <w:r>
        <w:t xml:space="preserve"> (</w:t>
      </w:r>
      <w:r w:rsidRPr="007E1746">
        <w:t>snakes, lizards, quolls and raptors</w:t>
      </w:r>
      <w:r>
        <w:t>)</w:t>
      </w:r>
      <w:r w:rsidRPr="007E1746">
        <w:t xml:space="preserve"> </w:t>
      </w:r>
      <w:r w:rsidR="00542C46">
        <w:t>are</w:t>
      </w:r>
      <w:r>
        <w:t xml:space="preserve"> limited, but ha</w:t>
      </w:r>
      <w:r w:rsidR="00542C46">
        <w:t>ve</w:t>
      </w:r>
      <w:r w:rsidR="006F78D3">
        <w:t xml:space="preserve"> </w:t>
      </w:r>
      <w:r>
        <w:t xml:space="preserve">shown evidence that </w:t>
      </w:r>
      <w:r w:rsidRPr="007E1746">
        <w:t xml:space="preserve">secondary exposure to anticoagulant rodenticides </w:t>
      </w:r>
      <w:r>
        <w:t xml:space="preserve">is occurring </w:t>
      </w:r>
      <w:r w:rsidRPr="007E1746">
        <w:t>in urban and agricultural areas</w:t>
      </w:r>
      <w:r>
        <w:t xml:space="preserve"> (</w:t>
      </w:r>
      <w:r w:rsidR="00051855">
        <w:t>s</w:t>
      </w:r>
      <w:r>
        <w:t xml:space="preserve">ee section </w:t>
      </w:r>
      <w:r w:rsidRPr="006F78D3">
        <w:rPr>
          <w:b/>
          <w:bCs/>
        </w:rPr>
        <w:fldChar w:fldCharType="begin"/>
      </w:r>
      <w:r w:rsidRPr="006F78D3">
        <w:rPr>
          <w:b/>
          <w:bCs/>
        </w:rPr>
        <w:instrText xml:space="preserve"> REF _Ref213934290 \w \h </w:instrText>
      </w:r>
      <w:r w:rsidR="00051855">
        <w:rPr>
          <w:b/>
          <w:bCs/>
        </w:rPr>
        <w:instrText xml:space="preserve"> \* MERGEFORMAT </w:instrText>
      </w:r>
      <w:r w:rsidRPr="006F78D3">
        <w:rPr>
          <w:b/>
          <w:bCs/>
        </w:rPr>
      </w:r>
      <w:r w:rsidRPr="006F78D3">
        <w:rPr>
          <w:b/>
          <w:bCs/>
        </w:rPr>
        <w:fldChar w:fldCharType="separate"/>
      </w:r>
      <w:r w:rsidR="003861AC">
        <w:rPr>
          <w:b/>
          <w:bCs/>
        </w:rPr>
        <w:t>3.3.2</w:t>
      </w:r>
      <w:r w:rsidRPr="006F78D3">
        <w:rPr>
          <w:b/>
          <w:bCs/>
        </w:rPr>
        <w:fldChar w:fldCharType="end"/>
      </w:r>
      <w:r w:rsidRPr="006F78D3">
        <w:rPr>
          <w:b/>
          <w:bCs/>
        </w:rPr>
        <w:t xml:space="preserve"> </w:t>
      </w:r>
      <w:r w:rsidR="00051855" w:rsidRPr="006F78D3">
        <w:rPr>
          <w:b/>
          <w:bCs/>
        </w:rPr>
        <w:t>Risks to terrestrial vertebrates</w:t>
      </w:r>
      <w:r w:rsidR="00051855">
        <w:t xml:space="preserve"> </w:t>
      </w:r>
      <w:r>
        <w:t xml:space="preserve">above). Some of these species that eat rodents may be components of the </w:t>
      </w:r>
      <w:r w:rsidRPr="003B2F88">
        <w:t>traditional</w:t>
      </w:r>
      <w:r>
        <w:t xml:space="preserve"> </w:t>
      </w:r>
      <w:r w:rsidRPr="003B2F88">
        <w:t>diet</w:t>
      </w:r>
      <w:r>
        <w:t>s</w:t>
      </w:r>
      <w:r w:rsidRPr="003B2F88">
        <w:t xml:space="preserve"> </w:t>
      </w:r>
      <w:r>
        <w:t>of</w:t>
      </w:r>
      <w:r w:rsidRPr="003B2F88">
        <w:t xml:space="preserve"> </w:t>
      </w:r>
      <w:r>
        <w:t xml:space="preserve">Australia’s </w:t>
      </w:r>
      <w:r w:rsidRPr="003B2F88">
        <w:t>indigenous peoples</w:t>
      </w:r>
      <w:r>
        <w:t>. This suggests the possibility of secondary poisoning of species that may be consumed by humans.</w:t>
      </w:r>
    </w:p>
    <w:p w14:paraId="72BB739E" w14:textId="21A1F135" w:rsidR="00716611" w:rsidRDefault="00716611" w:rsidP="00716611">
      <w:pPr>
        <w:pStyle w:val="NormalText"/>
      </w:pPr>
      <w:r>
        <w:t>G</w:t>
      </w:r>
      <w:r w:rsidRPr="003B2F88">
        <w:t>oannas (</w:t>
      </w:r>
      <w:r w:rsidRPr="003B2F88">
        <w:rPr>
          <w:i/>
          <w:iCs/>
        </w:rPr>
        <w:t>Varanus</w:t>
      </w:r>
      <w:r>
        <w:t xml:space="preserve"> </w:t>
      </w:r>
      <w:r w:rsidRPr="003B2F88">
        <w:t>spp.)</w:t>
      </w:r>
      <w:r>
        <w:t xml:space="preserve"> </w:t>
      </w:r>
      <w:r w:rsidRPr="003B2F88">
        <w:t xml:space="preserve">are </w:t>
      </w:r>
      <w:r>
        <w:t xml:space="preserve">considered </w:t>
      </w:r>
      <w:r w:rsidRPr="003B2F88">
        <w:t xml:space="preserve">a culturally and </w:t>
      </w:r>
      <w:r>
        <w:t>e</w:t>
      </w:r>
      <w:r w:rsidRPr="003B2F88">
        <w:t xml:space="preserve">conomically important </w:t>
      </w:r>
      <w:r>
        <w:t>constituent</w:t>
      </w:r>
      <w:r w:rsidRPr="003B2F88">
        <w:t xml:space="preserve"> of a traditional</w:t>
      </w:r>
      <w:r>
        <w:t xml:space="preserve"> </w:t>
      </w:r>
      <w:r w:rsidRPr="003B2F88">
        <w:t>diet for some indigenous peoples</w:t>
      </w:r>
      <w:r>
        <w:t>. The target tissue of anticoagulant rodenticides, the liver, is consumed preferentially to other parts of the goanna, along with its fatty tissues (</w:t>
      </w:r>
      <w:r w:rsidRPr="00ED655A">
        <w:t xml:space="preserve">Lohr </w:t>
      </w:r>
      <w:r>
        <w:t>&amp;</w:t>
      </w:r>
      <w:r w:rsidRPr="00ED655A">
        <w:t xml:space="preserve"> Davis 2018</w:t>
      </w:r>
      <w:r>
        <w:t xml:space="preserve">). No data is available describing the </w:t>
      </w:r>
      <w:r>
        <w:lastRenderedPageBreak/>
        <w:t>quantity of goanna consumed, and data on the consumption of other wildlife, culturally significant and important to traditional diets of peoples from around Australia, is also insufficient.</w:t>
      </w:r>
    </w:p>
    <w:p w14:paraId="1C4F68B1" w14:textId="497E9E64" w:rsidR="00716611" w:rsidRDefault="00716611" w:rsidP="00716611">
      <w:pPr>
        <w:pStyle w:val="NormalText"/>
      </w:pPr>
      <w:r>
        <w:t xml:space="preserve">Monitoring data on the concentrations of first- and second-generation anticoagulant rodenticide residues found in </w:t>
      </w:r>
      <w:r w:rsidRPr="00AB7AE9">
        <w:rPr>
          <w:i/>
          <w:iCs/>
        </w:rPr>
        <w:t>Varanus</w:t>
      </w:r>
      <w:r>
        <w:t xml:space="preserve"> spp. has not been provided to this review. Data that has been provided describing FGAR and SGAR residues in reptiles is summarized in </w:t>
      </w:r>
      <w:r>
        <w:fldChar w:fldCharType="begin"/>
      </w:r>
      <w:r>
        <w:instrText xml:space="preserve"> REF _Ref207281762 \h  \* MERGEFORMAT </w:instrText>
      </w:r>
      <w:r>
        <w:fldChar w:fldCharType="separate"/>
      </w:r>
      <w:r w:rsidR="003861AC">
        <w:t xml:space="preserve">Table </w:t>
      </w:r>
      <w:r w:rsidR="003861AC">
        <w:rPr>
          <w:noProof/>
        </w:rPr>
        <w:t>80</w:t>
      </w:r>
      <w:r>
        <w:fldChar w:fldCharType="end"/>
      </w:r>
      <w:r>
        <w:t>, however this is not sufficient to complete a meaningful dietary-exposure risk assessment.</w:t>
      </w:r>
    </w:p>
    <w:p w14:paraId="2D6FFE2E" w14:textId="27EA04F3" w:rsidR="00716611" w:rsidRDefault="00716611" w:rsidP="00716611">
      <w:pPr>
        <w:pStyle w:val="NormalText"/>
      </w:pPr>
      <w:r w:rsidRPr="0043717B">
        <w:t xml:space="preserve">Mitigation measures to prevent either primary or secondary exposure of non-target animals, as recommended in section </w:t>
      </w:r>
      <w:r>
        <w:fldChar w:fldCharType="begin"/>
      </w:r>
      <w:r>
        <w:instrText xml:space="preserve"> REF _Ref213940104 \w \h </w:instrText>
      </w:r>
      <w:r>
        <w:fldChar w:fldCharType="separate"/>
      </w:r>
      <w:r w:rsidR="003861AC">
        <w:t>3.4</w:t>
      </w:r>
      <w:r>
        <w:fldChar w:fldCharType="end"/>
      </w:r>
      <w:r>
        <w:t xml:space="preserve"> above, </w:t>
      </w:r>
      <w:r w:rsidRPr="0043717B">
        <w:t xml:space="preserve">will make it unlikely that people will be unintentionally exposed </w:t>
      </w:r>
      <w:r>
        <w:t>to residues of anticoagulant rodenticides through their diet.</w:t>
      </w:r>
    </w:p>
    <w:p w14:paraId="3C77072C" w14:textId="01395089" w:rsidR="00716611" w:rsidRDefault="00716611" w:rsidP="00716611">
      <w:pPr>
        <w:pStyle w:val="Caption"/>
        <w:keepLines w:val="0"/>
      </w:pPr>
      <w:bookmarkStart w:id="1522" w:name="_Ref207281762"/>
      <w:bookmarkStart w:id="1523" w:name="_Toc216695742"/>
      <w:r>
        <w:t xml:space="preserve">Table </w:t>
      </w:r>
      <w:r>
        <w:fldChar w:fldCharType="begin"/>
      </w:r>
      <w:r>
        <w:instrText xml:space="preserve"> SEQ Table \* ARABIC </w:instrText>
      </w:r>
      <w:r>
        <w:fldChar w:fldCharType="separate"/>
      </w:r>
      <w:r w:rsidR="003861AC">
        <w:rPr>
          <w:noProof/>
        </w:rPr>
        <w:t>80</w:t>
      </w:r>
      <w:r>
        <w:fldChar w:fldCharType="end"/>
      </w:r>
      <w:bookmarkEnd w:id="1522"/>
      <w:r>
        <w:t xml:space="preserve">: </w:t>
      </w:r>
      <w:r w:rsidRPr="003B5C9B">
        <w:t>Summary of Monitoring Data in Australin reptiles</w:t>
      </w:r>
      <w:r>
        <w:t xml:space="preserve">. </w:t>
      </w:r>
      <w:r w:rsidRPr="003B5C9B">
        <w:t>APVMA Environment Report - Anticoagulant rodenticides - Fate and behaviour in the environment</w:t>
      </w:r>
      <w:bookmarkEnd w:id="1523"/>
    </w:p>
    <w:tbl>
      <w:tblPr>
        <w:tblStyle w:val="TableGrid"/>
        <w:tblW w:w="0" w:type="auto"/>
        <w:tblLook w:val="04A0" w:firstRow="1" w:lastRow="0" w:firstColumn="1" w:lastColumn="0" w:noHBand="0" w:noVBand="1"/>
      </w:tblPr>
      <w:tblGrid>
        <w:gridCol w:w="1411"/>
        <w:gridCol w:w="5955"/>
        <w:gridCol w:w="2262"/>
      </w:tblGrid>
      <w:tr w:rsidR="00716611" w:rsidRPr="002F5CB3" w14:paraId="587132BA" w14:textId="77777777" w:rsidTr="0017134F">
        <w:tc>
          <w:tcPr>
            <w:tcW w:w="1411" w:type="dxa"/>
            <w:tcBorders>
              <w:top w:val="nil"/>
              <w:left w:val="nil"/>
              <w:bottom w:val="nil"/>
              <w:right w:val="nil"/>
            </w:tcBorders>
            <w:shd w:val="clear" w:color="auto" w:fill="53284F"/>
          </w:tcPr>
          <w:p w14:paraId="3D5B025E" w14:textId="77777777" w:rsidR="00716611" w:rsidRPr="002F5CB3" w:rsidRDefault="00716611" w:rsidP="00B06352">
            <w:pPr>
              <w:pStyle w:val="TableHead"/>
            </w:pPr>
            <w:r w:rsidRPr="002F5CB3">
              <w:t>Active</w:t>
            </w:r>
          </w:p>
        </w:tc>
        <w:tc>
          <w:tcPr>
            <w:tcW w:w="5955" w:type="dxa"/>
            <w:tcBorders>
              <w:top w:val="nil"/>
              <w:left w:val="nil"/>
              <w:bottom w:val="nil"/>
              <w:right w:val="nil"/>
            </w:tcBorders>
            <w:shd w:val="clear" w:color="auto" w:fill="53284F"/>
          </w:tcPr>
          <w:p w14:paraId="6776B2C1" w14:textId="77777777" w:rsidR="00716611" w:rsidRPr="002F5CB3" w:rsidRDefault="00716611" w:rsidP="00B06352">
            <w:pPr>
              <w:pStyle w:val="TableHead"/>
            </w:pPr>
            <w:r>
              <w:t>Rodenticide data</w:t>
            </w:r>
          </w:p>
        </w:tc>
        <w:tc>
          <w:tcPr>
            <w:tcW w:w="2262" w:type="dxa"/>
            <w:tcBorders>
              <w:top w:val="nil"/>
              <w:left w:val="nil"/>
              <w:bottom w:val="nil"/>
              <w:right w:val="nil"/>
            </w:tcBorders>
            <w:shd w:val="clear" w:color="auto" w:fill="53284F"/>
          </w:tcPr>
          <w:p w14:paraId="4FB47173" w14:textId="77777777" w:rsidR="00716611" w:rsidRPr="00DD2252" w:rsidRDefault="00716611" w:rsidP="00B06352">
            <w:pPr>
              <w:pStyle w:val="TableHead"/>
            </w:pPr>
            <w:r>
              <w:t>Reference</w:t>
            </w:r>
          </w:p>
        </w:tc>
      </w:tr>
      <w:tr w:rsidR="00716611" w:rsidRPr="002F5CB3" w14:paraId="5D740406" w14:textId="77777777" w:rsidTr="00B06352">
        <w:tc>
          <w:tcPr>
            <w:tcW w:w="1411" w:type="dxa"/>
            <w:tcBorders>
              <w:top w:val="nil"/>
              <w:left w:val="nil"/>
              <w:right w:val="nil"/>
            </w:tcBorders>
          </w:tcPr>
          <w:p w14:paraId="09B3DD45" w14:textId="77777777" w:rsidR="00716611" w:rsidRPr="002F5CB3" w:rsidRDefault="00716611" w:rsidP="00B06352">
            <w:pPr>
              <w:pStyle w:val="TableText"/>
            </w:pPr>
            <w:r w:rsidRPr="002F5CB3">
              <w:t>Coumatetralyl</w:t>
            </w:r>
          </w:p>
        </w:tc>
        <w:tc>
          <w:tcPr>
            <w:tcW w:w="5955" w:type="dxa"/>
            <w:tcBorders>
              <w:top w:val="nil"/>
              <w:left w:val="nil"/>
              <w:right w:val="nil"/>
            </w:tcBorders>
          </w:tcPr>
          <w:p w14:paraId="543C4F6C" w14:textId="77777777" w:rsidR="00716611" w:rsidRPr="002F5CB3" w:rsidRDefault="00716611" w:rsidP="00B06352">
            <w:pPr>
              <w:pStyle w:val="TableText"/>
            </w:pPr>
            <w:r>
              <w:t>--</w:t>
            </w:r>
          </w:p>
        </w:tc>
        <w:tc>
          <w:tcPr>
            <w:tcW w:w="2262" w:type="dxa"/>
            <w:tcBorders>
              <w:top w:val="nil"/>
              <w:left w:val="nil"/>
              <w:right w:val="nil"/>
            </w:tcBorders>
          </w:tcPr>
          <w:p w14:paraId="28BFB448" w14:textId="77777777" w:rsidR="00716611" w:rsidRPr="003F0FDE" w:rsidRDefault="00716611" w:rsidP="00B06352">
            <w:pPr>
              <w:pStyle w:val="TableText"/>
            </w:pPr>
            <w:r w:rsidRPr="00D24002">
              <w:t>--</w:t>
            </w:r>
          </w:p>
        </w:tc>
      </w:tr>
      <w:tr w:rsidR="00716611" w:rsidRPr="002F5CB3" w14:paraId="2359D867" w14:textId="77777777" w:rsidTr="00B06352">
        <w:tc>
          <w:tcPr>
            <w:tcW w:w="1411" w:type="dxa"/>
            <w:tcBorders>
              <w:left w:val="nil"/>
              <w:right w:val="nil"/>
            </w:tcBorders>
          </w:tcPr>
          <w:p w14:paraId="46CB3A2A" w14:textId="77777777" w:rsidR="00716611" w:rsidRPr="002F5CB3" w:rsidRDefault="00716611" w:rsidP="00B06352">
            <w:pPr>
              <w:pStyle w:val="TableText"/>
            </w:pPr>
            <w:r w:rsidRPr="002F5CB3">
              <w:t>Diphacinone</w:t>
            </w:r>
          </w:p>
        </w:tc>
        <w:tc>
          <w:tcPr>
            <w:tcW w:w="5955" w:type="dxa"/>
            <w:tcBorders>
              <w:left w:val="nil"/>
              <w:right w:val="nil"/>
            </w:tcBorders>
          </w:tcPr>
          <w:p w14:paraId="7D832AE1" w14:textId="77777777" w:rsidR="00716611" w:rsidRPr="002F5CB3" w:rsidRDefault="00716611" w:rsidP="00B06352">
            <w:pPr>
              <w:pStyle w:val="TableText"/>
            </w:pPr>
            <w:r>
              <w:t>--</w:t>
            </w:r>
          </w:p>
        </w:tc>
        <w:tc>
          <w:tcPr>
            <w:tcW w:w="2262" w:type="dxa"/>
            <w:tcBorders>
              <w:left w:val="nil"/>
              <w:right w:val="nil"/>
            </w:tcBorders>
          </w:tcPr>
          <w:p w14:paraId="2C1100D6" w14:textId="77777777" w:rsidR="00716611" w:rsidRDefault="00716611" w:rsidP="00B06352">
            <w:pPr>
              <w:pStyle w:val="TableText"/>
            </w:pPr>
            <w:r w:rsidRPr="00D24002">
              <w:t>--</w:t>
            </w:r>
          </w:p>
        </w:tc>
      </w:tr>
      <w:tr w:rsidR="00716611" w:rsidRPr="002F5CB3" w14:paraId="3ECF37E1" w14:textId="77777777" w:rsidTr="00B06352">
        <w:tc>
          <w:tcPr>
            <w:tcW w:w="1411" w:type="dxa"/>
            <w:tcBorders>
              <w:left w:val="nil"/>
              <w:right w:val="nil"/>
            </w:tcBorders>
          </w:tcPr>
          <w:p w14:paraId="48CFA5E8" w14:textId="77777777" w:rsidR="00716611" w:rsidRPr="002F5CB3" w:rsidRDefault="00716611" w:rsidP="00B06352">
            <w:pPr>
              <w:pStyle w:val="TableText"/>
            </w:pPr>
            <w:r w:rsidRPr="002F5CB3">
              <w:t>Warfarin</w:t>
            </w:r>
          </w:p>
        </w:tc>
        <w:tc>
          <w:tcPr>
            <w:tcW w:w="5955" w:type="dxa"/>
            <w:tcBorders>
              <w:left w:val="nil"/>
              <w:right w:val="nil"/>
            </w:tcBorders>
          </w:tcPr>
          <w:p w14:paraId="611CA1DA" w14:textId="77777777" w:rsidR="00716611" w:rsidRPr="002F5CB3" w:rsidRDefault="00716611" w:rsidP="00B06352">
            <w:pPr>
              <w:pStyle w:val="TableText"/>
            </w:pPr>
            <w:r w:rsidRPr="00ED0BE2">
              <w:t>Max liver residues 11 μg/kg in 4/11 dugites from 2014-18, not detected in 10 bobtails or 11 tiger snakes from 2018-19 in Greater Perth, WA</w:t>
            </w:r>
          </w:p>
        </w:tc>
        <w:tc>
          <w:tcPr>
            <w:tcW w:w="2262" w:type="dxa"/>
            <w:tcBorders>
              <w:left w:val="nil"/>
              <w:right w:val="nil"/>
            </w:tcBorders>
          </w:tcPr>
          <w:p w14:paraId="227A099B" w14:textId="4EF2A241" w:rsidR="00716611" w:rsidRPr="003F0FDE" w:rsidRDefault="00716611" w:rsidP="00B06352">
            <w:pPr>
              <w:pStyle w:val="TableText"/>
            </w:pPr>
            <w:r w:rsidRPr="00ED0BE2">
              <w:t xml:space="preserve">Lettoof </w:t>
            </w:r>
            <w:r w:rsidR="00B7183A" w:rsidRPr="00B7183A">
              <w:rPr>
                <w:i/>
                <w:iCs/>
              </w:rPr>
              <w:t>et al</w:t>
            </w:r>
            <w:r w:rsidRPr="00ED0BE2">
              <w:t>. 2020</w:t>
            </w:r>
          </w:p>
        </w:tc>
      </w:tr>
      <w:tr w:rsidR="00716611" w:rsidRPr="002F5CB3" w14:paraId="1D44D8E4" w14:textId="77777777" w:rsidTr="00B06352">
        <w:tc>
          <w:tcPr>
            <w:tcW w:w="1411" w:type="dxa"/>
            <w:tcBorders>
              <w:left w:val="nil"/>
              <w:right w:val="nil"/>
            </w:tcBorders>
          </w:tcPr>
          <w:p w14:paraId="2E9F91E6" w14:textId="77777777" w:rsidR="00716611" w:rsidRPr="002F5CB3" w:rsidRDefault="00716611" w:rsidP="00B06352">
            <w:pPr>
              <w:pStyle w:val="TableText"/>
            </w:pPr>
            <w:r w:rsidRPr="002F5CB3">
              <w:t>Brodifacoum</w:t>
            </w:r>
          </w:p>
        </w:tc>
        <w:tc>
          <w:tcPr>
            <w:tcW w:w="5955" w:type="dxa"/>
            <w:tcBorders>
              <w:left w:val="nil"/>
              <w:right w:val="nil"/>
            </w:tcBorders>
          </w:tcPr>
          <w:p w14:paraId="3AACF242" w14:textId="77777777" w:rsidR="00716611" w:rsidRPr="002F5CB3" w:rsidRDefault="00716611" w:rsidP="00B06352">
            <w:pPr>
              <w:pStyle w:val="TableText"/>
            </w:pPr>
            <w:r w:rsidRPr="00ED0BE2">
              <w:t>Max liver residues 330 μg/kg in 7/11 dugites, 109 μg/kg in 6/10 bobtails from 2014-18, and 14 μg/kg in 5/11 tiger snakes from 2018-19 in Greater Perth, WA</w:t>
            </w:r>
          </w:p>
        </w:tc>
        <w:tc>
          <w:tcPr>
            <w:tcW w:w="2262" w:type="dxa"/>
            <w:tcBorders>
              <w:left w:val="nil"/>
              <w:right w:val="nil"/>
            </w:tcBorders>
          </w:tcPr>
          <w:p w14:paraId="17D68F51" w14:textId="06BB6A8A" w:rsidR="00716611" w:rsidRDefault="00716611" w:rsidP="00B06352">
            <w:pPr>
              <w:pStyle w:val="TableText"/>
            </w:pPr>
            <w:r w:rsidRPr="00ED0BE2">
              <w:t xml:space="preserve">Lettoof </w:t>
            </w:r>
            <w:r w:rsidR="00B7183A" w:rsidRPr="00B7183A">
              <w:rPr>
                <w:i/>
                <w:iCs/>
              </w:rPr>
              <w:t>et al</w:t>
            </w:r>
            <w:r w:rsidRPr="00ED0BE2">
              <w:t>. 2020</w:t>
            </w:r>
          </w:p>
        </w:tc>
      </w:tr>
      <w:tr w:rsidR="00716611" w:rsidRPr="002F5CB3" w14:paraId="38C436F5" w14:textId="77777777" w:rsidTr="00B06352">
        <w:tc>
          <w:tcPr>
            <w:tcW w:w="1411" w:type="dxa"/>
            <w:tcBorders>
              <w:left w:val="nil"/>
              <w:right w:val="nil"/>
            </w:tcBorders>
          </w:tcPr>
          <w:p w14:paraId="75415AB9" w14:textId="77777777" w:rsidR="00716611" w:rsidRPr="002F5CB3" w:rsidRDefault="00716611" w:rsidP="00B06352">
            <w:pPr>
              <w:pStyle w:val="TableText"/>
            </w:pPr>
            <w:r w:rsidRPr="002F5CB3">
              <w:t>Bromadiolone</w:t>
            </w:r>
          </w:p>
        </w:tc>
        <w:tc>
          <w:tcPr>
            <w:tcW w:w="5955" w:type="dxa"/>
            <w:tcBorders>
              <w:left w:val="nil"/>
              <w:right w:val="nil"/>
            </w:tcBorders>
          </w:tcPr>
          <w:p w14:paraId="67425860" w14:textId="77777777" w:rsidR="00716611" w:rsidRPr="002F5CB3" w:rsidRDefault="00716611" w:rsidP="00B06352">
            <w:pPr>
              <w:pStyle w:val="TableText"/>
            </w:pPr>
            <w:r w:rsidRPr="00ED0BE2">
              <w:t>Max liver residues 700 μg/kg in 5/11 dugites, 73 μg/kg in 4/10 bobtails from 2014-18, and not detected in 11 tiger snakes from 2018-19 in Greater Perth, WA</w:t>
            </w:r>
          </w:p>
        </w:tc>
        <w:tc>
          <w:tcPr>
            <w:tcW w:w="2262" w:type="dxa"/>
            <w:tcBorders>
              <w:left w:val="nil"/>
              <w:right w:val="nil"/>
            </w:tcBorders>
          </w:tcPr>
          <w:p w14:paraId="77454DBD" w14:textId="7497D0C6" w:rsidR="00716611" w:rsidRPr="003F0FDE" w:rsidRDefault="00716611" w:rsidP="00B06352">
            <w:pPr>
              <w:pStyle w:val="TableText"/>
            </w:pPr>
            <w:r w:rsidRPr="00ED0BE2">
              <w:t xml:space="preserve">Lettoof </w:t>
            </w:r>
            <w:r w:rsidR="00B7183A" w:rsidRPr="00B7183A">
              <w:rPr>
                <w:i/>
                <w:iCs/>
              </w:rPr>
              <w:t>et al</w:t>
            </w:r>
            <w:r w:rsidRPr="00ED0BE2">
              <w:t>. 2020</w:t>
            </w:r>
          </w:p>
        </w:tc>
      </w:tr>
      <w:tr w:rsidR="00716611" w:rsidRPr="002F5CB3" w14:paraId="5BF1712C" w14:textId="77777777" w:rsidTr="00B06352">
        <w:tc>
          <w:tcPr>
            <w:tcW w:w="1411" w:type="dxa"/>
            <w:tcBorders>
              <w:left w:val="nil"/>
              <w:right w:val="nil"/>
            </w:tcBorders>
          </w:tcPr>
          <w:p w14:paraId="5A7D330A" w14:textId="77777777" w:rsidR="00716611" w:rsidRPr="002F5CB3" w:rsidRDefault="00716611" w:rsidP="00B06352">
            <w:pPr>
              <w:pStyle w:val="TableText"/>
            </w:pPr>
            <w:r w:rsidRPr="002F5CB3">
              <w:t>Difenacoum</w:t>
            </w:r>
          </w:p>
        </w:tc>
        <w:tc>
          <w:tcPr>
            <w:tcW w:w="5955" w:type="dxa"/>
            <w:tcBorders>
              <w:left w:val="nil"/>
              <w:right w:val="nil"/>
            </w:tcBorders>
          </w:tcPr>
          <w:p w14:paraId="101BDEE7" w14:textId="77777777" w:rsidR="00716611" w:rsidRPr="002F5CB3" w:rsidRDefault="00716611" w:rsidP="00B06352">
            <w:pPr>
              <w:pStyle w:val="TableText"/>
            </w:pPr>
            <w:r w:rsidRPr="00ED0BE2">
              <w:t>Max liver residues 53 μg/kg in 4/11 dugites, 2 μg/kg in 1/10 bobtails in 2014-18, and not detected in 11 tiger snakes in 2018-19 in Greater Perth, WA</w:t>
            </w:r>
          </w:p>
        </w:tc>
        <w:tc>
          <w:tcPr>
            <w:tcW w:w="2262" w:type="dxa"/>
            <w:tcBorders>
              <w:left w:val="nil"/>
              <w:right w:val="nil"/>
            </w:tcBorders>
          </w:tcPr>
          <w:p w14:paraId="1842F659" w14:textId="3A8729B0" w:rsidR="00716611" w:rsidRPr="00DD2252" w:rsidRDefault="00716611" w:rsidP="00B06352">
            <w:pPr>
              <w:pStyle w:val="TableText"/>
            </w:pPr>
            <w:r w:rsidRPr="00ED0BE2">
              <w:t xml:space="preserve">Lettoof </w:t>
            </w:r>
            <w:r w:rsidR="00B7183A" w:rsidRPr="00B7183A">
              <w:rPr>
                <w:i/>
                <w:iCs/>
              </w:rPr>
              <w:t>et al</w:t>
            </w:r>
            <w:r w:rsidRPr="00ED0BE2">
              <w:t>. 2020</w:t>
            </w:r>
          </w:p>
        </w:tc>
      </w:tr>
      <w:tr w:rsidR="00716611" w:rsidRPr="002F5CB3" w14:paraId="571780D1" w14:textId="77777777" w:rsidTr="00B06352">
        <w:tc>
          <w:tcPr>
            <w:tcW w:w="1411" w:type="dxa"/>
            <w:tcBorders>
              <w:left w:val="nil"/>
              <w:right w:val="nil"/>
            </w:tcBorders>
          </w:tcPr>
          <w:p w14:paraId="588F91B4" w14:textId="77777777" w:rsidR="00716611" w:rsidRPr="002F5CB3" w:rsidRDefault="00716611" w:rsidP="00B06352">
            <w:pPr>
              <w:pStyle w:val="TableText"/>
            </w:pPr>
            <w:r w:rsidRPr="002F5CB3">
              <w:t>Difethialone</w:t>
            </w:r>
          </w:p>
        </w:tc>
        <w:tc>
          <w:tcPr>
            <w:tcW w:w="5955" w:type="dxa"/>
            <w:tcBorders>
              <w:left w:val="nil"/>
              <w:right w:val="nil"/>
            </w:tcBorders>
          </w:tcPr>
          <w:p w14:paraId="16D595BD" w14:textId="77777777" w:rsidR="00716611" w:rsidRPr="002F5CB3" w:rsidRDefault="00716611" w:rsidP="00B06352">
            <w:pPr>
              <w:pStyle w:val="TableText"/>
            </w:pPr>
            <w:r w:rsidRPr="00C650CF">
              <w:t>--</w:t>
            </w:r>
          </w:p>
        </w:tc>
        <w:tc>
          <w:tcPr>
            <w:tcW w:w="2262" w:type="dxa"/>
            <w:tcBorders>
              <w:left w:val="nil"/>
              <w:right w:val="nil"/>
            </w:tcBorders>
          </w:tcPr>
          <w:p w14:paraId="1ADE23FE" w14:textId="77777777" w:rsidR="00716611" w:rsidRPr="003F0FDE" w:rsidRDefault="00716611" w:rsidP="00B06352">
            <w:pPr>
              <w:pStyle w:val="TableText"/>
            </w:pPr>
            <w:r w:rsidRPr="00C650CF">
              <w:t>--</w:t>
            </w:r>
          </w:p>
        </w:tc>
      </w:tr>
      <w:tr w:rsidR="00716611" w:rsidRPr="002F5CB3" w14:paraId="7DC6EA55" w14:textId="77777777" w:rsidTr="00B06352">
        <w:tc>
          <w:tcPr>
            <w:tcW w:w="1411" w:type="dxa"/>
            <w:tcBorders>
              <w:left w:val="nil"/>
              <w:right w:val="nil"/>
            </w:tcBorders>
          </w:tcPr>
          <w:p w14:paraId="3BB5BEF2" w14:textId="77777777" w:rsidR="00716611" w:rsidRPr="002F5CB3" w:rsidRDefault="00716611" w:rsidP="00B06352">
            <w:pPr>
              <w:pStyle w:val="TableText"/>
            </w:pPr>
            <w:r w:rsidRPr="002F5CB3">
              <w:t>Flocoumafen</w:t>
            </w:r>
          </w:p>
        </w:tc>
        <w:tc>
          <w:tcPr>
            <w:tcW w:w="5955" w:type="dxa"/>
            <w:tcBorders>
              <w:left w:val="nil"/>
              <w:right w:val="nil"/>
            </w:tcBorders>
          </w:tcPr>
          <w:p w14:paraId="466B2EC4" w14:textId="77777777" w:rsidR="00716611" w:rsidRPr="002F5CB3" w:rsidRDefault="00716611" w:rsidP="00B06352">
            <w:pPr>
              <w:pStyle w:val="TableText"/>
            </w:pPr>
            <w:r w:rsidRPr="00ED0BE2">
              <w:t>Max liver residues 4 μg/kg in 1/10 bobtails from 2014-18, not detected in 11 dugites (2014-18) or 11 tiger snakes from 2018-19 in Greater Perth, WA</w:t>
            </w:r>
          </w:p>
        </w:tc>
        <w:tc>
          <w:tcPr>
            <w:tcW w:w="2262" w:type="dxa"/>
            <w:tcBorders>
              <w:left w:val="nil"/>
              <w:right w:val="nil"/>
            </w:tcBorders>
          </w:tcPr>
          <w:p w14:paraId="18EE01C7" w14:textId="3BF5DA9E" w:rsidR="00716611" w:rsidRPr="00DD2252" w:rsidRDefault="00716611" w:rsidP="00B06352">
            <w:pPr>
              <w:pStyle w:val="TableText"/>
            </w:pPr>
            <w:r w:rsidRPr="00ED0BE2">
              <w:t xml:space="preserve">Lettoof </w:t>
            </w:r>
            <w:r w:rsidR="00B7183A" w:rsidRPr="00B7183A">
              <w:rPr>
                <w:i/>
                <w:iCs/>
              </w:rPr>
              <w:t>et al</w:t>
            </w:r>
            <w:r w:rsidRPr="00ED0BE2">
              <w:t>. 2020</w:t>
            </w:r>
          </w:p>
        </w:tc>
      </w:tr>
    </w:tbl>
    <w:p w14:paraId="5318C42D" w14:textId="44AF63E7" w:rsidR="008E69B6" w:rsidRDefault="00716611" w:rsidP="008E69B6">
      <w:pPr>
        <w:pStyle w:val="APVMASourceTableNote"/>
      </w:pPr>
      <w:r>
        <w:t xml:space="preserve">Note: </w:t>
      </w:r>
      <w:r w:rsidRPr="005F1030">
        <w:t>Dugites (n=11) and bobtails (n=10) were collected opportunistically as roadkill or non-rotten carcasses donated by wildlife care centres between 2014 and 2018, and tiger snakes (n = 11) were wild caught and euthanised between 2018 and 2019.</w:t>
      </w:r>
    </w:p>
    <w:p w14:paraId="782AD194" w14:textId="77777777" w:rsidR="00716611" w:rsidRDefault="00716611" w:rsidP="00716611">
      <w:pPr>
        <w:pStyle w:val="NormalText"/>
      </w:pPr>
      <w:r>
        <w:t>The following restraint and critical comments are also recommended to be applied to all products containing the listed actives, in addition to those recommended by the environment risk assessment, to further reduce the risk of rodenticide exposure to edible wildlife or game, present in the surrounding areas:</w:t>
      </w:r>
    </w:p>
    <w:tbl>
      <w:tblPr>
        <w:tblStyle w:val="TableGrid"/>
        <w:tblW w:w="0" w:type="auto"/>
        <w:tblLook w:val="04A0" w:firstRow="1" w:lastRow="0" w:firstColumn="1" w:lastColumn="0" w:noHBand="0" w:noVBand="1"/>
      </w:tblPr>
      <w:tblGrid>
        <w:gridCol w:w="1451"/>
        <w:gridCol w:w="8177"/>
      </w:tblGrid>
      <w:tr w:rsidR="00716611" w:rsidRPr="002F5CB3" w14:paraId="179506E2" w14:textId="77777777" w:rsidTr="0017134F">
        <w:trPr>
          <w:tblHeader/>
        </w:trPr>
        <w:tc>
          <w:tcPr>
            <w:tcW w:w="1451" w:type="dxa"/>
            <w:tcBorders>
              <w:bottom w:val="single" w:sz="4" w:space="0" w:color="auto"/>
            </w:tcBorders>
            <w:shd w:val="clear" w:color="auto" w:fill="53284F"/>
          </w:tcPr>
          <w:p w14:paraId="1DB715CD" w14:textId="77777777" w:rsidR="00716611" w:rsidRPr="002F5CB3" w:rsidRDefault="00716611" w:rsidP="00B06352">
            <w:pPr>
              <w:pStyle w:val="TableHead"/>
            </w:pPr>
            <w:r w:rsidRPr="002F5CB3">
              <w:lastRenderedPageBreak/>
              <w:t>Active</w:t>
            </w:r>
          </w:p>
        </w:tc>
        <w:tc>
          <w:tcPr>
            <w:tcW w:w="8177" w:type="dxa"/>
            <w:tcBorders>
              <w:bottom w:val="single" w:sz="4" w:space="0" w:color="auto"/>
            </w:tcBorders>
            <w:shd w:val="clear" w:color="auto" w:fill="53284F"/>
          </w:tcPr>
          <w:p w14:paraId="13CC16D8" w14:textId="77777777" w:rsidR="00716611" w:rsidRPr="002F5CB3" w:rsidRDefault="00716611" w:rsidP="00B06352">
            <w:pPr>
              <w:pStyle w:val="TableHead"/>
            </w:pPr>
            <w:r>
              <w:t>R</w:t>
            </w:r>
            <w:r w:rsidRPr="00BD2F8D">
              <w:rPr>
                <w:shd w:val="clear" w:color="auto" w:fill="000000"/>
              </w:rPr>
              <w:t xml:space="preserve">estraints </w:t>
            </w:r>
            <w:r>
              <w:t>/ Critical Comment</w:t>
            </w:r>
            <w:r w:rsidRPr="002F5CB3">
              <w:t xml:space="preserve"> Statement</w:t>
            </w:r>
            <w:r>
              <w:t>s</w:t>
            </w:r>
          </w:p>
        </w:tc>
      </w:tr>
      <w:tr w:rsidR="002E3C42" w:rsidRPr="002F5CB3" w14:paraId="3A37D05D" w14:textId="77777777" w:rsidTr="00E906EA">
        <w:trPr>
          <w:tblHeader/>
        </w:trPr>
        <w:tc>
          <w:tcPr>
            <w:tcW w:w="1451" w:type="dxa"/>
            <w:tcBorders>
              <w:left w:val="nil"/>
              <w:right w:val="nil"/>
            </w:tcBorders>
          </w:tcPr>
          <w:p w14:paraId="4B35B83C" w14:textId="77777777" w:rsidR="002E3C42" w:rsidRPr="002F5CB3" w:rsidRDefault="002E3C42" w:rsidP="00B06352">
            <w:pPr>
              <w:pStyle w:val="TableText"/>
            </w:pPr>
            <w:r w:rsidRPr="002F5CB3">
              <w:t>Coumatetralyl</w:t>
            </w:r>
          </w:p>
        </w:tc>
        <w:tc>
          <w:tcPr>
            <w:tcW w:w="8177" w:type="dxa"/>
            <w:vMerge w:val="restart"/>
            <w:tcBorders>
              <w:left w:val="nil"/>
              <w:right w:val="nil"/>
            </w:tcBorders>
          </w:tcPr>
          <w:p w14:paraId="66E9AF1C" w14:textId="77777777" w:rsidR="002E3C42" w:rsidRDefault="002E3C42" w:rsidP="00B06352">
            <w:pPr>
              <w:pStyle w:val="TableText"/>
            </w:pPr>
            <w:r>
              <w:t>DO NOT bait in areas where wildlife may be collected for human consumption.</w:t>
            </w:r>
          </w:p>
          <w:p w14:paraId="2DEFB2CB" w14:textId="77777777" w:rsidR="002E3C42" w:rsidRDefault="002E3C42" w:rsidP="00B06352">
            <w:pPr>
              <w:pStyle w:val="TableText"/>
            </w:pPr>
            <w:r>
              <w:t xml:space="preserve">Caution should be used when baiting near areas where hunting of wildlife may occur. </w:t>
            </w:r>
          </w:p>
          <w:p w14:paraId="5FAAE59E" w14:textId="77777777" w:rsidR="002E3C42" w:rsidRPr="002F5CB3" w:rsidRDefault="002E3C42" w:rsidP="00B06352">
            <w:pPr>
              <w:pStyle w:val="TableText"/>
            </w:pPr>
            <w:r>
              <w:t>Careful consideration of bait placement is necessary to avoid secondary exposure from contaminated wildlife that may be consumed.</w:t>
            </w:r>
          </w:p>
        </w:tc>
      </w:tr>
      <w:tr w:rsidR="002E3C42" w:rsidRPr="002F5CB3" w14:paraId="7F71E466" w14:textId="77777777" w:rsidTr="00E906EA">
        <w:trPr>
          <w:tblHeader/>
        </w:trPr>
        <w:tc>
          <w:tcPr>
            <w:tcW w:w="1451" w:type="dxa"/>
            <w:tcBorders>
              <w:left w:val="nil"/>
              <w:right w:val="nil"/>
            </w:tcBorders>
          </w:tcPr>
          <w:p w14:paraId="377DB10B" w14:textId="4471DF91" w:rsidR="002E3C42" w:rsidRPr="002F5CB3" w:rsidRDefault="002E3C42" w:rsidP="002E3C42">
            <w:pPr>
              <w:pStyle w:val="TableText"/>
            </w:pPr>
            <w:r w:rsidRPr="002F5CB3">
              <w:t>Diphacinone</w:t>
            </w:r>
          </w:p>
        </w:tc>
        <w:tc>
          <w:tcPr>
            <w:tcW w:w="8177" w:type="dxa"/>
            <w:vMerge/>
            <w:tcBorders>
              <w:left w:val="nil"/>
              <w:right w:val="nil"/>
            </w:tcBorders>
          </w:tcPr>
          <w:p w14:paraId="6BFDB767" w14:textId="77777777" w:rsidR="002E3C42" w:rsidRDefault="002E3C42" w:rsidP="002E3C42">
            <w:pPr>
              <w:pStyle w:val="TableText"/>
            </w:pPr>
          </w:p>
        </w:tc>
      </w:tr>
      <w:tr w:rsidR="002E3C42" w:rsidRPr="002F5CB3" w14:paraId="3FE0F8D2" w14:textId="77777777" w:rsidTr="00E906EA">
        <w:trPr>
          <w:tblHeader/>
        </w:trPr>
        <w:tc>
          <w:tcPr>
            <w:tcW w:w="1451" w:type="dxa"/>
            <w:tcBorders>
              <w:left w:val="nil"/>
              <w:right w:val="nil"/>
            </w:tcBorders>
          </w:tcPr>
          <w:p w14:paraId="6A681E47" w14:textId="5F9A8FB8" w:rsidR="002E3C42" w:rsidRPr="002F5CB3" w:rsidRDefault="002E3C42" w:rsidP="002E3C42">
            <w:pPr>
              <w:pStyle w:val="TableText"/>
            </w:pPr>
            <w:r w:rsidRPr="002F5CB3">
              <w:t>Warfarin</w:t>
            </w:r>
          </w:p>
        </w:tc>
        <w:tc>
          <w:tcPr>
            <w:tcW w:w="8177" w:type="dxa"/>
            <w:vMerge/>
            <w:tcBorders>
              <w:left w:val="nil"/>
              <w:right w:val="nil"/>
            </w:tcBorders>
          </w:tcPr>
          <w:p w14:paraId="375E8354" w14:textId="77777777" w:rsidR="002E3C42" w:rsidRDefault="002E3C42" w:rsidP="002E3C42">
            <w:pPr>
              <w:pStyle w:val="TableText"/>
            </w:pPr>
          </w:p>
        </w:tc>
      </w:tr>
      <w:tr w:rsidR="002E3C42" w:rsidRPr="002F5CB3" w14:paraId="11F974E4" w14:textId="77777777" w:rsidTr="00E906EA">
        <w:trPr>
          <w:tblHeader/>
        </w:trPr>
        <w:tc>
          <w:tcPr>
            <w:tcW w:w="1451" w:type="dxa"/>
            <w:tcBorders>
              <w:left w:val="nil"/>
              <w:right w:val="nil"/>
            </w:tcBorders>
          </w:tcPr>
          <w:p w14:paraId="61AF8AB0" w14:textId="47888213" w:rsidR="002E3C42" w:rsidRPr="002F5CB3" w:rsidRDefault="002E3C42" w:rsidP="002E3C42">
            <w:pPr>
              <w:pStyle w:val="TableText"/>
            </w:pPr>
            <w:r w:rsidRPr="002F5CB3">
              <w:t>Brodifacoum</w:t>
            </w:r>
          </w:p>
        </w:tc>
        <w:tc>
          <w:tcPr>
            <w:tcW w:w="8177" w:type="dxa"/>
            <w:vMerge/>
            <w:tcBorders>
              <w:left w:val="nil"/>
              <w:right w:val="nil"/>
            </w:tcBorders>
          </w:tcPr>
          <w:p w14:paraId="26687FBE" w14:textId="77777777" w:rsidR="002E3C42" w:rsidRDefault="002E3C42" w:rsidP="002E3C42">
            <w:pPr>
              <w:pStyle w:val="TableText"/>
            </w:pPr>
          </w:p>
        </w:tc>
      </w:tr>
      <w:tr w:rsidR="002E3C42" w:rsidRPr="002F5CB3" w14:paraId="096F168D" w14:textId="77777777" w:rsidTr="00E906EA">
        <w:trPr>
          <w:tblHeader/>
        </w:trPr>
        <w:tc>
          <w:tcPr>
            <w:tcW w:w="1451" w:type="dxa"/>
            <w:tcBorders>
              <w:left w:val="nil"/>
              <w:right w:val="nil"/>
            </w:tcBorders>
          </w:tcPr>
          <w:p w14:paraId="7F276EB9" w14:textId="5AF2F2E2" w:rsidR="002E3C42" w:rsidRPr="002F5CB3" w:rsidRDefault="002E3C42" w:rsidP="002E3C42">
            <w:pPr>
              <w:pStyle w:val="TableText"/>
            </w:pPr>
            <w:r w:rsidRPr="002F5CB3">
              <w:t>Bromadiolone</w:t>
            </w:r>
          </w:p>
        </w:tc>
        <w:tc>
          <w:tcPr>
            <w:tcW w:w="8177" w:type="dxa"/>
            <w:vMerge/>
            <w:tcBorders>
              <w:left w:val="nil"/>
              <w:right w:val="nil"/>
            </w:tcBorders>
          </w:tcPr>
          <w:p w14:paraId="26CFB568" w14:textId="77777777" w:rsidR="002E3C42" w:rsidRDefault="002E3C42" w:rsidP="002E3C42">
            <w:pPr>
              <w:pStyle w:val="TableText"/>
            </w:pPr>
          </w:p>
        </w:tc>
      </w:tr>
      <w:tr w:rsidR="002E3C42" w:rsidRPr="002F5CB3" w14:paraId="4E02174E" w14:textId="77777777" w:rsidTr="00E906EA">
        <w:trPr>
          <w:tblHeader/>
        </w:trPr>
        <w:tc>
          <w:tcPr>
            <w:tcW w:w="1451" w:type="dxa"/>
            <w:tcBorders>
              <w:left w:val="nil"/>
              <w:right w:val="nil"/>
            </w:tcBorders>
          </w:tcPr>
          <w:p w14:paraId="7CEBFBEF" w14:textId="4144F356" w:rsidR="002E3C42" w:rsidRPr="002F5CB3" w:rsidRDefault="002E3C42" w:rsidP="002E3C42">
            <w:pPr>
              <w:pStyle w:val="TableText"/>
            </w:pPr>
            <w:r w:rsidRPr="002F5CB3">
              <w:t>Difenacoum</w:t>
            </w:r>
          </w:p>
        </w:tc>
        <w:tc>
          <w:tcPr>
            <w:tcW w:w="8177" w:type="dxa"/>
            <w:vMerge/>
            <w:tcBorders>
              <w:left w:val="nil"/>
              <w:right w:val="nil"/>
            </w:tcBorders>
          </w:tcPr>
          <w:p w14:paraId="042D0414" w14:textId="77777777" w:rsidR="002E3C42" w:rsidRDefault="002E3C42" w:rsidP="002E3C42">
            <w:pPr>
              <w:pStyle w:val="TableText"/>
            </w:pPr>
          </w:p>
        </w:tc>
      </w:tr>
      <w:tr w:rsidR="002E3C42" w:rsidRPr="002F5CB3" w14:paraId="078690FC" w14:textId="77777777" w:rsidTr="00E906EA">
        <w:trPr>
          <w:tblHeader/>
        </w:trPr>
        <w:tc>
          <w:tcPr>
            <w:tcW w:w="1451" w:type="dxa"/>
            <w:tcBorders>
              <w:left w:val="nil"/>
              <w:right w:val="nil"/>
            </w:tcBorders>
          </w:tcPr>
          <w:p w14:paraId="5EFF13CD" w14:textId="5074D6E8" w:rsidR="002E3C42" w:rsidRPr="002F5CB3" w:rsidRDefault="002E3C42" w:rsidP="002E3C42">
            <w:pPr>
              <w:pStyle w:val="TableText"/>
            </w:pPr>
            <w:r w:rsidRPr="002F5CB3">
              <w:t>Difethialone</w:t>
            </w:r>
          </w:p>
        </w:tc>
        <w:tc>
          <w:tcPr>
            <w:tcW w:w="8177" w:type="dxa"/>
            <w:vMerge/>
            <w:tcBorders>
              <w:left w:val="nil"/>
              <w:right w:val="nil"/>
            </w:tcBorders>
          </w:tcPr>
          <w:p w14:paraId="7AA7842C" w14:textId="77777777" w:rsidR="002E3C42" w:rsidRDefault="002E3C42" w:rsidP="002E3C42">
            <w:pPr>
              <w:pStyle w:val="TableText"/>
            </w:pPr>
          </w:p>
        </w:tc>
      </w:tr>
      <w:tr w:rsidR="002E3C42" w:rsidRPr="002F5CB3" w14:paraId="5C6405B9" w14:textId="77777777" w:rsidTr="00E906EA">
        <w:trPr>
          <w:tblHeader/>
        </w:trPr>
        <w:tc>
          <w:tcPr>
            <w:tcW w:w="1451" w:type="dxa"/>
            <w:tcBorders>
              <w:left w:val="nil"/>
              <w:right w:val="nil"/>
            </w:tcBorders>
          </w:tcPr>
          <w:p w14:paraId="311639B4" w14:textId="043C7895" w:rsidR="002E3C42" w:rsidRPr="002F5CB3" w:rsidRDefault="002E3C42" w:rsidP="002E3C42">
            <w:pPr>
              <w:pStyle w:val="TableText"/>
            </w:pPr>
            <w:r w:rsidRPr="002F5CB3">
              <w:t>Flocoumafen</w:t>
            </w:r>
          </w:p>
        </w:tc>
        <w:tc>
          <w:tcPr>
            <w:tcW w:w="8177" w:type="dxa"/>
            <w:vMerge/>
            <w:tcBorders>
              <w:left w:val="nil"/>
              <w:right w:val="nil"/>
            </w:tcBorders>
          </w:tcPr>
          <w:p w14:paraId="3CB08ED3" w14:textId="77777777" w:rsidR="002E3C42" w:rsidRDefault="002E3C42" w:rsidP="002E3C42">
            <w:pPr>
              <w:pStyle w:val="TableText"/>
            </w:pPr>
          </w:p>
        </w:tc>
      </w:tr>
    </w:tbl>
    <w:p w14:paraId="315C20B1" w14:textId="77777777" w:rsidR="003A7FAE" w:rsidRDefault="003A7FAE" w:rsidP="006F78D3">
      <w:pPr>
        <w:pStyle w:val="Heading3"/>
        <w:suppressAutoHyphens w:val="0"/>
        <w:spacing w:before="240" w:after="120" w:line="240" w:lineRule="auto"/>
      </w:pPr>
      <w:bookmarkStart w:id="1524" w:name="_Toc216695616"/>
      <w:r>
        <w:t>Carcass management</w:t>
      </w:r>
      <w:bookmarkEnd w:id="1524"/>
    </w:p>
    <w:p w14:paraId="365EEE4F" w14:textId="604510A9" w:rsidR="003A7FAE" w:rsidRDefault="003A7FAE" w:rsidP="003A7FAE">
      <w:pPr>
        <w:pStyle w:val="NormalText"/>
      </w:pPr>
      <w:r>
        <w:t>The</w:t>
      </w:r>
      <w:r w:rsidR="00B26177">
        <w:t xml:space="preserve"> environmental risk assessment recommendations include instructions to</w:t>
      </w:r>
      <w:r>
        <w:t xml:space="preserve"> reduce the risk of exposure to wildlife which may be present near the treatment area</w:t>
      </w:r>
      <w:r w:rsidR="00B26177">
        <w:t xml:space="preserve"> (see</w:t>
      </w:r>
      <w:r w:rsidR="00B26177" w:rsidRPr="006F78D3">
        <w:rPr>
          <w:b/>
          <w:bCs/>
        </w:rPr>
        <w:t xml:space="preserve"> </w:t>
      </w:r>
      <w:r w:rsidR="00B26177" w:rsidRPr="006F78D3">
        <w:rPr>
          <w:b/>
          <w:bCs/>
        </w:rPr>
        <w:fldChar w:fldCharType="begin"/>
      </w:r>
      <w:r w:rsidR="00B26177" w:rsidRPr="006F78D3">
        <w:rPr>
          <w:b/>
          <w:bCs/>
        </w:rPr>
        <w:instrText xml:space="preserve"> REF _Ref214833903 \w \h </w:instrText>
      </w:r>
      <w:r w:rsidR="00051855">
        <w:rPr>
          <w:b/>
          <w:bCs/>
        </w:rPr>
        <w:instrText xml:space="preserve"> \* MERGEFORMAT </w:instrText>
      </w:r>
      <w:r w:rsidR="00B26177" w:rsidRPr="006F78D3">
        <w:rPr>
          <w:b/>
          <w:bCs/>
        </w:rPr>
      </w:r>
      <w:r w:rsidR="00B26177" w:rsidRPr="006F78D3">
        <w:rPr>
          <w:b/>
          <w:bCs/>
        </w:rPr>
        <w:fldChar w:fldCharType="separate"/>
      </w:r>
      <w:r w:rsidR="003861AC">
        <w:rPr>
          <w:b/>
          <w:bCs/>
        </w:rPr>
        <w:t>3.4.2</w:t>
      </w:r>
      <w:r w:rsidR="00B26177" w:rsidRPr="006F78D3">
        <w:rPr>
          <w:b/>
          <w:bCs/>
        </w:rPr>
        <w:fldChar w:fldCharType="end"/>
      </w:r>
      <w:r w:rsidR="00B26177" w:rsidRPr="006F78D3">
        <w:rPr>
          <w:b/>
          <w:bCs/>
        </w:rPr>
        <w:t xml:space="preserve"> </w:t>
      </w:r>
      <w:r w:rsidR="00051855" w:rsidRPr="006F78D3">
        <w:rPr>
          <w:b/>
          <w:bCs/>
        </w:rPr>
        <w:t xml:space="preserve">Supported products and uses </w:t>
      </w:r>
      <w:r w:rsidR="00B26177">
        <w:t>above).</w:t>
      </w:r>
      <w:r>
        <w:t xml:space="preserve"> It is noted the </w:t>
      </w:r>
      <w:r w:rsidRPr="0078261B">
        <w:t>omnivorous</w:t>
      </w:r>
      <w:r>
        <w:t xml:space="preserve"> nature of swine and poultry, as well as predatory behaviours of goanna, snakes and wild boars, does not preclude them from consuming dead or moribund rodents or invertebrates having ingested rodenticidal baits. Therefore,</w:t>
      </w:r>
      <w:r w:rsidR="00B26177">
        <w:t xml:space="preserve"> it is recommended that the following amended instructions be included on</w:t>
      </w:r>
      <w:r>
        <w:t xml:space="preserve"> all</w:t>
      </w:r>
      <w:r w:rsidR="00B26177">
        <w:t xml:space="preserve"> </w:t>
      </w:r>
      <w:r>
        <w:t>available products</w:t>
      </w:r>
      <w:r w:rsidR="00B26177">
        <w:t>, to</w:t>
      </w:r>
      <w:r>
        <w:t xml:space="preserve"> </w:t>
      </w:r>
      <w:r w:rsidR="00B26177">
        <w:t xml:space="preserve">incorporate the risks also posed to </w:t>
      </w:r>
      <w:r>
        <w:t>livestock and poultry:</w:t>
      </w:r>
    </w:p>
    <w:p w14:paraId="72E91587" w14:textId="77777777" w:rsidR="003A7FAE" w:rsidRPr="00377F3A" w:rsidRDefault="003A7FAE" w:rsidP="003A7FAE">
      <w:pPr>
        <w:pStyle w:val="NormalText"/>
        <w:ind w:left="567"/>
        <w:rPr>
          <w:i/>
          <w:iCs/>
        </w:rPr>
      </w:pPr>
      <w:r w:rsidRPr="00377F3A">
        <w:rPr>
          <w:i/>
          <w:iCs/>
        </w:rPr>
        <w:t xml:space="preserve">Hazardous to </w:t>
      </w:r>
      <w:r w:rsidRPr="00377F3A">
        <w:rPr>
          <w:i/>
          <w:iCs/>
          <w:u w:val="single"/>
        </w:rPr>
        <w:t>livestock, poultry</w:t>
      </w:r>
      <w:r w:rsidRPr="00377F3A">
        <w:rPr>
          <w:i/>
          <w:iCs/>
        </w:rPr>
        <w:t xml:space="preserve"> and wildlife. 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p w14:paraId="72EBCB29" w14:textId="77777777" w:rsidR="003A7FAE" w:rsidRDefault="003A7FAE" w:rsidP="007864A9">
      <w:pPr>
        <w:pStyle w:val="NormalText"/>
      </w:pPr>
      <w:r>
        <w:t>The following restraint statements are also recommended to be applied to all products.</w:t>
      </w:r>
    </w:p>
    <w:p w14:paraId="2C104990" w14:textId="1B2A9CB5" w:rsidR="00CF7D3A" w:rsidRDefault="00CF7D3A" w:rsidP="006F78D3">
      <w:pPr>
        <w:pStyle w:val="Heading2"/>
        <w:tabs>
          <w:tab w:val="num" w:pos="907"/>
        </w:tabs>
      </w:pPr>
      <w:bookmarkStart w:id="1525" w:name="_Toc89488095"/>
      <w:bookmarkStart w:id="1526" w:name="_Toc89501505"/>
      <w:bookmarkStart w:id="1527" w:name="_Toc89676041"/>
      <w:bookmarkStart w:id="1528" w:name="_Toc89684511"/>
      <w:bookmarkStart w:id="1529" w:name="_Toc89829968"/>
      <w:bookmarkStart w:id="1530" w:name="_Toc98575826"/>
      <w:bookmarkStart w:id="1531" w:name="_Toc102811231"/>
      <w:bookmarkStart w:id="1532" w:name="_Toc102811555"/>
      <w:bookmarkStart w:id="1533" w:name="_Toc251681937"/>
      <w:bookmarkStart w:id="1534" w:name="_Toc192682456"/>
      <w:bookmarkStart w:id="1535" w:name="_Toc214025584"/>
      <w:bookmarkStart w:id="1536" w:name="_Toc216695617"/>
      <w:r>
        <w:t xml:space="preserve">Dietary </w:t>
      </w:r>
      <w:r w:rsidRPr="0087236D">
        <w:t>risk</w:t>
      </w:r>
      <w:r>
        <w:t xml:space="preserve"> assessment</w:t>
      </w:r>
      <w:bookmarkEnd w:id="1525"/>
      <w:bookmarkEnd w:id="1526"/>
      <w:bookmarkEnd w:id="1527"/>
      <w:bookmarkEnd w:id="1528"/>
      <w:bookmarkEnd w:id="1529"/>
      <w:bookmarkEnd w:id="1530"/>
      <w:bookmarkEnd w:id="1531"/>
      <w:bookmarkEnd w:id="1532"/>
      <w:bookmarkEnd w:id="1533"/>
      <w:bookmarkEnd w:id="1534"/>
      <w:bookmarkEnd w:id="1535"/>
      <w:bookmarkEnd w:id="1536"/>
    </w:p>
    <w:p w14:paraId="38194837" w14:textId="46CB78FF" w:rsidR="007437F4" w:rsidRDefault="00CF7D3A" w:rsidP="00377F3A">
      <w:pPr>
        <w:pStyle w:val="NormalText"/>
      </w:pPr>
      <w:r>
        <w:t xml:space="preserve">First and </w:t>
      </w:r>
      <w:r w:rsidR="0094142F">
        <w:t>second-generation</w:t>
      </w:r>
      <w:r>
        <w:t xml:space="preserve"> anticoagulant rodenticides</w:t>
      </w:r>
      <w:r w:rsidRPr="00F2572A">
        <w:t xml:space="preserve"> are non-food</w:t>
      </w:r>
      <w:r w:rsidR="00BC694E">
        <w:t>-</w:t>
      </w:r>
      <w:r w:rsidRPr="00F2572A">
        <w:t>use pesticides</w:t>
      </w:r>
      <w:r w:rsidR="0094142F">
        <w:t xml:space="preserve">. </w:t>
      </w:r>
      <w:r w:rsidR="00BC694E">
        <w:t>Product c</w:t>
      </w:r>
      <w:r w:rsidRPr="00F2572A">
        <w:t>ontact with crops</w:t>
      </w:r>
      <w:r w:rsidR="0094142F">
        <w:t>,</w:t>
      </w:r>
      <w:r>
        <w:t xml:space="preserve"> commercially raised livestock</w:t>
      </w:r>
      <w:r w:rsidRPr="00F2572A">
        <w:t xml:space="preserve">, food products, or </w:t>
      </w:r>
      <w:r w:rsidR="00BC694E">
        <w:t xml:space="preserve">the </w:t>
      </w:r>
      <w:r w:rsidRPr="00F2572A">
        <w:t xml:space="preserve">soil in which crops are grown </w:t>
      </w:r>
      <w:r>
        <w:t>should not occur</w:t>
      </w:r>
      <w:r w:rsidR="00527132">
        <w:t>. I</w:t>
      </w:r>
      <w:r>
        <w:t xml:space="preserve">t is unlikely dietary exposure </w:t>
      </w:r>
      <w:r w:rsidR="00527132">
        <w:t xml:space="preserve">could </w:t>
      </w:r>
      <w:r w:rsidR="0094142F">
        <w:t xml:space="preserve">occur via </w:t>
      </w:r>
      <w:r>
        <w:t>consum</w:t>
      </w:r>
      <w:r w:rsidR="00527132">
        <w:t xml:space="preserve">ption of </w:t>
      </w:r>
      <w:r>
        <w:t>livestock, their commodities, crops</w:t>
      </w:r>
      <w:r w:rsidR="0094142F">
        <w:t>,</w:t>
      </w:r>
      <w:r>
        <w:t xml:space="preserve"> or </w:t>
      </w:r>
      <w:r w:rsidR="0094142F">
        <w:t>from</w:t>
      </w:r>
      <w:r>
        <w:t xml:space="preserve"> residues in ground or surface waters.</w:t>
      </w:r>
      <w:bookmarkStart w:id="1537" w:name="_Toc89676043"/>
      <w:bookmarkStart w:id="1538" w:name="_Toc89684513"/>
      <w:bookmarkStart w:id="1539" w:name="_Toc89829970"/>
      <w:bookmarkStart w:id="1540" w:name="_Toc98575828"/>
      <w:bookmarkStart w:id="1541" w:name="_Toc102811233"/>
      <w:bookmarkStart w:id="1542" w:name="_Toc102811557"/>
      <w:bookmarkStart w:id="1543" w:name="_Toc251681939"/>
      <w:bookmarkStart w:id="1544" w:name="_Toc46139425"/>
      <w:bookmarkStart w:id="1545" w:name="_Toc192682458"/>
      <w:bookmarkStart w:id="1546" w:name="_Toc89488096"/>
      <w:bookmarkStart w:id="1547" w:name="_Toc89501506"/>
      <w:bookmarkStart w:id="1548" w:name="_Toc89676044"/>
      <w:bookmarkStart w:id="1549" w:name="_Toc89684514"/>
      <w:bookmarkStart w:id="1550" w:name="_Toc89829971"/>
      <w:bookmarkStart w:id="1551" w:name="_Toc98575829"/>
      <w:bookmarkStart w:id="1552" w:name="_Toc102811234"/>
      <w:bookmarkStart w:id="1553" w:name="_Toc102811558"/>
      <w:bookmarkStart w:id="1554" w:name="_Toc251681940"/>
    </w:p>
    <w:p w14:paraId="784F8E3D" w14:textId="4C4D7682" w:rsidR="00CF7D3A" w:rsidRDefault="00CF7D3A" w:rsidP="00BD2F8D">
      <w:pPr>
        <w:pStyle w:val="Heading2"/>
      </w:pPr>
      <w:bookmarkStart w:id="1555" w:name="_Toc192682459"/>
      <w:bookmarkStart w:id="1556" w:name="_Toc214025585"/>
      <w:bookmarkStart w:id="1557" w:name="_Toc216695618"/>
      <w:bookmarkEnd w:id="1537"/>
      <w:bookmarkEnd w:id="1538"/>
      <w:bookmarkEnd w:id="1539"/>
      <w:bookmarkEnd w:id="1540"/>
      <w:bookmarkEnd w:id="1541"/>
      <w:bookmarkEnd w:id="1542"/>
      <w:bookmarkEnd w:id="1543"/>
      <w:bookmarkEnd w:id="1544"/>
      <w:bookmarkEnd w:id="1545"/>
      <w:r>
        <w:t>Residue</w:t>
      </w:r>
      <w:r w:rsidR="00F03136">
        <w:t>-</w:t>
      </w:r>
      <w:r>
        <w:t>related aspects of trade</w:t>
      </w:r>
      <w:bookmarkEnd w:id="1546"/>
      <w:bookmarkEnd w:id="1547"/>
      <w:bookmarkEnd w:id="1548"/>
      <w:bookmarkEnd w:id="1549"/>
      <w:bookmarkEnd w:id="1550"/>
      <w:bookmarkEnd w:id="1551"/>
      <w:bookmarkEnd w:id="1552"/>
      <w:bookmarkEnd w:id="1553"/>
      <w:bookmarkEnd w:id="1554"/>
      <w:bookmarkEnd w:id="1555"/>
      <w:bookmarkEnd w:id="1556"/>
      <w:bookmarkEnd w:id="1557"/>
    </w:p>
    <w:p w14:paraId="61BDA21A" w14:textId="1AC7D156" w:rsidR="007437F4" w:rsidRDefault="006344EE" w:rsidP="00253B3F">
      <w:pPr>
        <w:pStyle w:val="NormalText"/>
      </w:pPr>
      <w:r>
        <w:t>A</w:t>
      </w:r>
      <w:r w:rsidR="00F03136" w:rsidRPr="00324970">
        <w:t>nticoagulant rodenticide</w:t>
      </w:r>
      <w:r w:rsidR="00F03136">
        <w:t>s</w:t>
      </w:r>
      <w:r w:rsidR="00F03136" w:rsidRPr="00324970">
        <w:t xml:space="preserve"> </w:t>
      </w:r>
      <w:r>
        <w:t>are not registered for use on food producing crops or for treatment of food producing animals. S</w:t>
      </w:r>
      <w:r w:rsidR="00CF7D3A" w:rsidRPr="00253B3F">
        <w:t>ignificant residues are not expected in livestock feeds.</w:t>
      </w:r>
      <w:r w:rsidR="00CF7D3A">
        <w:t xml:space="preserve"> </w:t>
      </w:r>
      <w:bookmarkStart w:id="1558" w:name="_Toc89829976"/>
      <w:bookmarkStart w:id="1559" w:name="_Toc98575835"/>
      <w:bookmarkStart w:id="1560" w:name="_Toc99338807"/>
      <w:bookmarkStart w:id="1561" w:name="_Toc102811239"/>
      <w:bookmarkStart w:id="1562" w:name="_Toc102811564"/>
      <w:bookmarkStart w:id="1563" w:name="_Toc251681945"/>
      <w:r w:rsidRPr="006344EE">
        <w:t>For completeness, a comparison of Australian MRLs with Codex and overseas MRLs is presented</w:t>
      </w:r>
      <w:r>
        <w:t xml:space="preserve"> in </w:t>
      </w:r>
      <w:r>
        <w:fldChar w:fldCharType="begin"/>
      </w:r>
      <w:r>
        <w:instrText xml:space="preserve"> REF _Ref213941522 \h </w:instrText>
      </w:r>
      <w:r>
        <w:fldChar w:fldCharType="separate"/>
      </w:r>
      <w:r w:rsidR="003861AC">
        <w:t xml:space="preserve">Table </w:t>
      </w:r>
      <w:r w:rsidR="003861AC">
        <w:rPr>
          <w:noProof/>
        </w:rPr>
        <w:t>81</w:t>
      </w:r>
      <w:r>
        <w:fldChar w:fldCharType="end"/>
      </w:r>
      <w:r w:rsidRPr="006344EE">
        <w:t xml:space="preserve"> below.</w:t>
      </w:r>
    </w:p>
    <w:bookmarkEnd w:id="1558"/>
    <w:bookmarkEnd w:id="1559"/>
    <w:bookmarkEnd w:id="1560"/>
    <w:bookmarkEnd w:id="1561"/>
    <w:bookmarkEnd w:id="1562"/>
    <w:bookmarkEnd w:id="1563"/>
    <w:p w14:paraId="16DD12BE" w14:textId="7A3C56C8" w:rsidR="00527132" w:rsidRDefault="00CF7D3A" w:rsidP="00253B3F">
      <w:pPr>
        <w:pStyle w:val="NormalText"/>
      </w:pPr>
      <w:r>
        <w:lastRenderedPageBreak/>
        <w:t>The Codex Alimentarius Commission (Codex) is responsible for establishing Codex Maximum Residue Limits (CXLs) for pesticides</w:t>
      </w:r>
      <w:r w:rsidR="00527132">
        <w:t xml:space="preserve">, which </w:t>
      </w:r>
      <w:r>
        <w:t>are primarily intended to facilitate international trade</w:t>
      </w:r>
      <w:r w:rsidR="00527132">
        <w:t>,</w:t>
      </w:r>
      <w:r>
        <w:t xml:space="preserve"> and accommodate differences in Good Agricultural Practice (GAP) employed by various countries. </w:t>
      </w:r>
      <w:r w:rsidRPr="00755556">
        <w:t xml:space="preserve">Rodenticides </w:t>
      </w:r>
      <w:r>
        <w:t>have not been</w:t>
      </w:r>
      <w:r w:rsidRPr="00870787">
        <w:rPr>
          <w:color w:val="BD3632" w:themeColor="accent6"/>
        </w:rPr>
        <w:t xml:space="preserve"> </w:t>
      </w:r>
      <w:r>
        <w:t xml:space="preserve">considered by Codex. </w:t>
      </w:r>
    </w:p>
    <w:p w14:paraId="2DA89CCC" w14:textId="13A76BC9" w:rsidR="008409AF" w:rsidRDefault="008409AF" w:rsidP="00BD2F8D">
      <w:pPr>
        <w:pStyle w:val="Caption"/>
      </w:pPr>
      <w:bookmarkStart w:id="1564" w:name="_Ref207282080"/>
      <w:bookmarkStart w:id="1565" w:name="_Ref213941522"/>
      <w:bookmarkStart w:id="1566" w:name="_Toc213946053"/>
      <w:bookmarkStart w:id="1567" w:name="_Toc216695743"/>
      <w:r>
        <w:t xml:space="preserve">Table </w:t>
      </w:r>
      <w:r>
        <w:fldChar w:fldCharType="begin"/>
      </w:r>
      <w:r>
        <w:instrText xml:space="preserve"> SEQ Table \* ARABIC </w:instrText>
      </w:r>
      <w:r>
        <w:fldChar w:fldCharType="separate"/>
      </w:r>
      <w:r w:rsidR="003861AC">
        <w:rPr>
          <w:noProof/>
        </w:rPr>
        <w:t>81</w:t>
      </w:r>
      <w:r>
        <w:fldChar w:fldCharType="end"/>
      </w:r>
      <w:bookmarkEnd w:id="1564"/>
      <w:bookmarkEnd w:id="1565"/>
      <w:r>
        <w:t>: Comparison between Australian and Codex MRLs: anticoagulant rodenticides.</w:t>
      </w:r>
      <w:bookmarkEnd w:id="1566"/>
      <w:bookmarkEnd w:id="1567"/>
    </w:p>
    <w:tbl>
      <w:tblPr>
        <w:tblW w:w="5000" w:type="pct"/>
        <w:tblLook w:val="0000" w:firstRow="0" w:lastRow="0" w:firstColumn="0" w:lastColumn="0" w:noHBand="0" w:noVBand="0"/>
      </w:tblPr>
      <w:tblGrid>
        <w:gridCol w:w="2220"/>
        <w:gridCol w:w="1285"/>
        <w:gridCol w:w="914"/>
        <w:gridCol w:w="779"/>
        <w:gridCol w:w="972"/>
        <w:gridCol w:w="1016"/>
        <w:gridCol w:w="1118"/>
        <w:gridCol w:w="1334"/>
      </w:tblGrid>
      <w:tr w:rsidR="007437F4" w14:paraId="364982FF" w14:textId="77777777" w:rsidTr="0017134F">
        <w:trPr>
          <w:cantSplit/>
          <w:trHeight w:val="248"/>
          <w:tblHeader/>
        </w:trPr>
        <w:tc>
          <w:tcPr>
            <w:tcW w:w="1152" w:type="pct"/>
            <w:vMerge w:val="restart"/>
            <w:shd w:val="clear" w:color="auto" w:fill="53284F"/>
            <w:vAlign w:val="center"/>
          </w:tcPr>
          <w:p w14:paraId="751D5E76" w14:textId="5DD114CF" w:rsidR="00CF7D3A" w:rsidRDefault="007437F4" w:rsidP="00BA7F4F">
            <w:pPr>
              <w:pStyle w:val="TableHead"/>
            </w:pPr>
            <w:r>
              <w:t>Commodity</w:t>
            </w:r>
          </w:p>
        </w:tc>
        <w:tc>
          <w:tcPr>
            <w:tcW w:w="3848" w:type="pct"/>
            <w:gridSpan w:val="7"/>
            <w:shd w:val="clear" w:color="auto" w:fill="53284F"/>
          </w:tcPr>
          <w:p w14:paraId="02BDCFC1" w14:textId="77777777" w:rsidR="00CF7D3A" w:rsidRDefault="00CF7D3A" w:rsidP="00BA7F4F">
            <w:pPr>
              <w:pStyle w:val="TableHead"/>
            </w:pPr>
            <w:r>
              <w:t>Overseas MRLs/tolerances (mg/kg)</w:t>
            </w:r>
          </w:p>
        </w:tc>
      </w:tr>
      <w:tr w:rsidR="00FF2B95" w14:paraId="6BB82D64" w14:textId="77777777" w:rsidTr="0017134F">
        <w:trPr>
          <w:cantSplit/>
          <w:tblHeader/>
        </w:trPr>
        <w:tc>
          <w:tcPr>
            <w:tcW w:w="1152" w:type="pct"/>
            <w:vMerge/>
            <w:shd w:val="clear" w:color="auto" w:fill="53284F"/>
          </w:tcPr>
          <w:p w14:paraId="6015C3C5" w14:textId="77777777" w:rsidR="00CF7D3A" w:rsidRDefault="00CF7D3A" w:rsidP="00BA7F4F">
            <w:pPr>
              <w:pStyle w:val="TableHead"/>
            </w:pPr>
          </w:p>
        </w:tc>
        <w:tc>
          <w:tcPr>
            <w:tcW w:w="667" w:type="pct"/>
            <w:shd w:val="clear" w:color="auto" w:fill="53284F"/>
            <w:vAlign w:val="center"/>
          </w:tcPr>
          <w:p w14:paraId="3E044D8F" w14:textId="77777777" w:rsidR="00CF7D3A" w:rsidRPr="009D22D8" w:rsidRDefault="00CF7D3A" w:rsidP="00BA7F4F">
            <w:pPr>
              <w:pStyle w:val="TableHead"/>
              <w:rPr>
                <w:vertAlign w:val="superscript"/>
              </w:rPr>
            </w:pPr>
            <w:r>
              <w:t>Australia</w:t>
            </w:r>
            <w:r w:rsidRPr="003A6EA1">
              <w:rPr>
                <w:rStyle w:val="FootnoteReference"/>
              </w:rPr>
              <w:footnoteReference w:id="19"/>
            </w:r>
            <w:r>
              <w:rPr>
                <w:vertAlign w:val="superscript"/>
              </w:rPr>
              <w:t>,A</w:t>
            </w:r>
          </w:p>
        </w:tc>
        <w:tc>
          <w:tcPr>
            <w:tcW w:w="474" w:type="pct"/>
            <w:shd w:val="clear" w:color="auto" w:fill="53284F"/>
            <w:vAlign w:val="center"/>
          </w:tcPr>
          <w:p w14:paraId="46203D7E" w14:textId="77777777" w:rsidR="00CF7D3A" w:rsidRPr="00D71D18" w:rsidRDefault="00CF7D3A" w:rsidP="00BA7F4F">
            <w:pPr>
              <w:pStyle w:val="TableHead"/>
              <w:rPr>
                <w:vertAlign w:val="superscript"/>
              </w:rPr>
            </w:pPr>
            <w:r>
              <w:t>Codex</w:t>
            </w:r>
            <w:r>
              <w:rPr>
                <w:rStyle w:val="FootnoteReference"/>
              </w:rPr>
              <w:footnoteReference w:id="20"/>
            </w:r>
          </w:p>
        </w:tc>
        <w:tc>
          <w:tcPr>
            <w:tcW w:w="404" w:type="pct"/>
            <w:shd w:val="clear" w:color="auto" w:fill="53284F"/>
            <w:vAlign w:val="center"/>
          </w:tcPr>
          <w:p w14:paraId="5DE3DCBE" w14:textId="77777777" w:rsidR="00CF7D3A" w:rsidRPr="00A34495" w:rsidRDefault="00CF7D3A" w:rsidP="00BA7F4F">
            <w:pPr>
              <w:pStyle w:val="TableHead"/>
              <w:rPr>
                <w:vertAlign w:val="superscript"/>
              </w:rPr>
            </w:pPr>
            <w:r>
              <w:t>EU</w:t>
            </w:r>
            <w:r>
              <w:rPr>
                <w:rStyle w:val="FootnoteReference"/>
              </w:rPr>
              <w:footnoteReference w:id="21"/>
            </w:r>
          </w:p>
        </w:tc>
        <w:tc>
          <w:tcPr>
            <w:tcW w:w="504" w:type="pct"/>
            <w:shd w:val="clear" w:color="auto" w:fill="53284F"/>
            <w:vAlign w:val="center"/>
          </w:tcPr>
          <w:p w14:paraId="09985A4A" w14:textId="77777777" w:rsidR="00CF7D3A" w:rsidRPr="0029072F" w:rsidRDefault="00CF7D3A" w:rsidP="00BA7F4F">
            <w:pPr>
              <w:pStyle w:val="TableHead"/>
              <w:rPr>
                <w:vertAlign w:val="superscript"/>
              </w:rPr>
            </w:pPr>
            <w:r>
              <w:t>Japan</w:t>
            </w:r>
            <w:r>
              <w:rPr>
                <w:rStyle w:val="FootnoteReference"/>
              </w:rPr>
              <w:footnoteReference w:id="22"/>
            </w:r>
          </w:p>
        </w:tc>
        <w:tc>
          <w:tcPr>
            <w:tcW w:w="527" w:type="pct"/>
            <w:shd w:val="clear" w:color="auto" w:fill="53284F"/>
            <w:vAlign w:val="center"/>
          </w:tcPr>
          <w:p w14:paraId="34CC86A0" w14:textId="77777777" w:rsidR="00CF7D3A" w:rsidRDefault="00CF7D3A" w:rsidP="00BA7F4F">
            <w:pPr>
              <w:pStyle w:val="TableHead"/>
            </w:pPr>
            <w:r>
              <w:t>Korea</w:t>
            </w:r>
            <w:r>
              <w:rPr>
                <w:rStyle w:val="FootnoteReference"/>
              </w:rPr>
              <w:footnoteReference w:id="23"/>
            </w:r>
          </w:p>
        </w:tc>
        <w:tc>
          <w:tcPr>
            <w:tcW w:w="580" w:type="pct"/>
            <w:shd w:val="clear" w:color="auto" w:fill="53284F"/>
            <w:vAlign w:val="center"/>
          </w:tcPr>
          <w:p w14:paraId="25557561" w14:textId="77777777" w:rsidR="00CF7D3A" w:rsidRDefault="00CF7D3A" w:rsidP="00BA7F4F">
            <w:pPr>
              <w:pStyle w:val="TableHead"/>
            </w:pPr>
            <w:r>
              <w:t>Taiwan</w:t>
            </w:r>
            <w:r>
              <w:rPr>
                <w:rStyle w:val="FootnoteReference"/>
              </w:rPr>
              <w:footnoteReference w:id="24"/>
            </w:r>
          </w:p>
        </w:tc>
        <w:tc>
          <w:tcPr>
            <w:tcW w:w="692" w:type="pct"/>
            <w:shd w:val="clear" w:color="auto" w:fill="53284F"/>
            <w:vAlign w:val="center"/>
          </w:tcPr>
          <w:p w14:paraId="5A84C821" w14:textId="77777777" w:rsidR="00CF7D3A" w:rsidRPr="007F7EAF" w:rsidRDefault="00CF7D3A" w:rsidP="00BA7F4F">
            <w:pPr>
              <w:pStyle w:val="TableHead"/>
              <w:rPr>
                <w:vertAlign w:val="superscript"/>
              </w:rPr>
            </w:pPr>
            <w:r>
              <w:t>USA</w:t>
            </w:r>
            <w:r>
              <w:rPr>
                <w:rStyle w:val="FootnoteReference"/>
              </w:rPr>
              <w:footnoteReference w:id="25"/>
            </w:r>
          </w:p>
        </w:tc>
      </w:tr>
      <w:tr w:rsidR="00CF7D3A" w14:paraId="0B40745D" w14:textId="77777777" w:rsidTr="008E69B6">
        <w:trPr>
          <w:cantSplit/>
        </w:trPr>
        <w:tc>
          <w:tcPr>
            <w:tcW w:w="5000" w:type="pct"/>
            <w:gridSpan w:val="8"/>
            <w:shd w:val="clear" w:color="auto" w:fill="3E1E3A"/>
            <w:vAlign w:val="center"/>
          </w:tcPr>
          <w:p w14:paraId="66E21B5C" w14:textId="77777777" w:rsidR="00CF7D3A" w:rsidRPr="00561D1B" w:rsidRDefault="00CF7D3A" w:rsidP="00BA7F4F">
            <w:pPr>
              <w:pStyle w:val="TableHead"/>
            </w:pPr>
            <w:r>
              <w:t>Coumatetralyl</w:t>
            </w:r>
          </w:p>
        </w:tc>
      </w:tr>
      <w:tr w:rsidR="007437F4" w14:paraId="7F36F342" w14:textId="77777777" w:rsidTr="008E69B6">
        <w:trPr>
          <w:cantSplit/>
          <w:trHeight w:val="283"/>
        </w:trPr>
        <w:tc>
          <w:tcPr>
            <w:tcW w:w="1152" w:type="pct"/>
            <w:vAlign w:val="center"/>
          </w:tcPr>
          <w:p w14:paraId="42BCC264" w14:textId="77777777" w:rsidR="00CF7D3A" w:rsidRPr="00537747" w:rsidRDefault="00CF7D3A" w:rsidP="00BA7F4F">
            <w:pPr>
              <w:pStyle w:val="TableText"/>
            </w:pPr>
            <w:r w:rsidRPr="00537747">
              <w:t>Pig fat</w:t>
            </w:r>
          </w:p>
        </w:tc>
        <w:tc>
          <w:tcPr>
            <w:tcW w:w="667" w:type="pct"/>
            <w:vAlign w:val="center"/>
          </w:tcPr>
          <w:p w14:paraId="5E7A4F6B" w14:textId="77777777" w:rsidR="00CF7D3A" w:rsidRPr="00537747" w:rsidRDefault="00CF7D3A" w:rsidP="00BA7F4F">
            <w:pPr>
              <w:pStyle w:val="TableText"/>
            </w:pPr>
            <w:r w:rsidRPr="00537747">
              <w:t>T*0.001</w:t>
            </w:r>
          </w:p>
        </w:tc>
        <w:tc>
          <w:tcPr>
            <w:tcW w:w="474" w:type="pct"/>
            <w:vAlign w:val="center"/>
          </w:tcPr>
          <w:p w14:paraId="15459497" w14:textId="77777777" w:rsidR="00CF7D3A" w:rsidRDefault="00CF7D3A" w:rsidP="00BA7F4F">
            <w:pPr>
              <w:pStyle w:val="TableText"/>
            </w:pPr>
            <w:r w:rsidRPr="00B15040">
              <w:t>--</w:t>
            </w:r>
          </w:p>
        </w:tc>
        <w:tc>
          <w:tcPr>
            <w:tcW w:w="404" w:type="pct"/>
            <w:vAlign w:val="center"/>
          </w:tcPr>
          <w:p w14:paraId="29621ABB" w14:textId="77777777" w:rsidR="00CF7D3A" w:rsidRPr="00B15040" w:rsidRDefault="00CF7D3A" w:rsidP="00BA7F4F">
            <w:pPr>
              <w:pStyle w:val="TableText"/>
            </w:pPr>
            <w:r w:rsidRPr="00B15040">
              <w:t>--</w:t>
            </w:r>
          </w:p>
        </w:tc>
        <w:tc>
          <w:tcPr>
            <w:tcW w:w="504" w:type="pct"/>
            <w:vAlign w:val="center"/>
          </w:tcPr>
          <w:p w14:paraId="33A8426A" w14:textId="77777777" w:rsidR="00CF7D3A" w:rsidRPr="00B15040" w:rsidRDefault="00CF7D3A" w:rsidP="00BA7F4F">
            <w:pPr>
              <w:pStyle w:val="TableText"/>
            </w:pPr>
            <w:r w:rsidRPr="00B15040">
              <w:t>--</w:t>
            </w:r>
          </w:p>
        </w:tc>
        <w:tc>
          <w:tcPr>
            <w:tcW w:w="527" w:type="pct"/>
            <w:vAlign w:val="center"/>
          </w:tcPr>
          <w:p w14:paraId="5908A51D" w14:textId="77777777" w:rsidR="00CF7D3A" w:rsidRDefault="00CF7D3A" w:rsidP="00BA7F4F">
            <w:pPr>
              <w:pStyle w:val="TableText"/>
            </w:pPr>
            <w:r w:rsidRPr="00B15040">
              <w:t>--</w:t>
            </w:r>
          </w:p>
        </w:tc>
        <w:tc>
          <w:tcPr>
            <w:tcW w:w="580" w:type="pct"/>
            <w:vAlign w:val="center"/>
          </w:tcPr>
          <w:p w14:paraId="3BB323C0" w14:textId="77777777" w:rsidR="00CF7D3A" w:rsidRDefault="00CF7D3A" w:rsidP="00BA7F4F">
            <w:pPr>
              <w:pStyle w:val="TableText"/>
            </w:pPr>
            <w:r w:rsidRPr="00B15040">
              <w:t>--</w:t>
            </w:r>
          </w:p>
        </w:tc>
        <w:tc>
          <w:tcPr>
            <w:tcW w:w="692" w:type="pct"/>
            <w:vMerge w:val="restart"/>
            <w:vAlign w:val="center"/>
          </w:tcPr>
          <w:p w14:paraId="626F4AE6" w14:textId="77777777" w:rsidR="00CF7D3A" w:rsidRPr="00F622F5" w:rsidRDefault="00CF7D3A" w:rsidP="00BA7F4F">
            <w:pPr>
              <w:pStyle w:val="TableText"/>
              <w:rPr>
                <w:vertAlign w:val="superscript"/>
              </w:rPr>
            </w:pPr>
            <w:r>
              <w:t>Registered HG &amp; CO</w:t>
            </w:r>
          </w:p>
        </w:tc>
      </w:tr>
      <w:tr w:rsidR="007437F4" w14:paraId="3D8F7077" w14:textId="77777777" w:rsidTr="008E69B6">
        <w:trPr>
          <w:cantSplit/>
          <w:trHeight w:val="283"/>
        </w:trPr>
        <w:tc>
          <w:tcPr>
            <w:tcW w:w="1152" w:type="pct"/>
            <w:vAlign w:val="center"/>
          </w:tcPr>
          <w:p w14:paraId="2CED7D7E" w14:textId="77777777" w:rsidR="00CF7D3A" w:rsidRPr="00537747" w:rsidRDefault="00CF7D3A" w:rsidP="00BA7F4F">
            <w:pPr>
              <w:pStyle w:val="TableText"/>
            </w:pPr>
            <w:r w:rsidRPr="00537747">
              <w:t>Pig meat</w:t>
            </w:r>
          </w:p>
        </w:tc>
        <w:tc>
          <w:tcPr>
            <w:tcW w:w="667" w:type="pct"/>
            <w:vAlign w:val="center"/>
          </w:tcPr>
          <w:p w14:paraId="2DF404EB" w14:textId="77777777" w:rsidR="00CF7D3A" w:rsidRPr="00537747" w:rsidRDefault="00CF7D3A" w:rsidP="00BA7F4F">
            <w:pPr>
              <w:pStyle w:val="TableText"/>
            </w:pPr>
            <w:r w:rsidRPr="00537747">
              <w:t>T*0.001</w:t>
            </w:r>
          </w:p>
        </w:tc>
        <w:tc>
          <w:tcPr>
            <w:tcW w:w="474" w:type="pct"/>
            <w:vAlign w:val="center"/>
          </w:tcPr>
          <w:p w14:paraId="056D836A" w14:textId="77777777" w:rsidR="00CF7D3A" w:rsidRDefault="00CF7D3A" w:rsidP="00BA7F4F">
            <w:pPr>
              <w:pStyle w:val="TableText"/>
            </w:pPr>
            <w:r w:rsidRPr="00771366">
              <w:t>--</w:t>
            </w:r>
          </w:p>
        </w:tc>
        <w:tc>
          <w:tcPr>
            <w:tcW w:w="404" w:type="pct"/>
            <w:vAlign w:val="center"/>
          </w:tcPr>
          <w:p w14:paraId="55573D64" w14:textId="77777777" w:rsidR="00CF7D3A" w:rsidRPr="00561D1B" w:rsidRDefault="00CF7D3A" w:rsidP="00BA7F4F">
            <w:pPr>
              <w:pStyle w:val="TableText"/>
            </w:pPr>
            <w:r w:rsidRPr="00771366">
              <w:t>--</w:t>
            </w:r>
          </w:p>
        </w:tc>
        <w:tc>
          <w:tcPr>
            <w:tcW w:w="504" w:type="pct"/>
            <w:vAlign w:val="center"/>
          </w:tcPr>
          <w:p w14:paraId="0EDB14E6" w14:textId="77777777" w:rsidR="00CF7D3A" w:rsidRDefault="00CF7D3A" w:rsidP="00BA7F4F">
            <w:pPr>
              <w:pStyle w:val="TableText"/>
            </w:pPr>
            <w:r w:rsidRPr="00771366">
              <w:t>--</w:t>
            </w:r>
          </w:p>
        </w:tc>
        <w:tc>
          <w:tcPr>
            <w:tcW w:w="527" w:type="pct"/>
            <w:vAlign w:val="center"/>
          </w:tcPr>
          <w:p w14:paraId="05BD80CB" w14:textId="77777777" w:rsidR="00CF7D3A" w:rsidRDefault="00CF7D3A" w:rsidP="00BA7F4F">
            <w:pPr>
              <w:pStyle w:val="TableText"/>
            </w:pPr>
            <w:r w:rsidRPr="00771366">
              <w:t>--</w:t>
            </w:r>
          </w:p>
        </w:tc>
        <w:tc>
          <w:tcPr>
            <w:tcW w:w="580" w:type="pct"/>
            <w:vAlign w:val="center"/>
          </w:tcPr>
          <w:p w14:paraId="520298ED" w14:textId="77777777" w:rsidR="00CF7D3A" w:rsidRDefault="00CF7D3A" w:rsidP="00BA7F4F">
            <w:pPr>
              <w:pStyle w:val="TableText"/>
            </w:pPr>
            <w:r w:rsidRPr="00771366">
              <w:t>--</w:t>
            </w:r>
          </w:p>
        </w:tc>
        <w:tc>
          <w:tcPr>
            <w:tcW w:w="692" w:type="pct"/>
            <w:vMerge/>
            <w:vAlign w:val="center"/>
          </w:tcPr>
          <w:p w14:paraId="48B1AA3E" w14:textId="77777777" w:rsidR="00CF7D3A" w:rsidRDefault="00CF7D3A" w:rsidP="0023656E">
            <w:pPr>
              <w:pStyle w:val="BodyText"/>
              <w:spacing w:after="0"/>
              <w:contextualSpacing/>
              <w:jc w:val="center"/>
              <w:rPr>
                <w:sz w:val="18"/>
              </w:rPr>
            </w:pPr>
          </w:p>
        </w:tc>
      </w:tr>
      <w:tr w:rsidR="007437F4" w14:paraId="70F12134" w14:textId="77777777" w:rsidTr="008E69B6">
        <w:trPr>
          <w:cantSplit/>
          <w:trHeight w:val="283"/>
        </w:trPr>
        <w:tc>
          <w:tcPr>
            <w:tcW w:w="1152" w:type="pct"/>
            <w:vAlign w:val="center"/>
          </w:tcPr>
          <w:p w14:paraId="4F8F8EAE" w14:textId="77777777" w:rsidR="00CF7D3A" w:rsidRPr="00537747" w:rsidRDefault="00CF7D3A" w:rsidP="00BA7F4F">
            <w:pPr>
              <w:pStyle w:val="TableText"/>
            </w:pPr>
            <w:r w:rsidRPr="00537747">
              <w:t>Pig, edible offal of {except Liver}</w:t>
            </w:r>
          </w:p>
        </w:tc>
        <w:tc>
          <w:tcPr>
            <w:tcW w:w="667" w:type="pct"/>
            <w:vAlign w:val="center"/>
          </w:tcPr>
          <w:p w14:paraId="5161903D" w14:textId="77777777" w:rsidR="00CF7D3A" w:rsidRPr="00537747" w:rsidRDefault="00CF7D3A" w:rsidP="00BA7F4F">
            <w:pPr>
              <w:pStyle w:val="TableText"/>
            </w:pPr>
            <w:r w:rsidRPr="00537747">
              <w:t>T0.003</w:t>
            </w:r>
          </w:p>
        </w:tc>
        <w:tc>
          <w:tcPr>
            <w:tcW w:w="474" w:type="pct"/>
            <w:vAlign w:val="center"/>
          </w:tcPr>
          <w:p w14:paraId="26E744A3" w14:textId="77777777" w:rsidR="00CF7D3A" w:rsidRDefault="00CF7D3A" w:rsidP="00BA7F4F">
            <w:pPr>
              <w:pStyle w:val="TableText"/>
            </w:pPr>
            <w:r w:rsidRPr="00771366">
              <w:t>--</w:t>
            </w:r>
          </w:p>
        </w:tc>
        <w:tc>
          <w:tcPr>
            <w:tcW w:w="404" w:type="pct"/>
            <w:vAlign w:val="center"/>
          </w:tcPr>
          <w:p w14:paraId="1140D7D7" w14:textId="77777777" w:rsidR="00CF7D3A" w:rsidRPr="00561D1B" w:rsidRDefault="00CF7D3A" w:rsidP="00BA7F4F">
            <w:pPr>
              <w:pStyle w:val="TableText"/>
            </w:pPr>
            <w:r w:rsidRPr="00771366">
              <w:t>--</w:t>
            </w:r>
          </w:p>
        </w:tc>
        <w:tc>
          <w:tcPr>
            <w:tcW w:w="504" w:type="pct"/>
            <w:vAlign w:val="center"/>
          </w:tcPr>
          <w:p w14:paraId="7FA5168A" w14:textId="77777777" w:rsidR="00CF7D3A" w:rsidRDefault="00CF7D3A" w:rsidP="00BA7F4F">
            <w:pPr>
              <w:pStyle w:val="TableText"/>
            </w:pPr>
            <w:r w:rsidRPr="00771366">
              <w:t>--</w:t>
            </w:r>
          </w:p>
        </w:tc>
        <w:tc>
          <w:tcPr>
            <w:tcW w:w="527" w:type="pct"/>
            <w:vAlign w:val="center"/>
          </w:tcPr>
          <w:p w14:paraId="7B5E9840" w14:textId="77777777" w:rsidR="00CF7D3A" w:rsidRDefault="00CF7D3A" w:rsidP="00BA7F4F">
            <w:pPr>
              <w:pStyle w:val="TableText"/>
            </w:pPr>
            <w:r w:rsidRPr="00771366">
              <w:t>--</w:t>
            </w:r>
          </w:p>
        </w:tc>
        <w:tc>
          <w:tcPr>
            <w:tcW w:w="580" w:type="pct"/>
            <w:vAlign w:val="center"/>
          </w:tcPr>
          <w:p w14:paraId="7703D3A5" w14:textId="77777777" w:rsidR="00CF7D3A" w:rsidRDefault="00CF7D3A" w:rsidP="00BA7F4F">
            <w:pPr>
              <w:pStyle w:val="TableText"/>
            </w:pPr>
            <w:r w:rsidRPr="00771366">
              <w:t>--</w:t>
            </w:r>
          </w:p>
        </w:tc>
        <w:tc>
          <w:tcPr>
            <w:tcW w:w="692" w:type="pct"/>
            <w:vMerge/>
            <w:vAlign w:val="center"/>
          </w:tcPr>
          <w:p w14:paraId="68DB5FA5" w14:textId="77777777" w:rsidR="00CF7D3A" w:rsidRDefault="00CF7D3A" w:rsidP="0023656E">
            <w:pPr>
              <w:pStyle w:val="BodyText"/>
              <w:spacing w:after="0"/>
              <w:contextualSpacing/>
              <w:jc w:val="center"/>
              <w:rPr>
                <w:sz w:val="18"/>
              </w:rPr>
            </w:pPr>
          </w:p>
        </w:tc>
      </w:tr>
      <w:tr w:rsidR="007437F4" w14:paraId="651664E9" w14:textId="77777777" w:rsidTr="008E69B6">
        <w:trPr>
          <w:cantSplit/>
          <w:trHeight w:val="283"/>
        </w:trPr>
        <w:tc>
          <w:tcPr>
            <w:tcW w:w="1152" w:type="pct"/>
            <w:vAlign w:val="center"/>
          </w:tcPr>
          <w:p w14:paraId="36E9BDFC" w14:textId="77777777" w:rsidR="00CF7D3A" w:rsidRPr="00537747" w:rsidRDefault="00CF7D3A" w:rsidP="00BA7F4F">
            <w:pPr>
              <w:pStyle w:val="TableText"/>
            </w:pPr>
            <w:r w:rsidRPr="00537747">
              <w:t>Pig, liver</w:t>
            </w:r>
          </w:p>
        </w:tc>
        <w:tc>
          <w:tcPr>
            <w:tcW w:w="667" w:type="pct"/>
            <w:vAlign w:val="center"/>
          </w:tcPr>
          <w:p w14:paraId="402A2F29" w14:textId="77777777" w:rsidR="00CF7D3A" w:rsidRPr="00537747" w:rsidRDefault="00CF7D3A" w:rsidP="00BA7F4F">
            <w:pPr>
              <w:pStyle w:val="TableText"/>
            </w:pPr>
            <w:r w:rsidRPr="00537747">
              <w:t>T0.004</w:t>
            </w:r>
          </w:p>
        </w:tc>
        <w:tc>
          <w:tcPr>
            <w:tcW w:w="474" w:type="pct"/>
            <w:vAlign w:val="center"/>
          </w:tcPr>
          <w:p w14:paraId="2D5FFDBB" w14:textId="77777777" w:rsidR="00CF7D3A" w:rsidRDefault="00CF7D3A" w:rsidP="00BA7F4F">
            <w:pPr>
              <w:pStyle w:val="TableText"/>
            </w:pPr>
            <w:r w:rsidRPr="00771366">
              <w:t>--</w:t>
            </w:r>
          </w:p>
        </w:tc>
        <w:tc>
          <w:tcPr>
            <w:tcW w:w="404" w:type="pct"/>
            <w:vAlign w:val="center"/>
          </w:tcPr>
          <w:p w14:paraId="5695AD7F" w14:textId="77777777" w:rsidR="00CF7D3A" w:rsidRPr="00561D1B" w:rsidRDefault="00CF7D3A" w:rsidP="00BA7F4F">
            <w:pPr>
              <w:pStyle w:val="TableText"/>
            </w:pPr>
            <w:r w:rsidRPr="00771366">
              <w:t>--</w:t>
            </w:r>
          </w:p>
        </w:tc>
        <w:tc>
          <w:tcPr>
            <w:tcW w:w="504" w:type="pct"/>
            <w:vAlign w:val="center"/>
          </w:tcPr>
          <w:p w14:paraId="472DD4AD" w14:textId="77777777" w:rsidR="00CF7D3A" w:rsidRDefault="00CF7D3A" w:rsidP="00BA7F4F">
            <w:pPr>
              <w:pStyle w:val="TableText"/>
            </w:pPr>
            <w:r w:rsidRPr="00771366">
              <w:t>--</w:t>
            </w:r>
          </w:p>
        </w:tc>
        <w:tc>
          <w:tcPr>
            <w:tcW w:w="527" w:type="pct"/>
            <w:vAlign w:val="center"/>
          </w:tcPr>
          <w:p w14:paraId="4444CE22" w14:textId="77777777" w:rsidR="00CF7D3A" w:rsidRDefault="00CF7D3A" w:rsidP="00BA7F4F">
            <w:pPr>
              <w:pStyle w:val="TableText"/>
            </w:pPr>
            <w:r w:rsidRPr="00771366">
              <w:t>--</w:t>
            </w:r>
          </w:p>
        </w:tc>
        <w:tc>
          <w:tcPr>
            <w:tcW w:w="580" w:type="pct"/>
            <w:vAlign w:val="center"/>
          </w:tcPr>
          <w:p w14:paraId="1EA4CDAA" w14:textId="77777777" w:rsidR="00CF7D3A" w:rsidRDefault="00CF7D3A" w:rsidP="00BA7F4F">
            <w:pPr>
              <w:pStyle w:val="TableText"/>
            </w:pPr>
            <w:r w:rsidRPr="00771366">
              <w:t>--</w:t>
            </w:r>
          </w:p>
        </w:tc>
        <w:tc>
          <w:tcPr>
            <w:tcW w:w="692" w:type="pct"/>
            <w:vMerge/>
            <w:vAlign w:val="center"/>
          </w:tcPr>
          <w:p w14:paraId="3372A808" w14:textId="77777777" w:rsidR="00CF7D3A" w:rsidRDefault="00CF7D3A" w:rsidP="0023656E">
            <w:pPr>
              <w:pStyle w:val="BodyText"/>
              <w:spacing w:after="0"/>
              <w:contextualSpacing/>
              <w:jc w:val="center"/>
              <w:rPr>
                <w:sz w:val="18"/>
              </w:rPr>
            </w:pPr>
          </w:p>
        </w:tc>
      </w:tr>
      <w:tr w:rsidR="007437F4" w14:paraId="0E4496FB" w14:textId="77777777" w:rsidTr="008E69B6">
        <w:trPr>
          <w:cantSplit/>
          <w:trHeight w:val="283"/>
        </w:trPr>
        <w:tc>
          <w:tcPr>
            <w:tcW w:w="1152" w:type="pct"/>
            <w:vAlign w:val="center"/>
          </w:tcPr>
          <w:p w14:paraId="68F14B5B" w14:textId="77777777" w:rsidR="00CF7D3A" w:rsidRPr="00537747" w:rsidRDefault="00CF7D3A" w:rsidP="00BA7F4F">
            <w:pPr>
              <w:pStyle w:val="TableText"/>
            </w:pPr>
            <w:r>
              <w:t xml:space="preserve">Animal commodities </w:t>
            </w:r>
          </w:p>
        </w:tc>
        <w:tc>
          <w:tcPr>
            <w:tcW w:w="667" w:type="pct"/>
            <w:vAlign w:val="center"/>
          </w:tcPr>
          <w:p w14:paraId="0BE4DFA4" w14:textId="77777777" w:rsidR="00CF7D3A" w:rsidRPr="00537747" w:rsidRDefault="00CF7D3A" w:rsidP="00BA7F4F">
            <w:pPr>
              <w:pStyle w:val="TableText"/>
            </w:pPr>
            <w:r>
              <w:t>--</w:t>
            </w:r>
          </w:p>
        </w:tc>
        <w:tc>
          <w:tcPr>
            <w:tcW w:w="474" w:type="pct"/>
            <w:vAlign w:val="center"/>
          </w:tcPr>
          <w:p w14:paraId="66645A89" w14:textId="77777777" w:rsidR="00CF7D3A" w:rsidRDefault="00CF7D3A" w:rsidP="00BA7F4F">
            <w:pPr>
              <w:pStyle w:val="TableText"/>
            </w:pPr>
            <w:r w:rsidRPr="00771366">
              <w:t>--</w:t>
            </w:r>
          </w:p>
        </w:tc>
        <w:tc>
          <w:tcPr>
            <w:tcW w:w="404" w:type="pct"/>
            <w:vAlign w:val="center"/>
          </w:tcPr>
          <w:p w14:paraId="32F2304F" w14:textId="77777777" w:rsidR="00CF7D3A" w:rsidRPr="00771366" w:rsidRDefault="00CF7D3A" w:rsidP="00BA7F4F">
            <w:pPr>
              <w:pStyle w:val="TableText"/>
            </w:pPr>
            <w:r w:rsidRPr="00771366">
              <w:t>--</w:t>
            </w:r>
          </w:p>
        </w:tc>
        <w:tc>
          <w:tcPr>
            <w:tcW w:w="504" w:type="pct"/>
            <w:vAlign w:val="center"/>
          </w:tcPr>
          <w:p w14:paraId="103407D1" w14:textId="77777777" w:rsidR="00CF7D3A" w:rsidRDefault="00CF7D3A" w:rsidP="00BA7F4F">
            <w:pPr>
              <w:pStyle w:val="TableText"/>
            </w:pPr>
            <w:r w:rsidRPr="00771366">
              <w:t>--</w:t>
            </w:r>
          </w:p>
        </w:tc>
        <w:tc>
          <w:tcPr>
            <w:tcW w:w="527" w:type="pct"/>
            <w:vAlign w:val="center"/>
          </w:tcPr>
          <w:p w14:paraId="371C8A7C" w14:textId="77777777" w:rsidR="00CF7D3A" w:rsidRDefault="00CF7D3A" w:rsidP="00BA7F4F">
            <w:pPr>
              <w:pStyle w:val="TableText"/>
            </w:pPr>
            <w:r w:rsidRPr="00771366">
              <w:t>--</w:t>
            </w:r>
          </w:p>
        </w:tc>
        <w:tc>
          <w:tcPr>
            <w:tcW w:w="580" w:type="pct"/>
            <w:vAlign w:val="center"/>
          </w:tcPr>
          <w:p w14:paraId="5CF97B4E" w14:textId="77777777" w:rsidR="00CF7D3A" w:rsidRDefault="00CF7D3A" w:rsidP="00BA7F4F">
            <w:pPr>
              <w:pStyle w:val="TableText"/>
            </w:pPr>
            <w:r w:rsidRPr="00771366">
              <w:t>--</w:t>
            </w:r>
          </w:p>
        </w:tc>
        <w:tc>
          <w:tcPr>
            <w:tcW w:w="692" w:type="pct"/>
            <w:vMerge/>
            <w:vAlign w:val="center"/>
          </w:tcPr>
          <w:p w14:paraId="69FC4B61" w14:textId="77777777" w:rsidR="00CF7D3A" w:rsidRDefault="00CF7D3A" w:rsidP="0023656E">
            <w:pPr>
              <w:pStyle w:val="BodyText"/>
              <w:spacing w:after="0"/>
              <w:contextualSpacing/>
              <w:jc w:val="center"/>
              <w:rPr>
                <w:sz w:val="18"/>
              </w:rPr>
            </w:pPr>
          </w:p>
        </w:tc>
      </w:tr>
      <w:tr w:rsidR="007437F4" w14:paraId="2E6F483B" w14:textId="77777777" w:rsidTr="008E69B6">
        <w:trPr>
          <w:cantSplit/>
          <w:trHeight w:val="283"/>
        </w:trPr>
        <w:tc>
          <w:tcPr>
            <w:tcW w:w="1152" w:type="pct"/>
            <w:vAlign w:val="center"/>
          </w:tcPr>
          <w:p w14:paraId="797D2DA2" w14:textId="77777777" w:rsidR="00CF7D3A" w:rsidRDefault="00CF7D3A" w:rsidP="00BA7F4F">
            <w:pPr>
              <w:pStyle w:val="TableText"/>
            </w:pPr>
            <w:r>
              <w:t>Plant commodities</w:t>
            </w:r>
          </w:p>
        </w:tc>
        <w:tc>
          <w:tcPr>
            <w:tcW w:w="667" w:type="pct"/>
            <w:vAlign w:val="center"/>
          </w:tcPr>
          <w:p w14:paraId="524CA2C0" w14:textId="77777777" w:rsidR="00CF7D3A" w:rsidRPr="00537747" w:rsidRDefault="00CF7D3A" w:rsidP="00BA7F4F">
            <w:pPr>
              <w:pStyle w:val="TableText"/>
            </w:pPr>
            <w:r>
              <w:t>--</w:t>
            </w:r>
          </w:p>
        </w:tc>
        <w:tc>
          <w:tcPr>
            <w:tcW w:w="474" w:type="pct"/>
            <w:vAlign w:val="center"/>
          </w:tcPr>
          <w:p w14:paraId="610C862D" w14:textId="77777777" w:rsidR="00CF7D3A" w:rsidRDefault="00CF7D3A" w:rsidP="00BA7F4F">
            <w:pPr>
              <w:pStyle w:val="TableText"/>
            </w:pPr>
            <w:r w:rsidRPr="00771366">
              <w:t>--</w:t>
            </w:r>
          </w:p>
        </w:tc>
        <w:tc>
          <w:tcPr>
            <w:tcW w:w="404" w:type="pct"/>
            <w:vAlign w:val="center"/>
          </w:tcPr>
          <w:p w14:paraId="388451CD" w14:textId="77777777" w:rsidR="00CF7D3A" w:rsidRPr="00771366" w:rsidRDefault="00CF7D3A" w:rsidP="00BA7F4F">
            <w:pPr>
              <w:pStyle w:val="TableText"/>
            </w:pPr>
            <w:r w:rsidRPr="00771366">
              <w:t>--</w:t>
            </w:r>
          </w:p>
        </w:tc>
        <w:tc>
          <w:tcPr>
            <w:tcW w:w="504" w:type="pct"/>
            <w:vAlign w:val="center"/>
          </w:tcPr>
          <w:p w14:paraId="4742FD10" w14:textId="77777777" w:rsidR="00CF7D3A" w:rsidRDefault="00CF7D3A" w:rsidP="00BA7F4F">
            <w:pPr>
              <w:pStyle w:val="TableText"/>
            </w:pPr>
            <w:r w:rsidRPr="00771366">
              <w:t>--</w:t>
            </w:r>
          </w:p>
        </w:tc>
        <w:tc>
          <w:tcPr>
            <w:tcW w:w="527" w:type="pct"/>
            <w:vAlign w:val="center"/>
          </w:tcPr>
          <w:p w14:paraId="6FF3359D" w14:textId="77777777" w:rsidR="00CF7D3A" w:rsidRDefault="00CF7D3A" w:rsidP="00BA7F4F">
            <w:pPr>
              <w:pStyle w:val="TableText"/>
            </w:pPr>
            <w:r w:rsidRPr="00771366">
              <w:t>--</w:t>
            </w:r>
          </w:p>
        </w:tc>
        <w:tc>
          <w:tcPr>
            <w:tcW w:w="580" w:type="pct"/>
            <w:vAlign w:val="center"/>
          </w:tcPr>
          <w:p w14:paraId="605CA9F7" w14:textId="77777777" w:rsidR="00CF7D3A" w:rsidRDefault="00CF7D3A" w:rsidP="00BA7F4F">
            <w:pPr>
              <w:pStyle w:val="TableText"/>
            </w:pPr>
            <w:r w:rsidRPr="00771366">
              <w:t>--</w:t>
            </w:r>
          </w:p>
        </w:tc>
        <w:tc>
          <w:tcPr>
            <w:tcW w:w="692" w:type="pct"/>
            <w:vMerge/>
            <w:vAlign w:val="center"/>
          </w:tcPr>
          <w:p w14:paraId="5DF15227" w14:textId="77777777" w:rsidR="00CF7D3A" w:rsidRDefault="00CF7D3A" w:rsidP="0023656E">
            <w:pPr>
              <w:pStyle w:val="BodyText"/>
              <w:spacing w:after="0"/>
              <w:contextualSpacing/>
              <w:jc w:val="center"/>
              <w:rPr>
                <w:sz w:val="18"/>
              </w:rPr>
            </w:pPr>
          </w:p>
        </w:tc>
      </w:tr>
      <w:tr w:rsidR="00CF7D3A" w:rsidRPr="00561D1B" w14:paraId="0C3CC2A1" w14:textId="77777777" w:rsidTr="0017134F">
        <w:trPr>
          <w:cantSplit/>
        </w:trPr>
        <w:tc>
          <w:tcPr>
            <w:tcW w:w="5000" w:type="pct"/>
            <w:gridSpan w:val="8"/>
            <w:shd w:val="clear" w:color="auto" w:fill="53284F"/>
            <w:vAlign w:val="center"/>
          </w:tcPr>
          <w:p w14:paraId="548BA4C3" w14:textId="77777777" w:rsidR="00CF7D3A" w:rsidRPr="00561D1B" w:rsidRDefault="00CF7D3A" w:rsidP="00BA7F4F">
            <w:pPr>
              <w:pStyle w:val="TableHead"/>
            </w:pPr>
            <w:r>
              <w:t xml:space="preserve">Diphacinone </w:t>
            </w:r>
          </w:p>
        </w:tc>
      </w:tr>
      <w:tr w:rsidR="007437F4" w:rsidRPr="00F622F5" w14:paraId="2B6D7348" w14:textId="77777777" w:rsidTr="008E69B6">
        <w:trPr>
          <w:cantSplit/>
          <w:trHeight w:val="283"/>
        </w:trPr>
        <w:tc>
          <w:tcPr>
            <w:tcW w:w="1152" w:type="pct"/>
            <w:vAlign w:val="center"/>
          </w:tcPr>
          <w:p w14:paraId="120362A6" w14:textId="77777777" w:rsidR="00CF7D3A" w:rsidRDefault="00CF7D3A" w:rsidP="00BA7F4F">
            <w:pPr>
              <w:pStyle w:val="TableText"/>
            </w:pPr>
            <w:r>
              <w:t>N/A</w:t>
            </w:r>
          </w:p>
        </w:tc>
        <w:tc>
          <w:tcPr>
            <w:tcW w:w="667" w:type="pct"/>
            <w:vAlign w:val="center"/>
          </w:tcPr>
          <w:p w14:paraId="26EC2AB6" w14:textId="77777777" w:rsidR="00CF7D3A" w:rsidRDefault="00CF7D3A" w:rsidP="00BA7F4F">
            <w:pPr>
              <w:pStyle w:val="TableText"/>
            </w:pPr>
            <w:r>
              <w:t>--</w:t>
            </w:r>
          </w:p>
        </w:tc>
        <w:tc>
          <w:tcPr>
            <w:tcW w:w="474" w:type="pct"/>
            <w:vAlign w:val="center"/>
          </w:tcPr>
          <w:p w14:paraId="4D2F48A1" w14:textId="77777777" w:rsidR="00CF7D3A" w:rsidRDefault="00CF7D3A" w:rsidP="00BA7F4F">
            <w:pPr>
              <w:pStyle w:val="TableText"/>
            </w:pPr>
            <w:r w:rsidRPr="00EE6861">
              <w:t>--</w:t>
            </w:r>
          </w:p>
        </w:tc>
        <w:tc>
          <w:tcPr>
            <w:tcW w:w="404" w:type="pct"/>
            <w:vAlign w:val="center"/>
          </w:tcPr>
          <w:p w14:paraId="2A023164" w14:textId="77777777" w:rsidR="00CF7D3A" w:rsidRPr="00561D1B" w:rsidRDefault="00CF7D3A" w:rsidP="00BA7F4F">
            <w:pPr>
              <w:pStyle w:val="TableText"/>
            </w:pPr>
            <w:r w:rsidRPr="00EE6861">
              <w:t>--</w:t>
            </w:r>
          </w:p>
        </w:tc>
        <w:tc>
          <w:tcPr>
            <w:tcW w:w="504" w:type="pct"/>
            <w:vAlign w:val="center"/>
          </w:tcPr>
          <w:p w14:paraId="312D8832" w14:textId="77777777" w:rsidR="00CF7D3A" w:rsidRPr="0029072F" w:rsidRDefault="00CF7D3A" w:rsidP="00BA7F4F">
            <w:pPr>
              <w:pStyle w:val="TableText"/>
              <w:rPr>
                <w:vertAlign w:val="superscript"/>
              </w:rPr>
            </w:pPr>
            <w:r w:rsidRPr="00EE6861">
              <w:t>--</w:t>
            </w:r>
          </w:p>
        </w:tc>
        <w:tc>
          <w:tcPr>
            <w:tcW w:w="527" w:type="pct"/>
            <w:vAlign w:val="center"/>
          </w:tcPr>
          <w:p w14:paraId="3ACEA8DA" w14:textId="77777777" w:rsidR="00CF7D3A" w:rsidRDefault="00CF7D3A" w:rsidP="00BA7F4F">
            <w:pPr>
              <w:pStyle w:val="TableText"/>
            </w:pPr>
            <w:r w:rsidRPr="00EE6861">
              <w:t>--</w:t>
            </w:r>
          </w:p>
        </w:tc>
        <w:tc>
          <w:tcPr>
            <w:tcW w:w="580" w:type="pct"/>
            <w:vAlign w:val="center"/>
          </w:tcPr>
          <w:p w14:paraId="25308000" w14:textId="77777777" w:rsidR="00CF7D3A" w:rsidRDefault="00CF7D3A" w:rsidP="00BA7F4F">
            <w:pPr>
              <w:pStyle w:val="TableText"/>
            </w:pPr>
            <w:r w:rsidRPr="00EE6861">
              <w:t>--</w:t>
            </w:r>
          </w:p>
        </w:tc>
        <w:tc>
          <w:tcPr>
            <w:tcW w:w="692" w:type="pct"/>
            <w:vAlign w:val="center"/>
          </w:tcPr>
          <w:p w14:paraId="50AB3A72" w14:textId="77777777" w:rsidR="00CF7D3A" w:rsidRPr="00F622F5" w:rsidRDefault="00CF7D3A" w:rsidP="00BA7F4F">
            <w:pPr>
              <w:pStyle w:val="TableText"/>
              <w:rPr>
                <w:vertAlign w:val="superscript"/>
              </w:rPr>
            </w:pPr>
            <w:r>
              <w:t>Registered HG &amp; CO</w:t>
            </w:r>
          </w:p>
        </w:tc>
      </w:tr>
      <w:tr w:rsidR="00CF7D3A" w:rsidRPr="00561D1B" w14:paraId="0203AFD8" w14:textId="77777777" w:rsidTr="0017134F">
        <w:trPr>
          <w:cantSplit/>
        </w:trPr>
        <w:tc>
          <w:tcPr>
            <w:tcW w:w="5000" w:type="pct"/>
            <w:gridSpan w:val="8"/>
            <w:shd w:val="clear" w:color="auto" w:fill="53284F"/>
            <w:vAlign w:val="center"/>
          </w:tcPr>
          <w:p w14:paraId="6ADB817E" w14:textId="77777777" w:rsidR="00CF7D3A" w:rsidRPr="00561D1B" w:rsidRDefault="00CF7D3A" w:rsidP="00BA7F4F">
            <w:pPr>
              <w:pStyle w:val="TableHead"/>
            </w:pPr>
            <w:r>
              <w:t>Warfarin</w:t>
            </w:r>
          </w:p>
        </w:tc>
      </w:tr>
      <w:tr w:rsidR="007437F4" w:rsidRPr="00F622F5" w14:paraId="126922D1" w14:textId="77777777" w:rsidTr="008E69B6">
        <w:trPr>
          <w:cantSplit/>
          <w:trHeight w:val="283"/>
        </w:trPr>
        <w:tc>
          <w:tcPr>
            <w:tcW w:w="1152" w:type="pct"/>
            <w:vAlign w:val="center"/>
          </w:tcPr>
          <w:p w14:paraId="627DA8B0" w14:textId="77777777" w:rsidR="00CF7D3A" w:rsidRDefault="00CF7D3A" w:rsidP="00BA7F4F">
            <w:pPr>
              <w:pStyle w:val="TableText"/>
            </w:pPr>
            <w:r w:rsidRPr="00537747">
              <w:t>Pig fat</w:t>
            </w:r>
          </w:p>
        </w:tc>
        <w:tc>
          <w:tcPr>
            <w:tcW w:w="667" w:type="pct"/>
            <w:vAlign w:val="center"/>
          </w:tcPr>
          <w:p w14:paraId="09BD6320" w14:textId="77777777" w:rsidR="00CF7D3A" w:rsidRPr="00537747" w:rsidRDefault="00CF7D3A" w:rsidP="00BA7F4F">
            <w:pPr>
              <w:pStyle w:val="TableText"/>
            </w:pPr>
            <w:r w:rsidRPr="00537747">
              <w:t>T0.007</w:t>
            </w:r>
          </w:p>
        </w:tc>
        <w:tc>
          <w:tcPr>
            <w:tcW w:w="474" w:type="pct"/>
            <w:vAlign w:val="center"/>
          </w:tcPr>
          <w:p w14:paraId="41907E6B" w14:textId="77777777" w:rsidR="00CF7D3A" w:rsidRDefault="00CF7D3A" w:rsidP="00BA7F4F">
            <w:pPr>
              <w:pStyle w:val="TableText"/>
            </w:pPr>
            <w:r w:rsidRPr="00771366">
              <w:t>--</w:t>
            </w:r>
          </w:p>
        </w:tc>
        <w:tc>
          <w:tcPr>
            <w:tcW w:w="404" w:type="pct"/>
            <w:vAlign w:val="center"/>
          </w:tcPr>
          <w:p w14:paraId="5F4EA6C3" w14:textId="77777777" w:rsidR="00CF7D3A" w:rsidRPr="00561D1B" w:rsidRDefault="00CF7D3A" w:rsidP="00BA7F4F">
            <w:pPr>
              <w:pStyle w:val="TableText"/>
            </w:pPr>
            <w:r w:rsidRPr="00E934A4">
              <w:t>*0.01</w:t>
            </w:r>
          </w:p>
        </w:tc>
        <w:tc>
          <w:tcPr>
            <w:tcW w:w="504" w:type="pct"/>
            <w:vAlign w:val="center"/>
          </w:tcPr>
          <w:p w14:paraId="67606326" w14:textId="77777777" w:rsidR="00CF7D3A" w:rsidRPr="0029072F" w:rsidRDefault="00CF7D3A" w:rsidP="00BA7F4F">
            <w:pPr>
              <w:pStyle w:val="TableText"/>
              <w:rPr>
                <w:vertAlign w:val="superscript"/>
              </w:rPr>
            </w:pPr>
            <w:r w:rsidRPr="00B15040">
              <w:t>*0.001</w:t>
            </w:r>
          </w:p>
        </w:tc>
        <w:tc>
          <w:tcPr>
            <w:tcW w:w="527" w:type="pct"/>
            <w:vAlign w:val="center"/>
          </w:tcPr>
          <w:p w14:paraId="77C8A09D" w14:textId="77777777" w:rsidR="00CF7D3A" w:rsidRDefault="00CF7D3A" w:rsidP="00BA7F4F">
            <w:pPr>
              <w:pStyle w:val="TableText"/>
            </w:pPr>
            <w:r w:rsidRPr="00B15040">
              <w:t>--</w:t>
            </w:r>
          </w:p>
        </w:tc>
        <w:tc>
          <w:tcPr>
            <w:tcW w:w="580" w:type="pct"/>
            <w:vAlign w:val="center"/>
          </w:tcPr>
          <w:p w14:paraId="66C691E2" w14:textId="77777777" w:rsidR="00CF7D3A" w:rsidRDefault="00CF7D3A" w:rsidP="00BA7F4F">
            <w:pPr>
              <w:pStyle w:val="TableText"/>
            </w:pPr>
            <w:r w:rsidRPr="00B15040">
              <w:t>--</w:t>
            </w:r>
          </w:p>
        </w:tc>
        <w:tc>
          <w:tcPr>
            <w:tcW w:w="692" w:type="pct"/>
            <w:vMerge w:val="restart"/>
            <w:vAlign w:val="center"/>
          </w:tcPr>
          <w:p w14:paraId="6AD765D6" w14:textId="77777777" w:rsidR="00CF7D3A" w:rsidRPr="00F622F5" w:rsidRDefault="00CF7D3A" w:rsidP="00BA7F4F">
            <w:pPr>
              <w:pStyle w:val="TableText"/>
              <w:rPr>
                <w:vertAlign w:val="superscript"/>
              </w:rPr>
            </w:pPr>
            <w:r>
              <w:t>Registered HG &amp; CO</w:t>
            </w:r>
          </w:p>
        </w:tc>
      </w:tr>
      <w:tr w:rsidR="007437F4" w14:paraId="45B2FB75" w14:textId="77777777" w:rsidTr="008E69B6">
        <w:trPr>
          <w:cantSplit/>
          <w:trHeight w:val="283"/>
        </w:trPr>
        <w:tc>
          <w:tcPr>
            <w:tcW w:w="1152" w:type="pct"/>
            <w:vAlign w:val="center"/>
          </w:tcPr>
          <w:p w14:paraId="6E94B1EF" w14:textId="77777777" w:rsidR="00CF7D3A" w:rsidRDefault="00CF7D3A" w:rsidP="00BA7F4F">
            <w:pPr>
              <w:pStyle w:val="TableText"/>
            </w:pPr>
            <w:r w:rsidRPr="00537747">
              <w:t>Pig meat</w:t>
            </w:r>
          </w:p>
        </w:tc>
        <w:tc>
          <w:tcPr>
            <w:tcW w:w="667" w:type="pct"/>
            <w:vAlign w:val="center"/>
          </w:tcPr>
          <w:p w14:paraId="597AFE7B" w14:textId="77777777" w:rsidR="00CF7D3A" w:rsidRPr="00537747" w:rsidRDefault="00CF7D3A" w:rsidP="00BA7F4F">
            <w:pPr>
              <w:pStyle w:val="TableText"/>
            </w:pPr>
            <w:r w:rsidRPr="00537747">
              <w:t>T0.007</w:t>
            </w:r>
          </w:p>
        </w:tc>
        <w:tc>
          <w:tcPr>
            <w:tcW w:w="474" w:type="pct"/>
            <w:vAlign w:val="center"/>
          </w:tcPr>
          <w:p w14:paraId="5E819ACF" w14:textId="77777777" w:rsidR="00CF7D3A" w:rsidRDefault="00CF7D3A" w:rsidP="00BA7F4F">
            <w:pPr>
              <w:pStyle w:val="TableText"/>
            </w:pPr>
            <w:r w:rsidRPr="00771366">
              <w:t>--</w:t>
            </w:r>
          </w:p>
        </w:tc>
        <w:tc>
          <w:tcPr>
            <w:tcW w:w="404" w:type="pct"/>
            <w:vAlign w:val="center"/>
          </w:tcPr>
          <w:p w14:paraId="2D1CE725" w14:textId="77777777" w:rsidR="00CF7D3A" w:rsidRPr="00561D1B" w:rsidRDefault="00CF7D3A" w:rsidP="00BA7F4F">
            <w:pPr>
              <w:pStyle w:val="TableText"/>
            </w:pPr>
            <w:r w:rsidRPr="00E934A4">
              <w:t>*0.01</w:t>
            </w:r>
          </w:p>
        </w:tc>
        <w:tc>
          <w:tcPr>
            <w:tcW w:w="504" w:type="pct"/>
            <w:vAlign w:val="center"/>
          </w:tcPr>
          <w:p w14:paraId="48DC3827" w14:textId="77777777" w:rsidR="00CF7D3A" w:rsidRDefault="00CF7D3A" w:rsidP="00BA7F4F">
            <w:pPr>
              <w:pStyle w:val="TableText"/>
            </w:pPr>
            <w:r w:rsidRPr="0073498A">
              <w:t>*0.001</w:t>
            </w:r>
          </w:p>
        </w:tc>
        <w:tc>
          <w:tcPr>
            <w:tcW w:w="527" w:type="pct"/>
            <w:vAlign w:val="center"/>
          </w:tcPr>
          <w:p w14:paraId="43631579" w14:textId="77777777" w:rsidR="00CF7D3A" w:rsidRDefault="00CF7D3A" w:rsidP="00BA7F4F">
            <w:pPr>
              <w:pStyle w:val="TableText"/>
            </w:pPr>
            <w:r w:rsidRPr="00771366">
              <w:t>--</w:t>
            </w:r>
          </w:p>
        </w:tc>
        <w:tc>
          <w:tcPr>
            <w:tcW w:w="580" w:type="pct"/>
            <w:vAlign w:val="center"/>
          </w:tcPr>
          <w:p w14:paraId="4B3B8C9C" w14:textId="77777777" w:rsidR="00CF7D3A" w:rsidRDefault="00CF7D3A" w:rsidP="00BA7F4F">
            <w:pPr>
              <w:pStyle w:val="TableText"/>
            </w:pPr>
            <w:r w:rsidRPr="00771366">
              <w:t>--</w:t>
            </w:r>
          </w:p>
        </w:tc>
        <w:tc>
          <w:tcPr>
            <w:tcW w:w="692" w:type="pct"/>
            <w:vMerge/>
            <w:vAlign w:val="center"/>
          </w:tcPr>
          <w:p w14:paraId="468E2BB7" w14:textId="77777777" w:rsidR="00CF7D3A" w:rsidRDefault="00CF7D3A" w:rsidP="0023656E">
            <w:pPr>
              <w:pStyle w:val="BodyText"/>
              <w:spacing w:after="0"/>
              <w:contextualSpacing/>
              <w:jc w:val="center"/>
              <w:rPr>
                <w:sz w:val="18"/>
              </w:rPr>
            </w:pPr>
          </w:p>
        </w:tc>
      </w:tr>
      <w:tr w:rsidR="007437F4" w14:paraId="37CEA26D" w14:textId="77777777" w:rsidTr="008E69B6">
        <w:trPr>
          <w:cantSplit/>
          <w:trHeight w:val="283"/>
        </w:trPr>
        <w:tc>
          <w:tcPr>
            <w:tcW w:w="1152" w:type="pct"/>
            <w:vAlign w:val="center"/>
          </w:tcPr>
          <w:p w14:paraId="6496FFC9" w14:textId="77777777" w:rsidR="00CF7D3A" w:rsidRDefault="00CF7D3A" w:rsidP="00BA7F4F">
            <w:pPr>
              <w:pStyle w:val="TableText"/>
            </w:pPr>
            <w:r w:rsidRPr="00537747">
              <w:t>Pig, edible offal of {except Liver}</w:t>
            </w:r>
          </w:p>
        </w:tc>
        <w:tc>
          <w:tcPr>
            <w:tcW w:w="667" w:type="pct"/>
            <w:vAlign w:val="center"/>
          </w:tcPr>
          <w:p w14:paraId="0FDFAD8B" w14:textId="77777777" w:rsidR="00CF7D3A" w:rsidRPr="00537747" w:rsidRDefault="00CF7D3A" w:rsidP="00BA7F4F">
            <w:pPr>
              <w:pStyle w:val="TableText"/>
            </w:pPr>
            <w:r w:rsidRPr="00537747">
              <w:t>T0.007</w:t>
            </w:r>
          </w:p>
        </w:tc>
        <w:tc>
          <w:tcPr>
            <w:tcW w:w="474" w:type="pct"/>
            <w:vAlign w:val="center"/>
          </w:tcPr>
          <w:p w14:paraId="13117A13" w14:textId="77777777" w:rsidR="00CF7D3A" w:rsidRDefault="00CF7D3A" w:rsidP="00BA7F4F">
            <w:pPr>
              <w:pStyle w:val="TableText"/>
            </w:pPr>
            <w:r w:rsidRPr="00771366">
              <w:t>--</w:t>
            </w:r>
          </w:p>
        </w:tc>
        <w:tc>
          <w:tcPr>
            <w:tcW w:w="404" w:type="pct"/>
            <w:vAlign w:val="center"/>
          </w:tcPr>
          <w:p w14:paraId="2084F6CF" w14:textId="77777777" w:rsidR="00CF7D3A" w:rsidRPr="00561D1B" w:rsidRDefault="00CF7D3A" w:rsidP="00BA7F4F">
            <w:pPr>
              <w:pStyle w:val="TableText"/>
            </w:pPr>
            <w:r w:rsidRPr="00E934A4">
              <w:t>*0.01</w:t>
            </w:r>
          </w:p>
        </w:tc>
        <w:tc>
          <w:tcPr>
            <w:tcW w:w="504" w:type="pct"/>
            <w:vAlign w:val="center"/>
          </w:tcPr>
          <w:p w14:paraId="27FD16C0" w14:textId="77777777" w:rsidR="00CF7D3A" w:rsidRDefault="00CF7D3A" w:rsidP="00BA7F4F">
            <w:pPr>
              <w:pStyle w:val="TableText"/>
            </w:pPr>
            <w:r w:rsidRPr="0073498A">
              <w:t>*0.001</w:t>
            </w:r>
          </w:p>
        </w:tc>
        <w:tc>
          <w:tcPr>
            <w:tcW w:w="527" w:type="pct"/>
            <w:vAlign w:val="center"/>
          </w:tcPr>
          <w:p w14:paraId="335E9C64" w14:textId="77777777" w:rsidR="00CF7D3A" w:rsidRDefault="00CF7D3A" w:rsidP="00BA7F4F">
            <w:pPr>
              <w:pStyle w:val="TableText"/>
            </w:pPr>
            <w:r w:rsidRPr="00771366">
              <w:t>--</w:t>
            </w:r>
          </w:p>
        </w:tc>
        <w:tc>
          <w:tcPr>
            <w:tcW w:w="580" w:type="pct"/>
            <w:vAlign w:val="center"/>
          </w:tcPr>
          <w:p w14:paraId="4FA27D99" w14:textId="77777777" w:rsidR="00CF7D3A" w:rsidRDefault="00CF7D3A" w:rsidP="00BA7F4F">
            <w:pPr>
              <w:pStyle w:val="TableText"/>
            </w:pPr>
            <w:r w:rsidRPr="00771366">
              <w:t>--</w:t>
            </w:r>
          </w:p>
        </w:tc>
        <w:tc>
          <w:tcPr>
            <w:tcW w:w="692" w:type="pct"/>
            <w:vMerge/>
            <w:vAlign w:val="center"/>
          </w:tcPr>
          <w:p w14:paraId="27B9252F" w14:textId="77777777" w:rsidR="00CF7D3A" w:rsidRDefault="00CF7D3A" w:rsidP="0023656E">
            <w:pPr>
              <w:pStyle w:val="BodyText"/>
              <w:spacing w:after="0"/>
              <w:contextualSpacing/>
              <w:jc w:val="center"/>
              <w:rPr>
                <w:sz w:val="18"/>
              </w:rPr>
            </w:pPr>
          </w:p>
        </w:tc>
      </w:tr>
      <w:tr w:rsidR="007437F4" w14:paraId="32F026A9" w14:textId="77777777" w:rsidTr="008E69B6">
        <w:trPr>
          <w:cantSplit/>
          <w:trHeight w:val="283"/>
        </w:trPr>
        <w:tc>
          <w:tcPr>
            <w:tcW w:w="1152" w:type="pct"/>
            <w:vAlign w:val="center"/>
          </w:tcPr>
          <w:p w14:paraId="5E4D4212" w14:textId="77777777" w:rsidR="00CF7D3A" w:rsidRDefault="00CF7D3A" w:rsidP="00BA7F4F">
            <w:pPr>
              <w:pStyle w:val="TableText"/>
            </w:pPr>
            <w:r w:rsidRPr="00537747">
              <w:t>Pig, liver</w:t>
            </w:r>
          </w:p>
        </w:tc>
        <w:tc>
          <w:tcPr>
            <w:tcW w:w="667" w:type="pct"/>
            <w:vAlign w:val="center"/>
          </w:tcPr>
          <w:p w14:paraId="54EC8F4B" w14:textId="77777777" w:rsidR="00CF7D3A" w:rsidRPr="00537747" w:rsidRDefault="00CF7D3A" w:rsidP="00BA7F4F">
            <w:pPr>
              <w:pStyle w:val="TableText"/>
            </w:pPr>
            <w:r w:rsidRPr="00537747">
              <w:t>T0.04</w:t>
            </w:r>
          </w:p>
        </w:tc>
        <w:tc>
          <w:tcPr>
            <w:tcW w:w="474" w:type="pct"/>
            <w:vAlign w:val="center"/>
          </w:tcPr>
          <w:p w14:paraId="12421986" w14:textId="77777777" w:rsidR="00CF7D3A" w:rsidRDefault="00CF7D3A" w:rsidP="00BA7F4F">
            <w:pPr>
              <w:pStyle w:val="TableText"/>
            </w:pPr>
            <w:r w:rsidRPr="00771366">
              <w:t>--</w:t>
            </w:r>
          </w:p>
        </w:tc>
        <w:tc>
          <w:tcPr>
            <w:tcW w:w="404" w:type="pct"/>
            <w:vAlign w:val="center"/>
          </w:tcPr>
          <w:p w14:paraId="0CD9E507" w14:textId="77777777" w:rsidR="00CF7D3A" w:rsidRPr="00561D1B" w:rsidRDefault="00CF7D3A" w:rsidP="00BA7F4F">
            <w:pPr>
              <w:pStyle w:val="TableText"/>
            </w:pPr>
            <w:r w:rsidRPr="00E934A4">
              <w:t>*0.01</w:t>
            </w:r>
          </w:p>
        </w:tc>
        <w:tc>
          <w:tcPr>
            <w:tcW w:w="504" w:type="pct"/>
            <w:vAlign w:val="center"/>
          </w:tcPr>
          <w:p w14:paraId="1E33EBA0" w14:textId="77777777" w:rsidR="00CF7D3A" w:rsidRDefault="00CF7D3A" w:rsidP="00BA7F4F">
            <w:pPr>
              <w:pStyle w:val="TableText"/>
            </w:pPr>
            <w:r w:rsidRPr="0073498A">
              <w:t>*0.001</w:t>
            </w:r>
          </w:p>
        </w:tc>
        <w:tc>
          <w:tcPr>
            <w:tcW w:w="527" w:type="pct"/>
            <w:vAlign w:val="center"/>
          </w:tcPr>
          <w:p w14:paraId="48E327CD" w14:textId="77777777" w:rsidR="00CF7D3A" w:rsidRDefault="00CF7D3A" w:rsidP="00BA7F4F">
            <w:pPr>
              <w:pStyle w:val="TableText"/>
            </w:pPr>
            <w:r w:rsidRPr="00771366">
              <w:t>--</w:t>
            </w:r>
          </w:p>
        </w:tc>
        <w:tc>
          <w:tcPr>
            <w:tcW w:w="580" w:type="pct"/>
            <w:vAlign w:val="center"/>
          </w:tcPr>
          <w:p w14:paraId="4D7AB2AC" w14:textId="77777777" w:rsidR="00CF7D3A" w:rsidRDefault="00CF7D3A" w:rsidP="00BA7F4F">
            <w:pPr>
              <w:pStyle w:val="TableText"/>
            </w:pPr>
            <w:r w:rsidRPr="00771366">
              <w:t>--</w:t>
            </w:r>
          </w:p>
        </w:tc>
        <w:tc>
          <w:tcPr>
            <w:tcW w:w="692" w:type="pct"/>
            <w:vMerge/>
            <w:vAlign w:val="center"/>
          </w:tcPr>
          <w:p w14:paraId="77254A18" w14:textId="77777777" w:rsidR="00CF7D3A" w:rsidRDefault="00CF7D3A" w:rsidP="0023656E">
            <w:pPr>
              <w:pStyle w:val="BodyText"/>
              <w:spacing w:after="0"/>
              <w:contextualSpacing/>
              <w:jc w:val="center"/>
              <w:rPr>
                <w:sz w:val="18"/>
              </w:rPr>
            </w:pPr>
          </w:p>
        </w:tc>
      </w:tr>
      <w:tr w:rsidR="007437F4" w14:paraId="2DDBB706" w14:textId="77777777" w:rsidTr="008E69B6">
        <w:trPr>
          <w:cantSplit/>
          <w:trHeight w:val="283"/>
        </w:trPr>
        <w:tc>
          <w:tcPr>
            <w:tcW w:w="1152" w:type="pct"/>
            <w:vAlign w:val="center"/>
          </w:tcPr>
          <w:p w14:paraId="3214F172" w14:textId="77777777" w:rsidR="00CF7D3A" w:rsidRPr="00537747" w:rsidRDefault="00CF7D3A" w:rsidP="00BA7F4F">
            <w:pPr>
              <w:pStyle w:val="TableText"/>
            </w:pPr>
            <w:r>
              <w:lastRenderedPageBreak/>
              <w:t xml:space="preserve">Animal commodities </w:t>
            </w:r>
          </w:p>
        </w:tc>
        <w:tc>
          <w:tcPr>
            <w:tcW w:w="667" w:type="pct"/>
            <w:vAlign w:val="center"/>
          </w:tcPr>
          <w:p w14:paraId="687F768E" w14:textId="77777777" w:rsidR="00CF7D3A" w:rsidRPr="00537747" w:rsidRDefault="00CF7D3A" w:rsidP="00BA7F4F">
            <w:pPr>
              <w:pStyle w:val="TableText"/>
            </w:pPr>
            <w:r>
              <w:t>--</w:t>
            </w:r>
          </w:p>
        </w:tc>
        <w:tc>
          <w:tcPr>
            <w:tcW w:w="474" w:type="pct"/>
            <w:vAlign w:val="center"/>
          </w:tcPr>
          <w:p w14:paraId="7CF4251C" w14:textId="77777777" w:rsidR="00CF7D3A" w:rsidRDefault="00CF7D3A" w:rsidP="00BA7F4F">
            <w:pPr>
              <w:pStyle w:val="TableText"/>
            </w:pPr>
            <w:r w:rsidRPr="00771366">
              <w:t>--</w:t>
            </w:r>
          </w:p>
        </w:tc>
        <w:tc>
          <w:tcPr>
            <w:tcW w:w="404" w:type="pct"/>
            <w:vAlign w:val="center"/>
          </w:tcPr>
          <w:p w14:paraId="3D40A938" w14:textId="77777777" w:rsidR="00CF7D3A" w:rsidRPr="00E934A4" w:rsidRDefault="00CF7D3A" w:rsidP="00BA7F4F">
            <w:pPr>
              <w:pStyle w:val="TableText"/>
            </w:pPr>
            <w:r w:rsidRPr="00E934A4">
              <w:t>*0.01</w:t>
            </w:r>
          </w:p>
        </w:tc>
        <w:tc>
          <w:tcPr>
            <w:tcW w:w="504" w:type="pct"/>
            <w:vAlign w:val="center"/>
          </w:tcPr>
          <w:p w14:paraId="74A8A188" w14:textId="77777777" w:rsidR="00CF7D3A" w:rsidRDefault="00CF7D3A" w:rsidP="00BA7F4F">
            <w:pPr>
              <w:pStyle w:val="TableText"/>
            </w:pPr>
            <w:r w:rsidRPr="0073498A">
              <w:t>*0.001</w:t>
            </w:r>
          </w:p>
        </w:tc>
        <w:tc>
          <w:tcPr>
            <w:tcW w:w="527" w:type="pct"/>
            <w:vAlign w:val="center"/>
          </w:tcPr>
          <w:p w14:paraId="0449D698" w14:textId="77777777" w:rsidR="00CF7D3A" w:rsidRDefault="00CF7D3A" w:rsidP="00BA7F4F">
            <w:pPr>
              <w:pStyle w:val="TableText"/>
            </w:pPr>
            <w:r w:rsidRPr="00771366">
              <w:t>--</w:t>
            </w:r>
          </w:p>
        </w:tc>
        <w:tc>
          <w:tcPr>
            <w:tcW w:w="580" w:type="pct"/>
            <w:vAlign w:val="center"/>
          </w:tcPr>
          <w:p w14:paraId="1FBA462F" w14:textId="77777777" w:rsidR="00CF7D3A" w:rsidRDefault="00CF7D3A" w:rsidP="00BA7F4F">
            <w:pPr>
              <w:pStyle w:val="TableText"/>
            </w:pPr>
            <w:r w:rsidRPr="00771366">
              <w:t>--</w:t>
            </w:r>
          </w:p>
        </w:tc>
        <w:tc>
          <w:tcPr>
            <w:tcW w:w="692" w:type="pct"/>
            <w:vMerge/>
            <w:vAlign w:val="center"/>
          </w:tcPr>
          <w:p w14:paraId="48233F0F" w14:textId="77777777" w:rsidR="00CF7D3A" w:rsidRDefault="00CF7D3A" w:rsidP="0023656E">
            <w:pPr>
              <w:pStyle w:val="BodyText"/>
              <w:spacing w:after="0"/>
              <w:contextualSpacing/>
              <w:jc w:val="center"/>
              <w:rPr>
                <w:sz w:val="18"/>
              </w:rPr>
            </w:pPr>
          </w:p>
        </w:tc>
      </w:tr>
      <w:tr w:rsidR="007437F4" w14:paraId="6553EA12" w14:textId="77777777" w:rsidTr="008E69B6">
        <w:trPr>
          <w:cantSplit/>
          <w:trHeight w:val="283"/>
        </w:trPr>
        <w:tc>
          <w:tcPr>
            <w:tcW w:w="1152" w:type="pct"/>
            <w:vAlign w:val="center"/>
          </w:tcPr>
          <w:p w14:paraId="5579CB93" w14:textId="77777777" w:rsidR="00CF7D3A" w:rsidRPr="00537747" w:rsidRDefault="00CF7D3A" w:rsidP="00BA7F4F">
            <w:pPr>
              <w:pStyle w:val="TableText"/>
            </w:pPr>
            <w:r>
              <w:t>Plant commodities</w:t>
            </w:r>
          </w:p>
        </w:tc>
        <w:tc>
          <w:tcPr>
            <w:tcW w:w="667" w:type="pct"/>
            <w:vAlign w:val="center"/>
          </w:tcPr>
          <w:p w14:paraId="3C83A470" w14:textId="77777777" w:rsidR="00CF7D3A" w:rsidRPr="00537747" w:rsidRDefault="00CF7D3A" w:rsidP="00BA7F4F">
            <w:pPr>
              <w:pStyle w:val="TableText"/>
            </w:pPr>
            <w:r>
              <w:t>--</w:t>
            </w:r>
          </w:p>
        </w:tc>
        <w:tc>
          <w:tcPr>
            <w:tcW w:w="474" w:type="pct"/>
            <w:vAlign w:val="center"/>
          </w:tcPr>
          <w:p w14:paraId="214834F5" w14:textId="77777777" w:rsidR="00CF7D3A" w:rsidRDefault="00CF7D3A" w:rsidP="00BA7F4F">
            <w:pPr>
              <w:pStyle w:val="TableText"/>
            </w:pPr>
            <w:r w:rsidRPr="00771366">
              <w:t>--</w:t>
            </w:r>
          </w:p>
        </w:tc>
        <w:tc>
          <w:tcPr>
            <w:tcW w:w="404" w:type="pct"/>
            <w:vAlign w:val="center"/>
          </w:tcPr>
          <w:p w14:paraId="6A244D6E" w14:textId="77777777" w:rsidR="00CF7D3A" w:rsidRPr="00E934A4" w:rsidRDefault="00CF7D3A" w:rsidP="00BA7F4F">
            <w:pPr>
              <w:pStyle w:val="TableText"/>
            </w:pPr>
            <w:r w:rsidRPr="00E934A4">
              <w:t>*0.01</w:t>
            </w:r>
          </w:p>
        </w:tc>
        <w:tc>
          <w:tcPr>
            <w:tcW w:w="504" w:type="pct"/>
            <w:vAlign w:val="center"/>
          </w:tcPr>
          <w:p w14:paraId="0DBB582B" w14:textId="77777777" w:rsidR="00CF7D3A" w:rsidRDefault="00CF7D3A" w:rsidP="00BA7F4F">
            <w:pPr>
              <w:pStyle w:val="TableText"/>
            </w:pPr>
            <w:r w:rsidRPr="0073498A">
              <w:t>*0.001</w:t>
            </w:r>
          </w:p>
        </w:tc>
        <w:tc>
          <w:tcPr>
            <w:tcW w:w="527" w:type="pct"/>
            <w:vAlign w:val="center"/>
          </w:tcPr>
          <w:p w14:paraId="67322FFA" w14:textId="77777777" w:rsidR="00CF7D3A" w:rsidRDefault="00CF7D3A" w:rsidP="00BA7F4F">
            <w:pPr>
              <w:pStyle w:val="TableText"/>
            </w:pPr>
            <w:r w:rsidRPr="00771366">
              <w:t>--</w:t>
            </w:r>
          </w:p>
        </w:tc>
        <w:tc>
          <w:tcPr>
            <w:tcW w:w="580" w:type="pct"/>
            <w:vAlign w:val="center"/>
          </w:tcPr>
          <w:p w14:paraId="0B67792B" w14:textId="77777777" w:rsidR="00CF7D3A" w:rsidRDefault="00CF7D3A" w:rsidP="00BA7F4F">
            <w:pPr>
              <w:pStyle w:val="TableText"/>
            </w:pPr>
            <w:r w:rsidRPr="00771366">
              <w:t>--</w:t>
            </w:r>
          </w:p>
        </w:tc>
        <w:tc>
          <w:tcPr>
            <w:tcW w:w="692" w:type="pct"/>
            <w:vMerge/>
            <w:vAlign w:val="center"/>
          </w:tcPr>
          <w:p w14:paraId="1BA016F4" w14:textId="77777777" w:rsidR="00CF7D3A" w:rsidRDefault="00CF7D3A" w:rsidP="0023656E">
            <w:pPr>
              <w:pStyle w:val="BodyText"/>
              <w:spacing w:after="0"/>
              <w:contextualSpacing/>
              <w:jc w:val="center"/>
              <w:rPr>
                <w:sz w:val="18"/>
              </w:rPr>
            </w:pPr>
          </w:p>
        </w:tc>
      </w:tr>
      <w:tr w:rsidR="00CF7D3A" w:rsidRPr="00561D1B" w14:paraId="18C71D93" w14:textId="77777777" w:rsidTr="0017134F">
        <w:trPr>
          <w:cantSplit/>
        </w:trPr>
        <w:tc>
          <w:tcPr>
            <w:tcW w:w="5000" w:type="pct"/>
            <w:gridSpan w:val="8"/>
            <w:shd w:val="clear" w:color="auto" w:fill="53284F"/>
            <w:vAlign w:val="center"/>
          </w:tcPr>
          <w:p w14:paraId="17E72019" w14:textId="7980E25B" w:rsidR="00CF7D3A" w:rsidRPr="00561D1B" w:rsidRDefault="00CF7D3A" w:rsidP="00BA7F4F">
            <w:pPr>
              <w:pStyle w:val="TableHead"/>
            </w:pPr>
            <w:r>
              <w:t>Brodifa</w:t>
            </w:r>
            <w:r w:rsidRPr="00BD2F8D">
              <w:rPr>
                <w:shd w:val="clear" w:color="auto" w:fill="3E1E3A"/>
              </w:rPr>
              <w:t>coum</w:t>
            </w:r>
          </w:p>
        </w:tc>
      </w:tr>
      <w:tr w:rsidR="007437F4" w:rsidRPr="00F622F5" w14:paraId="7AD878DC" w14:textId="77777777" w:rsidTr="008E69B6">
        <w:trPr>
          <w:cantSplit/>
          <w:trHeight w:val="283"/>
        </w:trPr>
        <w:tc>
          <w:tcPr>
            <w:tcW w:w="1152" w:type="pct"/>
            <w:vAlign w:val="center"/>
          </w:tcPr>
          <w:p w14:paraId="29C6569D" w14:textId="77777777" w:rsidR="00CF7D3A" w:rsidRDefault="00CF7D3A" w:rsidP="00BA7F4F">
            <w:pPr>
              <w:pStyle w:val="TableText"/>
            </w:pPr>
            <w:r>
              <w:t>N/A</w:t>
            </w:r>
          </w:p>
        </w:tc>
        <w:tc>
          <w:tcPr>
            <w:tcW w:w="667" w:type="pct"/>
            <w:vAlign w:val="center"/>
          </w:tcPr>
          <w:p w14:paraId="38F58014" w14:textId="77777777" w:rsidR="00CF7D3A" w:rsidRDefault="00CF7D3A" w:rsidP="00BA7F4F">
            <w:pPr>
              <w:pStyle w:val="TableText"/>
            </w:pPr>
            <w:r w:rsidRPr="00517672">
              <w:t>--</w:t>
            </w:r>
          </w:p>
        </w:tc>
        <w:tc>
          <w:tcPr>
            <w:tcW w:w="474" w:type="pct"/>
            <w:vAlign w:val="center"/>
          </w:tcPr>
          <w:p w14:paraId="3D3F5E33" w14:textId="77777777" w:rsidR="00CF7D3A" w:rsidRDefault="00CF7D3A" w:rsidP="00BA7F4F">
            <w:pPr>
              <w:pStyle w:val="TableText"/>
            </w:pPr>
            <w:r w:rsidRPr="00C92E9F">
              <w:t>--</w:t>
            </w:r>
          </w:p>
        </w:tc>
        <w:tc>
          <w:tcPr>
            <w:tcW w:w="404" w:type="pct"/>
            <w:vAlign w:val="center"/>
          </w:tcPr>
          <w:p w14:paraId="430DA9B0" w14:textId="77777777" w:rsidR="00CF7D3A" w:rsidRPr="00561D1B" w:rsidRDefault="00CF7D3A" w:rsidP="00BA7F4F">
            <w:pPr>
              <w:pStyle w:val="TableText"/>
            </w:pPr>
            <w:r w:rsidRPr="00517672">
              <w:t>--</w:t>
            </w:r>
          </w:p>
        </w:tc>
        <w:tc>
          <w:tcPr>
            <w:tcW w:w="504" w:type="pct"/>
            <w:vAlign w:val="center"/>
          </w:tcPr>
          <w:p w14:paraId="7E3392A2" w14:textId="77777777" w:rsidR="00CF7D3A" w:rsidRPr="0029072F" w:rsidRDefault="00CF7D3A" w:rsidP="00BA7F4F">
            <w:pPr>
              <w:pStyle w:val="TableText"/>
              <w:rPr>
                <w:vertAlign w:val="superscript"/>
              </w:rPr>
            </w:pPr>
            <w:r w:rsidRPr="00EE6861">
              <w:t>--</w:t>
            </w:r>
          </w:p>
        </w:tc>
        <w:tc>
          <w:tcPr>
            <w:tcW w:w="527" w:type="pct"/>
            <w:vAlign w:val="center"/>
          </w:tcPr>
          <w:p w14:paraId="1B8D5EEB" w14:textId="77777777" w:rsidR="00CF7D3A" w:rsidRDefault="00CF7D3A" w:rsidP="00BA7F4F">
            <w:pPr>
              <w:pStyle w:val="TableText"/>
            </w:pPr>
            <w:r w:rsidRPr="00EE6861">
              <w:t>--</w:t>
            </w:r>
          </w:p>
        </w:tc>
        <w:tc>
          <w:tcPr>
            <w:tcW w:w="580" w:type="pct"/>
            <w:vAlign w:val="center"/>
          </w:tcPr>
          <w:p w14:paraId="197F1FD6" w14:textId="77777777" w:rsidR="00CF7D3A" w:rsidRDefault="00CF7D3A" w:rsidP="00BA7F4F">
            <w:pPr>
              <w:pStyle w:val="TableText"/>
            </w:pPr>
            <w:r w:rsidRPr="00EE6861">
              <w:t>--</w:t>
            </w:r>
          </w:p>
        </w:tc>
        <w:tc>
          <w:tcPr>
            <w:tcW w:w="692" w:type="pct"/>
            <w:vAlign w:val="center"/>
          </w:tcPr>
          <w:p w14:paraId="3CF50CA4" w14:textId="77777777" w:rsidR="00CF7D3A" w:rsidRPr="00F622F5" w:rsidRDefault="00CF7D3A" w:rsidP="00BA7F4F">
            <w:pPr>
              <w:pStyle w:val="TableText"/>
              <w:rPr>
                <w:vertAlign w:val="superscript"/>
              </w:rPr>
            </w:pPr>
            <w:r>
              <w:t>Registered CO</w:t>
            </w:r>
          </w:p>
        </w:tc>
      </w:tr>
      <w:tr w:rsidR="00CF7D3A" w:rsidRPr="00561D1B" w14:paraId="1E20A0A9" w14:textId="77777777" w:rsidTr="0017134F">
        <w:trPr>
          <w:cantSplit/>
        </w:trPr>
        <w:tc>
          <w:tcPr>
            <w:tcW w:w="5000" w:type="pct"/>
            <w:gridSpan w:val="8"/>
            <w:shd w:val="clear" w:color="auto" w:fill="53284F"/>
            <w:vAlign w:val="center"/>
          </w:tcPr>
          <w:p w14:paraId="3D4BC064" w14:textId="77777777" w:rsidR="00CF7D3A" w:rsidRPr="00561D1B" w:rsidRDefault="00CF7D3A" w:rsidP="00BA7F4F">
            <w:pPr>
              <w:pStyle w:val="TableHead"/>
            </w:pPr>
            <w:r>
              <w:t>Bromadiolone</w:t>
            </w:r>
          </w:p>
        </w:tc>
      </w:tr>
      <w:tr w:rsidR="007437F4" w:rsidRPr="00F622F5" w14:paraId="430DBA10" w14:textId="77777777" w:rsidTr="008E69B6">
        <w:trPr>
          <w:cantSplit/>
          <w:trHeight w:val="283"/>
        </w:trPr>
        <w:tc>
          <w:tcPr>
            <w:tcW w:w="1152" w:type="pct"/>
            <w:vAlign w:val="center"/>
          </w:tcPr>
          <w:p w14:paraId="64C02F2F" w14:textId="77777777" w:rsidR="00CF7D3A" w:rsidRDefault="00CF7D3A" w:rsidP="00BA7F4F">
            <w:pPr>
              <w:pStyle w:val="TableText"/>
            </w:pPr>
            <w:r>
              <w:t>Mammalian</w:t>
            </w:r>
            <w:r w:rsidRPr="00537747">
              <w:t xml:space="preserve"> fat</w:t>
            </w:r>
          </w:p>
        </w:tc>
        <w:tc>
          <w:tcPr>
            <w:tcW w:w="667" w:type="pct"/>
            <w:vAlign w:val="center"/>
          </w:tcPr>
          <w:p w14:paraId="3BDF1C54" w14:textId="77777777" w:rsidR="00CF7D3A" w:rsidRDefault="00CF7D3A" w:rsidP="00BA7F4F">
            <w:pPr>
              <w:pStyle w:val="TableText"/>
            </w:pPr>
            <w:r w:rsidRPr="00A516CE">
              <w:t>--</w:t>
            </w:r>
          </w:p>
        </w:tc>
        <w:tc>
          <w:tcPr>
            <w:tcW w:w="474" w:type="pct"/>
            <w:vAlign w:val="center"/>
          </w:tcPr>
          <w:p w14:paraId="794E9ED3" w14:textId="77777777" w:rsidR="00CF7D3A" w:rsidRDefault="00CF7D3A" w:rsidP="00BA7F4F">
            <w:pPr>
              <w:pStyle w:val="TableText"/>
            </w:pPr>
            <w:r w:rsidRPr="00CD2FA8">
              <w:t>--</w:t>
            </w:r>
          </w:p>
        </w:tc>
        <w:tc>
          <w:tcPr>
            <w:tcW w:w="404" w:type="pct"/>
            <w:vAlign w:val="center"/>
          </w:tcPr>
          <w:p w14:paraId="582FFC76" w14:textId="77777777" w:rsidR="00CF7D3A" w:rsidRPr="00561D1B" w:rsidRDefault="00CF7D3A" w:rsidP="00BA7F4F">
            <w:pPr>
              <w:pStyle w:val="TableText"/>
            </w:pPr>
            <w:r w:rsidRPr="00E934A4">
              <w:t>*0.01</w:t>
            </w:r>
          </w:p>
        </w:tc>
        <w:tc>
          <w:tcPr>
            <w:tcW w:w="504" w:type="pct"/>
            <w:vAlign w:val="center"/>
          </w:tcPr>
          <w:p w14:paraId="43F525CA" w14:textId="77777777" w:rsidR="00CF7D3A" w:rsidRPr="0029072F" w:rsidRDefault="00CF7D3A" w:rsidP="00BA7F4F">
            <w:pPr>
              <w:pStyle w:val="TableText"/>
              <w:rPr>
                <w:vertAlign w:val="superscript"/>
              </w:rPr>
            </w:pPr>
            <w:r w:rsidRPr="00A516CE">
              <w:t>--</w:t>
            </w:r>
          </w:p>
        </w:tc>
        <w:tc>
          <w:tcPr>
            <w:tcW w:w="527" w:type="pct"/>
            <w:vAlign w:val="center"/>
          </w:tcPr>
          <w:p w14:paraId="2EB797F1" w14:textId="77777777" w:rsidR="00CF7D3A" w:rsidRDefault="00CF7D3A" w:rsidP="00BA7F4F">
            <w:pPr>
              <w:pStyle w:val="TableText"/>
            </w:pPr>
            <w:r w:rsidRPr="00A516CE">
              <w:t>--</w:t>
            </w:r>
          </w:p>
        </w:tc>
        <w:tc>
          <w:tcPr>
            <w:tcW w:w="580" w:type="pct"/>
            <w:vAlign w:val="center"/>
          </w:tcPr>
          <w:p w14:paraId="544CBF0F" w14:textId="77777777" w:rsidR="00CF7D3A" w:rsidRDefault="00CF7D3A" w:rsidP="00BA7F4F">
            <w:pPr>
              <w:pStyle w:val="TableText"/>
            </w:pPr>
            <w:r w:rsidRPr="00A516CE">
              <w:t>--</w:t>
            </w:r>
          </w:p>
        </w:tc>
        <w:tc>
          <w:tcPr>
            <w:tcW w:w="692" w:type="pct"/>
            <w:vMerge w:val="restart"/>
            <w:vAlign w:val="center"/>
          </w:tcPr>
          <w:p w14:paraId="1F4A795E" w14:textId="77777777" w:rsidR="00CF7D3A" w:rsidRPr="00F622F5" w:rsidRDefault="00CF7D3A" w:rsidP="00BA7F4F">
            <w:pPr>
              <w:pStyle w:val="TableText"/>
              <w:rPr>
                <w:vertAlign w:val="superscript"/>
              </w:rPr>
            </w:pPr>
            <w:r>
              <w:t>Registered CO</w:t>
            </w:r>
          </w:p>
        </w:tc>
      </w:tr>
      <w:tr w:rsidR="007437F4" w14:paraId="3E2B027F" w14:textId="77777777" w:rsidTr="008E69B6">
        <w:trPr>
          <w:cantSplit/>
          <w:trHeight w:val="283"/>
        </w:trPr>
        <w:tc>
          <w:tcPr>
            <w:tcW w:w="1152" w:type="pct"/>
            <w:vAlign w:val="center"/>
          </w:tcPr>
          <w:p w14:paraId="458EA33D" w14:textId="77777777" w:rsidR="00CF7D3A" w:rsidRDefault="00CF7D3A" w:rsidP="00BA7F4F">
            <w:pPr>
              <w:pStyle w:val="TableText"/>
            </w:pPr>
            <w:r w:rsidRPr="00537747">
              <w:t xml:space="preserve">Mammalian </w:t>
            </w:r>
            <w:r>
              <w:t>kidney</w:t>
            </w:r>
          </w:p>
        </w:tc>
        <w:tc>
          <w:tcPr>
            <w:tcW w:w="667" w:type="pct"/>
            <w:vAlign w:val="center"/>
          </w:tcPr>
          <w:p w14:paraId="0C194124" w14:textId="77777777" w:rsidR="00CF7D3A" w:rsidRDefault="00CF7D3A" w:rsidP="00BA7F4F">
            <w:pPr>
              <w:pStyle w:val="TableText"/>
            </w:pPr>
            <w:r w:rsidRPr="00A516CE">
              <w:t>--</w:t>
            </w:r>
          </w:p>
        </w:tc>
        <w:tc>
          <w:tcPr>
            <w:tcW w:w="474" w:type="pct"/>
            <w:vAlign w:val="center"/>
          </w:tcPr>
          <w:p w14:paraId="3FE4BDB9" w14:textId="77777777" w:rsidR="00CF7D3A" w:rsidRDefault="00CF7D3A" w:rsidP="00BA7F4F">
            <w:pPr>
              <w:pStyle w:val="TableText"/>
            </w:pPr>
            <w:r w:rsidRPr="00CD2FA8">
              <w:t>--</w:t>
            </w:r>
          </w:p>
        </w:tc>
        <w:tc>
          <w:tcPr>
            <w:tcW w:w="404" w:type="pct"/>
            <w:vAlign w:val="center"/>
          </w:tcPr>
          <w:p w14:paraId="454F2C29" w14:textId="77777777" w:rsidR="00CF7D3A" w:rsidRPr="00561D1B" w:rsidRDefault="00CF7D3A" w:rsidP="00BA7F4F">
            <w:pPr>
              <w:pStyle w:val="TableText"/>
            </w:pPr>
            <w:r w:rsidRPr="00E934A4">
              <w:t>*0.01</w:t>
            </w:r>
          </w:p>
        </w:tc>
        <w:tc>
          <w:tcPr>
            <w:tcW w:w="504" w:type="pct"/>
            <w:vAlign w:val="center"/>
          </w:tcPr>
          <w:p w14:paraId="095E0574" w14:textId="77777777" w:rsidR="00CF7D3A" w:rsidRDefault="00CF7D3A" w:rsidP="00BA7F4F">
            <w:pPr>
              <w:pStyle w:val="TableText"/>
            </w:pPr>
            <w:r w:rsidRPr="00A516CE">
              <w:t>--</w:t>
            </w:r>
          </w:p>
        </w:tc>
        <w:tc>
          <w:tcPr>
            <w:tcW w:w="527" w:type="pct"/>
            <w:vAlign w:val="center"/>
          </w:tcPr>
          <w:p w14:paraId="7703DD79" w14:textId="77777777" w:rsidR="00CF7D3A" w:rsidRDefault="00CF7D3A" w:rsidP="00BA7F4F">
            <w:pPr>
              <w:pStyle w:val="TableText"/>
            </w:pPr>
            <w:r w:rsidRPr="00A516CE">
              <w:t>--</w:t>
            </w:r>
          </w:p>
        </w:tc>
        <w:tc>
          <w:tcPr>
            <w:tcW w:w="580" w:type="pct"/>
            <w:vAlign w:val="center"/>
          </w:tcPr>
          <w:p w14:paraId="6A545CD9" w14:textId="77777777" w:rsidR="00CF7D3A" w:rsidRDefault="00CF7D3A" w:rsidP="00BA7F4F">
            <w:pPr>
              <w:pStyle w:val="TableText"/>
            </w:pPr>
            <w:r w:rsidRPr="00A516CE">
              <w:t>--</w:t>
            </w:r>
          </w:p>
        </w:tc>
        <w:tc>
          <w:tcPr>
            <w:tcW w:w="692" w:type="pct"/>
            <w:vMerge/>
            <w:vAlign w:val="center"/>
          </w:tcPr>
          <w:p w14:paraId="417ACE45" w14:textId="77777777" w:rsidR="00CF7D3A" w:rsidRDefault="00CF7D3A" w:rsidP="0023656E">
            <w:pPr>
              <w:pStyle w:val="BodyText"/>
              <w:spacing w:after="0"/>
              <w:contextualSpacing/>
              <w:jc w:val="center"/>
              <w:rPr>
                <w:sz w:val="18"/>
              </w:rPr>
            </w:pPr>
          </w:p>
        </w:tc>
      </w:tr>
      <w:tr w:rsidR="007437F4" w14:paraId="1DE3316F" w14:textId="77777777" w:rsidTr="008E69B6">
        <w:trPr>
          <w:cantSplit/>
          <w:trHeight w:val="283"/>
        </w:trPr>
        <w:tc>
          <w:tcPr>
            <w:tcW w:w="1152" w:type="pct"/>
            <w:vAlign w:val="center"/>
          </w:tcPr>
          <w:p w14:paraId="266684AD" w14:textId="77777777" w:rsidR="00CF7D3A" w:rsidRDefault="00CF7D3A" w:rsidP="00BA7F4F">
            <w:pPr>
              <w:pStyle w:val="TableText"/>
            </w:pPr>
            <w:r w:rsidRPr="00537747">
              <w:t xml:space="preserve">Mammalian </w:t>
            </w:r>
            <w:r>
              <w:t>liver</w:t>
            </w:r>
          </w:p>
        </w:tc>
        <w:tc>
          <w:tcPr>
            <w:tcW w:w="667" w:type="pct"/>
            <w:vAlign w:val="center"/>
          </w:tcPr>
          <w:p w14:paraId="45FC9AB1" w14:textId="77777777" w:rsidR="00CF7D3A" w:rsidRDefault="00CF7D3A" w:rsidP="00BA7F4F">
            <w:pPr>
              <w:pStyle w:val="TableText"/>
            </w:pPr>
            <w:r w:rsidRPr="00A516CE">
              <w:t>--</w:t>
            </w:r>
          </w:p>
        </w:tc>
        <w:tc>
          <w:tcPr>
            <w:tcW w:w="474" w:type="pct"/>
            <w:vAlign w:val="center"/>
          </w:tcPr>
          <w:p w14:paraId="06C75AD6" w14:textId="77777777" w:rsidR="00CF7D3A" w:rsidRDefault="00CF7D3A" w:rsidP="00BA7F4F">
            <w:pPr>
              <w:pStyle w:val="TableText"/>
            </w:pPr>
            <w:r w:rsidRPr="00CD2FA8">
              <w:t>--</w:t>
            </w:r>
          </w:p>
        </w:tc>
        <w:tc>
          <w:tcPr>
            <w:tcW w:w="404" w:type="pct"/>
            <w:vAlign w:val="center"/>
          </w:tcPr>
          <w:p w14:paraId="28F471C0" w14:textId="77777777" w:rsidR="00CF7D3A" w:rsidRPr="00561D1B" w:rsidRDefault="00CF7D3A" w:rsidP="00BA7F4F">
            <w:pPr>
              <w:pStyle w:val="TableText"/>
            </w:pPr>
            <w:r w:rsidRPr="00E934A4">
              <w:t>*0.01</w:t>
            </w:r>
          </w:p>
        </w:tc>
        <w:tc>
          <w:tcPr>
            <w:tcW w:w="504" w:type="pct"/>
            <w:vAlign w:val="center"/>
          </w:tcPr>
          <w:p w14:paraId="44BC9A75" w14:textId="77777777" w:rsidR="00CF7D3A" w:rsidRDefault="00CF7D3A" w:rsidP="00BA7F4F">
            <w:pPr>
              <w:pStyle w:val="TableText"/>
            </w:pPr>
            <w:r w:rsidRPr="00A516CE">
              <w:t>--</w:t>
            </w:r>
          </w:p>
        </w:tc>
        <w:tc>
          <w:tcPr>
            <w:tcW w:w="527" w:type="pct"/>
            <w:vAlign w:val="center"/>
          </w:tcPr>
          <w:p w14:paraId="127E4DD4" w14:textId="77777777" w:rsidR="00CF7D3A" w:rsidRDefault="00CF7D3A" w:rsidP="00BA7F4F">
            <w:pPr>
              <w:pStyle w:val="TableText"/>
            </w:pPr>
            <w:r w:rsidRPr="00A516CE">
              <w:t>--</w:t>
            </w:r>
          </w:p>
        </w:tc>
        <w:tc>
          <w:tcPr>
            <w:tcW w:w="580" w:type="pct"/>
            <w:vAlign w:val="center"/>
          </w:tcPr>
          <w:p w14:paraId="127C70E5" w14:textId="77777777" w:rsidR="00CF7D3A" w:rsidRDefault="00CF7D3A" w:rsidP="00BA7F4F">
            <w:pPr>
              <w:pStyle w:val="TableText"/>
            </w:pPr>
            <w:r w:rsidRPr="00A516CE">
              <w:t>--</w:t>
            </w:r>
          </w:p>
        </w:tc>
        <w:tc>
          <w:tcPr>
            <w:tcW w:w="692" w:type="pct"/>
            <w:vMerge/>
            <w:vAlign w:val="center"/>
          </w:tcPr>
          <w:p w14:paraId="4B03C17B" w14:textId="77777777" w:rsidR="00CF7D3A" w:rsidRDefault="00CF7D3A" w:rsidP="0023656E">
            <w:pPr>
              <w:pStyle w:val="BodyText"/>
              <w:spacing w:after="0"/>
              <w:contextualSpacing/>
              <w:jc w:val="center"/>
              <w:rPr>
                <w:sz w:val="18"/>
              </w:rPr>
            </w:pPr>
          </w:p>
        </w:tc>
      </w:tr>
      <w:tr w:rsidR="007437F4" w14:paraId="0ED13DF9" w14:textId="77777777" w:rsidTr="008E69B6">
        <w:trPr>
          <w:cantSplit/>
          <w:trHeight w:val="283"/>
        </w:trPr>
        <w:tc>
          <w:tcPr>
            <w:tcW w:w="1152" w:type="pct"/>
            <w:vAlign w:val="center"/>
          </w:tcPr>
          <w:p w14:paraId="43BD6170" w14:textId="77777777" w:rsidR="00CF7D3A" w:rsidRDefault="00CF7D3A" w:rsidP="00BA7F4F">
            <w:pPr>
              <w:pStyle w:val="TableText"/>
            </w:pPr>
            <w:r w:rsidRPr="00537747">
              <w:t xml:space="preserve">Mammalian </w:t>
            </w:r>
            <w:r>
              <w:t>muscle</w:t>
            </w:r>
          </w:p>
        </w:tc>
        <w:tc>
          <w:tcPr>
            <w:tcW w:w="667" w:type="pct"/>
            <w:vAlign w:val="center"/>
          </w:tcPr>
          <w:p w14:paraId="534FED9D" w14:textId="77777777" w:rsidR="00CF7D3A" w:rsidRDefault="00CF7D3A" w:rsidP="00BA7F4F">
            <w:pPr>
              <w:pStyle w:val="TableText"/>
            </w:pPr>
            <w:r w:rsidRPr="00A516CE">
              <w:t>--</w:t>
            </w:r>
          </w:p>
        </w:tc>
        <w:tc>
          <w:tcPr>
            <w:tcW w:w="474" w:type="pct"/>
            <w:vAlign w:val="center"/>
          </w:tcPr>
          <w:p w14:paraId="3C5B7767" w14:textId="77777777" w:rsidR="00CF7D3A" w:rsidRDefault="00CF7D3A" w:rsidP="00BA7F4F">
            <w:pPr>
              <w:pStyle w:val="TableText"/>
            </w:pPr>
            <w:r w:rsidRPr="00CD2FA8">
              <w:t>--</w:t>
            </w:r>
          </w:p>
        </w:tc>
        <w:tc>
          <w:tcPr>
            <w:tcW w:w="404" w:type="pct"/>
            <w:vAlign w:val="center"/>
          </w:tcPr>
          <w:p w14:paraId="1C007C51" w14:textId="77777777" w:rsidR="00CF7D3A" w:rsidRPr="00561D1B" w:rsidRDefault="00CF7D3A" w:rsidP="00BA7F4F">
            <w:pPr>
              <w:pStyle w:val="TableText"/>
            </w:pPr>
            <w:r w:rsidRPr="00E934A4">
              <w:t>*0.01</w:t>
            </w:r>
          </w:p>
        </w:tc>
        <w:tc>
          <w:tcPr>
            <w:tcW w:w="504" w:type="pct"/>
            <w:vAlign w:val="center"/>
          </w:tcPr>
          <w:p w14:paraId="59ADF75B" w14:textId="77777777" w:rsidR="00CF7D3A" w:rsidRDefault="00CF7D3A" w:rsidP="00BA7F4F">
            <w:pPr>
              <w:pStyle w:val="TableText"/>
            </w:pPr>
            <w:r w:rsidRPr="00A516CE">
              <w:t>--</w:t>
            </w:r>
          </w:p>
        </w:tc>
        <w:tc>
          <w:tcPr>
            <w:tcW w:w="527" w:type="pct"/>
            <w:vAlign w:val="center"/>
          </w:tcPr>
          <w:p w14:paraId="01F7464A" w14:textId="77777777" w:rsidR="00CF7D3A" w:rsidRDefault="00CF7D3A" w:rsidP="00BA7F4F">
            <w:pPr>
              <w:pStyle w:val="TableText"/>
            </w:pPr>
            <w:r w:rsidRPr="00A516CE">
              <w:t>--</w:t>
            </w:r>
          </w:p>
        </w:tc>
        <w:tc>
          <w:tcPr>
            <w:tcW w:w="580" w:type="pct"/>
            <w:vAlign w:val="center"/>
          </w:tcPr>
          <w:p w14:paraId="06502B66" w14:textId="77777777" w:rsidR="00CF7D3A" w:rsidRDefault="00CF7D3A" w:rsidP="00BA7F4F">
            <w:pPr>
              <w:pStyle w:val="TableText"/>
            </w:pPr>
            <w:r w:rsidRPr="00A516CE">
              <w:t>--</w:t>
            </w:r>
          </w:p>
        </w:tc>
        <w:tc>
          <w:tcPr>
            <w:tcW w:w="692" w:type="pct"/>
            <w:vMerge/>
            <w:vAlign w:val="center"/>
          </w:tcPr>
          <w:p w14:paraId="4C9DA978" w14:textId="77777777" w:rsidR="00CF7D3A" w:rsidRDefault="00CF7D3A" w:rsidP="0023656E">
            <w:pPr>
              <w:pStyle w:val="BodyText"/>
              <w:spacing w:after="0"/>
              <w:contextualSpacing/>
              <w:jc w:val="center"/>
              <w:rPr>
                <w:sz w:val="18"/>
              </w:rPr>
            </w:pPr>
          </w:p>
        </w:tc>
      </w:tr>
      <w:tr w:rsidR="007437F4" w14:paraId="54CDF5B7" w14:textId="77777777" w:rsidTr="008E69B6">
        <w:trPr>
          <w:cantSplit/>
          <w:trHeight w:val="283"/>
        </w:trPr>
        <w:tc>
          <w:tcPr>
            <w:tcW w:w="1152" w:type="pct"/>
            <w:vAlign w:val="center"/>
          </w:tcPr>
          <w:p w14:paraId="2E7A1E9B" w14:textId="77777777" w:rsidR="00CF7D3A" w:rsidRPr="00537747" w:rsidRDefault="00CF7D3A" w:rsidP="00BA7F4F">
            <w:pPr>
              <w:pStyle w:val="TableText"/>
            </w:pPr>
            <w:r>
              <w:t>Plants</w:t>
            </w:r>
          </w:p>
        </w:tc>
        <w:tc>
          <w:tcPr>
            <w:tcW w:w="667" w:type="pct"/>
            <w:vAlign w:val="center"/>
          </w:tcPr>
          <w:p w14:paraId="1DF4E638" w14:textId="77777777" w:rsidR="00CF7D3A" w:rsidRDefault="00CF7D3A" w:rsidP="00BA7F4F">
            <w:pPr>
              <w:pStyle w:val="TableText"/>
            </w:pPr>
            <w:r w:rsidRPr="00A516CE">
              <w:t>--</w:t>
            </w:r>
          </w:p>
        </w:tc>
        <w:tc>
          <w:tcPr>
            <w:tcW w:w="474" w:type="pct"/>
            <w:vAlign w:val="center"/>
          </w:tcPr>
          <w:p w14:paraId="5730B7E0" w14:textId="77777777" w:rsidR="00CF7D3A" w:rsidRDefault="00CF7D3A" w:rsidP="00BA7F4F">
            <w:pPr>
              <w:pStyle w:val="TableText"/>
            </w:pPr>
            <w:r w:rsidRPr="00CD2FA8">
              <w:t>--</w:t>
            </w:r>
          </w:p>
        </w:tc>
        <w:tc>
          <w:tcPr>
            <w:tcW w:w="404" w:type="pct"/>
            <w:vAlign w:val="center"/>
          </w:tcPr>
          <w:p w14:paraId="030AFBCC" w14:textId="77777777" w:rsidR="00CF7D3A" w:rsidRPr="00E934A4" w:rsidRDefault="00CF7D3A" w:rsidP="00BA7F4F">
            <w:pPr>
              <w:pStyle w:val="TableText"/>
            </w:pPr>
            <w:r w:rsidRPr="00E934A4">
              <w:t>*0.01</w:t>
            </w:r>
          </w:p>
        </w:tc>
        <w:tc>
          <w:tcPr>
            <w:tcW w:w="504" w:type="pct"/>
            <w:vAlign w:val="center"/>
          </w:tcPr>
          <w:p w14:paraId="576A7868" w14:textId="77777777" w:rsidR="00CF7D3A" w:rsidRDefault="00CF7D3A" w:rsidP="00BA7F4F">
            <w:pPr>
              <w:pStyle w:val="TableText"/>
            </w:pPr>
            <w:r w:rsidRPr="00A516CE">
              <w:t>--</w:t>
            </w:r>
          </w:p>
        </w:tc>
        <w:tc>
          <w:tcPr>
            <w:tcW w:w="527" w:type="pct"/>
            <w:vAlign w:val="center"/>
          </w:tcPr>
          <w:p w14:paraId="2A9A0993" w14:textId="77777777" w:rsidR="00CF7D3A" w:rsidRDefault="00CF7D3A" w:rsidP="00BA7F4F">
            <w:pPr>
              <w:pStyle w:val="TableText"/>
            </w:pPr>
            <w:r w:rsidRPr="00A516CE">
              <w:t>--</w:t>
            </w:r>
          </w:p>
        </w:tc>
        <w:tc>
          <w:tcPr>
            <w:tcW w:w="580" w:type="pct"/>
            <w:vAlign w:val="center"/>
          </w:tcPr>
          <w:p w14:paraId="726E0412" w14:textId="77777777" w:rsidR="00CF7D3A" w:rsidRDefault="00CF7D3A" w:rsidP="00BA7F4F">
            <w:pPr>
              <w:pStyle w:val="TableText"/>
            </w:pPr>
            <w:r w:rsidRPr="00A516CE">
              <w:t>--</w:t>
            </w:r>
          </w:p>
        </w:tc>
        <w:tc>
          <w:tcPr>
            <w:tcW w:w="692" w:type="pct"/>
            <w:vMerge/>
            <w:vAlign w:val="center"/>
          </w:tcPr>
          <w:p w14:paraId="019F252C" w14:textId="77777777" w:rsidR="00CF7D3A" w:rsidRDefault="00CF7D3A" w:rsidP="0023656E">
            <w:pPr>
              <w:pStyle w:val="BodyText"/>
              <w:spacing w:after="0"/>
              <w:contextualSpacing/>
              <w:jc w:val="center"/>
              <w:rPr>
                <w:sz w:val="18"/>
              </w:rPr>
            </w:pPr>
          </w:p>
        </w:tc>
      </w:tr>
      <w:tr w:rsidR="00CF7D3A" w:rsidRPr="00561D1B" w14:paraId="2271B84D" w14:textId="77777777" w:rsidTr="0017134F">
        <w:trPr>
          <w:cantSplit/>
        </w:trPr>
        <w:tc>
          <w:tcPr>
            <w:tcW w:w="5000" w:type="pct"/>
            <w:gridSpan w:val="8"/>
            <w:shd w:val="clear" w:color="auto" w:fill="53284F"/>
            <w:vAlign w:val="center"/>
          </w:tcPr>
          <w:p w14:paraId="2D654E18" w14:textId="6E22D13A" w:rsidR="00CF7D3A" w:rsidRPr="00561D1B" w:rsidRDefault="00CF7D3A" w:rsidP="00BA7F4F">
            <w:pPr>
              <w:pStyle w:val="TableHead"/>
            </w:pPr>
            <w:r>
              <w:t>Difenacoum</w:t>
            </w:r>
          </w:p>
        </w:tc>
      </w:tr>
      <w:tr w:rsidR="007437F4" w14:paraId="14191B2D" w14:textId="77777777" w:rsidTr="008E69B6">
        <w:trPr>
          <w:cantSplit/>
          <w:trHeight w:val="283"/>
        </w:trPr>
        <w:tc>
          <w:tcPr>
            <w:tcW w:w="1152" w:type="pct"/>
            <w:vAlign w:val="center"/>
          </w:tcPr>
          <w:p w14:paraId="7FB823AE" w14:textId="77777777" w:rsidR="00CF7D3A" w:rsidRPr="00537747" w:rsidRDefault="00CF7D3A" w:rsidP="00BA7F4F">
            <w:pPr>
              <w:pStyle w:val="TableText"/>
            </w:pPr>
            <w:r>
              <w:t xml:space="preserve">Animal commodities </w:t>
            </w:r>
          </w:p>
        </w:tc>
        <w:tc>
          <w:tcPr>
            <w:tcW w:w="667" w:type="pct"/>
          </w:tcPr>
          <w:p w14:paraId="563DD5E0" w14:textId="77777777" w:rsidR="00CF7D3A" w:rsidRPr="00664538" w:rsidRDefault="00CF7D3A" w:rsidP="00BA7F4F">
            <w:pPr>
              <w:pStyle w:val="TableText"/>
            </w:pPr>
            <w:r w:rsidRPr="00664538">
              <w:t>--</w:t>
            </w:r>
          </w:p>
        </w:tc>
        <w:tc>
          <w:tcPr>
            <w:tcW w:w="474" w:type="pct"/>
          </w:tcPr>
          <w:p w14:paraId="1D42E265" w14:textId="77777777" w:rsidR="00CF7D3A" w:rsidRPr="00664538" w:rsidRDefault="00CF7D3A" w:rsidP="00BA7F4F">
            <w:pPr>
              <w:pStyle w:val="TableText"/>
            </w:pPr>
            <w:r w:rsidRPr="00664538">
              <w:t>--</w:t>
            </w:r>
          </w:p>
        </w:tc>
        <w:tc>
          <w:tcPr>
            <w:tcW w:w="404" w:type="pct"/>
            <w:vAlign w:val="center"/>
          </w:tcPr>
          <w:p w14:paraId="29F40560" w14:textId="77777777" w:rsidR="00CF7D3A" w:rsidRPr="00E934A4" w:rsidRDefault="00CF7D3A" w:rsidP="00BA7F4F">
            <w:pPr>
              <w:pStyle w:val="TableText"/>
            </w:pPr>
            <w:r w:rsidRPr="00E934A4">
              <w:t>*0.01</w:t>
            </w:r>
          </w:p>
        </w:tc>
        <w:tc>
          <w:tcPr>
            <w:tcW w:w="504" w:type="pct"/>
          </w:tcPr>
          <w:p w14:paraId="117EEEB2" w14:textId="77777777" w:rsidR="00CF7D3A" w:rsidRPr="00A516CE" w:rsidRDefault="00CF7D3A" w:rsidP="00BA7F4F">
            <w:pPr>
              <w:pStyle w:val="TableText"/>
            </w:pPr>
            <w:r w:rsidRPr="00A516CE">
              <w:t>--</w:t>
            </w:r>
          </w:p>
        </w:tc>
        <w:tc>
          <w:tcPr>
            <w:tcW w:w="527" w:type="pct"/>
          </w:tcPr>
          <w:p w14:paraId="4D97ECB1" w14:textId="77777777" w:rsidR="00CF7D3A" w:rsidRDefault="00CF7D3A" w:rsidP="00BA7F4F">
            <w:pPr>
              <w:pStyle w:val="TableText"/>
            </w:pPr>
            <w:r w:rsidRPr="00A516CE">
              <w:t>--</w:t>
            </w:r>
          </w:p>
        </w:tc>
        <w:tc>
          <w:tcPr>
            <w:tcW w:w="580" w:type="pct"/>
          </w:tcPr>
          <w:p w14:paraId="58602DD2" w14:textId="77777777" w:rsidR="00CF7D3A" w:rsidRDefault="00CF7D3A" w:rsidP="00BA7F4F">
            <w:pPr>
              <w:pStyle w:val="TableText"/>
            </w:pPr>
            <w:r w:rsidRPr="00A516CE">
              <w:t>--</w:t>
            </w:r>
          </w:p>
        </w:tc>
        <w:tc>
          <w:tcPr>
            <w:tcW w:w="692" w:type="pct"/>
            <w:vMerge w:val="restart"/>
            <w:vAlign w:val="center"/>
          </w:tcPr>
          <w:p w14:paraId="7CCAC43A" w14:textId="77777777" w:rsidR="00CF7D3A" w:rsidRDefault="00CF7D3A" w:rsidP="00BA7F4F">
            <w:pPr>
              <w:pStyle w:val="TableText"/>
            </w:pPr>
            <w:r>
              <w:t>Registered CO</w:t>
            </w:r>
          </w:p>
        </w:tc>
      </w:tr>
      <w:tr w:rsidR="007437F4" w14:paraId="0A42955C" w14:textId="77777777" w:rsidTr="008E69B6">
        <w:trPr>
          <w:cantSplit/>
          <w:trHeight w:val="283"/>
        </w:trPr>
        <w:tc>
          <w:tcPr>
            <w:tcW w:w="1152" w:type="pct"/>
            <w:vAlign w:val="center"/>
          </w:tcPr>
          <w:p w14:paraId="120FD83C" w14:textId="77777777" w:rsidR="00CF7D3A" w:rsidRPr="00537747" w:rsidRDefault="00CF7D3A" w:rsidP="00BA7F4F">
            <w:pPr>
              <w:pStyle w:val="TableText"/>
            </w:pPr>
            <w:r>
              <w:t>Plant commodities</w:t>
            </w:r>
          </w:p>
        </w:tc>
        <w:tc>
          <w:tcPr>
            <w:tcW w:w="667" w:type="pct"/>
          </w:tcPr>
          <w:p w14:paraId="04E72F0C" w14:textId="77777777" w:rsidR="00CF7D3A" w:rsidRPr="00664538" w:rsidRDefault="00CF7D3A" w:rsidP="00BA7F4F">
            <w:pPr>
              <w:pStyle w:val="TableText"/>
            </w:pPr>
            <w:r w:rsidRPr="00664538">
              <w:t>--</w:t>
            </w:r>
          </w:p>
        </w:tc>
        <w:tc>
          <w:tcPr>
            <w:tcW w:w="474" w:type="pct"/>
          </w:tcPr>
          <w:p w14:paraId="34048A25" w14:textId="77777777" w:rsidR="00CF7D3A" w:rsidRPr="00664538" w:rsidRDefault="00CF7D3A" w:rsidP="00BA7F4F">
            <w:pPr>
              <w:pStyle w:val="TableText"/>
            </w:pPr>
            <w:r w:rsidRPr="00664538">
              <w:t>--</w:t>
            </w:r>
          </w:p>
        </w:tc>
        <w:tc>
          <w:tcPr>
            <w:tcW w:w="404" w:type="pct"/>
            <w:vAlign w:val="center"/>
          </w:tcPr>
          <w:p w14:paraId="2D347C6B" w14:textId="77777777" w:rsidR="00CF7D3A" w:rsidRPr="00E934A4" w:rsidRDefault="00CF7D3A" w:rsidP="00BA7F4F">
            <w:pPr>
              <w:pStyle w:val="TableText"/>
            </w:pPr>
            <w:r w:rsidRPr="00E934A4">
              <w:t>*0.01</w:t>
            </w:r>
          </w:p>
        </w:tc>
        <w:tc>
          <w:tcPr>
            <w:tcW w:w="504" w:type="pct"/>
          </w:tcPr>
          <w:p w14:paraId="5195D994" w14:textId="77777777" w:rsidR="00CF7D3A" w:rsidRPr="00A516CE" w:rsidRDefault="00CF7D3A" w:rsidP="00BA7F4F">
            <w:pPr>
              <w:pStyle w:val="TableText"/>
            </w:pPr>
            <w:r w:rsidRPr="00A516CE">
              <w:t>--</w:t>
            </w:r>
          </w:p>
        </w:tc>
        <w:tc>
          <w:tcPr>
            <w:tcW w:w="527" w:type="pct"/>
          </w:tcPr>
          <w:p w14:paraId="7CC8F241" w14:textId="77777777" w:rsidR="00CF7D3A" w:rsidRDefault="00CF7D3A" w:rsidP="00BA7F4F">
            <w:pPr>
              <w:pStyle w:val="TableText"/>
            </w:pPr>
            <w:r w:rsidRPr="00A516CE">
              <w:t>--</w:t>
            </w:r>
          </w:p>
        </w:tc>
        <w:tc>
          <w:tcPr>
            <w:tcW w:w="580" w:type="pct"/>
          </w:tcPr>
          <w:p w14:paraId="4402B29B" w14:textId="77777777" w:rsidR="00CF7D3A" w:rsidRDefault="00CF7D3A" w:rsidP="00BA7F4F">
            <w:pPr>
              <w:pStyle w:val="TableText"/>
            </w:pPr>
            <w:r w:rsidRPr="00A516CE">
              <w:t>--</w:t>
            </w:r>
          </w:p>
        </w:tc>
        <w:tc>
          <w:tcPr>
            <w:tcW w:w="692" w:type="pct"/>
            <w:vMerge/>
            <w:vAlign w:val="center"/>
          </w:tcPr>
          <w:p w14:paraId="368ABC0D" w14:textId="77777777" w:rsidR="00CF7D3A" w:rsidRDefault="00CF7D3A" w:rsidP="0023656E">
            <w:pPr>
              <w:pStyle w:val="BodyText"/>
              <w:spacing w:after="0"/>
              <w:contextualSpacing/>
              <w:jc w:val="center"/>
              <w:rPr>
                <w:sz w:val="18"/>
              </w:rPr>
            </w:pPr>
          </w:p>
        </w:tc>
      </w:tr>
      <w:tr w:rsidR="00CF7D3A" w:rsidRPr="00561D1B" w14:paraId="7069DCAA" w14:textId="77777777" w:rsidTr="0017134F">
        <w:trPr>
          <w:cantSplit/>
        </w:trPr>
        <w:tc>
          <w:tcPr>
            <w:tcW w:w="5000" w:type="pct"/>
            <w:gridSpan w:val="8"/>
            <w:shd w:val="clear" w:color="auto" w:fill="53284F"/>
            <w:vAlign w:val="center"/>
          </w:tcPr>
          <w:p w14:paraId="23CC51C6" w14:textId="77777777" w:rsidR="00CF7D3A" w:rsidRPr="00561D1B" w:rsidRDefault="00CF7D3A" w:rsidP="00BA7F4F">
            <w:pPr>
              <w:pStyle w:val="TableHead"/>
            </w:pPr>
            <w:r>
              <w:t>Difethialone</w:t>
            </w:r>
          </w:p>
        </w:tc>
      </w:tr>
      <w:tr w:rsidR="007437F4" w:rsidRPr="00F622F5" w14:paraId="3DF84841" w14:textId="77777777" w:rsidTr="008E69B6">
        <w:trPr>
          <w:cantSplit/>
          <w:trHeight w:val="283"/>
        </w:trPr>
        <w:tc>
          <w:tcPr>
            <w:tcW w:w="1152" w:type="pct"/>
            <w:vAlign w:val="center"/>
          </w:tcPr>
          <w:p w14:paraId="28434764" w14:textId="77777777" w:rsidR="00CF7D3A" w:rsidRDefault="00CF7D3A" w:rsidP="00BA7F4F">
            <w:pPr>
              <w:pStyle w:val="TableText"/>
            </w:pPr>
            <w:r>
              <w:t>N/A</w:t>
            </w:r>
          </w:p>
        </w:tc>
        <w:tc>
          <w:tcPr>
            <w:tcW w:w="667" w:type="pct"/>
            <w:vAlign w:val="center"/>
          </w:tcPr>
          <w:p w14:paraId="381694E1" w14:textId="77777777" w:rsidR="00CF7D3A" w:rsidRDefault="00CF7D3A" w:rsidP="00BA7F4F">
            <w:pPr>
              <w:pStyle w:val="TableText"/>
            </w:pPr>
            <w:r w:rsidRPr="00C157FA">
              <w:t>--</w:t>
            </w:r>
          </w:p>
        </w:tc>
        <w:tc>
          <w:tcPr>
            <w:tcW w:w="474" w:type="pct"/>
            <w:vAlign w:val="center"/>
          </w:tcPr>
          <w:p w14:paraId="555A5580" w14:textId="77777777" w:rsidR="00CF7D3A" w:rsidRDefault="00CF7D3A" w:rsidP="00BA7F4F">
            <w:pPr>
              <w:pStyle w:val="TableText"/>
            </w:pPr>
            <w:r w:rsidRPr="00C157FA">
              <w:t>--</w:t>
            </w:r>
          </w:p>
        </w:tc>
        <w:tc>
          <w:tcPr>
            <w:tcW w:w="404" w:type="pct"/>
            <w:vAlign w:val="center"/>
          </w:tcPr>
          <w:p w14:paraId="058F0092" w14:textId="77777777" w:rsidR="00CF7D3A" w:rsidRPr="00561D1B" w:rsidRDefault="00CF7D3A" w:rsidP="00BA7F4F">
            <w:pPr>
              <w:pStyle w:val="TableText"/>
            </w:pPr>
            <w:r w:rsidRPr="00392D64">
              <w:t>--</w:t>
            </w:r>
          </w:p>
        </w:tc>
        <w:tc>
          <w:tcPr>
            <w:tcW w:w="504" w:type="pct"/>
            <w:vAlign w:val="center"/>
          </w:tcPr>
          <w:p w14:paraId="5A15982F" w14:textId="77777777" w:rsidR="00CF7D3A" w:rsidRPr="0029072F" w:rsidRDefault="00CF7D3A" w:rsidP="00BA7F4F">
            <w:pPr>
              <w:pStyle w:val="TableText"/>
              <w:rPr>
                <w:vertAlign w:val="superscript"/>
              </w:rPr>
            </w:pPr>
            <w:r w:rsidRPr="00392D64">
              <w:t>--</w:t>
            </w:r>
          </w:p>
        </w:tc>
        <w:tc>
          <w:tcPr>
            <w:tcW w:w="527" w:type="pct"/>
            <w:vAlign w:val="center"/>
          </w:tcPr>
          <w:p w14:paraId="097C374B" w14:textId="77777777" w:rsidR="00CF7D3A" w:rsidRDefault="00CF7D3A" w:rsidP="00BA7F4F">
            <w:pPr>
              <w:pStyle w:val="TableText"/>
            </w:pPr>
            <w:r w:rsidRPr="00392D64">
              <w:t>--</w:t>
            </w:r>
          </w:p>
        </w:tc>
        <w:tc>
          <w:tcPr>
            <w:tcW w:w="580" w:type="pct"/>
            <w:vAlign w:val="center"/>
          </w:tcPr>
          <w:p w14:paraId="7D61E127" w14:textId="77777777" w:rsidR="00CF7D3A" w:rsidRDefault="00CF7D3A" w:rsidP="00BA7F4F">
            <w:pPr>
              <w:pStyle w:val="TableText"/>
            </w:pPr>
            <w:r w:rsidRPr="00392D64">
              <w:t>--</w:t>
            </w:r>
          </w:p>
        </w:tc>
        <w:tc>
          <w:tcPr>
            <w:tcW w:w="692" w:type="pct"/>
            <w:vAlign w:val="center"/>
          </w:tcPr>
          <w:p w14:paraId="2F079C1D" w14:textId="77777777" w:rsidR="00CF7D3A" w:rsidRPr="00F622F5" w:rsidRDefault="00CF7D3A" w:rsidP="00BA7F4F">
            <w:pPr>
              <w:pStyle w:val="TableText"/>
              <w:rPr>
                <w:vertAlign w:val="superscript"/>
              </w:rPr>
            </w:pPr>
            <w:r>
              <w:t>Registered CO</w:t>
            </w:r>
          </w:p>
        </w:tc>
      </w:tr>
      <w:tr w:rsidR="00CF7D3A" w:rsidRPr="00561D1B" w14:paraId="566CFA98" w14:textId="77777777" w:rsidTr="0017134F">
        <w:trPr>
          <w:cantSplit/>
        </w:trPr>
        <w:tc>
          <w:tcPr>
            <w:tcW w:w="5000" w:type="pct"/>
            <w:gridSpan w:val="8"/>
            <w:shd w:val="clear" w:color="auto" w:fill="53284F"/>
            <w:vAlign w:val="center"/>
          </w:tcPr>
          <w:p w14:paraId="6DB5117E" w14:textId="77777777" w:rsidR="00CF7D3A" w:rsidRPr="00561D1B" w:rsidRDefault="00CF7D3A" w:rsidP="00BA7F4F">
            <w:pPr>
              <w:pStyle w:val="TableHead"/>
            </w:pPr>
            <w:r>
              <w:t>Flocoumafen</w:t>
            </w:r>
          </w:p>
        </w:tc>
      </w:tr>
      <w:tr w:rsidR="007437F4" w:rsidRPr="00F622F5" w14:paraId="6A67F600" w14:textId="77777777" w:rsidTr="008E69B6">
        <w:trPr>
          <w:cantSplit/>
          <w:trHeight w:val="283"/>
        </w:trPr>
        <w:tc>
          <w:tcPr>
            <w:tcW w:w="1152" w:type="pct"/>
            <w:vAlign w:val="center"/>
          </w:tcPr>
          <w:p w14:paraId="2DD681BF" w14:textId="77777777" w:rsidR="00CF7D3A" w:rsidRDefault="00CF7D3A" w:rsidP="00BA7F4F">
            <w:pPr>
              <w:pStyle w:val="TableText"/>
            </w:pPr>
            <w:r>
              <w:t>N/A</w:t>
            </w:r>
          </w:p>
        </w:tc>
        <w:tc>
          <w:tcPr>
            <w:tcW w:w="667" w:type="pct"/>
            <w:vAlign w:val="center"/>
          </w:tcPr>
          <w:p w14:paraId="193C3EC7" w14:textId="77777777" w:rsidR="00CF7D3A" w:rsidRDefault="00CF7D3A" w:rsidP="00BA7F4F">
            <w:pPr>
              <w:pStyle w:val="TableText"/>
            </w:pPr>
            <w:r w:rsidRPr="00DA5980">
              <w:t>--</w:t>
            </w:r>
          </w:p>
        </w:tc>
        <w:tc>
          <w:tcPr>
            <w:tcW w:w="474" w:type="pct"/>
            <w:vAlign w:val="center"/>
          </w:tcPr>
          <w:p w14:paraId="37410939" w14:textId="77777777" w:rsidR="00CF7D3A" w:rsidRDefault="00CF7D3A" w:rsidP="00BA7F4F">
            <w:pPr>
              <w:pStyle w:val="TableText"/>
            </w:pPr>
            <w:r w:rsidRPr="00DA5980">
              <w:t>--</w:t>
            </w:r>
          </w:p>
        </w:tc>
        <w:tc>
          <w:tcPr>
            <w:tcW w:w="404" w:type="pct"/>
            <w:vAlign w:val="center"/>
          </w:tcPr>
          <w:p w14:paraId="550B9AA2" w14:textId="77777777" w:rsidR="00CF7D3A" w:rsidRPr="00561D1B" w:rsidRDefault="00CF7D3A" w:rsidP="00BA7F4F">
            <w:pPr>
              <w:pStyle w:val="TableText"/>
            </w:pPr>
            <w:r w:rsidRPr="00A516CE">
              <w:t>--</w:t>
            </w:r>
          </w:p>
        </w:tc>
        <w:tc>
          <w:tcPr>
            <w:tcW w:w="504" w:type="pct"/>
            <w:vAlign w:val="center"/>
          </w:tcPr>
          <w:p w14:paraId="39382B45" w14:textId="77777777" w:rsidR="00CF7D3A" w:rsidRPr="0029072F" w:rsidRDefault="00CF7D3A" w:rsidP="00BA7F4F">
            <w:pPr>
              <w:pStyle w:val="TableText"/>
              <w:rPr>
                <w:vertAlign w:val="superscript"/>
              </w:rPr>
            </w:pPr>
            <w:r w:rsidRPr="00A516CE">
              <w:t>--</w:t>
            </w:r>
          </w:p>
        </w:tc>
        <w:tc>
          <w:tcPr>
            <w:tcW w:w="527" w:type="pct"/>
            <w:vAlign w:val="center"/>
          </w:tcPr>
          <w:p w14:paraId="3AE0B78E" w14:textId="77777777" w:rsidR="00CF7D3A" w:rsidRDefault="00CF7D3A" w:rsidP="00BA7F4F">
            <w:pPr>
              <w:pStyle w:val="TableText"/>
            </w:pPr>
            <w:r w:rsidRPr="00392D64">
              <w:t>--</w:t>
            </w:r>
          </w:p>
        </w:tc>
        <w:tc>
          <w:tcPr>
            <w:tcW w:w="580" w:type="pct"/>
            <w:vAlign w:val="center"/>
          </w:tcPr>
          <w:p w14:paraId="59EE92FC" w14:textId="77777777" w:rsidR="00CF7D3A" w:rsidRDefault="00CF7D3A" w:rsidP="00BA7F4F">
            <w:pPr>
              <w:pStyle w:val="TableText"/>
            </w:pPr>
            <w:r w:rsidRPr="00392D64">
              <w:t>--</w:t>
            </w:r>
          </w:p>
        </w:tc>
        <w:tc>
          <w:tcPr>
            <w:tcW w:w="692" w:type="pct"/>
            <w:vAlign w:val="center"/>
          </w:tcPr>
          <w:p w14:paraId="3089A391" w14:textId="77777777" w:rsidR="00CF7D3A" w:rsidRPr="00F622F5" w:rsidRDefault="00CF7D3A" w:rsidP="00BA7F4F">
            <w:pPr>
              <w:pStyle w:val="TableText"/>
              <w:rPr>
                <w:vertAlign w:val="superscript"/>
              </w:rPr>
            </w:pPr>
            <w:r>
              <w:t>Registered CO</w:t>
            </w:r>
          </w:p>
        </w:tc>
      </w:tr>
    </w:tbl>
    <w:p w14:paraId="6C52F82E" w14:textId="55021D08" w:rsidR="00CF7D3A" w:rsidRPr="00BD2F8D" w:rsidRDefault="00CF7D3A" w:rsidP="008E69B6">
      <w:pPr>
        <w:pStyle w:val="APVMASourceTableNote"/>
      </w:pPr>
      <w:r w:rsidRPr="00BD2F8D">
        <w:t xml:space="preserve">Note: The United States does not have MRLs for individual </w:t>
      </w:r>
      <w:r w:rsidR="00EC7C97" w:rsidRPr="00EC7C97">
        <w:t>rodenticides but</w:t>
      </w:r>
      <w:r w:rsidRPr="00BD2F8D">
        <w:t xml:space="preserve"> limits the availability of SGARs to commercial operators (CO) </w:t>
      </w:r>
      <w:r w:rsidR="007437F4" w:rsidRPr="00BD2F8D">
        <w:t xml:space="preserve">and </w:t>
      </w:r>
      <w:r w:rsidRPr="00BD2F8D">
        <w:t>allow</w:t>
      </w:r>
      <w:r w:rsidR="00EC7C97">
        <w:t>s</w:t>
      </w:r>
      <w:r w:rsidRPr="00BD2F8D">
        <w:t xml:space="preserve"> FGAR </w:t>
      </w:r>
      <w:r w:rsidR="00EC7C97">
        <w:t xml:space="preserve">use in </w:t>
      </w:r>
      <w:r w:rsidRPr="00BD2F8D">
        <w:t xml:space="preserve">home and garden </w:t>
      </w:r>
      <w:r w:rsidR="00EC7C97" w:rsidRPr="001B3D35">
        <w:t xml:space="preserve">(HG) </w:t>
      </w:r>
      <w:r w:rsidR="00EC7C97">
        <w:t xml:space="preserve">settings by the </w:t>
      </w:r>
      <w:r w:rsidRPr="00BD2F8D">
        <w:t>general public.</w:t>
      </w:r>
      <w:r w:rsidRPr="00BD2F8D">
        <w:rPr>
          <w:vertAlign w:val="superscript"/>
        </w:rPr>
        <w:br/>
        <w:t xml:space="preserve">A </w:t>
      </w:r>
      <w:r w:rsidRPr="00BD2F8D">
        <w:t>Australian TMRLs are expected to be removed following this review</w:t>
      </w:r>
    </w:p>
    <w:p w14:paraId="516F8A60" w14:textId="02AD6177" w:rsidR="00716611" w:rsidRDefault="00716611" w:rsidP="00BD2F8D">
      <w:pPr>
        <w:pStyle w:val="Heading2"/>
        <w:rPr>
          <w:rStyle w:val="Heading3Char"/>
        </w:rPr>
      </w:pPr>
      <w:bookmarkStart w:id="1568" w:name="_Toc214025586"/>
      <w:bookmarkStart w:id="1569" w:name="_Toc192682460"/>
      <w:bookmarkStart w:id="1570" w:name="_Toc216695619"/>
      <w:r w:rsidRPr="00530189">
        <w:rPr>
          <w:rStyle w:val="Heading3Char"/>
        </w:rPr>
        <w:t>Agricultural and Veterinary Chemicals (MRL Standard for Residues of Chemical Products) Instrument 2023</w:t>
      </w:r>
      <w:bookmarkEnd w:id="1568"/>
      <w:bookmarkEnd w:id="1570"/>
    </w:p>
    <w:p w14:paraId="63F0EEC4" w14:textId="77777777" w:rsidR="00716611" w:rsidRDefault="00716611" w:rsidP="006F78D3">
      <w:pPr>
        <w:pStyle w:val="Heading3"/>
      </w:pPr>
      <w:bookmarkStart w:id="1571" w:name="_Toc214025587"/>
      <w:bookmarkStart w:id="1572" w:name="_Toc216695620"/>
      <w:r>
        <w:t>Residue definitions</w:t>
      </w:r>
      <w:bookmarkEnd w:id="1571"/>
      <w:bookmarkEnd w:id="1572"/>
    </w:p>
    <w:p w14:paraId="2D04C8AB" w14:textId="71E39774" w:rsidR="00716611" w:rsidRDefault="00716611" w:rsidP="00716611">
      <w:pPr>
        <w:pStyle w:val="NormalText"/>
      </w:pPr>
      <w:r>
        <w:t xml:space="preserve">Residues definitions for brodifacoum, coumatetralyl and warfarin are defined in Table 3 of the </w:t>
      </w:r>
      <w:r w:rsidR="0080722D" w:rsidRPr="0080722D">
        <w:t>Agricultural and Veterinary Chemicals</w:t>
      </w:r>
      <w:r w:rsidR="007647EC">
        <w:t xml:space="preserve"> (</w:t>
      </w:r>
      <w:r w:rsidR="007647EC" w:rsidRPr="0080722D">
        <w:t>MRL Standard for Residues of Chemical Products</w:t>
      </w:r>
      <w:r w:rsidR="0080722D" w:rsidRPr="0080722D">
        <w:t>) Instrument 2023</w:t>
      </w:r>
      <w:r w:rsidR="0080722D">
        <w:t xml:space="preserve"> (</w:t>
      </w:r>
      <w:r>
        <w:t>MRL Standard</w:t>
      </w:r>
      <w:r w:rsidR="0080722D">
        <w:t>)</w:t>
      </w:r>
      <w:r>
        <w:t xml:space="preserve"> as parent for each active. The residues definition for brodifacoum was established by the Pesticides and Agricultural Chemicals Standing Committee (PACSC) in August 1992 as an MRL for GS 0659 Sugarcane was established at </w:t>
      </w:r>
      <w:r>
        <w:lastRenderedPageBreak/>
        <w:t>*0.0005 mg/kg. Residue definitions for coumatetralyl and warfarin were established when temporary MRLs were established for pig meat, fat and edible offal.</w:t>
      </w:r>
    </w:p>
    <w:p w14:paraId="2B931E71" w14:textId="43363028" w:rsidR="00716611" w:rsidRDefault="00716611" w:rsidP="00716611">
      <w:pPr>
        <w:pStyle w:val="NormalText"/>
      </w:pPr>
      <w:r>
        <w:t xml:space="preserve">Table 5 of the MRL </w:t>
      </w:r>
      <w:r w:rsidR="007647EC">
        <w:t>S</w:t>
      </w:r>
      <w:r>
        <w:t xml:space="preserve">tandard lists </w:t>
      </w:r>
      <w:r w:rsidRPr="008E0BFB">
        <w:t>uses of substances where MRLs are not necessary</w:t>
      </w:r>
      <w:r>
        <w:t>. MRLs are not considered necessary in situations where residues do not or should not occur in foods or animal feeds; or where the residues are identical to or indistinguishable from natural food components; or otherwise are of no toxicological significance</w:t>
      </w:r>
      <w:r w:rsidRPr="008E0BFB">
        <w:t>.</w:t>
      </w:r>
      <w:r>
        <w:t xml:space="preserve"> Entries for difethialone, diphacinone and flocoumafen are found in Table 5 of the MRL Standard but the residue definitions are not listed in Table 3.</w:t>
      </w:r>
    </w:p>
    <w:p w14:paraId="4603921E" w14:textId="13DBFDAB" w:rsidR="00716611" w:rsidRDefault="00716611" w:rsidP="00716611">
      <w:pPr>
        <w:pStyle w:val="NormalText"/>
      </w:pPr>
      <w:r>
        <w:t xml:space="preserve">Noting that all </w:t>
      </w:r>
      <w:r w:rsidR="007647EC">
        <w:t xml:space="preserve">anticoagulant </w:t>
      </w:r>
      <w:r>
        <w:t>rodenticides fit the category of a Table 5 entry, as their use patterns constitute situations where residues should not occur in foods or animal feeds, associated residues definitions will be recommended for deletion</w:t>
      </w:r>
      <w:r w:rsidR="0080722D">
        <w:t xml:space="preserve"> from Table 3 of the MRL Standard</w:t>
      </w:r>
      <w:r>
        <w:t>.</w:t>
      </w:r>
    </w:p>
    <w:p w14:paraId="4C571DBF" w14:textId="46427431" w:rsidR="002E3C42" w:rsidRDefault="007647EC" w:rsidP="0080722D">
      <w:pPr>
        <w:pStyle w:val="Heading3"/>
        <w:rPr>
          <w:rStyle w:val="Heading3Char"/>
        </w:rPr>
      </w:pPr>
      <w:bookmarkStart w:id="1573" w:name="_Toc214835436"/>
      <w:bookmarkStart w:id="1574" w:name="_Toc214836040"/>
      <w:bookmarkStart w:id="1575" w:name="_Toc214836491"/>
      <w:bookmarkStart w:id="1576" w:name="_Toc214897942"/>
      <w:bookmarkStart w:id="1577" w:name="_Toc214898517"/>
      <w:bookmarkStart w:id="1578" w:name="_Toc215150823"/>
      <w:bookmarkStart w:id="1579" w:name="_Toc214897987"/>
      <w:bookmarkStart w:id="1580" w:name="_Toc214898562"/>
      <w:bookmarkStart w:id="1581" w:name="_Toc215150868"/>
      <w:bookmarkStart w:id="1582" w:name="_Toc214025588"/>
      <w:bookmarkStart w:id="1583" w:name="_Toc216695621"/>
      <w:bookmarkEnd w:id="1573"/>
      <w:bookmarkEnd w:id="1574"/>
      <w:bookmarkEnd w:id="1575"/>
      <w:bookmarkEnd w:id="1576"/>
      <w:bookmarkEnd w:id="1577"/>
      <w:bookmarkEnd w:id="1578"/>
      <w:bookmarkEnd w:id="1579"/>
      <w:bookmarkEnd w:id="1580"/>
      <w:bookmarkEnd w:id="1581"/>
      <w:r>
        <w:t>A</w:t>
      </w:r>
      <w:r w:rsidR="005F54FE" w:rsidRPr="005F54FE">
        <w:t xml:space="preserve">nticoagulant rodenticide </w:t>
      </w:r>
      <w:r w:rsidR="00B26177" w:rsidRPr="006F78D3">
        <w:t>entries in</w:t>
      </w:r>
      <w:r>
        <w:t xml:space="preserve"> the</w:t>
      </w:r>
      <w:r w:rsidR="00B26177" w:rsidRPr="006F78D3">
        <w:t xml:space="preserve"> </w:t>
      </w:r>
      <w:r w:rsidR="00051855">
        <w:t>MRL Standard</w:t>
      </w:r>
      <w:bookmarkEnd w:id="1583"/>
    </w:p>
    <w:p w14:paraId="731AB07B" w14:textId="39150E36" w:rsidR="002E3C42" w:rsidRDefault="002E3C42" w:rsidP="0080722D">
      <w:pPr>
        <w:pStyle w:val="NormalText"/>
      </w:pPr>
      <w:r w:rsidDel="00716611">
        <w:t xml:space="preserve">As residues of any anticoagulant rodenticide are not expected in livestock or animal feeds, it is recommended that the </w:t>
      </w:r>
      <w:r w:rsidR="0080722D">
        <w:t xml:space="preserve">temporary </w:t>
      </w:r>
      <w:r w:rsidDel="00716611">
        <w:t xml:space="preserve">MRLs </w:t>
      </w:r>
      <w:r w:rsidR="0080722D">
        <w:t xml:space="preserve">listed in </w:t>
      </w:r>
      <w:r w:rsidR="0080722D">
        <w:fldChar w:fldCharType="begin"/>
      </w:r>
      <w:r w:rsidR="0080722D">
        <w:instrText xml:space="preserve"> REF _Ref214834323 \h </w:instrText>
      </w:r>
      <w:r w:rsidR="0080722D">
        <w:fldChar w:fldCharType="separate"/>
      </w:r>
      <w:r w:rsidR="003861AC">
        <w:t xml:space="preserve">Table </w:t>
      </w:r>
      <w:r w:rsidR="003861AC">
        <w:rPr>
          <w:noProof/>
        </w:rPr>
        <w:t>82</w:t>
      </w:r>
      <w:r w:rsidR="0080722D">
        <w:fldChar w:fldCharType="end"/>
      </w:r>
      <w:r w:rsidR="0080722D">
        <w:t xml:space="preserve"> </w:t>
      </w:r>
      <w:r w:rsidDel="00716611">
        <w:t>be deleted from the MRL Standard for both warfarin and coumatetralyl</w:t>
      </w:r>
      <w:r w:rsidR="0080722D">
        <w:t>.</w:t>
      </w:r>
    </w:p>
    <w:p w14:paraId="12CBD565" w14:textId="762CF33E" w:rsidR="00B26177" w:rsidRDefault="00B26177" w:rsidP="00B26177">
      <w:pPr>
        <w:pStyle w:val="Caption"/>
      </w:pPr>
      <w:bookmarkStart w:id="1584" w:name="_Ref214834323"/>
      <w:bookmarkStart w:id="1585" w:name="_Toc216695744"/>
      <w:r>
        <w:t xml:space="preserve">Table </w:t>
      </w:r>
      <w:r>
        <w:fldChar w:fldCharType="begin"/>
      </w:r>
      <w:r>
        <w:instrText xml:space="preserve"> SEQ Table \* ARABIC </w:instrText>
      </w:r>
      <w:r>
        <w:fldChar w:fldCharType="separate"/>
      </w:r>
      <w:r w:rsidR="003861AC">
        <w:rPr>
          <w:noProof/>
        </w:rPr>
        <w:t>82</w:t>
      </w:r>
      <w:r>
        <w:fldChar w:fldCharType="end"/>
      </w:r>
      <w:bookmarkEnd w:id="1584"/>
      <w:r>
        <w:t>:</w:t>
      </w:r>
      <w:r w:rsidR="005F54FE">
        <w:t xml:space="preserve"> </w:t>
      </w:r>
      <w:r>
        <w:t>Table 1 entries in the APVMA MRL Standard relevant to the current reconsideration</w:t>
      </w:r>
      <w:bookmarkEnd w:id="1585"/>
    </w:p>
    <w:tbl>
      <w:tblPr>
        <w:tblW w:w="9639" w:type="dxa"/>
        <w:tblInd w:w="93" w:type="dxa"/>
        <w:tblLook w:val="04A0" w:firstRow="1" w:lastRow="0" w:firstColumn="1" w:lastColumn="0" w:noHBand="0" w:noVBand="1"/>
      </w:tblPr>
      <w:tblGrid>
        <w:gridCol w:w="2410"/>
        <w:gridCol w:w="5582"/>
        <w:gridCol w:w="1647"/>
      </w:tblGrid>
      <w:tr w:rsidR="00B26177" w14:paraId="73DF83D8" w14:textId="77777777" w:rsidTr="0017134F">
        <w:trPr>
          <w:cantSplit/>
          <w:tblHeader/>
        </w:trPr>
        <w:tc>
          <w:tcPr>
            <w:tcW w:w="2410" w:type="dxa"/>
            <w:tcBorders>
              <w:top w:val="single" w:sz="4" w:space="0" w:color="auto"/>
              <w:left w:val="nil"/>
              <w:bottom w:val="single" w:sz="4" w:space="0" w:color="auto"/>
              <w:right w:val="nil"/>
            </w:tcBorders>
            <w:shd w:val="clear" w:color="auto" w:fill="53284F"/>
            <w:noWrap/>
          </w:tcPr>
          <w:p w14:paraId="30C64794" w14:textId="77777777" w:rsidR="00B26177" w:rsidRDefault="00B26177" w:rsidP="00B06659">
            <w:pPr>
              <w:pStyle w:val="TableHead"/>
            </w:pPr>
            <w:r>
              <w:t>Compound</w:t>
            </w:r>
          </w:p>
        </w:tc>
        <w:tc>
          <w:tcPr>
            <w:tcW w:w="5582" w:type="dxa"/>
            <w:tcBorders>
              <w:top w:val="single" w:sz="4" w:space="0" w:color="auto"/>
              <w:left w:val="nil"/>
              <w:bottom w:val="single" w:sz="4" w:space="0" w:color="auto"/>
              <w:right w:val="nil"/>
            </w:tcBorders>
            <w:shd w:val="clear" w:color="auto" w:fill="53284F"/>
            <w:noWrap/>
          </w:tcPr>
          <w:p w14:paraId="41B4C1F9" w14:textId="77777777" w:rsidR="00B26177" w:rsidRDefault="00B26177" w:rsidP="00B06659">
            <w:pPr>
              <w:pStyle w:val="TableHead"/>
            </w:pPr>
            <w:r>
              <w:t>Food</w:t>
            </w:r>
          </w:p>
        </w:tc>
        <w:tc>
          <w:tcPr>
            <w:tcW w:w="1647" w:type="dxa"/>
            <w:tcBorders>
              <w:top w:val="single" w:sz="4" w:space="0" w:color="auto"/>
              <w:left w:val="nil"/>
              <w:bottom w:val="single" w:sz="4" w:space="0" w:color="auto"/>
              <w:right w:val="nil"/>
            </w:tcBorders>
            <w:shd w:val="clear" w:color="auto" w:fill="53284F"/>
            <w:noWrap/>
          </w:tcPr>
          <w:p w14:paraId="4E8232B1" w14:textId="77777777" w:rsidR="00B26177" w:rsidRDefault="00B26177" w:rsidP="00B06659">
            <w:pPr>
              <w:pStyle w:val="TableHead"/>
            </w:pPr>
            <w:r>
              <w:t>MRL (mg/kg)</w:t>
            </w:r>
          </w:p>
        </w:tc>
      </w:tr>
      <w:tr w:rsidR="00B26177" w:rsidRPr="00732D69" w14:paraId="10AEBB07" w14:textId="77777777" w:rsidTr="00B06659">
        <w:trPr>
          <w:cantSplit/>
        </w:trPr>
        <w:tc>
          <w:tcPr>
            <w:tcW w:w="2410" w:type="dxa"/>
            <w:tcBorders>
              <w:top w:val="nil"/>
              <w:left w:val="nil"/>
              <w:bottom w:val="nil"/>
              <w:right w:val="nil"/>
            </w:tcBorders>
            <w:noWrap/>
          </w:tcPr>
          <w:p w14:paraId="60D1E39D" w14:textId="77777777" w:rsidR="00B26177" w:rsidRPr="00B068A4" w:rsidRDefault="00B26177" w:rsidP="00B06659">
            <w:pPr>
              <w:pStyle w:val="MRLActiveName"/>
              <w:rPr>
                <w:rFonts w:ascii="Arial" w:hAnsi="Arial" w:cs="Arial"/>
                <w:sz w:val="18"/>
                <w:szCs w:val="18"/>
                <w:lang w:val="en-US"/>
              </w:rPr>
            </w:pPr>
            <w:r w:rsidRPr="00B068A4">
              <w:rPr>
                <w:rFonts w:ascii="Arial" w:hAnsi="Arial" w:cs="Arial"/>
                <w:sz w:val="18"/>
              </w:rPr>
              <w:t>Coumatetralyl</w:t>
            </w:r>
          </w:p>
        </w:tc>
        <w:tc>
          <w:tcPr>
            <w:tcW w:w="5582" w:type="dxa"/>
            <w:tcBorders>
              <w:top w:val="nil"/>
              <w:left w:val="nil"/>
              <w:bottom w:val="nil"/>
              <w:right w:val="nil"/>
            </w:tcBorders>
            <w:noWrap/>
          </w:tcPr>
          <w:p w14:paraId="6F15D879" w14:textId="77777777" w:rsidR="00B26177" w:rsidRPr="00B068A4" w:rsidRDefault="00B26177" w:rsidP="00B06659">
            <w:pPr>
              <w:pStyle w:val="MRLTableText"/>
              <w:rPr>
                <w:rFonts w:ascii="Arial" w:hAnsi="Arial" w:cs="Arial"/>
                <w:sz w:val="18"/>
                <w:szCs w:val="18"/>
              </w:rPr>
            </w:pPr>
          </w:p>
        </w:tc>
        <w:tc>
          <w:tcPr>
            <w:tcW w:w="1647" w:type="dxa"/>
            <w:tcBorders>
              <w:top w:val="nil"/>
              <w:left w:val="nil"/>
              <w:bottom w:val="nil"/>
              <w:right w:val="nil"/>
            </w:tcBorders>
            <w:noWrap/>
          </w:tcPr>
          <w:p w14:paraId="341E7D03" w14:textId="77777777" w:rsidR="00B26177" w:rsidRPr="00B068A4" w:rsidRDefault="00B26177" w:rsidP="00B06659">
            <w:pPr>
              <w:pStyle w:val="MRLValue"/>
              <w:rPr>
                <w:rFonts w:ascii="Arial" w:hAnsi="Arial" w:cs="Arial"/>
                <w:sz w:val="18"/>
                <w:szCs w:val="18"/>
              </w:rPr>
            </w:pPr>
          </w:p>
        </w:tc>
      </w:tr>
      <w:tr w:rsidR="00B26177" w:rsidRPr="00732D69" w14:paraId="51A2CD18" w14:textId="77777777" w:rsidTr="00B06659">
        <w:trPr>
          <w:cantSplit/>
        </w:trPr>
        <w:tc>
          <w:tcPr>
            <w:tcW w:w="2410" w:type="dxa"/>
            <w:tcBorders>
              <w:top w:val="nil"/>
              <w:left w:val="nil"/>
              <w:bottom w:val="nil"/>
              <w:right w:val="nil"/>
            </w:tcBorders>
            <w:noWrap/>
            <w:vAlign w:val="bottom"/>
          </w:tcPr>
          <w:p w14:paraId="1A49B457" w14:textId="77777777" w:rsidR="00B26177" w:rsidRPr="00B068A4" w:rsidRDefault="00B26177" w:rsidP="00B06659">
            <w:pPr>
              <w:pStyle w:val="MRLCompound"/>
              <w:rPr>
                <w:rFonts w:ascii="Arial" w:hAnsi="Arial" w:cs="Arial"/>
                <w:sz w:val="18"/>
                <w:szCs w:val="18"/>
              </w:rPr>
            </w:pPr>
            <w:r w:rsidRPr="00B068A4">
              <w:rPr>
                <w:rFonts w:ascii="Arial" w:hAnsi="Arial" w:cs="Arial"/>
                <w:sz w:val="18"/>
                <w:szCs w:val="18"/>
              </w:rPr>
              <w:t>MF 0818</w:t>
            </w:r>
          </w:p>
        </w:tc>
        <w:tc>
          <w:tcPr>
            <w:tcW w:w="5582" w:type="dxa"/>
            <w:tcBorders>
              <w:top w:val="nil"/>
              <w:left w:val="nil"/>
              <w:bottom w:val="nil"/>
              <w:right w:val="nil"/>
            </w:tcBorders>
            <w:noWrap/>
            <w:vAlign w:val="bottom"/>
          </w:tcPr>
          <w:p w14:paraId="18983B4F" w14:textId="77777777" w:rsidR="00B26177" w:rsidRPr="00B068A4" w:rsidRDefault="00B26177" w:rsidP="00B06659">
            <w:pPr>
              <w:pStyle w:val="MRLTableText"/>
              <w:rPr>
                <w:rFonts w:ascii="Arial" w:hAnsi="Arial" w:cs="Arial"/>
                <w:sz w:val="18"/>
                <w:szCs w:val="18"/>
              </w:rPr>
            </w:pPr>
            <w:r w:rsidRPr="00B068A4">
              <w:rPr>
                <w:rFonts w:ascii="Arial" w:hAnsi="Arial" w:cs="Arial"/>
                <w:sz w:val="18"/>
                <w:szCs w:val="18"/>
              </w:rPr>
              <w:t>Pig fat</w:t>
            </w:r>
          </w:p>
        </w:tc>
        <w:tc>
          <w:tcPr>
            <w:tcW w:w="1647" w:type="dxa"/>
            <w:tcBorders>
              <w:top w:val="nil"/>
              <w:left w:val="nil"/>
              <w:bottom w:val="nil"/>
              <w:right w:val="nil"/>
            </w:tcBorders>
            <w:noWrap/>
            <w:vAlign w:val="bottom"/>
          </w:tcPr>
          <w:p w14:paraId="2328070A" w14:textId="77777777" w:rsidR="00B26177" w:rsidRPr="00B068A4" w:rsidRDefault="00B26177" w:rsidP="00B06659">
            <w:pPr>
              <w:pStyle w:val="MRLValue"/>
              <w:rPr>
                <w:rFonts w:ascii="Arial" w:hAnsi="Arial" w:cs="Arial"/>
                <w:sz w:val="18"/>
                <w:szCs w:val="18"/>
              </w:rPr>
            </w:pPr>
            <w:r w:rsidRPr="00B068A4">
              <w:rPr>
                <w:rFonts w:ascii="Arial" w:hAnsi="Arial" w:cs="Arial"/>
                <w:sz w:val="18"/>
                <w:szCs w:val="18"/>
              </w:rPr>
              <w:t>T*0.001</w:t>
            </w:r>
          </w:p>
        </w:tc>
      </w:tr>
      <w:tr w:rsidR="00B26177" w:rsidRPr="00732D69" w14:paraId="5FD9E93A" w14:textId="77777777" w:rsidTr="00B06659">
        <w:trPr>
          <w:cantSplit/>
        </w:trPr>
        <w:tc>
          <w:tcPr>
            <w:tcW w:w="2410" w:type="dxa"/>
            <w:tcBorders>
              <w:top w:val="nil"/>
              <w:left w:val="nil"/>
              <w:bottom w:val="nil"/>
              <w:right w:val="nil"/>
            </w:tcBorders>
            <w:noWrap/>
            <w:vAlign w:val="bottom"/>
          </w:tcPr>
          <w:p w14:paraId="6DA2EFFA" w14:textId="77777777" w:rsidR="00B26177" w:rsidRPr="00B068A4" w:rsidRDefault="00B26177" w:rsidP="00B06659">
            <w:pPr>
              <w:pStyle w:val="MRLCompound"/>
              <w:rPr>
                <w:rFonts w:ascii="Arial" w:hAnsi="Arial" w:cs="Arial"/>
                <w:sz w:val="18"/>
                <w:szCs w:val="18"/>
              </w:rPr>
            </w:pPr>
            <w:r w:rsidRPr="00B068A4">
              <w:rPr>
                <w:rFonts w:ascii="Arial" w:hAnsi="Arial" w:cs="Arial"/>
                <w:sz w:val="18"/>
                <w:szCs w:val="18"/>
              </w:rPr>
              <w:t>MM 0818</w:t>
            </w:r>
          </w:p>
        </w:tc>
        <w:tc>
          <w:tcPr>
            <w:tcW w:w="5582" w:type="dxa"/>
            <w:tcBorders>
              <w:top w:val="nil"/>
              <w:left w:val="nil"/>
              <w:bottom w:val="nil"/>
              <w:right w:val="nil"/>
            </w:tcBorders>
            <w:noWrap/>
            <w:vAlign w:val="bottom"/>
          </w:tcPr>
          <w:p w14:paraId="1EDD36FE" w14:textId="77777777" w:rsidR="00B26177" w:rsidRPr="00B068A4" w:rsidRDefault="00B26177" w:rsidP="00B06659">
            <w:pPr>
              <w:pStyle w:val="MRLTableText"/>
              <w:rPr>
                <w:rFonts w:ascii="Arial" w:hAnsi="Arial" w:cs="Arial"/>
                <w:sz w:val="18"/>
                <w:szCs w:val="18"/>
              </w:rPr>
            </w:pPr>
            <w:r w:rsidRPr="00B068A4">
              <w:rPr>
                <w:rFonts w:ascii="Arial" w:hAnsi="Arial" w:cs="Arial"/>
                <w:sz w:val="18"/>
                <w:szCs w:val="18"/>
              </w:rPr>
              <w:t>Pig meat</w:t>
            </w:r>
          </w:p>
        </w:tc>
        <w:tc>
          <w:tcPr>
            <w:tcW w:w="1647" w:type="dxa"/>
            <w:tcBorders>
              <w:top w:val="nil"/>
              <w:left w:val="nil"/>
              <w:bottom w:val="nil"/>
              <w:right w:val="nil"/>
            </w:tcBorders>
            <w:noWrap/>
            <w:vAlign w:val="bottom"/>
          </w:tcPr>
          <w:p w14:paraId="27937AC7" w14:textId="77777777" w:rsidR="00B26177" w:rsidRPr="00B068A4" w:rsidRDefault="00B26177" w:rsidP="00B06659">
            <w:pPr>
              <w:pStyle w:val="MRLValue"/>
              <w:rPr>
                <w:rFonts w:ascii="Arial" w:hAnsi="Arial" w:cs="Arial"/>
                <w:sz w:val="18"/>
                <w:szCs w:val="18"/>
              </w:rPr>
            </w:pPr>
            <w:r w:rsidRPr="00B068A4">
              <w:rPr>
                <w:rFonts w:ascii="Arial" w:hAnsi="Arial" w:cs="Arial"/>
                <w:sz w:val="18"/>
                <w:szCs w:val="18"/>
              </w:rPr>
              <w:t>T*0.001</w:t>
            </w:r>
          </w:p>
        </w:tc>
      </w:tr>
      <w:tr w:rsidR="00B26177" w:rsidRPr="00732D69" w14:paraId="6281BE81" w14:textId="77777777" w:rsidTr="00B06659">
        <w:trPr>
          <w:cantSplit/>
        </w:trPr>
        <w:tc>
          <w:tcPr>
            <w:tcW w:w="2410" w:type="dxa"/>
            <w:tcBorders>
              <w:top w:val="nil"/>
              <w:left w:val="nil"/>
              <w:right w:val="nil"/>
            </w:tcBorders>
            <w:noWrap/>
            <w:vAlign w:val="bottom"/>
          </w:tcPr>
          <w:p w14:paraId="45D5341B" w14:textId="77777777" w:rsidR="00B26177" w:rsidRPr="00B068A4" w:rsidRDefault="00B26177" w:rsidP="00B06659">
            <w:pPr>
              <w:pStyle w:val="MRLCompound"/>
              <w:rPr>
                <w:rFonts w:ascii="Arial" w:hAnsi="Arial" w:cs="Arial"/>
                <w:sz w:val="18"/>
                <w:szCs w:val="18"/>
              </w:rPr>
            </w:pPr>
            <w:r w:rsidRPr="00B068A4">
              <w:rPr>
                <w:rFonts w:ascii="Arial" w:hAnsi="Arial" w:cs="Arial"/>
                <w:sz w:val="18"/>
                <w:szCs w:val="18"/>
              </w:rPr>
              <w:t>MO 0818</w:t>
            </w:r>
          </w:p>
        </w:tc>
        <w:tc>
          <w:tcPr>
            <w:tcW w:w="5582" w:type="dxa"/>
            <w:tcBorders>
              <w:top w:val="nil"/>
              <w:left w:val="nil"/>
              <w:right w:val="nil"/>
            </w:tcBorders>
            <w:noWrap/>
            <w:vAlign w:val="bottom"/>
          </w:tcPr>
          <w:p w14:paraId="1F3CC814" w14:textId="77777777" w:rsidR="00B26177" w:rsidRPr="00B068A4" w:rsidRDefault="00B26177" w:rsidP="00B06659">
            <w:pPr>
              <w:pStyle w:val="MRLTableText"/>
              <w:rPr>
                <w:rFonts w:ascii="Arial" w:hAnsi="Arial" w:cs="Arial"/>
                <w:sz w:val="18"/>
                <w:szCs w:val="18"/>
              </w:rPr>
            </w:pPr>
            <w:r w:rsidRPr="00B068A4">
              <w:rPr>
                <w:rFonts w:ascii="Arial" w:hAnsi="Arial" w:cs="Arial"/>
                <w:sz w:val="18"/>
                <w:szCs w:val="18"/>
              </w:rPr>
              <w:t>Pig, edible offal of {except Liver}</w:t>
            </w:r>
          </w:p>
        </w:tc>
        <w:tc>
          <w:tcPr>
            <w:tcW w:w="1647" w:type="dxa"/>
            <w:tcBorders>
              <w:top w:val="nil"/>
              <w:left w:val="nil"/>
              <w:right w:val="nil"/>
            </w:tcBorders>
            <w:noWrap/>
            <w:vAlign w:val="bottom"/>
          </w:tcPr>
          <w:p w14:paraId="79D459B0" w14:textId="77777777" w:rsidR="00B26177" w:rsidRPr="00B068A4" w:rsidRDefault="00B26177" w:rsidP="00B06659">
            <w:pPr>
              <w:pStyle w:val="MRLValue"/>
              <w:rPr>
                <w:rFonts w:ascii="Arial" w:hAnsi="Arial" w:cs="Arial"/>
                <w:sz w:val="18"/>
                <w:szCs w:val="18"/>
              </w:rPr>
            </w:pPr>
            <w:r w:rsidRPr="00B068A4">
              <w:rPr>
                <w:rFonts w:ascii="Arial" w:hAnsi="Arial" w:cs="Arial"/>
                <w:sz w:val="18"/>
                <w:szCs w:val="18"/>
              </w:rPr>
              <w:t>T0.003</w:t>
            </w:r>
          </w:p>
        </w:tc>
      </w:tr>
      <w:tr w:rsidR="00B26177" w:rsidRPr="00732D69" w14:paraId="0F23D637" w14:textId="77777777" w:rsidTr="00B06659">
        <w:trPr>
          <w:cantSplit/>
        </w:trPr>
        <w:tc>
          <w:tcPr>
            <w:tcW w:w="2410" w:type="dxa"/>
            <w:tcBorders>
              <w:top w:val="nil"/>
              <w:left w:val="nil"/>
              <w:bottom w:val="nil"/>
              <w:right w:val="nil"/>
            </w:tcBorders>
            <w:noWrap/>
            <w:vAlign w:val="bottom"/>
          </w:tcPr>
          <w:p w14:paraId="26764796" w14:textId="77777777" w:rsidR="00B26177" w:rsidRPr="00B068A4" w:rsidRDefault="00B26177" w:rsidP="00B06659">
            <w:pPr>
              <w:pStyle w:val="MRLCompound"/>
              <w:rPr>
                <w:rFonts w:ascii="Arial" w:hAnsi="Arial" w:cs="Arial"/>
                <w:sz w:val="18"/>
                <w:szCs w:val="18"/>
              </w:rPr>
            </w:pPr>
            <w:r w:rsidRPr="00B068A4">
              <w:rPr>
                <w:rFonts w:ascii="Arial" w:hAnsi="Arial" w:cs="Arial"/>
                <w:sz w:val="18"/>
                <w:szCs w:val="18"/>
              </w:rPr>
              <w:t>MO 1285</w:t>
            </w:r>
          </w:p>
        </w:tc>
        <w:tc>
          <w:tcPr>
            <w:tcW w:w="5582" w:type="dxa"/>
            <w:tcBorders>
              <w:top w:val="nil"/>
              <w:left w:val="nil"/>
              <w:bottom w:val="nil"/>
              <w:right w:val="nil"/>
            </w:tcBorders>
            <w:noWrap/>
            <w:vAlign w:val="bottom"/>
          </w:tcPr>
          <w:p w14:paraId="22A50E79" w14:textId="77777777" w:rsidR="00B26177" w:rsidRPr="00B068A4" w:rsidRDefault="00B26177" w:rsidP="00B06659">
            <w:pPr>
              <w:pStyle w:val="MRLTableText"/>
              <w:rPr>
                <w:rFonts w:ascii="Arial" w:hAnsi="Arial" w:cs="Arial"/>
                <w:sz w:val="18"/>
                <w:szCs w:val="18"/>
              </w:rPr>
            </w:pPr>
            <w:r w:rsidRPr="00B068A4">
              <w:rPr>
                <w:rFonts w:ascii="Arial" w:hAnsi="Arial" w:cs="Arial"/>
                <w:sz w:val="18"/>
                <w:szCs w:val="18"/>
              </w:rPr>
              <w:t>Pig, liver</w:t>
            </w:r>
          </w:p>
        </w:tc>
        <w:tc>
          <w:tcPr>
            <w:tcW w:w="1647" w:type="dxa"/>
            <w:tcBorders>
              <w:top w:val="nil"/>
              <w:left w:val="nil"/>
              <w:bottom w:val="nil"/>
              <w:right w:val="nil"/>
            </w:tcBorders>
            <w:noWrap/>
            <w:vAlign w:val="bottom"/>
          </w:tcPr>
          <w:p w14:paraId="31290EA6" w14:textId="77777777" w:rsidR="00B26177" w:rsidRPr="00B068A4" w:rsidRDefault="00B26177" w:rsidP="00B06659">
            <w:pPr>
              <w:pStyle w:val="MRLValue"/>
              <w:rPr>
                <w:rFonts w:ascii="Arial" w:hAnsi="Arial" w:cs="Arial"/>
                <w:sz w:val="18"/>
                <w:szCs w:val="18"/>
              </w:rPr>
            </w:pPr>
            <w:r w:rsidRPr="00B068A4">
              <w:rPr>
                <w:rFonts w:ascii="Arial" w:hAnsi="Arial" w:cs="Arial"/>
                <w:sz w:val="18"/>
                <w:szCs w:val="18"/>
              </w:rPr>
              <w:t>T0.004</w:t>
            </w:r>
          </w:p>
        </w:tc>
      </w:tr>
      <w:tr w:rsidR="00B26177" w:rsidRPr="00732D69" w14:paraId="0D5A048A" w14:textId="77777777" w:rsidTr="00B06659">
        <w:trPr>
          <w:cantSplit/>
        </w:trPr>
        <w:tc>
          <w:tcPr>
            <w:tcW w:w="2410" w:type="dxa"/>
            <w:tcBorders>
              <w:top w:val="nil"/>
              <w:left w:val="nil"/>
              <w:bottom w:val="nil"/>
              <w:right w:val="nil"/>
            </w:tcBorders>
            <w:noWrap/>
          </w:tcPr>
          <w:p w14:paraId="6CDDC2A3" w14:textId="77777777" w:rsidR="00B26177" w:rsidRPr="00B068A4" w:rsidRDefault="00B26177" w:rsidP="00B06659">
            <w:pPr>
              <w:pStyle w:val="MRLActiveName"/>
              <w:rPr>
                <w:rFonts w:ascii="Arial" w:hAnsi="Arial" w:cs="Arial"/>
                <w:sz w:val="18"/>
              </w:rPr>
            </w:pPr>
            <w:r w:rsidRPr="00B068A4">
              <w:rPr>
                <w:rFonts w:ascii="Arial" w:hAnsi="Arial" w:cs="Arial"/>
                <w:sz w:val="18"/>
              </w:rPr>
              <w:t>Warfarin</w:t>
            </w:r>
          </w:p>
        </w:tc>
        <w:tc>
          <w:tcPr>
            <w:tcW w:w="5582" w:type="dxa"/>
            <w:tcBorders>
              <w:top w:val="nil"/>
              <w:left w:val="nil"/>
              <w:bottom w:val="nil"/>
              <w:right w:val="nil"/>
            </w:tcBorders>
            <w:noWrap/>
          </w:tcPr>
          <w:p w14:paraId="1280CC12" w14:textId="77777777" w:rsidR="00B26177" w:rsidRPr="00B068A4" w:rsidRDefault="00B26177" w:rsidP="00B06659">
            <w:pPr>
              <w:pStyle w:val="MRLTableText"/>
              <w:rPr>
                <w:rFonts w:ascii="Arial" w:hAnsi="Arial" w:cs="Arial"/>
                <w:sz w:val="18"/>
              </w:rPr>
            </w:pPr>
          </w:p>
        </w:tc>
        <w:tc>
          <w:tcPr>
            <w:tcW w:w="1647" w:type="dxa"/>
            <w:tcBorders>
              <w:top w:val="nil"/>
              <w:left w:val="nil"/>
              <w:bottom w:val="nil"/>
              <w:right w:val="nil"/>
            </w:tcBorders>
            <w:noWrap/>
          </w:tcPr>
          <w:p w14:paraId="722194E5" w14:textId="77777777" w:rsidR="00B26177" w:rsidRPr="00B068A4" w:rsidRDefault="00B26177" w:rsidP="00B06659">
            <w:pPr>
              <w:pStyle w:val="MRLValue"/>
              <w:rPr>
                <w:rFonts w:ascii="Arial" w:hAnsi="Arial" w:cs="Arial"/>
                <w:sz w:val="18"/>
              </w:rPr>
            </w:pPr>
          </w:p>
        </w:tc>
      </w:tr>
      <w:tr w:rsidR="00B26177" w:rsidRPr="00732D69" w14:paraId="4FD6BF89" w14:textId="77777777" w:rsidTr="00B06659">
        <w:trPr>
          <w:cantSplit/>
        </w:trPr>
        <w:tc>
          <w:tcPr>
            <w:tcW w:w="2410" w:type="dxa"/>
            <w:tcBorders>
              <w:top w:val="nil"/>
              <w:left w:val="nil"/>
              <w:bottom w:val="nil"/>
              <w:right w:val="nil"/>
            </w:tcBorders>
            <w:noWrap/>
            <w:vAlign w:val="bottom"/>
          </w:tcPr>
          <w:p w14:paraId="516CD29C" w14:textId="77777777" w:rsidR="00B26177" w:rsidRPr="00D11E1F" w:rsidRDefault="00B26177" w:rsidP="00B06659">
            <w:pPr>
              <w:pStyle w:val="MRLCompound"/>
              <w:rPr>
                <w:rFonts w:ascii="Arial" w:hAnsi="Arial" w:cs="Arial"/>
                <w:sz w:val="18"/>
              </w:rPr>
            </w:pPr>
            <w:r>
              <w:rPr>
                <w:rFonts w:ascii="Arial" w:hAnsi="Arial" w:cs="Arial"/>
                <w:color w:val="000000"/>
                <w:sz w:val="18"/>
                <w:szCs w:val="18"/>
              </w:rPr>
              <w:t>MO 0818</w:t>
            </w:r>
          </w:p>
        </w:tc>
        <w:tc>
          <w:tcPr>
            <w:tcW w:w="5582" w:type="dxa"/>
            <w:tcBorders>
              <w:top w:val="nil"/>
              <w:left w:val="nil"/>
              <w:bottom w:val="nil"/>
              <w:right w:val="nil"/>
            </w:tcBorders>
            <w:noWrap/>
            <w:vAlign w:val="bottom"/>
          </w:tcPr>
          <w:p w14:paraId="56D89884" w14:textId="77777777" w:rsidR="00B26177" w:rsidRPr="00D11E1F" w:rsidRDefault="00B26177" w:rsidP="00B06659">
            <w:pPr>
              <w:pStyle w:val="MRLTableText"/>
              <w:rPr>
                <w:rFonts w:ascii="Arial" w:hAnsi="Arial" w:cs="Arial"/>
                <w:sz w:val="18"/>
              </w:rPr>
            </w:pPr>
            <w:r>
              <w:rPr>
                <w:rFonts w:ascii="Arial" w:hAnsi="Arial" w:cs="Arial"/>
                <w:color w:val="000000"/>
                <w:sz w:val="18"/>
                <w:szCs w:val="18"/>
              </w:rPr>
              <w:t>Pig, edible offal of {except Liver}</w:t>
            </w:r>
          </w:p>
        </w:tc>
        <w:tc>
          <w:tcPr>
            <w:tcW w:w="1647" w:type="dxa"/>
            <w:tcBorders>
              <w:top w:val="nil"/>
              <w:left w:val="nil"/>
              <w:bottom w:val="nil"/>
              <w:right w:val="nil"/>
            </w:tcBorders>
            <w:noWrap/>
            <w:vAlign w:val="bottom"/>
          </w:tcPr>
          <w:p w14:paraId="4E5FE4BB" w14:textId="77777777" w:rsidR="00B26177" w:rsidRPr="00D11E1F" w:rsidRDefault="00B26177" w:rsidP="00B06659">
            <w:pPr>
              <w:pStyle w:val="MRLValue"/>
              <w:rPr>
                <w:rFonts w:ascii="Arial" w:hAnsi="Arial" w:cs="Arial"/>
                <w:sz w:val="18"/>
              </w:rPr>
            </w:pPr>
            <w:r>
              <w:rPr>
                <w:rFonts w:ascii="Arial" w:hAnsi="Arial" w:cs="Arial"/>
                <w:color w:val="000000"/>
                <w:sz w:val="18"/>
                <w:szCs w:val="18"/>
              </w:rPr>
              <w:t>T0.007</w:t>
            </w:r>
          </w:p>
        </w:tc>
      </w:tr>
      <w:tr w:rsidR="00B26177" w:rsidRPr="00732D69" w14:paraId="2D5B9205" w14:textId="77777777" w:rsidTr="00B06659">
        <w:trPr>
          <w:cantSplit/>
        </w:trPr>
        <w:tc>
          <w:tcPr>
            <w:tcW w:w="2410" w:type="dxa"/>
            <w:tcBorders>
              <w:top w:val="nil"/>
              <w:left w:val="nil"/>
              <w:bottom w:val="nil"/>
              <w:right w:val="nil"/>
            </w:tcBorders>
            <w:noWrap/>
            <w:vAlign w:val="bottom"/>
          </w:tcPr>
          <w:p w14:paraId="7C7ED04B" w14:textId="77777777" w:rsidR="00B26177" w:rsidRPr="00D11E1F" w:rsidRDefault="00B26177" w:rsidP="00B06659">
            <w:pPr>
              <w:pStyle w:val="MRLCompound"/>
              <w:rPr>
                <w:rFonts w:ascii="Arial" w:hAnsi="Arial" w:cs="Arial"/>
                <w:sz w:val="18"/>
              </w:rPr>
            </w:pPr>
            <w:r>
              <w:rPr>
                <w:rFonts w:ascii="Arial" w:hAnsi="Arial" w:cs="Arial"/>
                <w:color w:val="000000"/>
                <w:sz w:val="18"/>
                <w:szCs w:val="18"/>
              </w:rPr>
              <w:t>MF 0818</w:t>
            </w:r>
          </w:p>
        </w:tc>
        <w:tc>
          <w:tcPr>
            <w:tcW w:w="5582" w:type="dxa"/>
            <w:tcBorders>
              <w:top w:val="nil"/>
              <w:left w:val="nil"/>
              <w:bottom w:val="nil"/>
              <w:right w:val="nil"/>
            </w:tcBorders>
            <w:noWrap/>
            <w:vAlign w:val="bottom"/>
          </w:tcPr>
          <w:p w14:paraId="2809D22C" w14:textId="77777777" w:rsidR="00B26177" w:rsidRPr="00D11E1F" w:rsidRDefault="00B26177" w:rsidP="00B06659">
            <w:pPr>
              <w:pStyle w:val="MRLTableText"/>
              <w:rPr>
                <w:rFonts w:ascii="Arial" w:hAnsi="Arial" w:cs="Arial"/>
                <w:sz w:val="18"/>
              </w:rPr>
            </w:pPr>
            <w:r>
              <w:rPr>
                <w:rFonts w:ascii="Arial" w:hAnsi="Arial" w:cs="Arial"/>
                <w:color w:val="000000"/>
                <w:sz w:val="18"/>
                <w:szCs w:val="18"/>
              </w:rPr>
              <w:t>Pig fat</w:t>
            </w:r>
          </w:p>
        </w:tc>
        <w:tc>
          <w:tcPr>
            <w:tcW w:w="1647" w:type="dxa"/>
            <w:tcBorders>
              <w:top w:val="nil"/>
              <w:left w:val="nil"/>
              <w:bottom w:val="nil"/>
              <w:right w:val="nil"/>
            </w:tcBorders>
            <w:noWrap/>
            <w:vAlign w:val="bottom"/>
          </w:tcPr>
          <w:p w14:paraId="1BD09E74" w14:textId="77777777" w:rsidR="00B26177" w:rsidRPr="00D11E1F" w:rsidRDefault="00B26177" w:rsidP="00B06659">
            <w:pPr>
              <w:pStyle w:val="MRLValue"/>
              <w:rPr>
                <w:rFonts w:ascii="Arial" w:hAnsi="Arial" w:cs="Arial"/>
                <w:sz w:val="18"/>
              </w:rPr>
            </w:pPr>
            <w:r>
              <w:rPr>
                <w:rFonts w:ascii="Arial" w:hAnsi="Arial" w:cs="Arial"/>
                <w:color w:val="000000"/>
                <w:sz w:val="18"/>
                <w:szCs w:val="18"/>
              </w:rPr>
              <w:t>T0.007</w:t>
            </w:r>
          </w:p>
        </w:tc>
      </w:tr>
      <w:tr w:rsidR="00B26177" w:rsidRPr="00732D69" w14:paraId="475C5805" w14:textId="77777777" w:rsidTr="00B06659">
        <w:trPr>
          <w:cantSplit/>
        </w:trPr>
        <w:tc>
          <w:tcPr>
            <w:tcW w:w="2410" w:type="dxa"/>
            <w:tcBorders>
              <w:top w:val="nil"/>
              <w:left w:val="nil"/>
              <w:bottom w:val="nil"/>
              <w:right w:val="nil"/>
            </w:tcBorders>
            <w:noWrap/>
            <w:vAlign w:val="bottom"/>
          </w:tcPr>
          <w:p w14:paraId="2CFDA767" w14:textId="77777777" w:rsidR="00B26177" w:rsidRPr="00D11E1F" w:rsidRDefault="00B26177" w:rsidP="00B06659">
            <w:pPr>
              <w:pStyle w:val="MRLCompound"/>
              <w:rPr>
                <w:rFonts w:ascii="Arial" w:hAnsi="Arial" w:cs="Arial"/>
                <w:sz w:val="18"/>
              </w:rPr>
            </w:pPr>
            <w:r>
              <w:rPr>
                <w:rFonts w:ascii="Arial" w:hAnsi="Arial" w:cs="Arial"/>
                <w:color w:val="000000"/>
                <w:sz w:val="18"/>
                <w:szCs w:val="18"/>
              </w:rPr>
              <w:t>MO 1285</w:t>
            </w:r>
          </w:p>
        </w:tc>
        <w:tc>
          <w:tcPr>
            <w:tcW w:w="5582" w:type="dxa"/>
            <w:tcBorders>
              <w:top w:val="nil"/>
              <w:left w:val="nil"/>
              <w:bottom w:val="nil"/>
              <w:right w:val="nil"/>
            </w:tcBorders>
            <w:noWrap/>
            <w:vAlign w:val="bottom"/>
          </w:tcPr>
          <w:p w14:paraId="1A0BEF3D" w14:textId="77777777" w:rsidR="00B26177" w:rsidRPr="00D11E1F" w:rsidRDefault="00B26177" w:rsidP="00B06659">
            <w:pPr>
              <w:pStyle w:val="MRLTableText"/>
              <w:rPr>
                <w:rFonts w:ascii="Arial" w:hAnsi="Arial" w:cs="Arial"/>
                <w:sz w:val="18"/>
              </w:rPr>
            </w:pPr>
            <w:r>
              <w:rPr>
                <w:rFonts w:ascii="Arial" w:hAnsi="Arial" w:cs="Arial"/>
                <w:color w:val="000000"/>
                <w:sz w:val="18"/>
                <w:szCs w:val="18"/>
              </w:rPr>
              <w:t>Pig, liver</w:t>
            </w:r>
          </w:p>
        </w:tc>
        <w:tc>
          <w:tcPr>
            <w:tcW w:w="1647" w:type="dxa"/>
            <w:tcBorders>
              <w:top w:val="nil"/>
              <w:left w:val="nil"/>
              <w:bottom w:val="nil"/>
              <w:right w:val="nil"/>
            </w:tcBorders>
            <w:noWrap/>
            <w:vAlign w:val="bottom"/>
          </w:tcPr>
          <w:p w14:paraId="56E5C250" w14:textId="77777777" w:rsidR="00B26177" w:rsidRPr="00D11E1F" w:rsidRDefault="00B26177" w:rsidP="00B06659">
            <w:pPr>
              <w:pStyle w:val="MRLValue"/>
              <w:rPr>
                <w:rFonts w:ascii="Arial" w:hAnsi="Arial" w:cs="Arial"/>
                <w:sz w:val="18"/>
              </w:rPr>
            </w:pPr>
            <w:r>
              <w:rPr>
                <w:rFonts w:ascii="Arial" w:hAnsi="Arial" w:cs="Arial"/>
                <w:color w:val="000000"/>
                <w:sz w:val="18"/>
                <w:szCs w:val="18"/>
              </w:rPr>
              <w:t>T0.04</w:t>
            </w:r>
          </w:p>
        </w:tc>
      </w:tr>
      <w:tr w:rsidR="00B26177" w:rsidRPr="00732D69" w14:paraId="354F3858" w14:textId="77777777" w:rsidTr="00B06659">
        <w:trPr>
          <w:cantSplit/>
        </w:trPr>
        <w:tc>
          <w:tcPr>
            <w:tcW w:w="2410" w:type="dxa"/>
            <w:tcBorders>
              <w:top w:val="nil"/>
              <w:left w:val="nil"/>
              <w:bottom w:val="single" w:sz="4" w:space="0" w:color="auto"/>
              <w:right w:val="nil"/>
            </w:tcBorders>
            <w:noWrap/>
            <w:vAlign w:val="bottom"/>
          </w:tcPr>
          <w:p w14:paraId="3CA9934E" w14:textId="77777777" w:rsidR="00B26177" w:rsidRPr="00D11E1F" w:rsidRDefault="00B26177" w:rsidP="00B06659">
            <w:pPr>
              <w:pStyle w:val="MRLCompound"/>
              <w:rPr>
                <w:rFonts w:ascii="Arial" w:hAnsi="Arial" w:cs="Arial"/>
                <w:sz w:val="18"/>
              </w:rPr>
            </w:pPr>
            <w:r>
              <w:rPr>
                <w:rFonts w:ascii="Arial" w:hAnsi="Arial" w:cs="Arial"/>
                <w:color w:val="000000"/>
                <w:sz w:val="18"/>
                <w:szCs w:val="18"/>
              </w:rPr>
              <w:t>MM 0818</w:t>
            </w:r>
          </w:p>
        </w:tc>
        <w:tc>
          <w:tcPr>
            <w:tcW w:w="5582" w:type="dxa"/>
            <w:tcBorders>
              <w:top w:val="nil"/>
              <w:left w:val="nil"/>
              <w:bottom w:val="single" w:sz="4" w:space="0" w:color="auto"/>
              <w:right w:val="nil"/>
            </w:tcBorders>
            <w:noWrap/>
            <w:vAlign w:val="bottom"/>
          </w:tcPr>
          <w:p w14:paraId="5084E8DB" w14:textId="77777777" w:rsidR="00B26177" w:rsidRPr="00D11E1F" w:rsidRDefault="00B26177" w:rsidP="00B06659">
            <w:pPr>
              <w:pStyle w:val="MRLTableText"/>
              <w:rPr>
                <w:rFonts w:ascii="Arial" w:hAnsi="Arial" w:cs="Arial"/>
                <w:sz w:val="18"/>
              </w:rPr>
            </w:pPr>
            <w:r>
              <w:rPr>
                <w:rFonts w:ascii="Arial" w:hAnsi="Arial" w:cs="Arial"/>
                <w:color w:val="000000"/>
                <w:sz w:val="18"/>
                <w:szCs w:val="18"/>
              </w:rPr>
              <w:t>Pig meat</w:t>
            </w:r>
          </w:p>
        </w:tc>
        <w:tc>
          <w:tcPr>
            <w:tcW w:w="1647" w:type="dxa"/>
            <w:tcBorders>
              <w:top w:val="nil"/>
              <w:left w:val="nil"/>
              <w:bottom w:val="single" w:sz="4" w:space="0" w:color="auto"/>
              <w:right w:val="nil"/>
            </w:tcBorders>
            <w:noWrap/>
            <w:vAlign w:val="bottom"/>
          </w:tcPr>
          <w:p w14:paraId="15E60B61" w14:textId="77777777" w:rsidR="00B26177" w:rsidRPr="00D11E1F" w:rsidRDefault="00B26177" w:rsidP="00B06659">
            <w:pPr>
              <w:pStyle w:val="MRLValue"/>
              <w:rPr>
                <w:rFonts w:ascii="Arial" w:hAnsi="Arial" w:cs="Arial"/>
                <w:sz w:val="18"/>
              </w:rPr>
            </w:pPr>
            <w:r>
              <w:rPr>
                <w:rFonts w:ascii="Arial" w:hAnsi="Arial" w:cs="Arial"/>
                <w:color w:val="000000"/>
                <w:sz w:val="18"/>
                <w:szCs w:val="18"/>
              </w:rPr>
              <w:t>T0.007</w:t>
            </w:r>
          </w:p>
        </w:tc>
      </w:tr>
    </w:tbl>
    <w:p w14:paraId="494156DC" w14:textId="5F807485" w:rsidR="0080722D" w:rsidRDefault="0080722D" w:rsidP="0080722D">
      <w:pPr>
        <w:pStyle w:val="NormalText"/>
      </w:pPr>
      <w:r>
        <w:t xml:space="preserve">The </w:t>
      </w:r>
      <w:r w:rsidRPr="008211DB">
        <w:rPr>
          <w:i/>
          <w:iCs/>
        </w:rPr>
        <w:t>Agricultural and Veterinary Chemicals (MRL Standard for Residues of Chemical Products) Instrument 2023</w:t>
      </w:r>
      <w:r>
        <w:rPr>
          <w:i/>
          <w:iCs/>
        </w:rPr>
        <w:t xml:space="preserve">, </w:t>
      </w:r>
      <w:r w:rsidRPr="00BD2F8D">
        <w:rPr>
          <w:i/>
          <w:iCs/>
        </w:rPr>
        <w:t>Table 5</w:t>
      </w:r>
      <w:r>
        <w:t xml:space="preserve"> lists uses of substances in situations where MRLs are not necessary. Active constituents that do not have uses in food crops or species usually do not require an MRL, and if not, they are listed in Table 5.</w:t>
      </w:r>
    </w:p>
    <w:p w14:paraId="09688080" w14:textId="78843B86" w:rsidR="002E3C42" w:rsidRDefault="002E3C42" w:rsidP="0080722D">
      <w:pPr>
        <w:pStyle w:val="NormalText"/>
      </w:pPr>
      <w:r>
        <w:t>All first- and second-generation rodenticides are registered for use in, and around livestock or poultry housing, and food and feed preparation areas. When industry best-practices and label statements are followed, residues of anticoagulant rodenticides should not occur in foods or feeds. The</w:t>
      </w:r>
      <w:r w:rsidR="0080722D">
        <w:t>refore, the</w:t>
      </w:r>
      <w:r>
        <w:t xml:space="preserve"> following Table 5 entry is recommended: </w:t>
      </w:r>
      <w:r w:rsidR="0080722D">
        <w:t>“</w:t>
      </w:r>
      <w:r w:rsidRPr="00BD2F8D">
        <w:rPr>
          <w:i/>
          <w:iCs/>
        </w:rPr>
        <w:t>For use in baits as a rodenticide, in and around animal, livestock and poultry houses, associated equipment, and food and feed processing areas.</w:t>
      </w:r>
      <w:r w:rsidR="0080722D">
        <w:rPr>
          <w:i/>
          <w:iCs/>
        </w:rPr>
        <w:t>”</w:t>
      </w:r>
    </w:p>
    <w:p w14:paraId="0C59F999" w14:textId="5E030ACD" w:rsidR="002E3C42" w:rsidRPr="004A2AB6" w:rsidRDefault="002E3C42" w:rsidP="002E3C42">
      <w:pPr>
        <w:pStyle w:val="NormalText"/>
        <w:rPr>
          <w:i/>
          <w:iCs/>
        </w:rPr>
      </w:pPr>
      <w:r>
        <w:lastRenderedPageBreak/>
        <w:t xml:space="preserve">Only products containing the anticoagulant rodenticide active constituent </w:t>
      </w:r>
      <w:r w:rsidRPr="00D02B65">
        <w:rPr>
          <w:i/>
          <w:iCs/>
        </w:rPr>
        <w:t>coumatetralyl</w:t>
      </w:r>
      <w:r w:rsidRPr="00D02B65">
        <w:t xml:space="preserve"> </w:t>
      </w:r>
      <w:r w:rsidRPr="000953A0">
        <w:t xml:space="preserve">are </w:t>
      </w:r>
      <w:r>
        <w:t xml:space="preserve">currently </w:t>
      </w:r>
      <w:r w:rsidRPr="000953A0">
        <w:t xml:space="preserve">approved for use </w:t>
      </w:r>
      <w:r>
        <w:t xml:space="preserve">in situations involving food production such as </w:t>
      </w:r>
      <w:r w:rsidRPr="000953A0">
        <w:t>agricultural crop</w:t>
      </w:r>
      <w:r>
        <w:t xml:space="preserve">ping situations. The Table 5 entry for </w:t>
      </w:r>
      <w:r w:rsidRPr="00D02B65">
        <w:rPr>
          <w:i/>
          <w:iCs/>
        </w:rPr>
        <w:t>coumatetralyl</w:t>
      </w:r>
      <w:r>
        <w:t xml:space="preserve"> should be amended from</w:t>
      </w:r>
      <w:r w:rsidR="0080722D">
        <w:t xml:space="preserve"> </w:t>
      </w:r>
      <w:r w:rsidRPr="004A2AB6">
        <w:rPr>
          <w:i/>
          <w:iCs/>
        </w:rPr>
        <w:t>“in baits as a rodenticide in situations where contact with crops, food products or soil in which crops are grown will not occur</w:t>
      </w:r>
      <w:r>
        <w:rPr>
          <w:i/>
          <w:iCs/>
        </w:rPr>
        <w:t xml:space="preserve">” </w:t>
      </w:r>
      <w:r>
        <w:t>to</w:t>
      </w:r>
      <w:r w:rsidR="007647EC">
        <w:t xml:space="preserve"> </w:t>
      </w:r>
      <w:r w:rsidR="0080722D">
        <w:t>“</w:t>
      </w:r>
      <w:r w:rsidRPr="004A2AB6">
        <w:rPr>
          <w:i/>
          <w:iCs/>
        </w:rPr>
        <w:t>in bait stations as a rodenticide in situations where contact with crops, food products or soil in which crops are grown will not occur</w:t>
      </w:r>
      <w:r>
        <w:rPr>
          <w:i/>
          <w:iCs/>
        </w:rPr>
        <w:t>"</w:t>
      </w:r>
      <w:r>
        <w:t>.</w:t>
      </w:r>
    </w:p>
    <w:p w14:paraId="588C798F" w14:textId="2A4BE9B1" w:rsidR="002E3C42" w:rsidRPr="006F78D3" w:rsidRDefault="002E3C42" w:rsidP="006F78D3">
      <w:pPr>
        <w:pStyle w:val="NormalText"/>
      </w:pPr>
      <w:r>
        <w:t xml:space="preserve">Table 5 contains entries for </w:t>
      </w:r>
      <w:r w:rsidRPr="0086176E">
        <w:rPr>
          <w:i/>
          <w:iCs/>
        </w:rPr>
        <w:t>difethialone</w:t>
      </w:r>
      <w:r w:rsidRPr="00D02B65">
        <w:rPr>
          <w:i/>
          <w:iCs/>
        </w:rPr>
        <w:t xml:space="preserve">, </w:t>
      </w:r>
      <w:r w:rsidRPr="0086176E">
        <w:rPr>
          <w:i/>
          <w:iCs/>
        </w:rPr>
        <w:t>diphacinone</w:t>
      </w:r>
      <w:r w:rsidRPr="00D02B65">
        <w:rPr>
          <w:i/>
          <w:iCs/>
        </w:rPr>
        <w:t xml:space="preserve">, </w:t>
      </w:r>
      <w:r w:rsidRPr="0086176E">
        <w:rPr>
          <w:i/>
          <w:iCs/>
        </w:rPr>
        <w:t>flocoumafen</w:t>
      </w:r>
      <w:r w:rsidRPr="00D02B65">
        <w:rPr>
          <w:i/>
          <w:iCs/>
        </w:rPr>
        <w:t xml:space="preserve"> </w:t>
      </w:r>
      <w:r w:rsidRPr="00D02B65">
        <w:t>and</w:t>
      </w:r>
      <w:r w:rsidRPr="00D02B65">
        <w:rPr>
          <w:i/>
          <w:iCs/>
        </w:rPr>
        <w:t xml:space="preserve"> warfarin</w:t>
      </w:r>
      <w:r>
        <w:rPr>
          <w:i/>
          <w:iCs/>
        </w:rPr>
        <w:t xml:space="preserve"> </w:t>
      </w:r>
      <w:r w:rsidRPr="004A2AB6">
        <w:rPr>
          <w:i/>
          <w:iCs/>
        </w:rPr>
        <w:t>“in baits as a rodenticide in situations where contact with crops, food products or soil in which crops are grown will not occur”</w:t>
      </w:r>
      <w:r>
        <w:rPr>
          <w:i/>
          <w:iCs/>
        </w:rPr>
        <w:t xml:space="preserve">. </w:t>
      </w:r>
      <w:r>
        <w:t>These instructions no longer apply to any products containing the listed active constituents, and therefore the entries should be removed from Table 5.</w:t>
      </w:r>
    </w:p>
    <w:p w14:paraId="53F60FAB" w14:textId="69076C7F" w:rsidR="00716611" w:rsidRPr="006F78D3" w:rsidRDefault="00FA4E31" w:rsidP="006F78D3">
      <w:pPr>
        <w:pStyle w:val="Heading3"/>
      </w:pPr>
      <w:bookmarkStart w:id="1586" w:name="_Toc216695622"/>
      <w:r>
        <w:rPr>
          <w:rStyle w:val="Heading3Char"/>
        </w:rPr>
        <w:t>Summary of r</w:t>
      </w:r>
      <w:r w:rsidR="00716611" w:rsidRPr="00E675C6">
        <w:rPr>
          <w:rStyle w:val="Heading3Char"/>
        </w:rPr>
        <w:t xml:space="preserve">ecommended amendments to the </w:t>
      </w:r>
      <w:bookmarkEnd w:id="1582"/>
      <w:r>
        <w:rPr>
          <w:rStyle w:val="Heading3Char"/>
        </w:rPr>
        <w:t>MRL Standard</w:t>
      </w:r>
      <w:bookmarkEnd w:id="1586"/>
    </w:p>
    <w:p w14:paraId="282ECA80" w14:textId="4339BE81" w:rsidR="002E3C42" w:rsidRDefault="00E675C6" w:rsidP="00E675C6">
      <w:pPr>
        <w:pStyle w:val="NormalText"/>
      </w:pPr>
      <w:r w:rsidRPr="00E675C6">
        <w:t xml:space="preserve">Noting that the use of the anticoagulant rodenticides, according to the recommended instructions and restraints discussed above, is not expected to result in residues of anticoagulant rodenticides in livestock or animal feed, it is recommended that the current MRLs and residues definitions for warfarin and coumatetralyl be deleted from Table 1 and Table 3 of the MRL Standard. </w:t>
      </w:r>
      <w:r w:rsidR="00FA4E31" w:rsidRPr="0080722D">
        <w:t xml:space="preserve">MRL amendments recommended for Tables 1 and 3 </w:t>
      </w:r>
      <w:r w:rsidR="00FA4E31">
        <w:t>below</w:t>
      </w:r>
      <w:r w:rsidR="00FA4E31" w:rsidRPr="0080722D">
        <w:t xml:space="preserve"> will be considered for inclusion in Schedule 20 of the Australia New Zealand Food Standards Code.</w:t>
      </w:r>
    </w:p>
    <w:p w14:paraId="21C3F774" w14:textId="35C2374F" w:rsidR="00716611" w:rsidRPr="00E675C6" w:rsidRDefault="00E675C6" w:rsidP="00E675C6">
      <w:pPr>
        <w:pStyle w:val="NormalText"/>
      </w:pPr>
      <w:r w:rsidRPr="00E675C6">
        <w:t>The recommended amendments to be made to the MRL Standard are</w:t>
      </w:r>
      <w:r w:rsidR="007C251E">
        <w:t xml:space="preserve"> </w:t>
      </w:r>
      <w:r w:rsidR="00FA4E31">
        <w:t>summarised</w:t>
      </w:r>
      <w:r w:rsidRPr="00E675C6">
        <w:t xml:space="preserve"> below.</w:t>
      </w:r>
    </w:p>
    <w:p w14:paraId="75F8D8EE" w14:textId="463EE14B" w:rsidR="00716611" w:rsidRPr="006F78D3" w:rsidRDefault="00716611" w:rsidP="00716611">
      <w:pPr>
        <w:rPr>
          <w:rFonts w:ascii="Arial" w:hAnsi="Arial"/>
          <w:i/>
          <w:kern w:val="20"/>
          <w:sz w:val="19"/>
          <w:u w:color="000000"/>
        </w:rPr>
      </w:pPr>
      <w:r w:rsidRPr="006F78D3">
        <w:rPr>
          <w:rFonts w:ascii="Arial" w:hAnsi="Arial" w:cs="Arial"/>
          <w:i/>
          <w:iCs/>
          <w:kern w:val="20"/>
          <w:sz w:val="19"/>
          <w:u w:color="000000"/>
        </w:rPr>
        <w:t>Table 1</w:t>
      </w:r>
      <w:r w:rsidR="0080722D" w:rsidRPr="006F78D3">
        <w:rPr>
          <w:rFonts w:ascii="Arial" w:hAnsi="Arial" w:cs="Arial"/>
          <w:i/>
          <w:iCs/>
          <w:kern w:val="20"/>
          <w:sz w:val="19"/>
          <w:u w:color="000000"/>
        </w:rPr>
        <w:t>, Agricultural and Veterinary Chemicals (MRL Standard for Residues of Chemical Products) Instrument 2023</w:t>
      </w:r>
    </w:p>
    <w:tbl>
      <w:tblPr>
        <w:tblW w:w="9758" w:type="dxa"/>
        <w:tblLook w:val="04A0" w:firstRow="1" w:lastRow="0" w:firstColumn="1" w:lastColumn="0" w:noHBand="0" w:noVBand="1"/>
      </w:tblPr>
      <w:tblGrid>
        <w:gridCol w:w="2387"/>
        <w:gridCol w:w="5528"/>
        <w:gridCol w:w="1843"/>
      </w:tblGrid>
      <w:tr w:rsidR="00716611" w:rsidRPr="00091990" w14:paraId="0D29FD8B" w14:textId="77777777" w:rsidTr="006F78D3">
        <w:trPr>
          <w:cantSplit/>
          <w:tblHeader/>
        </w:trPr>
        <w:tc>
          <w:tcPr>
            <w:tcW w:w="2387" w:type="dxa"/>
            <w:tcBorders>
              <w:top w:val="single" w:sz="4" w:space="0" w:color="auto"/>
              <w:left w:val="nil"/>
              <w:bottom w:val="single" w:sz="4" w:space="0" w:color="auto"/>
              <w:right w:val="nil"/>
            </w:tcBorders>
            <w:noWrap/>
          </w:tcPr>
          <w:p w14:paraId="66A720B7" w14:textId="77777777" w:rsidR="00716611" w:rsidRDefault="00716611" w:rsidP="00B06352">
            <w:pPr>
              <w:pStyle w:val="MRLTableHeading"/>
              <w:rPr>
                <w:rFonts w:ascii="Arial" w:hAnsi="Arial" w:cs="Arial"/>
                <w:sz w:val="18"/>
                <w:szCs w:val="18"/>
              </w:rPr>
            </w:pPr>
            <w:r>
              <w:rPr>
                <w:rFonts w:ascii="Arial" w:hAnsi="Arial" w:cs="Arial"/>
                <w:sz w:val="18"/>
                <w:szCs w:val="18"/>
              </w:rPr>
              <w:t>COMPOUND</w:t>
            </w:r>
          </w:p>
        </w:tc>
        <w:tc>
          <w:tcPr>
            <w:tcW w:w="5528" w:type="dxa"/>
            <w:tcBorders>
              <w:top w:val="single" w:sz="4" w:space="0" w:color="auto"/>
              <w:left w:val="nil"/>
              <w:bottom w:val="single" w:sz="4" w:space="0" w:color="auto"/>
              <w:right w:val="nil"/>
            </w:tcBorders>
            <w:noWrap/>
          </w:tcPr>
          <w:p w14:paraId="349EE8DE" w14:textId="77777777" w:rsidR="00716611" w:rsidRDefault="00716611" w:rsidP="00B06352">
            <w:pPr>
              <w:pStyle w:val="MRLTableHeading"/>
              <w:rPr>
                <w:rFonts w:ascii="Arial" w:hAnsi="Arial" w:cs="Arial"/>
                <w:sz w:val="18"/>
                <w:szCs w:val="18"/>
              </w:rPr>
            </w:pPr>
            <w:r>
              <w:rPr>
                <w:rFonts w:ascii="Arial" w:hAnsi="Arial" w:cs="Arial"/>
                <w:sz w:val="18"/>
                <w:szCs w:val="18"/>
              </w:rPr>
              <w:t>FOOD</w:t>
            </w:r>
          </w:p>
        </w:tc>
        <w:tc>
          <w:tcPr>
            <w:tcW w:w="1843" w:type="dxa"/>
            <w:tcBorders>
              <w:top w:val="single" w:sz="4" w:space="0" w:color="auto"/>
              <w:left w:val="nil"/>
              <w:bottom w:val="single" w:sz="4" w:space="0" w:color="auto"/>
              <w:right w:val="nil"/>
            </w:tcBorders>
            <w:noWrap/>
          </w:tcPr>
          <w:p w14:paraId="4F586510" w14:textId="77777777" w:rsidR="00716611" w:rsidRDefault="00716611" w:rsidP="00B06352">
            <w:pPr>
              <w:pStyle w:val="MRLTableHeading"/>
              <w:rPr>
                <w:rFonts w:ascii="Arial" w:hAnsi="Arial" w:cs="Arial"/>
                <w:sz w:val="18"/>
                <w:szCs w:val="18"/>
              </w:rPr>
            </w:pPr>
            <w:r>
              <w:rPr>
                <w:rFonts w:ascii="Arial" w:hAnsi="Arial" w:cs="Arial"/>
                <w:sz w:val="18"/>
                <w:szCs w:val="18"/>
              </w:rPr>
              <w:t>MRL (mg/kg)</w:t>
            </w:r>
          </w:p>
        </w:tc>
      </w:tr>
      <w:tr w:rsidR="00716611" w:rsidRPr="00091990" w14:paraId="43D5AB81" w14:textId="77777777" w:rsidTr="006F78D3">
        <w:trPr>
          <w:cantSplit/>
        </w:trPr>
        <w:tc>
          <w:tcPr>
            <w:tcW w:w="2387" w:type="dxa"/>
            <w:tcBorders>
              <w:top w:val="nil"/>
              <w:left w:val="nil"/>
              <w:bottom w:val="nil"/>
              <w:right w:val="nil"/>
            </w:tcBorders>
            <w:noWrap/>
          </w:tcPr>
          <w:p w14:paraId="1EF07219" w14:textId="77777777" w:rsidR="00716611" w:rsidRPr="007049FF" w:rsidRDefault="00716611" w:rsidP="00B06352">
            <w:pPr>
              <w:pStyle w:val="MRLActiveName"/>
              <w:rPr>
                <w:rFonts w:ascii="Arial" w:hAnsi="Arial" w:cs="Arial"/>
                <w:color w:val="BD3632" w:themeColor="accent6"/>
                <w:sz w:val="18"/>
                <w:szCs w:val="18"/>
                <w:lang w:val="en-US"/>
              </w:rPr>
            </w:pPr>
            <w:r w:rsidRPr="007049FF">
              <w:rPr>
                <w:rFonts w:ascii="Arial" w:hAnsi="Arial" w:cs="Arial"/>
                <w:sz w:val="18"/>
              </w:rPr>
              <w:t>Coumatetralyl</w:t>
            </w:r>
          </w:p>
        </w:tc>
        <w:tc>
          <w:tcPr>
            <w:tcW w:w="5528" w:type="dxa"/>
            <w:tcBorders>
              <w:top w:val="nil"/>
              <w:left w:val="nil"/>
              <w:bottom w:val="nil"/>
              <w:right w:val="nil"/>
            </w:tcBorders>
            <w:noWrap/>
          </w:tcPr>
          <w:p w14:paraId="0955F031" w14:textId="77777777" w:rsidR="00716611" w:rsidRPr="00091990" w:rsidRDefault="00716611" w:rsidP="00B06352">
            <w:pPr>
              <w:pStyle w:val="MRLTableText"/>
              <w:rPr>
                <w:rFonts w:ascii="Arial" w:hAnsi="Arial" w:cs="Arial"/>
                <w:color w:val="BD3632" w:themeColor="accent6"/>
                <w:sz w:val="18"/>
                <w:szCs w:val="18"/>
              </w:rPr>
            </w:pPr>
          </w:p>
        </w:tc>
        <w:tc>
          <w:tcPr>
            <w:tcW w:w="1843" w:type="dxa"/>
            <w:tcBorders>
              <w:top w:val="nil"/>
              <w:left w:val="nil"/>
              <w:bottom w:val="nil"/>
              <w:right w:val="nil"/>
            </w:tcBorders>
            <w:noWrap/>
          </w:tcPr>
          <w:p w14:paraId="40EC49BD" w14:textId="77777777" w:rsidR="00716611" w:rsidRPr="00091990" w:rsidRDefault="00716611" w:rsidP="00B06352">
            <w:pPr>
              <w:pStyle w:val="MRLValue"/>
              <w:rPr>
                <w:rFonts w:ascii="Arial" w:hAnsi="Arial" w:cs="Arial"/>
                <w:color w:val="BD3632" w:themeColor="accent6"/>
                <w:sz w:val="18"/>
                <w:szCs w:val="18"/>
              </w:rPr>
            </w:pPr>
          </w:p>
        </w:tc>
      </w:tr>
      <w:tr w:rsidR="00716611" w:rsidRPr="00091990" w14:paraId="59F44A8C" w14:textId="77777777" w:rsidTr="006F78D3">
        <w:trPr>
          <w:cantSplit/>
        </w:trPr>
        <w:tc>
          <w:tcPr>
            <w:tcW w:w="2387" w:type="dxa"/>
            <w:tcBorders>
              <w:top w:val="nil"/>
              <w:left w:val="nil"/>
              <w:bottom w:val="nil"/>
              <w:right w:val="nil"/>
            </w:tcBorders>
            <w:noWrap/>
          </w:tcPr>
          <w:p w14:paraId="77215784" w14:textId="77777777" w:rsidR="00716611" w:rsidRPr="00091990" w:rsidRDefault="00716611" w:rsidP="00B06352">
            <w:pPr>
              <w:pStyle w:val="MRLTableText"/>
              <w:rPr>
                <w:rFonts w:ascii="Arial" w:hAnsi="Arial" w:cs="Arial"/>
                <w:color w:val="BD3632" w:themeColor="accent6"/>
                <w:sz w:val="18"/>
                <w:szCs w:val="18"/>
              </w:rPr>
            </w:pPr>
            <w:r w:rsidRPr="00EC74B1">
              <w:rPr>
                <w:rFonts w:ascii="Arial" w:hAnsi="Arial" w:cs="Arial"/>
                <w:sz w:val="18"/>
                <w:szCs w:val="18"/>
              </w:rPr>
              <w:t>DELETE:</w:t>
            </w:r>
          </w:p>
        </w:tc>
        <w:tc>
          <w:tcPr>
            <w:tcW w:w="5528" w:type="dxa"/>
            <w:tcBorders>
              <w:top w:val="nil"/>
              <w:left w:val="nil"/>
              <w:bottom w:val="nil"/>
              <w:right w:val="nil"/>
            </w:tcBorders>
            <w:noWrap/>
          </w:tcPr>
          <w:p w14:paraId="5527531F" w14:textId="77777777" w:rsidR="00716611" w:rsidRPr="00091990" w:rsidRDefault="00716611" w:rsidP="00B06352">
            <w:pPr>
              <w:pStyle w:val="MRLTableText"/>
              <w:rPr>
                <w:rFonts w:ascii="Arial" w:hAnsi="Arial" w:cs="Arial"/>
                <w:color w:val="BD3632" w:themeColor="accent6"/>
                <w:sz w:val="18"/>
                <w:szCs w:val="18"/>
              </w:rPr>
            </w:pPr>
          </w:p>
        </w:tc>
        <w:tc>
          <w:tcPr>
            <w:tcW w:w="1843" w:type="dxa"/>
            <w:tcBorders>
              <w:top w:val="nil"/>
              <w:left w:val="nil"/>
              <w:bottom w:val="nil"/>
              <w:right w:val="nil"/>
            </w:tcBorders>
            <w:noWrap/>
          </w:tcPr>
          <w:p w14:paraId="60ACA2F4" w14:textId="77777777" w:rsidR="00716611" w:rsidRPr="00091990" w:rsidRDefault="00716611" w:rsidP="00B06352">
            <w:pPr>
              <w:pStyle w:val="MRLValue"/>
              <w:rPr>
                <w:rFonts w:ascii="Arial" w:hAnsi="Arial" w:cs="Arial"/>
                <w:color w:val="BD3632" w:themeColor="accent6"/>
                <w:sz w:val="18"/>
                <w:szCs w:val="18"/>
              </w:rPr>
            </w:pPr>
          </w:p>
        </w:tc>
      </w:tr>
      <w:tr w:rsidR="00716611" w:rsidRPr="00091990" w14:paraId="4611D901" w14:textId="77777777" w:rsidTr="006F78D3">
        <w:trPr>
          <w:cantSplit/>
        </w:trPr>
        <w:tc>
          <w:tcPr>
            <w:tcW w:w="2387" w:type="dxa"/>
            <w:tcBorders>
              <w:top w:val="nil"/>
              <w:left w:val="nil"/>
              <w:bottom w:val="nil"/>
              <w:right w:val="nil"/>
            </w:tcBorders>
            <w:noWrap/>
            <w:vAlign w:val="bottom"/>
          </w:tcPr>
          <w:p w14:paraId="0BDCC9E2" w14:textId="77777777" w:rsidR="00716611" w:rsidRPr="00225C7E" w:rsidRDefault="00716611" w:rsidP="00B06352">
            <w:pPr>
              <w:pStyle w:val="MRLCompound"/>
              <w:rPr>
                <w:rFonts w:ascii="Arial" w:hAnsi="Arial" w:cs="Arial"/>
                <w:color w:val="0000FF"/>
                <w:sz w:val="18"/>
                <w:szCs w:val="18"/>
              </w:rPr>
            </w:pPr>
            <w:r w:rsidRPr="00B068A4">
              <w:rPr>
                <w:rFonts w:ascii="Arial" w:hAnsi="Arial" w:cs="Arial"/>
                <w:sz w:val="18"/>
                <w:szCs w:val="18"/>
              </w:rPr>
              <w:t>MF 0818</w:t>
            </w:r>
          </w:p>
        </w:tc>
        <w:tc>
          <w:tcPr>
            <w:tcW w:w="5528" w:type="dxa"/>
            <w:tcBorders>
              <w:top w:val="nil"/>
              <w:left w:val="nil"/>
              <w:bottom w:val="nil"/>
              <w:right w:val="nil"/>
            </w:tcBorders>
            <w:noWrap/>
            <w:vAlign w:val="bottom"/>
          </w:tcPr>
          <w:p w14:paraId="3039A198" w14:textId="77777777" w:rsidR="00716611" w:rsidRPr="00225C7E" w:rsidRDefault="00716611" w:rsidP="00B06352">
            <w:pPr>
              <w:pStyle w:val="MRLTableText"/>
              <w:rPr>
                <w:rFonts w:ascii="Arial" w:hAnsi="Arial" w:cs="Arial"/>
                <w:bCs/>
                <w:color w:val="0000FF"/>
                <w:sz w:val="18"/>
                <w:szCs w:val="18"/>
                <w:lang w:val="en-US"/>
              </w:rPr>
            </w:pPr>
            <w:r w:rsidRPr="00B068A4">
              <w:rPr>
                <w:rFonts w:ascii="Arial" w:hAnsi="Arial" w:cs="Arial"/>
                <w:sz w:val="18"/>
                <w:szCs w:val="18"/>
              </w:rPr>
              <w:t>Pig fat</w:t>
            </w:r>
          </w:p>
        </w:tc>
        <w:tc>
          <w:tcPr>
            <w:tcW w:w="1843" w:type="dxa"/>
            <w:tcBorders>
              <w:top w:val="nil"/>
              <w:left w:val="nil"/>
              <w:bottom w:val="nil"/>
              <w:right w:val="nil"/>
            </w:tcBorders>
            <w:noWrap/>
            <w:vAlign w:val="bottom"/>
          </w:tcPr>
          <w:p w14:paraId="2DF90A6E" w14:textId="77777777" w:rsidR="00716611" w:rsidRPr="00225C7E" w:rsidRDefault="00716611" w:rsidP="00B06352">
            <w:pPr>
              <w:pStyle w:val="MRLValue"/>
              <w:rPr>
                <w:rFonts w:ascii="Arial" w:hAnsi="Arial" w:cs="Arial"/>
                <w:bCs/>
                <w:color w:val="0000FF"/>
                <w:sz w:val="18"/>
                <w:szCs w:val="18"/>
              </w:rPr>
            </w:pPr>
            <w:r w:rsidRPr="00B068A4">
              <w:rPr>
                <w:rFonts w:ascii="Arial" w:hAnsi="Arial" w:cs="Arial"/>
                <w:sz w:val="18"/>
                <w:szCs w:val="18"/>
              </w:rPr>
              <w:t>T*0.001</w:t>
            </w:r>
          </w:p>
        </w:tc>
      </w:tr>
      <w:tr w:rsidR="00716611" w:rsidRPr="00091990" w14:paraId="0399537C" w14:textId="77777777" w:rsidTr="006F78D3">
        <w:trPr>
          <w:cantSplit/>
        </w:trPr>
        <w:tc>
          <w:tcPr>
            <w:tcW w:w="2387" w:type="dxa"/>
            <w:tcBorders>
              <w:top w:val="nil"/>
              <w:left w:val="nil"/>
              <w:bottom w:val="nil"/>
              <w:right w:val="nil"/>
            </w:tcBorders>
            <w:noWrap/>
            <w:vAlign w:val="bottom"/>
          </w:tcPr>
          <w:p w14:paraId="35BEDA4C" w14:textId="77777777" w:rsidR="00716611" w:rsidRPr="00D11E1F" w:rsidRDefault="00716611" w:rsidP="00B06352">
            <w:pPr>
              <w:pStyle w:val="MRLCompound"/>
              <w:rPr>
                <w:rFonts w:ascii="Arial" w:hAnsi="Arial" w:cs="Arial"/>
                <w:sz w:val="18"/>
              </w:rPr>
            </w:pPr>
            <w:r w:rsidRPr="00B068A4">
              <w:rPr>
                <w:rFonts w:ascii="Arial" w:hAnsi="Arial" w:cs="Arial"/>
                <w:sz w:val="18"/>
                <w:szCs w:val="18"/>
              </w:rPr>
              <w:t>MM 0818</w:t>
            </w:r>
          </w:p>
        </w:tc>
        <w:tc>
          <w:tcPr>
            <w:tcW w:w="5528" w:type="dxa"/>
            <w:tcBorders>
              <w:top w:val="nil"/>
              <w:left w:val="nil"/>
              <w:bottom w:val="nil"/>
              <w:right w:val="nil"/>
            </w:tcBorders>
            <w:noWrap/>
            <w:vAlign w:val="bottom"/>
          </w:tcPr>
          <w:p w14:paraId="75C974C4" w14:textId="77777777" w:rsidR="00716611" w:rsidRPr="00D11E1F" w:rsidRDefault="00716611" w:rsidP="00B06352">
            <w:pPr>
              <w:pStyle w:val="MRLTableText"/>
              <w:rPr>
                <w:rFonts w:ascii="Arial" w:hAnsi="Arial" w:cs="Arial"/>
                <w:sz w:val="18"/>
              </w:rPr>
            </w:pPr>
            <w:r w:rsidRPr="00B068A4">
              <w:rPr>
                <w:rFonts w:ascii="Arial" w:hAnsi="Arial" w:cs="Arial"/>
                <w:sz w:val="18"/>
                <w:szCs w:val="18"/>
              </w:rPr>
              <w:t>Pig meat</w:t>
            </w:r>
          </w:p>
        </w:tc>
        <w:tc>
          <w:tcPr>
            <w:tcW w:w="1843" w:type="dxa"/>
            <w:tcBorders>
              <w:top w:val="nil"/>
              <w:left w:val="nil"/>
              <w:bottom w:val="nil"/>
              <w:right w:val="nil"/>
            </w:tcBorders>
            <w:noWrap/>
            <w:vAlign w:val="bottom"/>
          </w:tcPr>
          <w:p w14:paraId="4C917744" w14:textId="77777777" w:rsidR="00716611" w:rsidRPr="00D11E1F" w:rsidRDefault="00716611" w:rsidP="00B06352">
            <w:pPr>
              <w:pStyle w:val="MRLValue"/>
              <w:rPr>
                <w:rFonts w:ascii="Arial" w:hAnsi="Arial" w:cs="Arial"/>
                <w:sz w:val="18"/>
              </w:rPr>
            </w:pPr>
            <w:r w:rsidRPr="00B068A4">
              <w:rPr>
                <w:rFonts w:ascii="Arial" w:hAnsi="Arial" w:cs="Arial"/>
                <w:sz w:val="18"/>
                <w:szCs w:val="18"/>
              </w:rPr>
              <w:t>T*0.001</w:t>
            </w:r>
          </w:p>
        </w:tc>
      </w:tr>
      <w:tr w:rsidR="00716611" w:rsidRPr="00091990" w14:paraId="0B2D7CD1" w14:textId="77777777" w:rsidTr="006F78D3">
        <w:trPr>
          <w:cantSplit/>
        </w:trPr>
        <w:tc>
          <w:tcPr>
            <w:tcW w:w="2387" w:type="dxa"/>
            <w:tcBorders>
              <w:top w:val="nil"/>
              <w:left w:val="nil"/>
              <w:bottom w:val="nil"/>
              <w:right w:val="nil"/>
            </w:tcBorders>
            <w:noWrap/>
            <w:vAlign w:val="bottom"/>
          </w:tcPr>
          <w:p w14:paraId="2C245F1D" w14:textId="77777777" w:rsidR="00716611" w:rsidRPr="00D11E1F" w:rsidRDefault="00716611" w:rsidP="00B06352">
            <w:pPr>
              <w:pStyle w:val="MRLCompound"/>
              <w:rPr>
                <w:rFonts w:ascii="Arial" w:hAnsi="Arial" w:cs="Arial"/>
                <w:sz w:val="18"/>
              </w:rPr>
            </w:pPr>
            <w:r w:rsidRPr="00B068A4">
              <w:rPr>
                <w:rFonts w:ascii="Arial" w:hAnsi="Arial" w:cs="Arial"/>
                <w:sz w:val="18"/>
                <w:szCs w:val="18"/>
              </w:rPr>
              <w:t>MO 0818</w:t>
            </w:r>
          </w:p>
        </w:tc>
        <w:tc>
          <w:tcPr>
            <w:tcW w:w="5528" w:type="dxa"/>
            <w:tcBorders>
              <w:top w:val="nil"/>
              <w:left w:val="nil"/>
              <w:bottom w:val="nil"/>
              <w:right w:val="nil"/>
            </w:tcBorders>
            <w:noWrap/>
            <w:vAlign w:val="bottom"/>
          </w:tcPr>
          <w:p w14:paraId="0A61B5AD" w14:textId="77777777" w:rsidR="00716611" w:rsidRPr="00D11E1F" w:rsidRDefault="00716611" w:rsidP="00B06352">
            <w:pPr>
              <w:pStyle w:val="MRLTableText"/>
              <w:rPr>
                <w:rFonts w:ascii="Arial" w:hAnsi="Arial" w:cs="Arial"/>
                <w:sz w:val="18"/>
              </w:rPr>
            </w:pPr>
            <w:r w:rsidRPr="00B068A4">
              <w:rPr>
                <w:rFonts w:ascii="Arial" w:hAnsi="Arial" w:cs="Arial"/>
                <w:sz w:val="18"/>
                <w:szCs w:val="18"/>
              </w:rPr>
              <w:t>Pig, edible offal of {except Liver}</w:t>
            </w:r>
          </w:p>
        </w:tc>
        <w:tc>
          <w:tcPr>
            <w:tcW w:w="1843" w:type="dxa"/>
            <w:tcBorders>
              <w:top w:val="nil"/>
              <w:left w:val="nil"/>
              <w:bottom w:val="nil"/>
              <w:right w:val="nil"/>
            </w:tcBorders>
            <w:noWrap/>
            <w:vAlign w:val="bottom"/>
          </w:tcPr>
          <w:p w14:paraId="61837507" w14:textId="77777777" w:rsidR="00716611" w:rsidRPr="00D11E1F" w:rsidRDefault="00716611" w:rsidP="00B06352">
            <w:pPr>
              <w:pStyle w:val="MRLValue"/>
              <w:rPr>
                <w:rFonts w:ascii="Arial" w:hAnsi="Arial" w:cs="Arial"/>
                <w:sz w:val="18"/>
              </w:rPr>
            </w:pPr>
            <w:r w:rsidRPr="00B068A4">
              <w:rPr>
                <w:rFonts w:ascii="Arial" w:hAnsi="Arial" w:cs="Arial"/>
                <w:sz w:val="18"/>
                <w:szCs w:val="18"/>
              </w:rPr>
              <w:t>T0.003</w:t>
            </w:r>
          </w:p>
        </w:tc>
      </w:tr>
      <w:tr w:rsidR="00716611" w:rsidRPr="00091990" w14:paraId="39F19F1C" w14:textId="77777777" w:rsidTr="006F78D3">
        <w:trPr>
          <w:cantSplit/>
        </w:trPr>
        <w:tc>
          <w:tcPr>
            <w:tcW w:w="2387" w:type="dxa"/>
            <w:tcBorders>
              <w:top w:val="nil"/>
              <w:left w:val="nil"/>
              <w:bottom w:val="nil"/>
              <w:right w:val="nil"/>
            </w:tcBorders>
            <w:noWrap/>
            <w:vAlign w:val="bottom"/>
          </w:tcPr>
          <w:p w14:paraId="6B1A0749" w14:textId="77777777" w:rsidR="00716611" w:rsidRPr="00D11E1F" w:rsidRDefault="00716611" w:rsidP="00B06352">
            <w:pPr>
              <w:pStyle w:val="MRLCompound"/>
              <w:rPr>
                <w:rFonts w:ascii="Arial" w:hAnsi="Arial" w:cs="Arial"/>
                <w:sz w:val="18"/>
              </w:rPr>
            </w:pPr>
            <w:r w:rsidRPr="00B068A4">
              <w:rPr>
                <w:rFonts w:ascii="Arial" w:hAnsi="Arial" w:cs="Arial"/>
                <w:sz w:val="18"/>
                <w:szCs w:val="18"/>
              </w:rPr>
              <w:t>MO 1285</w:t>
            </w:r>
          </w:p>
        </w:tc>
        <w:tc>
          <w:tcPr>
            <w:tcW w:w="5528" w:type="dxa"/>
            <w:tcBorders>
              <w:top w:val="nil"/>
              <w:left w:val="nil"/>
              <w:bottom w:val="nil"/>
              <w:right w:val="nil"/>
            </w:tcBorders>
            <w:noWrap/>
            <w:vAlign w:val="bottom"/>
          </w:tcPr>
          <w:p w14:paraId="60965F8C" w14:textId="77777777" w:rsidR="00716611" w:rsidRPr="00D11E1F" w:rsidRDefault="00716611" w:rsidP="00B06352">
            <w:pPr>
              <w:pStyle w:val="MRLTableText"/>
              <w:rPr>
                <w:rFonts w:ascii="Arial" w:hAnsi="Arial" w:cs="Arial"/>
                <w:sz w:val="18"/>
              </w:rPr>
            </w:pPr>
            <w:r w:rsidRPr="00B068A4">
              <w:rPr>
                <w:rFonts w:ascii="Arial" w:hAnsi="Arial" w:cs="Arial"/>
                <w:sz w:val="18"/>
                <w:szCs w:val="18"/>
              </w:rPr>
              <w:t>Pig, liver</w:t>
            </w:r>
          </w:p>
        </w:tc>
        <w:tc>
          <w:tcPr>
            <w:tcW w:w="1843" w:type="dxa"/>
            <w:tcBorders>
              <w:top w:val="nil"/>
              <w:left w:val="nil"/>
              <w:bottom w:val="nil"/>
              <w:right w:val="nil"/>
            </w:tcBorders>
            <w:noWrap/>
            <w:vAlign w:val="bottom"/>
          </w:tcPr>
          <w:p w14:paraId="03DC6A96" w14:textId="77777777" w:rsidR="00716611" w:rsidRPr="00D11E1F" w:rsidRDefault="00716611" w:rsidP="00B06352">
            <w:pPr>
              <w:pStyle w:val="MRLValue"/>
              <w:rPr>
                <w:rFonts w:ascii="Arial" w:hAnsi="Arial" w:cs="Arial"/>
                <w:sz w:val="18"/>
              </w:rPr>
            </w:pPr>
            <w:r w:rsidRPr="00B068A4">
              <w:rPr>
                <w:rFonts w:ascii="Arial" w:hAnsi="Arial" w:cs="Arial"/>
                <w:sz w:val="18"/>
                <w:szCs w:val="18"/>
              </w:rPr>
              <w:t>T0.004</w:t>
            </w:r>
          </w:p>
        </w:tc>
      </w:tr>
      <w:tr w:rsidR="00716611" w:rsidRPr="00091990" w14:paraId="14147638" w14:textId="77777777" w:rsidTr="006F78D3">
        <w:trPr>
          <w:cantSplit/>
        </w:trPr>
        <w:tc>
          <w:tcPr>
            <w:tcW w:w="2387" w:type="dxa"/>
            <w:tcBorders>
              <w:top w:val="nil"/>
              <w:left w:val="nil"/>
              <w:bottom w:val="nil"/>
              <w:right w:val="nil"/>
            </w:tcBorders>
            <w:noWrap/>
            <w:vAlign w:val="bottom"/>
          </w:tcPr>
          <w:p w14:paraId="0571CBDE" w14:textId="77777777" w:rsidR="00716611" w:rsidRPr="00B068A4" w:rsidRDefault="00716611" w:rsidP="00B06352">
            <w:pPr>
              <w:pStyle w:val="MRLCompound"/>
              <w:ind w:left="0"/>
              <w:jc w:val="both"/>
              <w:rPr>
                <w:rFonts w:ascii="Arial" w:hAnsi="Arial" w:cs="Arial"/>
                <w:sz w:val="18"/>
                <w:szCs w:val="18"/>
              </w:rPr>
            </w:pPr>
            <w:r w:rsidRPr="007049FF">
              <w:rPr>
                <w:rFonts w:ascii="Arial" w:hAnsi="Arial" w:cs="Arial"/>
                <w:b/>
                <w:bCs/>
                <w:sz w:val="18"/>
              </w:rPr>
              <w:t>Warfarin</w:t>
            </w:r>
          </w:p>
        </w:tc>
        <w:tc>
          <w:tcPr>
            <w:tcW w:w="5528" w:type="dxa"/>
            <w:tcBorders>
              <w:top w:val="nil"/>
              <w:left w:val="nil"/>
              <w:bottom w:val="nil"/>
              <w:right w:val="nil"/>
            </w:tcBorders>
            <w:noWrap/>
            <w:vAlign w:val="bottom"/>
          </w:tcPr>
          <w:p w14:paraId="79A6BD31" w14:textId="77777777" w:rsidR="00716611" w:rsidRPr="00B068A4" w:rsidRDefault="00716611" w:rsidP="00B06352">
            <w:pPr>
              <w:pStyle w:val="MRLTableText"/>
              <w:rPr>
                <w:rFonts w:ascii="Arial" w:hAnsi="Arial" w:cs="Arial"/>
                <w:sz w:val="18"/>
                <w:szCs w:val="18"/>
              </w:rPr>
            </w:pPr>
          </w:p>
        </w:tc>
        <w:tc>
          <w:tcPr>
            <w:tcW w:w="1843" w:type="dxa"/>
            <w:tcBorders>
              <w:top w:val="nil"/>
              <w:left w:val="nil"/>
              <w:bottom w:val="nil"/>
              <w:right w:val="nil"/>
            </w:tcBorders>
            <w:noWrap/>
            <w:vAlign w:val="bottom"/>
          </w:tcPr>
          <w:p w14:paraId="0CB4EDD3" w14:textId="77777777" w:rsidR="00716611" w:rsidRPr="00B068A4" w:rsidRDefault="00716611" w:rsidP="00B06352">
            <w:pPr>
              <w:pStyle w:val="MRLValue"/>
              <w:rPr>
                <w:rFonts w:ascii="Arial" w:hAnsi="Arial" w:cs="Arial"/>
                <w:sz w:val="18"/>
                <w:szCs w:val="18"/>
              </w:rPr>
            </w:pPr>
          </w:p>
        </w:tc>
      </w:tr>
      <w:tr w:rsidR="00716611" w:rsidRPr="00091990" w14:paraId="1DB96E20" w14:textId="77777777" w:rsidTr="006F78D3">
        <w:trPr>
          <w:cantSplit/>
        </w:trPr>
        <w:tc>
          <w:tcPr>
            <w:tcW w:w="2387" w:type="dxa"/>
            <w:tcBorders>
              <w:top w:val="nil"/>
              <w:left w:val="nil"/>
              <w:bottom w:val="nil"/>
              <w:right w:val="nil"/>
            </w:tcBorders>
            <w:noWrap/>
          </w:tcPr>
          <w:p w14:paraId="70080F84" w14:textId="77777777" w:rsidR="00716611" w:rsidRPr="007049FF" w:rsidRDefault="00716611" w:rsidP="00B06352">
            <w:pPr>
              <w:pStyle w:val="MRLCompound"/>
              <w:ind w:left="0"/>
              <w:rPr>
                <w:rFonts w:ascii="Arial" w:hAnsi="Arial" w:cs="Arial"/>
                <w:b/>
                <w:bCs/>
                <w:sz w:val="18"/>
              </w:rPr>
            </w:pPr>
            <w:r w:rsidRPr="00EC74B1">
              <w:rPr>
                <w:rFonts w:ascii="Arial" w:hAnsi="Arial" w:cs="Arial"/>
                <w:sz w:val="18"/>
                <w:szCs w:val="18"/>
              </w:rPr>
              <w:t>DELETE:</w:t>
            </w:r>
          </w:p>
        </w:tc>
        <w:tc>
          <w:tcPr>
            <w:tcW w:w="5528" w:type="dxa"/>
            <w:tcBorders>
              <w:top w:val="nil"/>
              <w:left w:val="nil"/>
              <w:bottom w:val="nil"/>
              <w:right w:val="nil"/>
            </w:tcBorders>
            <w:noWrap/>
          </w:tcPr>
          <w:p w14:paraId="00483E9B" w14:textId="77777777" w:rsidR="00716611" w:rsidRPr="00D11E1F" w:rsidRDefault="00716611" w:rsidP="00B06352">
            <w:pPr>
              <w:pStyle w:val="MRLTableText"/>
              <w:rPr>
                <w:rFonts w:ascii="Arial" w:hAnsi="Arial" w:cs="Arial"/>
                <w:sz w:val="18"/>
              </w:rPr>
            </w:pPr>
          </w:p>
        </w:tc>
        <w:tc>
          <w:tcPr>
            <w:tcW w:w="1843" w:type="dxa"/>
            <w:tcBorders>
              <w:top w:val="nil"/>
              <w:left w:val="nil"/>
              <w:bottom w:val="nil"/>
              <w:right w:val="nil"/>
            </w:tcBorders>
            <w:noWrap/>
          </w:tcPr>
          <w:p w14:paraId="6E967954" w14:textId="77777777" w:rsidR="00716611" w:rsidRPr="00D11E1F" w:rsidRDefault="00716611" w:rsidP="00B06352">
            <w:pPr>
              <w:pStyle w:val="MRLValue"/>
              <w:rPr>
                <w:rFonts w:ascii="Arial" w:hAnsi="Arial" w:cs="Arial"/>
                <w:sz w:val="18"/>
              </w:rPr>
            </w:pPr>
          </w:p>
        </w:tc>
      </w:tr>
      <w:tr w:rsidR="00716611" w:rsidRPr="00091990" w14:paraId="5E1BFFD6" w14:textId="77777777" w:rsidTr="006F78D3">
        <w:trPr>
          <w:cantSplit/>
        </w:trPr>
        <w:tc>
          <w:tcPr>
            <w:tcW w:w="2387" w:type="dxa"/>
            <w:tcBorders>
              <w:top w:val="nil"/>
              <w:left w:val="nil"/>
              <w:bottom w:val="nil"/>
              <w:right w:val="nil"/>
            </w:tcBorders>
            <w:noWrap/>
            <w:vAlign w:val="bottom"/>
          </w:tcPr>
          <w:p w14:paraId="6DC284FC" w14:textId="77777777" w:rsidR="00716611" w:rsidRPr="00091990" w:rsidRDefault="00716611" w:rsidP="00B06352">
            <w:pPr>
              <w:pStyle w:val="MRLCompound"/>
              <w:rPr>
                <w:rFonts w:ascii="Arial" w:hAnsi="Arial" w:cs="Arial"/>
                <w:color w:val="BD3632" w:themeColor="accent6"/>
                <w:sz w:val="18"/>
                <w:szCs w:val="18"/>
              </w:rPr>
            </w:pPr>
            <w:r>
              <w:rPr>
                <w:rFonts w:ascii="Arial" w:hAnsi="Arial" w:cs="Arial"/>
                <w:color w:val="000000"/>
                <w:sz w:val="18"/>
                <w:szCs w:val="18"/>
              </w:rPr>
              <w:t>MO 0818</w:t>
            </w:r>
          </w:p>
        </w:tc>
        <w:tc>
          <w:tcPr>
            <w:tcW w:w="5528" w:type="dxa"/>
            <w:tcBorders>
              <w:top w:val="nil"/>
              <w:left w:val="nil"/>
              <w:bottom w:val="nil"/>
              <w:right w:val="nil"/>
            </w:tcBorders>
            <w:noWrap/>
            <w:vAlign w:val="bottom"/>
          </w:tcPr>
          <w:p w14:paraId="5A749CB3" w14:textId="77777777" w:rsidR="00716611" w:rsidRPr="00091990" w:rsidRDefault="00716611" w:rsidP="00B06352">
            <w:pPr>
              <w:pStyle w:val="MRLTableText"/>
              <w:rPr>
                <w:rFonts w:ascii="Arial" w:hAnsi="Arial" w:cs="Arial"/>
                <w:color w:val="BD3632" w:themeColor="accent6"/>
                <w:sz w:val="18"/>
                <w:szCs w:val="18"/>
              </w:rPr>
            </w:pPr>
            <w:r>
              <w:rPr>
                <w:rFonts w:ascii="Arial" w:hAnsi="Arial" w:cs="Arial"/>
                <w:color w:val="000000"/>
                <w:sz w:val="18"/>
                <w:szCs w:val="18"/>
              </w:rPr>
              <w:t>Pig, edible offal of {except Liver}</w:t>
            </w:r>
          </w:p>
        </w:tc>
        <w:tc>
          <w:tcPr>
            <w:tcW w:w="1843" w:type="dxa"/>
            <w:tcBorders>
              <w:top w:val="nil"/>
              <w:left w:val="nil"/>
              <w:bottom w:val="nil"/>
              <w:right w:val="nil"/>
            </w:tcBorders>
            <w:noWrap/>
            <w:vAlign w:val="bottom"/>
          </w:tcPr>
          <w:p w14:paraId="46AC6142" w14:textId="77777777" w:rsidR="00716611" w:rsidRPr="00091990" w:rsidRDefault="00716611" w:rsidP="00B06352">
            <w:pPr>
              <w:pStyle w:val="MRLValue"/>
              <w:rPr>
                <w:rFonts w:ascii="Arial" w:hAnsi="Arial" w:cs="Arial"/>
                <w:color w:val="BD3632" w:themeColor="accent6"/>
                <w:sz w:val="18"/>
                <w:szCs w:val="18"/>
              </w:rPr>
            </w:pPr>
            <w:r>
              <w:rPr>
                <w:rFonts w:ascii="Arial" w:hAnsi="Arial" w:cs="Arial"/>
                <w:color w:val="000000"/>
                <w:sz w:val="18"/>
                <w:szCs w:val="18"/>
              </w:rPr>
              <w:t>T0.007</w:t>
            </w:r>
          </w:p>
        </w:tc>
      </w:tr>
      <w:tr w:rsidR="00716611" w:rsidRPr="00091990" w14:paraId="4DCE8820" w14:textId="77777777" w:rsidTr="006F78D3">
        <w:trPr>
          <w:cantSplit/>
        </w:trPr>
        <w:tc>
          <w:tcPr>
            <w:tcW w:w="2387" w:type="dxa"/>
            <w:tcBorders>
              <w:top w:val="nil"/>
              <w:left w:val="nil"/>
              <w:right w:val="nil"/>
            </w:tcBorders>
            <w:noWrap/>
            <w:vAlign w:val="bottom"/>
          </w:tcPr>
          <w:p w14:paraId="73328CEE" w14:textId="77777777" w:rsidR="00716611" w:rsidRPr="00225C7E" w:rsidRDefault="00716611" w:rsidP="00B06352">
            <w:pPr>
              <w:pStyle w:val="MRLCompound"/>
              <w:rPr>
                <w:rFonts w:ascii="Arial" w:hAnsi="Arial" w:cs="Arial"/>
                <w:color w:val="0000FF"/>
                <w:sz w:val="18"/>
                <w:szCs w:val="18"/>
              </w:rPr>
            </w:pPr>
            <w:r>
              <w:rPr>
                <w:rFonts w:ascii="Arial" w:hAnsi="Arial" w:cs="Arial"/>
                <w:color w:val="000000"/>
                <w:sz w:val="18"/>
                <w:szCs w:val="18"/>
              </w:rPr>
              <w:t>MF 0818</w:t>
            </w:r>
          </w:p>
        </w:tc>
        <w:tc>
          <w:tcPr>
            <w:tcW w:w="5528" w:type="dxa"/>
            <w:tcBorders>
              <w:top w:val="nil"/>
              <w:left w:val="nil"/>
              <w:right w:val="nil"/>
            </w:tcBorders>
            <w:noWrap/>
            <w:vAlign w:val="bottom"/>
          </w:tcPr>
          <w:p w14:paraId="75557EA5" w14:textId="77777777" w:rsidR="00716611" w:rsidRPr="00225C7E" w:rsidRDefault="00716611" w:rsidP="00B06352">
            <w:pPr>
              <w:pStyle w:val="MRLTableText"/>
              <w:rPr>
                <w:rFonts w:ascii="Arial" w:hAnsi="Arial" w:cs="Arial"/>
                <w:bCs/>
                <w:color w:val="0000FF"/>
                <w:sz w:val="18"/>
                <w:szCs w:val="18"/>
                <w:lang w:val="en-US"/>
              </w:rPr>
            </w:pPr>
            <w:r>
              <w:rPr>
                <w:rFonts w:ascii="Arial" w:hAnsi="Arial" w:cs="Arial"/>
                <w:color w:val="000000"/>
                <w:sz w:val="18"/>
                <w:szCs w:val="18"/>
              </w:rPr>
              <w:t>Pig fat</w:t>
            </w:r>
          </w:p>
        </w:tc>
        <w:tc>
          <w:tcPr>
            <w:tcW w:w="1843" w:type="dxa"/>
            <w:tcBorders>
              <w:top w:val="nil"/>
              <w:left w:val="nil"/>
              <w:right w:val="nil"/>
            </w:tcBorders>
            <w:noWrap/>
            <w:vAlign w:val="bottom"/>
          </w:tcPr>
          <w:p w14:paraId="6BE86744" w14:textId="77777777" w:rsidR="00716611" w:rsidRPr="00225C7E" w:rsidRDefault="00716611" w:rsidP="00B06352">
            <w:pPr>
              <w:pStyle w:val="MRLValue"/>
              <w:rPr>
                <w:rFonts w:ascii="Arial" w:hAnsi="Arial" w:cs="Arial"/>
                <w:bCs/>
                <w:color w:val="0000FF"/>
                <w:sz w:val="18"/>
                <w:szCs w:val="18"/>
              </w:rPr>
            </w:pPr>
            <w:r>
              <w:rPr>
                <w:rFonts w:ascii="Arial" w:hAnsi="Arial" w:cs="Arial"/>
                <w:color w:val="000000"/>
                <w:sz w:val="18"/>
                <w:szCs w:val="18"/>
              </w:rPr>
              <w:t>T0.007</w:t>
            </w:r>
          </w:p>
        </w:tc>
      </w:tr>
      <w:tr w:rsidR="00716611" w:rsidRPr="00091990" w14:paraId="252A25E5" w14:textId="77777777" w:rsidTr="006F78D3">
        <w:trPr>
          <w:cantSplit/>
        </w:trPr>
        <w:tc>
          <w:tcPr>
            <w:tcW w:w="2387" w:type="dxa"/>
            <w:tcBorders>
              <w:top w:val="nil"/>
              <w:left w:val="nil"/>
              <w:right w:val="nil"/>
            </w:tcBorders>
            <w:noWrap/>
            <w:vAlign w:val="bottom"/>
          </w:tcPr>
          <w:p w14:paraId="0749072D" w14:textId="77777777" w:rsidR="00716611" w:rsidRPr="00225C7E" w:rsidRDefault="00716611" w:rsidP="00B06352">
            <w:pPr>
              <w:pStyle w:val="MRLCompound"/>
              <w:rPr>
                <w:rFonts w:ascii="Arial" w:hAnsi="Arial" w:cs="Arial"/>
                <w:color w:val="0000FF"/>
                <w:sz w:val="18"/>
                <w:szCs w:val="18"/>
              </w:rPr>
            </w:pPr>
            <w:r>
              <w:rPr>
                <w:rFonts w:ascii="Arial" w:hAnsi="Arial" w:cs="Arial"/>
                <w:color w:val="000000"/>
                <w:sz w:val="18"/>
                <w:szCs w:val="18"/>
              </w:rPr>
              <w:t>MO 1285</w:t>
            </w:r>
          </w:p>
        </w:tc>
        <w:tc>
          <w:tcPr>
            <w:tcW w:w="5528" w:type="dxa"/>
            <w:tcBorders>
              <w:top w:val="nil"/>
              <w:left w:val="nil"/>
              <w:right w:val="nil"/>
            </w:tcBorders>
            <w:noWrap/>
            <w:vAlign w:val="bottom"/>
          </w:tcPr>
          <w:p w14:paraId="17A4EAC5" w14:textId="77777777" w:rsidR="00716611" w:rsidRPr="00225C7E" w:rsidRDefault="00716611" w:rsidP="00B06352">
            <w:pPr>
              <w:pStyle w:val="MRLTableText"/>
              <w:rPr>
                <w:rFonts w:ascii="Arial" w:hAnsi="Arial" w:cs="Arial"/>
                <w:bCs/>
                <w:color w:val="0000FF"/>
                <w:sz w:val="18"/>
                <w:szCs w:val="18"/>
                <w:lang w:val="en-US"/>
              </w:rPr>
            </w:pPr>
            <w:r>
              <w:rPr>
                <w:rFonts w:ascii="Arial" w:hAnsi="Arial" w:cs="Arial"/>
                <w:color w:val="000000"/>
                <w:sz w:val="18"/>
                <w:szCs w:val="18"/>
              </w:rPr>
              <w:t>Pig, liver</w:t>
            </w:r>
          </w:p>
        </w:tc>
        <w:tc>
          <w:tcPr>
            <w:tcW w:w="1843" w:type="dxa"/>
            <w:tcBorders>
              <w:top w:val="nil"/>
              <w:left w:val="nil"/>
              <w:right w:val="nil"/>
            </w:tcBorders>
            <w:noWrap/>
            <w:vAlign w:val="bottom"/>
          </w:tcPr>
          <w:p w14:paraId="2CCF3B7E" w14:textId="77777777" w:rsidR="00716611" w:rsidRPr="00225C7E" w:rsidRDefault="00716611" w:rsidP="00B06352">
            <w:pPr>
              <w:pStyle w:val="MRLValue"/>
              <w:rPr>
                <w:rFonts w:ascii="Arial" w:hAnsi="Arial" w:cs="Arial"/>
                <w:bCs/>
                <w:color w:val="0000FF"/>
                <w:sz w:val="18"/>
                <w:szCs w:val="18"/>
              </w:rPr>
            </w:pPr>
            <w:r>
              <w:rPr>
                <w:rFonts w:ascii="Arial" w:hAnsi="Arial" w:cs="Arial"/>
                <w:color w:val="000000"/>
                <w:sz w:val="18"/>
                <w:szCs w:val="18"/>
              </w:rPr>
              <w:t>T0.04</w:t>
            </w:r>
          </w:p>
        </w:tc>
      </w:tr>
      <w:tr w:rsidR="00716611" w:rsidRPr="00091990" w14:paraId="277143A1" w14:textId="77777777" w:rsidTr="006F78D3">
        <w:trPr>
          <w:cantSplit/>
        </w:trPr>
        <w:tc>
          <w:tcPr>
            <w:tcW w:w="2387" w:type="dxa"/>
            <w:tcBorders>
              <w:top w:val="nil"/>
              <w:left w:val="nil"/>
              <w:bottom w:val="single" w:sz="4" w:space="0" w:color="auto"/>
              <w:right w:val="nil"/>
            </w:tcBorders>
            <w:noWrap/>
            <w:vAlign w:val="bottom"/>
          </w:tcPr>
          <w:p w14:paraId="5CFC82DA" w14:textId="77777777" w:rsidR="00716611" w:rsidRPr="00225C7E" w:rsidRDefault="00716611" w:rsidP="00B06352">
            <w:pPr>
              <w:pStyle w:val="MRLCompound"/>
              <w:rPr>
                <w:rFonts w:ascii="Arial" w:hAnsi="Arial" w:cs="Arial"/>
                <w:color w:val="0000FF"/>
                <w:sz w:val="18"/>
                <w:szCs w:val="18"/>
              </w:rPr>
            </w:pPr>
            <w:r>
              <w:rPr>
                <w:rFonts w:ascii="Arial" w:hAnsi="Arial" w:cs="Arial"/>
                <w:color w:val="000000"/>
                <w:sz w:val="18"/>
                <w:szCs w:val="18"/>
              </w:rPr>
              <w:t>MM 0818</w:t>
            </w:r>
          </w:p>
        </w:tc>
        <w:tc>
          <w:tcPr>
            <w:tcW w:w="5528" w:type="dxa"/>
            <w:tcBorders>
              <w:top w:val="nil"/>
              <w:left w:val="nil"/>
              <w:bottom w:val="single" w:sz="4" w:space="0" w:color="auto"/>
              <w:right w:val="nil"/>
            </w:tcBorders>
            <w:noWrap/>
            <w:vAlign w:val="bottom"/>
          </w:tcPr>
          <w:p w14:paraId="5E34DC08" w14:textId="77777777" w:rsidR="00716611" w:rsidRPr="00225C7E" w:rsidRDefault="00716611" w:rsidP="00B06352">
            <w:pPr>
              <w:pStyle w:val="MRLTableText"/>
              <w:rPr>
                <w:rFonts w:ascii="Arial" w:hAnsi="Arial" w:cs="Arial"/>
                <w:bCs/>
                <w:color w:val="0000FF"/>
                <w:sz w:val="18"/>
                <w:szCs w:val="18"/>
                <w:lang w:val="en-US"/>
              </w:rPr>
            </w:pPr>
            <w:r>
              <w:rPr>
                <w:rFonts w:ascii="Arial" w:hAnsi="Arial" w:cs="Arial"/>
                <w:color w:val="000000"/>
                <w:sz w:val="18"/>
                <w:szCs w:val="18"/>
              </w:rPr>
              <w:t>Pig meat</w:t>
            </w:r>
          </w:p>
        </w:tc>
        <w:tc>
          <w:tcPr>
            <w:tcW w:w="1843" w:type="dxa"/>
            <w:tcBorders>
              <w:top w:val="nil"/>
              <w:left w:val="nil"/>
              <w:bottom w:val="single" w:sz="4" w:space="0" w:color="auto"/>
              <w:right w:val="nil"/>
            </w:tcBorders>
            <w:noWrap/>
            <w:vAlign w:val="bottom"/>
          </w:tcPr>
          <w:p w14:paraId="2CE9FBE5" w14:textId="77777777" w:rsidR="00716611" w:rsidRPr="00225C7E" w:rsidRDefault="00716611" w:rsidP="00B06352">
            <w:pPr>
              <w:pStyle w:val="MRLValue"/>
              <w:rPr>
                <w:rFonts w:ascii="Arial" w:hAnsi="Arial" w:cs="Arial"/>
                <w:bCs/>
                <w:color w:val="0000FF"/>
                <w:sz w:val="18"/>
                <w:szCs w:val="18"/>
              </w:rPr>
            </w:pPr>
            <w:r>
              <w:rPr>
                <w:rFonts w:ascii="Arial" w:hAnsi="Arial" w:cs="Arial"/>
                <w:color w:val="000000"/>
                <w:sz w:val="18"/>
                <w:szCs w:val="18"/>
              </w:rPr>
              <w:t>T0.007</w:t>
            </w:r>
          </w:p>
        </w:tc>
      </w:tr>
    </w:tbl>
    <w:p w14:paraId="3F3C3D3F" w14:textId="77777777" w:rsidR="00716611" w:rsidRPr="00FF1F2D" w:rsidRDefault="00716611" w:rsidP="00716611">
      <w:pPr>
        <w:pStyle w:val="BodyText"/>
      </w:pPr>
    </w:p>
    <w:p w14:paraId="154F53F8" w14:textId="5B3E97F1" w:rsidR="0080722D" w:rsidRPr="00B06659" w:rsidRDefault="0080722D" w:rsidP="0080722D">
      <w:pPr>
        <w:rPr>
          <w:rFonts w:ascii="Arial" w:hAnsi="Arial" w:cs="Arial"/>
          <w:i/>
          <w:iCs/>
          <w:kern w:val="20"/>
          <w:sz w:val="19"/>
          <w:u w:color="000000"/>
        </w:rPr>
      </w:pPr>
      <w:r w:rsidRPr="00B06659">
        <w:rPr>
          <w:rFonts w:ascii="Arial" w:hAnsi="Arial" w:cs="Arial"/>
          <w:i/>
          <w:iCs/>
          <w:kern w:val="20"/>
          <w:sz w:val="19"/>
          <w:u w:color="000000"/>
        </w:rPr>
        <w:t xml:space="preserve">Table </w:t>
      </w:r>
      <w:r>
        <w:rPr>
          <w:rFonts w:ascii="Arial" w:hAnsi="Arial" w:cs="Arial"/>
          <w:i/>
          <w:iCs/>
          <w:kern w:val="20"/>
          <w:sz w:val="19"/>
          <w:u w:color="000000"/>
        </w:rPr>
        <w:t>3</w:t>
      </w:r>
      <w:r w:rsidRPr="00B06659">
        <w:rPr>
          <w:rFonts w:ascii="Arial" w:hAnsi="Arial" w:cs="Arial"/>
          <w:i/>
          <w:iCs/>
          <w:kern w:val="20"/>
          <w:sz w:val="19"/>
          <w:u w:color="000000"/>
        </w:rPr>
        <w:t>, Agricultural and Veterinary Chemicals (MRL Standard for Residues of Chemical Products) Instrument 2023</w:t>
      </w:r>
    </w:p>
    <w:tbl>
      <w:tblPr>
        <w:tblW w:w="9688" w:type="dxa"/>
        <w:tblLook w:val="04A0" w:firstRow="1" w:lastRow="0" w:firstColumn="1" w:lastColumn="0" w:noHBand="0" w:noVBand="1"/>
      </w:tblPr>
      <w:tblGrid>
        <w:gridCol w:w="3309"/>
        <w:gridCol w:w="6379"/>
      </w:tblGrid>
      <w:tr w:rsidR="00716611" w:rsidRPr="00091990" w14:paraId="496A0963" w14:textId="77777777" w:rsidTr="006F78D3">
        <w:trPr>
          <w:cantSplit/>
          <w:tblHeader/>
        </w:trPr>
        <w:tc>
          <w:tcPr>
            <w:tcW w:w="3309" w:type="dxa"/>
            <w:tcBorders>
              <w:top w:val="single" w:sz="4" w:space="0" w:color="auto"/>
              <w:left w:val="nil"/>
              <w:bottom w:val="single" w:sz="4" w:space="0" w:color="auto"/>
              <w:right w:val="nil"/>
            </w:tcBorders>
            <w:noWrap/>
          </w:tcPr>
          <w:p w14:paraId="64309121" w14:textId="77777777" w:rsidR="00716611" w:rsidRDefault="00716611" w:rsidP="00B06352">
            <w:pPr>
              <w:pStyle w:val="MRLTableHeading"/>
              <w:rPr>
                <w:rFonts w:ascii="Arial" w:hAnsi="Arial" w:cs="Arial"/>
                <w:sz w:val="18"/>
                <w:szCs w:val="18"/>
              </w:rPr>
            </w:pPr>
            <w:r>
              <w:rPr>
                <w:rFonts w:ascii="Arial" w:hAnsi="Arial" w:cs="Arial"/>
                <w:sz w:val="18"/>
                <w:szCs w:val="18"/>
              </w:rPr>
              <w:lastRenderedPageBreak/>
              <w:t>COMPOUND</w:t>
            </w:r>
          </w:p>
        </w:tc>
        <w:tc>
          <w:tcPr>
            <w:tcW w:w="6379" w:type="dxa"/>
            <w:tcBorders>
              <w:top w:val="single" w:sz="4" w:space="0" w:color="auto"/>
              <w:left w:val="nil"/>
              <w:bottom w:val="single" w:sz="4" w:space="0" w:color="auto"/>
              <w:right w:val="nil"/>
            </w:tcBorders>
            <w:noWrap/>
          </w:tcPr>
          <w:p w14:paraId="363C7BE6" w14:textId="77777777" w:rsidR="00716611" w:rsidRDefault="00716611" w:rsidP="00B06352">
            <w:pPr>
              <w:pStyle w:val="MRLTableHeading"/>
              <w:rPr>
                <w:rFonts w:ascii="Arial" w:hAnsi="Arial" w:cs="Arial"/>
                <w:sz w:val="18"/>
                <w:szCs w:val="18"/>
              </w:rPr>
            </w:pPr>
            <w:r>
              <w:rPr>
                <w:rFonts w:ascii="Arial" w:hAnsi="Arial" w:cs="Arial"/>
                <w:sz w:val="18"/>
                <w:szCs w:val="18"/>
              </w:rPr>
              <w:t>Residue</w:t>
            </w:r>
          </w:p>
        </w:tc>
      </w:tr>
      <w:tr w:rsidR="00716611" w:rsidRPr="00091990" w14:paraId="3092BDE8" w14:textId="77777777" w:rsidTr="006F78D3">
        <w:trPr>
          <w:cantSplit/>
        </w:trPr>
        <w:tc>
          <w:tcPr>
            <w:tcW w:w="3309" w:type="dxa"/>
            <w:tcBorders>
              <w:top w:val="nil"/>
              <w:left w:val="nil"/>
              <w:bottom w:val="nil"/>
              <w:right w:val="nil"/>
            </w:tcBorders>
            <w:noWrap/>
          </w:tcPr>
          <w:p w14:paraId="03F6E4D9" w14:textId="77777777" w:rsidR="00716611" w:rsidRPr="00091990" w:rsidRDefault="00716611" w:rsidP="00B06352">
            <w:pPr>
              <w:pStyle w:val="MRLTableText"/>
              <w:rPr>
                <w:rFonts w:ascii="Arial" w:hAnsi="Arial" w:cs="Arial"/>
                <w:color w:val="BD3632" w:themeColor="accent6"/>
                <w:sz w:val="18"/>
                <w:szCs w:val="18"/>
              </w:rPr>
            </w:pPr>
            <w:r w:rsidRPr="00EC74B1">
              <w:rPr>
                <w:rFonts w:ascii="Arial" w:hAnsi="Arial" w:cs="Arial"/>
                <w:sz w:val="18"/>
                <w:szCs w:val="18"/>
              </w:rPr>
              <w:t>DELETE:</w:t>
            </w:r>
          </w:p>
        </w:tc>
        <w:tc>
          <w:tcPr>
            <w:tcW w:w="6379" w:type="dxa"/>
            <w:tcBorders>
              <w:top w:val="nil"/>
              <w:left w:val="nil"/>
              <w:bottom w:val="nil"/>
              <w:right w:val="nil"/>
            </w:tcBorders>
            <w:noWrap/>
          </w:tcPr>
          <w:p w14:paraId="31B6100E" w14:textId="77777777" w:rsidR="00716611" w:rsidRPr="00091990" w:rsidRDefault="00716611" w:rsidP="00B06352">
            <w:pPr>
              <w:pStyle w:val="MRLTableText"/>
              <w:rPr>
                <w:rFonts w:ascii="Arial" w:hAnsi="Arial" w:cs="Arial"/>
                <w:color w:val="BD3632" w:themeColor="accent6"/>
                <w:sz w:val="18"/>
                <w:szCs w:val="18"/>
              </w:rPr>
            </w:pPr>
          </w:p>
        </w:tc>
      </w:tr>
      <w:tr w:rsidR="00716611" w:rsidRPr="00091990" w14:paraId="59B234A4" w14:textId="77777777" w:rsidTr="006F78D3">
        <w:trPr>
          <w:cantSplit/>
        </w:trPr>
        <w:tc>
          <w:tcPr>
            <w:tcW w:w="3309" w:type="dxa"/>
            <w:tcBorders>
              <w:top w:val="nil"/>
              <w:left w:val="nil"/>
              <w:bottom w:val="nil"/>
              <w:right w:val="nil"/>
            </w:tcBorders>
            <w:noWrap/>
          </w:tcPr>
          <w:p w14:paraId="088C3870" w14:textId="77777777" w:rsidR="00716611" w:rsidRPr="005621D6" w:rsidRDefault="00716611" w:rsidP="00B06352">
            <w:pPr>
              <w:pStyle w:val="MRLCompound"/>
              <w:ind w:left="0"/>
              <w:rPr>
                <w:rFonts w:ascii="Arial" w:hAnsi="Arial" w:cs="Arial"/>
                <w:b/>
                <w:bCs/>
                <w:color w:val="0000FF"/>
                <w:sz w:val="18"/>
                <w:szCs w:val="18"/>
              </w:rPr>
            </w:pPr>
            <w:r>
              <w:rPr>
                <w:rFonts w:ascii="Arial" w:hAnsi="Arial" w:cs="Arial"/>
                <w:b/>
                <w:bCs/>
                <w:color w:val="000000"/>
                <w:sz w:val="18"/>
                <w:szCs w:val="18"/>
              </w:rPr>
              <w:t>Brodifacoum</w:t>
            </w:r>
          </w:p>
        </w:tc>
        <w:tc>
          <w:tcPr>
            <w:tcW w:w="6379" w:type="dxa"/>
            <w:tcBorders>
              <w:top w:val="nil"/>
              <w:left w:val="nil"/>
              <w:bottom w:val="nil"/>
              <w:right w:val="nil"/>
            </w:tcBorders>
            <w:noWrap/>
          </w:tcPr>
          <w:p w14:paraId="065DDB49" w14:textId="77777777" w:rsidR="00716611" w:rsidRPr="005621D6" w:rsidRDefault="00716611" w:rsidP="00B06352">
            <w:pPr>
              <w:pStyle w:val="MRLTableText"/>
              <w:rPr>
                <w:rFonts w:ascii="Arial" w:hAnsi="Arial" w:cs="Arial"/>
                <w:color w:val="0000FF"/>
                <w:sz w:val="18"/>
                <w:szCs w:val="18"/>
                <w:lang w:val="en-US"/>
              </w:rPr>
            </w:pPr>
            <w:r>
              <w:rPr>
                <w:rFonts w:ascii="Arial" w:hAnsi="Arial" w:cs="Arial"/>
                <w:color w:val="000000"/>
                <w:sz w:val="18"/>
                <w:szCs w:val="18"/>
              </w:rPr>
              <w:t>Brodifacoum</w:t>
            </w:r>
          </w:p>
        </w:tc>
      </w:tr>
      <w:tr w:rsidR="00716611" w:rsidRPr="00091990" w14:paraId="133B570B" w14:textId="77777777" w:rsidTr="006F78D3">
        <w:trPr>
          <w:cantSplit/>
        </w:trPr>
        <w:tc>
          <w:tcPr>
            <w:tcW w:w="3309" w:type="dxa"/>
            <w:tcBorders>
              <w:top w:val="nil"/>
              <w:left w:val="nil"/>
              <w:right w:val="nil"/>
            </w:tcBorders>
            <w:noWrap/>
            <w:vAlign w:val="bottom"/>
          </w:tcPr>
          <w:p w14:paraId="249A6F77" w14:textId="77777777" w:rsidR="00716611" w:rsidRPr="005621D6" w:rsidRDefault="00716611" w:rsidP="00B06352">
            <w:pPr>
              <w:pStyle w:val="MRLCompound"/>
              <w:ind w:left="0"/>
              <w:rPr>
                <w:rFonts w:ascii="Arial" w:hAnsi="Arial" w:cs="Arial"/>
                <w:b/>
                <w:bCs/>
                <w:sz w:val="18"/>
              </w:rPr>
            </w:pPr>
            <w:r w:rsidRPr="005621D6">
              <w:rPr>
                <w:rFonts w:ascii="Arial" w:hAnsi="Arial" w:cs="Arial"/>
                <w:b/>
                <w:bCs/>
                <w:sz w:val="18"/>
              </w:rPr>
              <w:t>Coumatetralyl</w:t>
            </w:r>
          </w:p>
        </w:tc>
        <w:tc>
          <w:tcPr>
            <w:tcW w:w="6379" w:type="dxa"/>
            <w:tcBorders>
              <w:top w:val="nil"/>
              <w:left w:val="nil"/>
              <w:right w:val="nil"/>
            </w:tcBorders>
            <w:noWrap/>
            <w:vAlign w:val="bottom"/>
          </w:tcPr>
          <w:p w14:paraId="53B2F3AF" w14:textId="77777777" w:rsidR="00716611" w:rsidRPr="005621D6" w:rsidRDefault="00716611" w:rsidP="00B06352">
            <w:pPr>
              <w:pStyle w:val="MRLTableText"/>
              <w:rPr>
                <w:rFonts w:ascii="Arial" w:hAnsi="Arial" w:cs="Arial"/>
                <w:sz w:val="18"/>
              </w:rPr>
            </w:pPr>
            <w:r w:rsidRPr="005621D6">
              <w:rPr>
                <w:rFonts w:ascii="Arial" w:hAnsi="Arial" w:cs="Arial"/>
                <w:sz w:val="18"/>
              </w:rPr>
              <w:t>Coumatetralyl</w:t>
            </w:r>
          </w:p>
        </w:tc>
      </w:tr>
      <w:tr w:rsidR="00716611" w:rsidRPr="00091990" w14:paraId="7DECB68B" w14:textId="77777777" w:rsidTr="006F78D3">
        <w:trPr>
          <w:cantSplit/>
        </w:trPr>
        <w:tc>
          <w:tcPr>
            <w:tcW w:w="3309" w:type="dxa"/>
            <w:tcBorders>
              <w:top w:val="nil"/>
              <w:left w:val="nil"/>
              <w:bottom w:val="single" w:sz="4" w:space="0" w:color="auto"/>
              <w:right w:val="nil"/>
            </w:tcBorders>
            <w:noWrap/>
            <w:vAlign w:val="bottom"/>
          </w:tcPr>
          <w:p w14:paraId="66870BFF" w14:textId="77777777" w:rsidR="00716611" w:rsidRPr="00B068A4" w:rsidRDefault="00716611" w:rsidP="00B06352">
            <w:pPr>
              <w:pStyle w:val="MRLCompound"/>
              <w:ind w:left="0"/>
              <w:rPr>
                <w:rFonts w:ascii="Arial" w:hAnsi="Arial" w:cs="Arial"/>
                <w:sz w:val="18"/>
                <w:szCs w:val="18"/>
              </w:rPr>
            </w:pPr>
            <w:r>
              <w:rPr>
                <w:rFonts w:ascii="Arial" w:hAnsi="Arial" w:cs="Arial"/>
                <w:b/>
                <w:bCs/>
                <w:sz w:val="18"/>
              </w:rPr>
              <w:t>Warfarin</w:t>
            </w:r>
          </w:p>
        </w:tc>
        <w:tc>
          <w:tcPr>
            <w:tcW w:w="6379" w:type="dxa"/>
            <w:tcBorders>
              <w:top w:val="nil"/>
              <w:left w:val="nil"/>
              <w:bottom w:val="single" w:sz="4" w:space="0" w:color="auto"/>
              <w:right w:val="nil"/>
            </w:tcBorders>
            <w:noWrap/>
            <w:vAlign w:val="bottom"/>
          </w:tcPr>
          <w:p w14:paraId="65E42F05" w14:textId="77777777" w:rsidR="00716611" w:rsidRPr="005621D6" w:rsidRDefault="00716611" w:rsidP="00B06352">
            <w:pPr>
              <w:pStyle w:val="MRLTableText"/>
              <w:rPr>
                <w:rFonts w:ascii="Arial" w:hAnsi="Arial" w:cs="Arial"/>
                <w:sz w:val="18"/>
                <w:szCs w:val="18"/>
              </w:rPr>
            </w:pPr>
            <w:r w:rsidRPr="005621D6">
              <w:rPr>
                <w:rFonts w:ascii="Arial" w:hAnsi="Arial" w:cs="Arial"/>
                <w:sz w:val="18"/>
              </w:rPr>
              <w:t>Warfarin</w:t>
            </w:r>
          </w:p>
        </w:tc>
      </w:tr>
    </w:tbl>
    <w:p w14:paraId="7D23E9A1" w14:textId="77777777" w:rsidR="00716611" w:rsidRPr="005621D6" w:rsidRDefault="00716611" w:rsidP="00716611">
      <w:pPr>
        <w:pStyle w:val="BodyText"/>
      </w:pPr>
    </w:p>
    <w:p w14:paraId="16E6786E" w14:textId="476564BD" w:rsidR="0080722D" w:rsidRPr="00B06659" w:rsidRDefault="0080722D" w:rsidP="0080722D">
      <w:pPr>
        <w:rPr>
          <w:rFonts w:ascii="Arial" w:hAnsi="Arial" w:cs="Arial"/>
          <w:i/>
          <w:iCs/>
          <w:kern w:val="20"/>
          <w:sz w:val="19"/>
          <w:u w:color="000000"/>
        </w:rPr>
      </w:pPr>
      <w:r w:rsidRPr="00B06659">
        <w:rPr>
          <w:rFonts w:ascii="Arial" w:hAnsi="Arial" w:cs="Arial"/>
          <w:i/>
          <w:iCs/>
          <w:kern w:val="20"/>
          <w:sz w:val="19"/>
          <w:u w:color="000000"/>
        </w:rPr>
        <w:t xml:space="preserve">Table </w:t>
      </w:r>
      <w:r>
        <w:rPr>
          <w:rFonts w:ascii="Arial" w:hAnsi="Arial" w:cs="Arial"/>
          <w:i/>
          <w:iCs/>
          <w:kern w:val="20"/>
          <w:sz w:val="19"/>
          <w:u w:color="000000"/>
        </w:rPr>
        <w:t>5</w:t>
      </w:r>
      <w:r w:rsidRPr="00B06659">
        <w:rPr>
          <w:rFonts w:ascii="Arial" w:hAnsi="Arial" w:cs="Arial"/>
          <w:i/>
          <w:iCs/>
          <w:kern w:val="20"/>
          <w:sz w:val="19"/>
          <w:u w:color="000000"/>
        </w:rPr>
        <w:t>, Agricultural and Veterinary Chemicals (MRL Standard for Residues of Chemical Products) Instrument 2023</w:t>
      </w:r>
    </w:p>
    <w:tbl>
      <w:tblPr>
        <w:tblW w:w="9639" w:type="dxa"/>
        <w:tblLook w:val="01E0" w:firstRow="1" w:lastRow="1" w:firstColumn="1" w:lastColumn="1" w:noHBand="0" w:noVBand="0"/>
      </w:tblPr>
      <w:tblGrid>
        <w:gridCol w:w="3598"/>
        <w:gridCol w:w="6041"/>
      </w:tblGrid>
      <w:tr w:rsidR="00716611" w:rsidRPr="00EC74B1" w14:paraId="0C0CB67C" w14:textId="77777777" w:rsidTr="006F78D3">
        <w:trPr>
          <w:cantSplit/>
          <w:tblHeader/>
        </w:trPr>
        <w:tc>
          <w:tcPr>
            <w:tcW w:w="3598" w:type="dxa"/>
            <w:tcBorders>
              <w:top w:val="single" w:sz="4" w:space="0" w:color="auto"/>
              <w:bottom w:val="single" w:sz="4" w:space="0" w:color="auto"/>
            </w:tcBorders>
          </w:tcPr>
          <w:p w14:paraId="1486F577" w14:textId="77777777" w:rsidR="00716611" w:rsidRPr="00EC74B1" w:rsidRDefault="00716611" w:rsidP="00B06352">
            <w:pPr>
              <w:pStyle w:val="MRLTableHeading"/>
              <w:rPr>
                <w:rFonts w:ascii="Arial" w:hAnsi="Arial" w:cs="Arial"/>
                <w:sz w:val="18"/>
                <w:szCs w:val="18"/>
              </w:rPr>
            </w:pPr>
            <w:r w:rsidRPr="00EC74B1">
              <w:rPr>
                <w:rFonts w:ascii="Arial" w:hAnsi="Arial" w:cs="Arial"/>
                <w:sz w:val="18"/>
                <w:szCs w:val="18"/>
              </w:rPr>
              <w:t>SUBSTANCE</w:t>
            </w:r>
          </w:p>
        </w:tc>
        <w:tc>
          <w:tcPr>
            <w:tcW w:w="6041" w:type="dxa"/>
            <w:tcBorders>
              <w:top w:val="single" w:sz="4" w:space="0" w:color="auto"/>
              <w:bottom w:val="single" w:sz="4" w:space="0" w:color="auto"/>
            </w:tcBorders>
          </w:tcPr>
          <w:p w14:paraId="18839C37" w14:textId="77777777" w:rsidR="00716611" w:rsidRPr="00EC74B1" w:rsidRDefault="00716611" w:rsidP="00B06352">
            <w:pPr>
              <w:pStyle w:val="MRLTableHeading"/>
              <w:rPr>
                <w:rFonts w:ascii="Arial" w:hAnsi="Arial" w:cs="Arial"/>
                <w:sz w:val="18"/>
                <w:szCs w:val="18"/>
              </w:rPr>
            </w:pPr>
            <w:r w:rsidRPr="00EC74B1">
              <w:rPr>
                <w:rFonts w:ascii="Arial" w:hAnsi="Arial" w:cs="Arial"/>
                <w:sz w:val="18"/>
                <w:szCs w:val="18"/>
              </w:rPr>
              <w:t>USE</w:t>
            </w:r>
          </w:p>
        </w:tc>
      </w:tr>
      <w:tr w:rsidR="00716611" w:rsidRPr="00EC74B1" w14:paraId="7E6F5A9B" w14:textId="77777777" w:rsidTr="006F78D3">
        <w:trPr>
          <w:cantSplit/>
        </w:trPr>
        <w:tc>
          <w:tcPr>
            <w:tcW w:w="3598" w:type="dxa"/>
            <w:tcBorders>
              <w:top w:val="single" w:sz="4" w:space="0" w:color="auto"/>
            </w:tcBorders>
          </w:tcPr>
          <w:p w14:paraId="5EC177FB" w14:textId="77777777" w:rsidR="00716611" w:rsidRPr="00EC74B1" w:rsidRDefault="00716611" w:rsidP="00B06352">
            <w:pPr>
              <w:pStyle w:val="MRLTableText"/>
              <w:rPr>
                <w:rFonts w:ascii="Arial" w:hAnsi="Arial" w:cs="Arial"/>
                <w:sz w:val="18"/>
                <w:szCs w:val="18"/>
              </w:rPr>
            </w:pPr>
            <w:r w:rsidRPr="00EC74B1">
              <w:rPr>
                <w:rFonts w:ascii="Arial" w:hAnsi="Arial" w:cs="Arial"/>
                <w:sz w:val="18"/>
                <w:szCs w:val="18"/>
                <w:lang w:val="en-US"/>
              </w:rPr>
              <w:t>DELETE:</w:t>
            </w:r>
          </w:p>
        </w:tc>
        <w:tc>
          <w:tcPr>
            <w:tcW w:w="6041" w:type="dxa"/>
            <w:tcBorders>
              <w:top w:val="single" w:sz="4" w:space="0" w:color="auto"/>
            </w:tcBorders>
          </w:tcPr>
          <w:p w14:paraId="3F24B638" w14:textId="77777777" w:rsidR="00716611" w:rsidRPr="00EC74B1" w:rsidRDefault="00716611" w:rsidP="00B06352">
            <w:pPr>
              <w:pStyle w:val="MRLTableText"/>
              <w:rPr>
                <w:rFonts w:ascii="Arial" w:hAnsi="Arial" w:cs="Arial"/>
                <w:sz w:val="18"/>
                <w:szCs w:val="18"/>
                <w:lang w:val="en-US"/>
              </w:rPr>
            </w:pPr>
          </w:p>
        </w:tc>
      </w:tr>
      <w:tr w:rsidR="00716611" w:rsidRPr="00091990" w14:paraId="37DC0C22" w14:textId="77777777" w:rsidTr="006F78D3">
        <w:trPr>
          <w:cantSplit/>
        </w:trPr>
        <w:tc>
          <w:tcPr>
            <w:tcW w:w="3598" w:type="dxa"/>
          </w:tcPr>
          <w:p w14:paraId="10F3EB77" w14:textId="77777777" w:rsidR="00716611" w:rsidRPr="00225C7E" w:rsidRDefault="00716611" w:rsidP="00B06352">
            <w:pPr>
              <w:pStyle w:val="MRLTableText"/>
              <w:rPr>
                <w:rFonts w:ascii="Arial" w:hAnsi="Arial" w:cs="Arial"/>
                <w:b/>
                <w:color w:val="0000FF"/>
                <w:sz w:val="18"/>
                <w:szCs w:val="18"/>
                <w:lang w:val="en-US"/>
              </w:rPr>
            </w:pPr>
            <w:r w:rsidRPr="00B068A4">
              <w:rPr>
                <w:rFonts w:ascii="Arial" w:hAnsi="Arial" w:cs="Arial"/>
                <w:b/>
                <w:bCs/>
                <w:sz w:val="18"/>
                <w:szCs w:val="18"/>
              </w:rPr>
              <w:t>Coumatetralyl</w:t>
            </w:r>
          </w:p>
        </w:tc>
        <w:tc>
          <w:tcPr>
            <w:tcW w:w="6041" w:type="dxa"/>
          </w:tcPr>
          <w:p w14:paraId="789CF125" w14:textId="77777777" w:rsidR="00716611" w:rsidRPr="007049FF" w:rsidRDefault="00716611" w:rsidP="00B06352">
            <w:pPr>
              <w:pStyle w:val="MRLTableBullet"/>
              <w:rPr>
                <w:rFonts w:ascii="Arial" w:hAnsi="Arial" w:cs="Arial"/>
                <w:color w:val="0000FF"/>
                <w:sz w:val="18"/>
                <w:szCs w:val="18"/>
              </w:rPr>
            </w:pPr>
            <w:r w:rsidRPr="003C08D3">
              <w:rPr>
                <w:rFonts w:ascii="Arial" w:hAnsi="Arial" w:cs="Arial"/>
                <w:sz w:val="18"/>
                <w:szCs w:val="18"/>
              </w:rPr>
              <w:t>In baits as a rodenticide in situations where contact with crops, food products or soil in which crops are grown will not occur</w:t>
            </w:r>
          </w:p>
        </w:tc>
      </w:tr>
      <w:tr w:rsidR="00716611" w:rsidRPr="00091990" w14:paraId="45F14CF6" w14:textId="77777777" w:rsidTr="006F78D3">
        <w:trPr>
          <w:cantSplit/>
        </w:trPr>
        <w:tc>
          <w:tcPr>
            <w:tcW w:w="3598" w:type="dxa"/>
          </w:tcPr>
          <w:p w14:paraId="0FCA3937" w14:textId="77777777" w:rsidR="00716611" w:rsidRPr="00D11E1F" w:rsidRDefault="00716611" w:rsidP="00B06352">
            <w:pPr>
              <w:pStyle w:val="MRLTableText"/>
              <w:rPr>
                <w:rFonts w:ascii="Arial" w:hAnsi="Arial" w:cs="Arial"/>
                <w:sz w:val="18"/>
              </w:rPr>
            </w:pPr>
            <w:r w:rsidRPr="00B068A4">
              <w:rPr>
                <w:rFonts w:ascii="Arial" w:hAnsi="Arial" w:cs="Arial"/>
                <w:b/>
                <w:bCs/>
                <w:sz w:val="18"/>
              </w:rPr>
              <w:t>Difethialone</w:t>
            </w:r>
          </w:p>
        </w:tc>
        <w:tc>
          <w:tcPr>
            <w:tcW w:w="6041" w:type="dxa"/>
          </w:tcPr>
          <w:p w14:paraId="5C01A3AF" w14:textId="77777777" w:rsidR="00716611" w:rsidRPr="00D11E1F" w:rsidRDefault="00716611" w:rsidP="00B06352">
            <w:pPr>
              <w:pStyle w:val="MRLTableBullet"/>
              <w:rPr>
                <w:rFonts w:ascii="Arial" w:hAnsi="Arial" w:cs="Arial"/>
                <w:sz w:val="18"/>
              </w:rPr>
            </w:pPr>
            <w:r w:rsidRPr="00B068A4">
              <w:rPr>
                <w:rFonts w:ascii="Arial" w:hAnsi="Arial" w:cs="Arial"/>
                <w:sz w:val="18"/>
                <w:szCs w:val="18"/>
              </w:rPr>
              <w:t>In baits as a rodenticide in situations where contact with crops, food products or soil in which crops are grown will not occur</w:t>
            </w:r>
          </w:p>
        </w:tc>
      </w:tr>
      <w:tr w:rsidR="00716611" w:rsidRPr="00091990" w14:paraId="73872690" w14:textId="77777777" w:rsidTr="006F78D3">
        <w:trPr>
          <w:cantSplit/>
        </w:trPr>
        <w:tc>
          <w:tcPr>
            <w:tcW w:w="3598" w:type="dxa"/>
          </w:tcPr>
          <w:p w14:paraId="552251C8" w14:textId="77777777" w:rsidR="00716611" w:rsidRPr="00D11E1F" w:rsidRDefault="00716611" w:rsidP="00B06352">
            <w:pPr>
              <w:pStyle w:val="MRLTableText"/>
              <w:rPr>
                <w:rFonts w:ascii="Arial" w:hAnsi="Arial" w:cs="Arial"/>
                <w:sz w:val="18"/>
              </w:rPr>
            </w:pPr>
            <w:r w:rsidRPr="00B068A4">
              <w:rPr>
                <w:rFonts w:ascii="Arial" w:hAnsi="Arial" w:cs="Arial"/>
                <w:b/>
                <w:bCs/>
                <w:sz w:val="18"/>
              </w:rPr>
              <w:t>Diphacinone</w:t>
            </w:r>
          </w:p>
        </w:tc>
        <w:tc>
          <w:tcPr>
            <w:tcW w:w="6041" w:type="dxa"/>
          </w:tcPr>
          <w:p w14:paraId="20A84C63" w14:textId="77777777" w:rsidR="00716611" w:rsidRPr="00D11E1F" w:rsidRDefault="00716611" w:rsidP="00B06352">
            <w:pPr>
              <w:pStyle w:val="MRLTableBullet"/>
              <w:rPr>
                <w:rFonts w:ascii="Arial" w:hAnsi="Arial" w:cs="Arial"/>
                <w:sz w:val="18"/>
              </w:rPr>
            </w:pPr>
            <w:r w:rsidRPr="00B068A4">
              <w:rPr>
                <w:rFonts w:ascii="Arial" w:hAnsi="Arial" w:cs="Arial"/>
                <w:sz w:val="18"/>
                <w:szCs w:val="18"/>
              </w:rPr>
              <w:t>In baits as a rodenticide in situations where contact with crops, food products or soil in which crops are grown will not occur</w:t>
            </w:r>
          </w:p>
        </w:tc>
      </w:tr>
      <w:tr w:rsidR="00716611" w:rsidRPr="00091990" w14:paraId="06AFD1B9" w14:textId="77777777" w:rsidTr="006F78D3">
        <w:trPr>
          <w:cantSplit/>
        </w:trPr>
        <w:tc>
          <w:tcPr>
            <w:tcW w:w="3598" w:type="dxa"/>
          </w:tcPr>
          <w:p w14:paraId="22DF4FC9" w14:textId="77777777" w:rsidR="00716611" w:rsidRPr="00D11E1F" w:rsidRDefault="00716611" w:rsidP="00B06352">
            <w:pPr>
              <w:pStyle w:val="MRLTableText"/>
              <w:rPr>
                <w:rFonts w:ascii="Arial" w:hAnsi="Arial" w:cs="Arial"/>
                <w:sz w:val="18"/>
              </w:rPr>
            </w:pPr>
            <w:r w:rsidRPr="00B068A4">
              <w:rPr>
                <w:rFonts w:ascii="Arial" w:hAnsi="Arial" w:cs="Arial"/>
                <w:b/>
                <w:bCs/>
                <w:sz w:val="18"/>
              </w:rPr>
              <w:t xml:space="preserve">Flocoumafen </w:t>
            </w:r>
          </w:p>
        </w:tc>
        <w:tc>
          <w:tcPr>
            <w:tcW w:w="6041" w:type="dxa"/>
          </w:tcPr>
          <w:p w14:paraId="6C049407" w14:textId="77777777" w:rsidR="00716611" w:rsidRPr="00D11E1F" w:rsidRDefault="00716611" w:rsidP="00B06352">
            <w:pPr>
              <w:pStyle w:val="MRLTableBullet"/>
              <w:rPr>
                <w:rFonts w:ascii="Arial" w:hAnsi="Arial" w:cs="Arial"/>
                <w:sz w:val="18"/>
              </w:rPr>
            </w:pPr>
            <w:r w:rsidRPr="00B068A4">
              <w:rPr>
                <w:rFonts w:ascii="Arial" w:hAnsi="Arial" w:cs="Arial"/>
                <w:sz w:val="18"/>
                <w:szCs w:val="18"/>
              </w:rPr>
              <w:t>In baits as a rodenticide in situations where contact with crops, food products, or soil in which crops are grown will not occur</w:t>
            </w:r>
          </w:p>
        </w:tc>
      </w:tr>
      <w:tr w:rsidR="00716611" w:rsidRPr="00091990" w14:paraId="7EFE99F7" w14:textId="77777777" w:rsidTr="006F78D3">
        <w:trPr>
          <w:cantSplit/>
        </w:trPr>
        <w:tc>
          <w:tcPr>
            <w:tcW w:w="3598" w:type="dxa"/>
          </w:tcPr>
          <w:p w14:paraId="220D5F61" w14:textId="77777777" w:rsidR="00716611" w:rsidRPr="00D11E1F" w:rsidRDefault="00716611" w:rsidP="00B06352">
            <w:pPr>
              <w:pStyle w:val="MRLTableText"/>
              <w:rPr>
                <w:rFonts w:ascii="Arial" w:hAnsi="Arial" w:cs="Arial"/>
                <w:sz w:val="18"/>
              </w:rPr>
            </w:pPr>
            <w:r>
              <w:rPr>
                <w:rFonts w:ascii="Arial" w:hAnsi="Arial" w:cs="Arial"/>
                <w:b/>
                <w:bCs/>
                <w:sz w:val="18"/>
              </w:rPr>
              <w:t>Warfarin</w:t>
            </w:r>
          </w:p>
        </w:tc>
        <w:tc>
          <w:tcPr>
            <w:tcW w:w="6041" w:type="dxa"/>
          </w:tcPr>
          <w:p w14:paraId="7610D66A" w14:textId="77777777" w:rsidR="00716611" w:rsidRPr="00D11E1F" w:rsidRDefault="00716611" w:rsidP="00B06352">
            <w:pPr>
              <w:pStyle w:val="MRLTableBullet"/>
              <w:rPr>
                <w:rFonts w:ascii="Arial" w:hAnsi="Arial" w:cs="Arial"/>
                <w:sz w:val="18"/>
              </w:rPr>
            </w:pPr>
            <w:r w:rsidRPr="00B068A4">
              <w:rPr>
                <w:rFonts w:ascii="Arial" w:hAnsi="Arial" w:cs="Arial"/>
                <w:sz w:val="18"/>
                <w:szCs w:val="18"/>
              </w:rPr>
              <w:t>In baits as a rodenticide in situations where contact with crops, food products, or soil in which crops are grown will not occur</w:t>
            </w:r>
          </w:p>
        </w:tc>
      </w:tr>
      <w:tr w:rsidR="00716611" w:rsidRPr="00091990" w14:paraId="022BA6AC" w14:textId="77777777" w:rsidTr="006F78D3">
        <w:trPr>
          <w:cantSplit/>
        </w:trPr>
        <w:tc>
          <w:tcPr>
            <w:tcW w:w="3598" w:type="dxa"/>
          </w:tcPr>
          <w:p w14:paraId="08658382" w14:textId="77777777" w:rsidR="00716611" w:rsidRPr="00091990" w:rsidRDefault="00716611" w:rsidP="00B06352">
            <w:pPr>
              <w:pStyle w:val="MRLTableText"/>
              <w:rPr>
                <w:rFonts w:ascii="Arial" w:hAnsi="Arial" w:cs="Arial"/>
                <w:color w:val="BD3632" w:themeColor="accent6"/>
                <w:sz w:val="18"/>
                <w:szCs w:val="18"/>
              </w:rPr>
            </w:pPr>
            <w:r w:rsidRPr="00EC74B1">
              <w:rPr>
                <w:rFonts w:ascii="Arial" w:hAnsi="Arial" w:cs="Arial"/>
                <w:sz w:val="18"/>
                <w:szCs w:val="18"/>
              </w:rPr>
              <w:t>ADD:</w:t>
            </w:r>
          </w:p>
        </w:tc>
        <w:tc>
          <w:tcPr>
            <w:tcW w:w="6041" w:type="dxa"/>
          </w:tcPr>
          <w:p w14:paraId="3972BF8F" w14:textId="77777777" w:rsidR="00716611" w:rsidRPr="00091990" w:rsidRDefault="00716611" w:rsidP="00B06352">
            <w:pPr>
              <w:pStyle w:val="MRLTableText"/>
              <w:rPr>
                <w:rFonts w:ascii="Arial" w:hAnsi="Arial" w:cs="Arial"/>
                <w:color w:val="BD3632" w:themeColor="accent6"/>
                <w:sz w:val="18"/>
                <w:szCs w:val="18"/>
              </w:rPr>
            </w:pPr>
          </w:p>
        </w:tc>
      </w:tr>
      <w:tr w:rsidR="00716611" w:rsidRPr="00091990" w14:paraId="3CD6369D" w14:textId="77777777" w:rsidTr="006F78D3">
        <w:trPr>
          <w:cantSplit/>
        </w:trPr>
        <w:tc>
          <w:tcPr>
            <w:tcW w:w="3598" w:type="dxa"/>
          </w:tcPr>
          <w:p w14:paraId="5FA5C02A" w14:textId="77777777" w:rsidR="00716611" w:rsidRPr="00225C7E" w:rsidRDefault="00716611" w:rsidP="00B06352">
            <w:pPr>
              <w:pStyle w:val="MRLTableText"/>
              <w:rPr>
                <w:rFonts w:ascii="Arial" w:hAnsi="Arial" w:cs="Arial"/>
                <w:color w:val="0000FF"/>
                <w:sz w:val="18"/>
                <w:szCs w:val="18"/>
                <w:lang w:val="en-US"/>
              </w:rPr>
            </w:pPr>
            <w:r w:rsidRPr="00B068A4">
              <w:rPr>
                <w:rFonts w:ascii="Arial" w:hAnsi="Arial" w:cs="Arial"/>
                <w:b/>
                <w:bCs/>
                <w:sz w:val="18"/>
                <w:szCs w:val="18"/>
              </w:rPr>
              <w:t>Coumatetralyl</w:t>
            </w:r>
          </w:p>
        </w:tc>
        <w:tc>
          <w:tcPr>
            <w:tcW w:w="6041" w:type="dxa"/>
          </w:tcPr>
          <w:p w14:paraId="74CA077D" w14:textId="77777777" w:rsidR="00716611" w:rsidRDefault="00716611" w:rsidP="00B06352">
            <w:pPr>
              <w:pStyle w:val="MRLTableBullet"/>
              <w:rPr>
                <w:rFonts w:ascii="Arial" w:hAnsi="Arial" w:cs="Arial"/>
                <w:sz w:val="18"/>
                <w:szCs w:val="18"/>
              </w:rPr>
            </w:pPr>
            <w:r>
              <w:rPr>
                <w:rFonts w:ascii="Arial" w:hAnsi="Arial" w:cs="Arial"/>
                <w:sz w:val="18"/>
                <w:szCs w:val="18"/>
              </w:rPr>
              <w:t>I</w:t>
            </w:r>
            <w:r w:rsidRPr="00FF1F2D">
              <w:rPr>
                <w:rFonts w:ascii="Arial" w:hAnsi="Arial" w:cs="Arial"/>
                <w:sz w:val="18"/>
                <w:szCs w:val="18"/>
              </w:rPr>
              <w:t>n bait stations as a rodenticide in situations where contact with crops, food products or soil in which crops are grown will not occur</w:t>
            </w:r>
          </w:p>
          <w:p w14:paraId="058E3D66"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12BDA57E" w14:textId="77777777" w:rsidTr="006F78D3">
        <w:trPr>
          <w:cantSplit/>
        </w:trPr>
        <w:tc>
          <w:tcPr>
            <w:tcW w:w="3598" w:type="dxa"/>
          </w:tcPr>
          <w:p w14:paraId="00FA0699" w14:textId="77777777" w:rsidR="00716611" w:rsidRPr="00B068A4" w:rsidRDefault="00716611" w:rsidP="00B06352">
            <w:pPr>
              <w:pStyle w:val="MRLTableText"/>
              <w:rPr>
                <w:rFonts w:ascii="Arial" w:hAnsi="Arial" w:cs="Arial"/>
                <w:b/>
                <w:bCs/>
                <w:sz w:val="18"/>
                <w:szCs w:val="18"/>
              </w:rPr>
            </w:pPr>
            <w:r w:rsidRPr="007049FF">
              <w:rPr>
                <w:rFonts w:ascii="Arial" w:hAnsi="Arial" w:cs="Arial"/>
                <w:b/>
                <w:bCs/>
                <w:sz w:val="18"/>
                <w:szCs w:val="18"/>
              </w:rPr>
              <w:t>Brodifacoum</w:t>
            </w:r>
          </w:p>
        </w:tc>
        <w:tc>
          <w:tcPr>
            <w:tcW w:w="6041" w:type="dxa"/>
          </w:tcPr>
          <w:p w14:paraId="12DBBBBB"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3896D3F6" w14:textId="77777777" w:rsidTr="006F78D3">
        <w:trPr>
          <w:cantSplit/>
        </w:trPr>
        <w:tc>
          <w:tcPr>
            <w:tcW w:w="3598" w:type="dxa"/>
          </w:tcPr>
          <w:p w14:paraId="1082865D" w14:textId="77777777" w:rsidR="00716611" w:rsidRPr="00B068A4" w:rsidRDefault="00716611" w:rsidP="00B06352">
            <w:pPr>
              <w:pStyle w:val="MRLTableText"/>
              <w:rPr>
                <w:rFonts w:ascii="Arial" w:hAnsi="Arial" w:cs="Arial"/>
                <w:b/>
                <w:bCs/>
                <w:sz w:val="18"/>
                <w:szCs w:val="18"/>
              </w:rPr>
            </w:pPr>
            <w:r w:rsidRPr="007049FF">
              <w:rPr>
                <w:rFonts w:ascii="Arial" w:hAnsi="Arial" w:cs="Arial"/>
                <w:b/>
                <w:bCs/>
                <w:sz w:val="18"/>
                <w:szCs w:val="18"/>
              </w:rPr>
              <w:t>Bromadiolone</w:t>
            </w:r>
          </w:p>
        </w:tc>
        <w:tc>
          <w:tcPr>
            <w:tcW w:w="6041" w:type="dxa"/>
          </w:tcPr>
          <w:p w14:paraId="7A6966BA"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124C4174" w14:textId="77777777" w:rsidTr="006F78D3">
        <w:trPr>
          <w:cantSplit/>
        </w:trPr>
        <w:tc>
          <w:tcPr>
            <w:tcW w:w="3598" w:type="dxa"/>
          </w:tcPr>
          <w:p w14:paraId="0D4E5345" w14:textId="77777777" w:rsidR="00716611" w:rsidRPr="007049FF" w:rsidRDefault="00716611" w:rsidP="00B06352">
            <w:pPr>
              <w:pStyle w:val="MRLTableText"/>
              <w:rPr>
                <w:rFonts w:ascii="Arial" w:hAnsi="Arial" w:cs="Arial"/>
                <w:b/>
                <w:bCs/>
                <w:sz w:val="18"/>
                <w:szCs w:val="18"/>
              </w:rPr>
            </w:pPr>
            <w:r w:rsidRPr="007049FF">
              <w:rPr>
                <w:rFonts w:ascii="Arial" w:hAnsi="Arial" w:cs="Arial"/>
                <w:b/>
                <w:bCs/>
                <w:sz w:val="18"/>
                <w:szCs w:val="18"/>
              </w:rPr>
              <w:t>Difenacoum</w:t>
            </w:r>
          </w:p>
        </w:tc>
        <w:tc>
          <w:tcPr>
            <w:tcW w:w="6041" w:type="dxa"/>
          </w:tcPr>
          <w:p w14:paraId="10DD3BCF"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6ECBEFBA" w14:textId="77777777" w:rsidTr="006F78D3">
        <w:trPr>
          <w:cantSplit/>
        </w:trPr>
        <w:tc>
          <w:tcPr>
            <w:tcW w:w="3598" w:type="dxa"/>
          </w:tcPr>
          <w:p w14:paraId="1277BD09" w14:textId="77777777" w:rsidR="00716611" w:rsidRPr="00225C7E" w:rsidRDefault="00716611" w:rsidP="00B06352">
            <w:pPr>
              <w:pStyle w:val="MRLTableText"/>
              <w:rPr>
                <w:rFonts w:ascii="Arial" w:hAnsi="Arial" w:cs="Arial"/>
                <w:color w:val="0000FF"/>
                <w:sz w:val="18"/>
                <w:szCs w:val="18"/>
                <w:lang w:val="en-US"/>
              </w:rPr>
            </w:pPr>
            <w:r w:rsidRPr="00B068A4">
              <w:rPr>
                <w:rFonts w:ascii="Arial" w:hAnsi="Arial" w:cs="Arial"/>
                <w:b/>
                <w:bCs/>
                <w:sz w:val="18"/>
              </w:rPr>
              <w:t>Difethialone</w:t>
            </w:r>
          </w:p>
        </w:tc>
        <w:tc>
          <w:tcPr>
            <w:tcW w:w="6041" w:type="dxa"/>
          </w:tcPr>
          <w:p w14:paraId="169BB719"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32458D25" w14:textId="77777777" w:rsidTr="006F78D3">
        <w:trPr>
          <w:cantSplit/>
        </w:trPr>
        <w:tc>
          <w:tcPr>
            <w:tcW w:w="3598" w:type="dxa"/>
          </w:tcPr>
          <w:p w14:paraId="20B8B4DF" w14:textId="77777777" w:rsidR="00716611" w:rsidRPr="00225C7E" w:rsidRDefault="00716611" w:rsidP="00B06352">
            <w:pPr>
              <w:pStyle w:val="MRLTableText"/>
              <w:rPr>
                <w:rFonts w:ascii="Arial" w:hAnsi="Arial" w:cs="Arial"/>
                <w:color w:val="0000FF"/>
                <w:sz w:val="18"/>
                <w:szCs w:val="18"/>
                <w:lang w:val="en-US"/>
              </w:rPr>
            </w:pPr>
            <w:r w:rsidRPr="00B068A4">
              <w:rPr>
                <w:rFonts w:ascii="Arial" w:hAnsi="Arial" w:cs="Arial"/>
                <w:b/>
                <w:bCs/>
                <w:sz w:val="18"/>
              </w:rPr>
              <w:t>Diphacinone</w:t>
            </w:r>
          </w:p>
        </w:tc>
        <w:tc>
          <w:tcPr>
            <w:tcW w:w="6041" w:type="dxa"/>
          </w:tcPr>
          <w:p w14:paraId="68FFA40E"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t xml:space="preserve"> </w:t>
            </w:r>
            <w:r w:rsidRPr="007049FF">
              <w:rPr>
                <w:rFonts w:ascii="Arial" w:hAnsi="Arial" w:cs="Arial"/>
                <w:sz w:val="18"/>
                <w:szCs w:val="18"/>
              </w:rPr>
              <w:t xml:space="preserve">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06070710" w14:textId="77777777" w:rsidTr="006F78D3">
        <w:trPr>
          <w:cantSplit/>
        </w:trPr>
        <w:tc>
          <w:tcPr>
            <w:tcW w:w="3598" w:type="dxa"/>
          </w:tcPr>
          <w:p w14:paraId="31449909" w14:textId="77777777" w:rsidR="00716611" w:rsidRPr="00D11E1F" w:rsidRDefault="00716611" w:rsidP="00B06352">
            <w:pPr>
              <w:pStyle w:val="MRLTableText"/>
              <w:rPr>
                <w:rFonts w:ascii="Arial" w:hAnsi="Arial" w:cs="Arial"/>
                <w:sz w:val="18"/>
              </w:rPr>
            </w:pPr>
            <w:r w:rsidRPr="00B068A4">
              <w:rPr>
                <w:rFonts w:ascii="Arial" w:hAnsi="Arial" w:cs="Arial"/>
                <w:b/>
                <w:bCs/>
                <w:sz w:val="18"/>
              </w:rPr>
              <w:lastRenderedPageBreak/>
              <w:t xml:space="preserve">Flocoumafen </w:t>
            </w:r>
          </w:p>
        </w:tc>
        <w:tc>
          <w:tcPr>
            <w:tcW w:w="6041" w:type="dxa"/>
          </w:tcPr>
          <w:p w14:paraId="2FAFCAE2"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rsidRPr="007049FF">
              <w:rPr>
                <w:rFonts w:ascii="Arial" w:hAnsi="Arial" w:cs="Arial"/>
                <w:sz w:val="18"/>
                <w:szCs w:val="18"/>
              </w:rPr>
              <w:t xml:space="preserve"> 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r w:rsidR="00716611" w:rsidRPr="00091990" w14:paraId="6F191235" w14:textId="77777777" w:rsidTr="006F78D3">
        <w:trPr>
          <w:cantSplit/>
        </w:trPr>
        <w:tc>
          <w:tcPr>
            <w:tcW w:w="3598" w:type="dxa"/>
            <w:tcBorders>
              <w:bottom w:val="single" w:sz="4" w:space="0" w:color="auto"/>
            </w:tcBorders>
          </w:tcPr>
          <w:p w14:paraId="56A6A4D0" w14:textId="77777777" w:rsidR="00716611" w:rsidRPr="00D11E1F" w:rsidRDefault="00716611" w:rsidP="00B06352">
            <w:pPr>
              <w:pStyle w:val="MRLTableText"/>
              <w:rPr>
                <w:rFonts w:ascii="Arial" w:hAnsi="Arial" w:cs="Arial"/>
                <w:sz w:val="18"/>
              </w:rPr>
            </w:pPr>
            <w:r>
              <w:rPr>
                <w:rFonts w:ascii="Arial" w:hAnsi="Arial" w:cs="Arial"/>
                <w:b/>
                <w:bCs/>
                <w:sz w:val="18"/>
              </w:rPr>
              <w:t>Warfarin</w:t>
            </w:r>
          </w:p>
        </w:tc>
        <w:tc>
          <w:tcPr>
            <w:tcW w:w="6041" w:type="dxa"/>
            <w:tcBorders>
              <w:bottom w:val="single" w:sz="4" w:space="0" w:color="auto"/>
            </w:tcBorders>
          </w:tcPr>
          <w:p w14:paraId="520D9BA6" w14:textId="77777777" w:rsidR="00716611" w:rsidRPr="007049FF" w:rsidRDefault="00716611" w:rsidP="00B06352">
            <w:pPr>
              <w:pStyle w:val="MRLTableBullet"/>
              <w:rPr>
                <w:rFonts w:ascii="Arial" w:hAnsi="Arial" w:cs="Arial"/>
                <w:sz w:val="18"/>
                <w:szCs w:val="18"/>
              </w:rPr>
            </w:pPr>
            <w:r w:rsidRPr="003C08D3">
              <w:rPr>
                <w:rFonts w:ascii="Arial" w:hAnsi="Arial" w:cs="Arial"/>
                <w:sz w:val="18"/>
                <w:szCs w:val="18"/>
              </w:rPr>
              <w:t>In baits as a rodenticide</w:t>
            </w:r>
            <w:r w:rsidRPr="007049FF">
              <w:rPr>
                <w:rFonts w:ascii="Arial" w:hAnsi="Arial" w:cs="Arial"/>
                <w:sz w:val="18"/>
                <w:szCs w:val="18"/>
              </w:rPr>
              <w:t xml:space="preserve"> in </w:t>
            </w:r>
            <w:r>
              <w:rPr>
                <w:rFonts w:ascii="Arial" w:hAnsi="Arial" w:cs="Arial"/>
                <w:sz w:val="18"/>
                <w:szCs w:val="18"/>
              </w:rPr>
              <w:t>and</w:t>
            </w:r>
            <w:r w:rsidRPr="007049FF">
              <w:rPr>
                <w:rFonts w:ascii="Arial" w:hAnsi="Arial" w:cs="Arial"/>
                <w:sz w:val="18"/>
                <w:szCs w:val="18"/>
              </w:rPr>
              <w:t xml:space="preserve"> around animal, livestock and poultry houses, associated equipment, and food and feed processing areas</w:t>
            </w:r>
          </w:p>
        </w:tc>
      </w:tr>
    </w:tbl>
    <w:p w14:paraId="36E3E3C7" w14:textId="2213173F" w:rsidR="00CF7D3A" w:rsidRPr="00C303F1" w:rsidRDefault="00CF7D3A" w:rsidP="00BD2F8D">
      <w:pPr>
        <w:pStyle w:val="Heading2"/>
      </w:pPr>
      <w:bookmarkStart w:id="1587" w:name="_Toc214835484"/>
      <w:bookmarkStart w:id="1588" w:name="_Toc214836088"/>
      <w:bookmarkStart w:id="1589" w:name="_Toc214836538"/>
      <w:bookmarkStart w:id="1590" w:name="_Toc214897990"/>
      <w:bookmarkStart w:id="1591" w:name="_Toc214898565"/>
      <w:bookmarkStart w:id="1592" w:name="_Toc215150871"/>
      <w:bookmarkStart w:id="1593" w:name="_Toc214025595"/>
      <w:bookmarkStart w:id="1594" w:name="_Toc216695623"/>
      <w:bookmarkEnd w:id="1587"/>
      <w:bookmarkEnd w:id="1588"/>
      <w:bookmarkEnd w:id="1589"/>
      <w:bookmarkEnd w:id="1590"/>
      <w:bookmarkEnd w:id="1591"/>
      <w:bookmarkEnd w:id="1592"/>
      <w:r>
        <w:t>Recommendations</w:t>
      </w:r>
      <w:bookmarkEnd w:id="1569"/>
      <w:bookmarkEnd w:id="1593"/>
      <w:bookmarkEnd w:id="1594"/>
    </w:p>
    <w:p w14:paraId="3AA3198D" w14:textId="5BF41648" w:rsidR="00192BA4" w:rsidRDefault="0015316C" w:rsidP="00192BA4">
      <w:pPr>
        <w:pStyle w:val="Heading3"/>
      </w:pPr>
      <w:bookmarkStart w:id="1595" w:name="_Toc214025224"/>
      <w:bookmarkStart w:id="1596" w:name="_Toc214025410"/>
      <w:bookmarkStart w:id="1597" w:name="_Toc214025596"/>
      <w:bookmarkStart w:id="1598" w:name="_Toc214835486"/>
      <w:bookmarkStart w:id="1599" w:name="_Toc214836090"/>
      <w:bookmarkStart w:id="1600" w:name="_Toc214836540"/>
      <w:bookmarkStart w:id="1601" w:name="_Toc214897992"/>
      <w:bookmarkStart w:id="1602" w:name="_Toc214898567"/>
      <w:bookmarkStart w:id="1603" w:name="_Toc215150873"/>
      <w:bookmarkStart w:id="1604" w:name="_Toc214025225"/>
      <w:bookmarkStart w:id="1605" w:name="_Toc214025411"/>
      <w:bookmarkStart w:id="1606" w:name="_Toc214025597"/>
      <w:bookmarkStart w:id="1607" w:name="_Toc214835487"/>
      <w:bookmarkStart w:id="1608" w:name="_Toc214836091"/>
      <w:bookmarkStart w:id="1609" w:name="_Toc214836541"/>
      <w:bookmarkStart w:id="1610" w:name="_Toc214897993"/>
      <w:bookmarkStart w:id="1611" w:name="_Toc214898568"/>
      <w:bookmarkStart w:id="1612" w:name="_Toc215150874"/>
      <w:bookmarkStart w:id="1613" w:name="_Toc214025226"/>
      <w:bookmarkStart w:id="1614" w:name="_Toc214025412"/>
      <w:bookmarkStart w:id="1615" w:name="_Toc214025598"/>
      <w:bookmarkStart w:id="1616" w:name="_Toc214835488"/>
      <w:bookmarkStart w:id="1617" w:name="_Toc214836092"/>
      <w:bookmarkStart w:id="1618" w:name="_Toc214836542"/>
      <w:bookmarkStart w:id="1619" w:name="_Toc214897994"/>
      <w:bookmarkStart w:id="1620" w:name="_Toc214898569"/>
      <w:bookmarkStart w:id="1621" w:name="_Toc215150875"/>
      <w:bookmarkStart w:id="1622" w:name="_Toc214025227"/>
      <w:bookmarkStart w:id="1623" w:name="_Toc214025413"/>
      <w:bookmarkStart w:id="1624" w:name="_Toc214025599"/>
      <w:bookmarkStart w:id="1625" w:name="_Toc214835489"/>
      <w:bookmarkStart w:id="1626" w:name="_Toc214836093"/>
      <w:bookmarkStart w:id="1627" w:name="_Toc214836543"/>
      <w:bookmarkStart w:id="1628" w:name="_Toc214897995"/>
      <w:bookmarkStart w:id="1629" w:name="_Toc214898570"/>
      <w:bookmarkStart w:id="1630" w:name="_Toc215150876"/>
      <w:bookmarkStart w:id="1631" w:name="_Toc214025228"/>
      <w:bookmarkStart w:id="1632" w:name="_Toc214025414"/>
      <w:bookmarkStart w:id="1633" w:name="_Toc214025600"/>
      <w:bookmarkStart w:id="1634" w:name="_Toc214835490"/>
      <w:bookmarkStart w:id="1635" w:name="_Toc214836094"/>
      <w:bookmarkStart w:id="1636" w:name="_Toc214836544"/>
      <w:bookmarkStart w:id="1637" w:name="_Toc214897996"/>
      <w:bookmarkStart w:id="1638" w:name="_Toc214898571"/>
      <w:bookmarkStart w:id="1639" w:name="_Toc215150877"/>
      <w:bookmarkStart w:id="1640" w:name="_Toc214025602"/>
      <w:bookmarkStart w:id="1641" w:name="_Toc159929137"/>
      <w:bookmarkStart w:id="1642" w:name="_Toc192682462"/>
      <w:bookmarkStart w:id="1643" w:name="_Toc21669562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t>Labelling requirements</w:t>
      </w:r>
      <w:bookmarkEnd w:id="1640"/>
      <w:bookmarkEnd w:id="1643"/>
    </w:p>
    <w:bookmarkEnd w:id="1641"/>
    <w:bookmarkEnd w:id="1642"/>
    <w:p w14:paraId="5C1A67D8" w14:textId="3543143A" w:rsidR="00537DD9" w:rsidRPr="00E04D1D" w:rsidRDefault="00537DD9" w:rsidP="00537DD9">
      <w:pPr>
        <w:pStyle w:val="NormalText"/>
      </w:pPr>
      <w:r>
        <w:t>A</w:t>
      </w:r>
      <w:r w:rsidRPr="00324970">
        <w:t>nticoagulant rodenticide</w:t>
      </w:r>
      <w:r>
        <w:t>s</w:t>
      </w:r>
      <w:r w:rsidRPr="00324970">
        <w:t xml:space="preserve"> </w:t>
      </w:r>
      <w:r>
        <w:t xml:space="preserve">are not registered for use on food producing crops or for treatment of food producing animals. Noting that the recommendations of the environment risk assessment are intended to mitigate the potential risks of unintentional primary and secondary exposure of non-target animals, it is recommended that the additional restraints and critical comments compiled in </w:t>
      </w:r>
      <w:r>
        <w:fldChar w:fldCharType="begin"/>
      </w:r>
      <w:r>
        <w:instrText xml:space="preserve"> REF _Ref213942653 \h </w:instrText>
      </w:r>
      <w:r>
        <w:fldChar w:fldCharType="separate"/>
      </w:r>
      <w:r w:rsidR="003861AC">
        <w:t xml:space="preserve">Table </w:t>
      </w:r>
      <w:r w:rsidR="003861AC">
        <w:rPr>
          <w:noProof/>
        </w:rPr>
        <w:t>83</w:t>
      </w:r>
      <w:r>
        <w:fldChar w:fldCharType="end"/>
      </w:r>
      <w:r w:rsidR="0015316C">
        <w:t xml:space="preserve"> and </w:t>
      </w:r>
      <w:r w:rsidR="0015316C">
        <w:fldChar w:fldCharType="begin"/>
      </w:r>
      <w:r w:rsidR="0015316C">
        <w:instrText xml:space="preserve"> REF _Ref214022607 \h </w:instrText>
      </w:r>
      <w:r w:rsidR="0015316C">
        <w:fldChar w:fldCharType="separate"/>
      </w:r>
      <w:r w:rsidR="003861AC">
        <w:t xml:space="preserve">Table </w:t>
      </w:r>
      <w:r w:rsidR="003861AC">
        <w:rPr>
          <w:noProof/>
        </w:rPr>
        <w:t>84</w:t>
      </w:r>
      <w:r w:rsidR="0015316C">
        <w:fldChar w:fldCharType="end"/>
      </w:r>
      <w:r>
        <w:t xml:space="preserve"> </w:t>
      </w:r>
      <w:r w:rsidR="0015316C">
        <w:t>are required to mitigate the potential risks associated with anticoagulant rodenticide contamination in food producing situations</w:t>
      </w:r>
      <w:r>
        <w:t>.</w:t>
      </w:r>
    </w:p>
    <w:p w14:paraId="280AF048" w14:textId="76D03DE9" w:rsidR="00CF7D3A" w:rsidRDefault="00CF7D3A" w:rsidP="00377F3A">
      <w:pPr>
        <w:pStyle w:val="NormalText"/>
      </w:pPr>
      <w:r>
        <w:t>The following restraints and critical comments are recommended to be applied to all products containing the coumatetralyl for commercial use in field cropping situations:</w:t>
      </w:r>
    </w:p>
    <w:p w14:paraId="4EB58132" w14:textId="6D8E671D" w:rsidR="001E7D93" w:rsidRDefault="001E7D93" w:rsidP="00377F3A">
      <w:pPr>
        <w:pStyle w:val="Caption"/>
      </w:pPr>
      <w:bookmarkStart w:id="1644" w:name="_Ref213942653"/>
      <w:bookmarkStart w:id="1645" w:name="_Toc213946054"/>
      <w:bookmarkStart w:id="1646" w:name="_Toc216695745"/>
      <w:r>
        <w:t xml:space="preserve">Table </w:t>
      </w:r>
      <w:r>
        <w:fldChar w:fldCharType="begin"/>
      </w:r>
      <w:r>
        <w:instrText xml:space="preserve"> SEQ Table \* ARABIC </w:instrText>
      </w:r>
      <w:r>
        <w:fldChar w:fldCharType="separate"/>
      </w:r>
      <w:r w:rsidR="003861AC">
        <w:rPr>
          <w:noProof/>
        </w:rPr>
        <w:t>83</w:t>
      </w:r>
      <w:r>
        <w:fldChar w:fldCharType="end"/>
      </w:r>
      <w:bookmarkEnd w:id="1644"/>
      <w:r>
        <w:t xml:space="preserve">: </w:t>
      </w:r>
      <w:r w:rsidR="00B16219">
        <w:t>Restraints and critical comments required for supported uses in cropping situations</w:t>
      </w:r>
      <w:bookmarkEnd w:id="1645"/>
      <w:bookmarkEnd w:id="1646"/>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8224"/>
      </w:tblGrid>
      <w:tr w:rsidR="00CF7D3A" w:rsidRPr="002F5CB3" w14:paraId="2340DDE2" w14:textId="77777777" w:rsidTr="0017134F">
        <w:tc>
          <w:tcPr>
            <w:tcW w:w="1413" w:type="dxa"/>
            <w:shd w:val="clear" w:color="auto" w:fill="53284F"/>
          </w:tcPr>
          <w:p w14:paraId="46B0CB3B" w14:textId="77777777" w:rsidR="00CF7D3A" w:rsidRPr="005F533E" w:rsidRDefault="00CF7D3A" w:rsidP="00BA7F4F">
            <w:pPr>
              <w:pStyle w:val="TableHead"/>
            </w:pPr>
            <w:r w:rsidRPr="005F533E">
              <w:t>Active</w:t>
            </w:r>
          </w:p>
        </w:tc>
        <w:tc>
          <w:tcPr>
            <w:tcW w:w="8215" w:type="dxa"/>
            <w:shd w:val="clear" w:color="auto" w:fill="53284F"/>
          </w:tcPr>
          <w:p w14:paraId="07715E72" w14:textId="77777777" w:rsidR="00CF7D3A" w:rsidRPr="005F533E" w:rsidRDefault="00CF7D3A" w:rsidP="00BA7F4F">
            <w:pPr>
              <w:pStyle w:val="TableHead"/>
            </w:pPr>
            <w:r w:rsidRPr="005F533E">
              <w:t>Restraint Statements</w:t>
            </w:r>
          </w:p>
        </w:tc>
      </w:tr>
      <w:tr w:rsidR="00CF7D3A" w:rsidRPr="002F5CB3" w14:paraId="40333A52" w14:textId="77777777" w:rsidTr="00BD2F8D">
        <w:tc>
          <w:tcPr>
            <w:tcW w:w="1413" w:type="dxa"/>
          </w:tcPr>
          <w:p w14:paraId="0A8CEFDC" w14:textId="77777777" w:rsidR="00CF7D3A" w:rsidRPr="002F5CB3" w:rsidRDefault="00CF7D3A" w:rsidP="00BA7F4F">
            <w:pPr>
              <w:pStyle w:val="TableText"/>
              <w:rPr>
                <w:lang w:eastAsia="en-AU"/>
              </w:rPr>
            </w:pPr>
            <w:r w:rsidRPr="002F5CB3">
              <w:rPr>
                <w:lang w:eastAsia="en-AU"/>
              </w:rPr>
              <w:t>Coumatetralyl</w:t>
            </w:r>
          </w:p>
        </w:tc>
        <w:tc>
          <w:tcPr>
            <w:tcW w:w="8215" w:type="dxa"/>
          </w:tcPr>
          <w:p w14:paraId="5BDA8CB5" w14:textId="76D0AD8F" w:rsidR="00CF7D3A" w:rsidRDefault="00CF7D3A" w:rsidP="00BA7F4F">
            <w:pPr>
              <w:pStyle w:val="TableText"/>
              <w:rPr>
                <w:lang w:eastAsia="en-AU"/>
              </w:rPr>
            </w:pPr>
            <w:r w:rsidRPr="002F5CB3">
              <w:rPr>
                <w:lang w:eastAsia="en-AU"/>
              </w:rPr>
              <w:t xml:space="preserve">DO NOT place bait in </w:t>
            </w:r>
            <w:r>
              <w:rPr>
                <w:lang w:eastAsia="en-AU"/>
              </w:rPr>
              <w:t xml:space="preserve">food crop situations </w:t>
            </w:r>
            <w:r w:rsidRPr="002F5CB3">
              <w:rPr>
                <w:lang w:eastAsia="en-AU"/>
              </w:rPr>
              <w:t>unless in</w:t>
            </w:r>
            <w:r>
              <w:rPr>
                <w:lang w:eastAsia="en-AU"/>
              </w:rPr>
              <w:t xml:space="preserve"> </w:t>
            </w:r>
            <w:r w:rsidRPr="00F45DBD">
              <w:rPr>
                <w:lang w:eastAsia="en-AU"/>
              </w:rPr>
              <w:t>tamper</w:t>
            </w:r>
            <w:r w:rsidR="00636B6B">
              <w:rPr>
                <w:lang w:eastAsia="en-AU"/>
              </w:rPr>
              <w:t>-</w:t>
            </w:r>
            <w:r>
              <w:rPr>
                <w:lang w:eastAsia="en-AU"/>
              </w:rPr>
              <w:t>proof</w:t>
            </w:r>
            <w:r w:rsidRPr="00F45DBD">
              <w:rPr>
                <w:lang w:eastAsia="en-AU"/>
              </w:rPr>
              <w:t xml:space="preserve"> and weather</w:t>
            </w:r>
            <w:r w:rsidR="00636B6B">
              <w:rPr>
                <w:lang w:eastAsia="en-AU"/>
              </w:rPr>
              <w:t>-</w:t>
            </w:r>
            <w:r w:rsidRPr="00F45DBD">
              <w:rPr>
                <w:lang w:eastAsia="en-AU"/>
              </w:rPr>
              <w:t xml:space="preserve">resistant </w:t>
            </w:r>
            <w:r w:rsidRPr="002F5CB3">
              <w:rPr>
                <w:lang w:eastAsia="en-AU"/>
              </w:rPr>
              <w:t>bait stations.</w:t>
            </w:r>
          </w:p>
          <w:p w14:paraId="56561A13" w14:textId="6EC1B6F8" w:rsidR="00CF7D3A" w:rsidRPr="002F5CB3" w:rsidRDefault="00CF7D3A" w:rsidP="00BA7F4F">
            <w:pPr>
              <w:pStyle w:val="TableText"/>
              <w:rPr>
                <w:lang w:eastAsia="en-AU"/>
              </w:rPr>
            </w:pPr>
            <w:r w:rsidRPr="002F5CB3">
              <w:rPr>
                <w:lang w:eastAsia="en-AU"/>
              </w:rPr>
              <w:t xml:space="preserve">DO NOT graze or feed livestock </w:t>
            </w:r>
            <w:r w:rsidR="007864A9">
              <w:rPr>
                <w:lang w:eastAsia="en-AU"/>
              </w:rPr>
              <w:t>near</w:t>
            </w:r>
            <w:r w:rsidR="007864A9" w:rsidRPr="002F5CB3">
              <w:rPr>
                <w:lang w:eastAsia="en-AU"/>
              </w:rPr>
              <w:t xml:space="preserve"> </w:t>
            </w:r>
            <w:r w:rsidRPr="002F5CB3">
              <w:rPr>
                <w:lang w:eastAsia="en-AU"/>
              </w:rPr>
              <w:t>treated areas whilst bait is present.</w:t>
            </w:r>
          </w:p>
        </w:tc>
      </w:tr>
      <w:tr w:rsidR="00CF7D3A" w:rsidRPr="002F5CB3" w14:paraId="72559DB4" w14:textId="77777777" w:rsidTr="0017134F">
        <w:tc>
          <w:tcPr>
            <w:tcW w:w="1413" w:type="dxa"/>
            <w:shd w:val="clear" w:color="auto" w:fill="3E1E3A"/>
          </w:tcPr>
          <w:p w14:paraId="08513974" w14:textId="77777777" w:rsidR="00CF7D3A" w:rsidRPr="005F533E" w:rsidRDefault="00CF7D3A" w:rsidP="00BA7F4F">
            <w:pPr>
              <w:pStyle w:val="TableHead"/>
            </w:pPr>
            <w:r w:rsidRPr="005F533E">
              <w:t>Active</w:t>
            </w:r>
          </w:p>
        </w:tc>
        <w:tc>
          <w:tcPr>
            <w:tcW w:w="8215" w:type="dxa"/>
            <w:shd w:val="clear" w:color="auto" w:fill="53284F"/>
          </w:tcPr>
          <w:p w14:paraId="2F15CC91" w14:textId="77777777" w:rsidR="00CF7D3A" w:rsidRPr="005F533E" w:rsidRDefault="00CF7D3A" w:rsidP="00BA7F4F">
            <w:pPr>
              <w:pStyle w:val="TableHead"/>
            </w:pPr>
            <w:r w:rsidRPr="005F533E">
              <w:t>Critical Comments</w:t>
            </w:r>
          </w:p>
        </w:tc>
      </w:tr>
      <w:tr w:rsidR="00CF7D3A" w:rsidRPr="00755C92" w14:paraId="291205F8" w14:textId="77777777" w:rsidTr="00BD2F8D">
        <w:tc>
          <w:tcPr>
            <w:tcW w:w="1413" w:type="dxa"/>
            <w:tcBorders>
              <w:bottom w:val="single" w:sz="4" w:space="0" w:color="auto"/>
            </w:tcBorders>
          </w:tcPr>
          <w:p w14:paraId="59900A16" w14:textId="77777777" w:rsidR="00CF7D3A" w:rsidRPr="002F5CB3" w:rsidRDefault="00CF7D3A" w:rsidP="00BA7F4F">
            <w:pPr>
              <w:pStyle w:val="TableText"/>
              <w:rPr>
                <w:lang w:eastAsia="en-AU"/>
              </w:rPr>
            </w:pPr>
            <w:r w:rsidRPr="002F5CB3">
              <w:rPr>
                <w:lang w:eastAsia="en-AU"/>
              </w:rPr>
              <w:t>Coumatetralyl</w:t>
            </w:r>
          </w:p>
        </w:tc>
        <w:tc>
          <w:tcPr>
            <w:tcW w:w="8215" w:type="dxa"/>
            <w:tcBorders>
              <w:bottom w:val="single" w:sz="4" w:space="0" w:color="auto"/>
            </w:tcBorders>
          </w:tcPr>
          <w:p w14:paraId="05DFC609" w14:textId="7C947230" w:rsidR="00CF7D3A" w:rsidRDefault="00CF7D3A" w:rsidP="00BA7F4F">
            <w:pPr>
              <w:pStyle w:val="TableText"/>
              <w:rPr>
                <w:lang w:eastAsia="en-AU"/>
              </w:rPr>
            </w:pPr>
            <w:r w:rsidRPr="005B505F">
              <w:rPr>
                <w:lang w:eastAsia="en-AU"/>
              </w:rPr>
              <w:t>Use in tamper</w:t>
            </w:r>
            <w:r w:rsidR="00636B6B">
              <w:rPr>
                <w:lang w:eastAsia="en-AU"/>
              </w:rPr>
              <w:t>-</w:t>
            </w:r>
            <w:r>
              <w:rPr>
                <w:lang w:eastAsia="en-AU"/>
              </w:rPr>
              <w:t>proof and weather</w:t>
            </w:r>
            <w:r w:rsidR="00636B6B">
              <w:rPr>
                <w:lang w:eastAsia="en-AU"/>
              </w:rPr>
              <w:t>-</w:t>
            </w:r>
            <w:r>
              <w:rPr>
                <w:lang w:eastAsia="en-AU"/>
              </w:rPr>
              <w:t>resistant</w:t>
            </w:r>
            <w:r w:rsidRPr="005B505F">
              <w:rPr>
                <w:lang w:eastAsia="en-AU"/>
              </w:rPr>
              <w:t xml:space="preserve"> bait stations only. </w:t>
            </w:r>
            <w:r>
              <w:rPr>
                <w:lang w:eastAsia="en-AU"/>
              </w:rPr>
              <w:t>B</w:t>
            </w:r>
            <w:r w:rsidRPr="005B505F">
              <w:rPr>
                <w:lang w:eastAsia="en-AU"/>
              </w:rPr>
              <w:t xml:space="preserve">ait stations </w:t>
            </w:r>
            <w:r>
              <w:rPr>
                <w:lang w:eastAsia="en-AU"/>
              </w:rPr>
              <w:t xml:space="preserve">must be fixed </w:t>
            </w:r>
            <w:r w:rsidRPr="005B505F">
              <w:rPr>
                <w:lang w:eastAsia="en-AU"/>
              </w:rPr>
              <w:t xml:space="preserve">to the </w:t>
            </w:r>
            <w:r w:rsidRPr="00321BCE">
              <w:rPr>
                <w:lang w:eastAsia="en-AU"/>
              </w:rPr>
              <w:t>ground</w:t>
            </w:r>
            <w:r w:rsidRPr="005B505F">
              <w:rPr>
                <w:lang w:eastAsia="en-AU"/>
              </w:rPr>
              <w:t xml:space="preserve"> or other structures</w:t>
            </w:r>
            <w:r>
              <w:rPr>
                <w:lang w:eastAsia="en-AU"/>
              </w:rPr>
              <w:t xml:space="preserve"> </w:t>
            </w:r>
            <w:r w:rsidR="00636B6B">
              <w:rPr>
                <w:lang w:eastAsia="en-AU"/>
              </w:rPr>
              <w:t>to</w:t>
            </w:r>
            <w:r>
              <w:rPr>
                <w:lang w:eastAsia="en-AU"/>
              </w:rPr>
              <w:t xml:space="preserve"> prevent mobility</w:t>
            </w:r>
            <w:r w:rsidRPr="005B505F">
              <w:rPr>
                <w:lang w:eastAsia="en-AU"/>
              </w:rPr>
              <w:t xml:space="preserve">. </w:t>
            </w:r>
          </w:p>
          <w:p w14:paraId="74BD0B27" w14:textId="30E466E4" w:rsidR="00CF7D3A" w:rsidRPr="00755C92" w:rsidRDefault="00CF7D3A" w:rsidP="00BA7F4F">
            <w:pPr>
              <w:pStyle w:val="TableText"/>
              <w:rPr>
                <w:lang w:eastAsia="en-AU"/>
              </w:rPr>
            </w:pPr>
            <w:r w:rsidRPr="00755C92">
              <w:rPr>
                <w:lang w:eastAsia="en-AU"/>
              </w:rPr>
              <w:t>The bait material must be placed in a bait station</w:t>
            </w:r>
            <w:r w:rsidR="00636B6B">
              <w:rPr>
                <w:lang w:eastAsia="en-AU"/>
              </w:rPr>
              <w:t>. Bait must not come into</w:t>
            </w:r>
            <w:r w:rsidRPr="00755C92">
              <w:rPr>
                <w:lang w:eastAsia="en-AU"/>
              </w:rPr>
              <w:t xml:space="preserve"> direct contact with </w:t>
            </w:r>
            <w:r w:rsidRPr="00593250">
              <w:rPr>
                <w:lang w:eastAsia="en-AU"/>
              </w:rPr>
              <w:t>crops, food products or soil in which crops</w:t>
            </w:r>
            <w:r>
              <w:rPr>
                <w:lang w:eastAsia="en-AU"/>
              </w:rPr>
              <w:t xml:space="preserve"> are grown.</w:t>
            </w:r>
          </w:p>
          <w:p w14:paraId="1361C6BD" w14:textId="77777777" w:rsidR="00CF7D3A" w:rsidRPr="00755C92" w:rsidRDefault="00CF7D3A" w:rsidP="00BA7F4F">
            <w:pPr>
              <w:pStyle w:val="TableText"/>
              <w:rPr>
                <w:lang w:eastAsia="en-AU"/>
              </w:rPr>
            </w:pPr>
            <w:r w:rsidRPr="00755C92">
              <w:rPr>
                <w:lang w:eastAsia="en-AU"/>
              </w:rPr>
              <w:t>Locate bait stations around crop perimeters</w:t>
            </w:r>
            <w:r>
              <w:rPr>
                <w:lang w:eastAsia="en-AU"/>
              </w:rPr>
              <w:t xml:space="preserve"> </w:t>
            </w:r>
            <w:r w:rsidRPr="00455D09">
              <w:rPr>
                <w:lang w:eastAsia="en-AU"/>
              </w:rPr>
              <w:t>or in the outer 3 rows for macadamia</w:t>
            </w:r>
            <w:r>
              <w:rPr>
                <w:lang w:eastAsia="en-AU"/>
              </w:rPr>
              <w:t xml:space="preserve"> cropping</w:t>
            </w:r>
            <w:r w:rsidRPr="00755C92">
              <w:rPr>
                <w:lang w:eastAsia="en-AU"/>
              </w:rPr>
              <w:t xml:space="preserve"> (particularly between the crop and grassy or bush habitats), near obvious rat runs, and/or close to known rat hiding spots such as stumps, rocks, logs or burrows.</w:t>
            </w:r>
          </w:p>
        </w:tc>
      </w:tr>
    </w:tbl>
    <w:p w14:paraId="68BEEE6A" w14:textId="2978A24F" w:rsidR="00CF7D3A" w:rsidRDefault="00CF7D3A" w:rsidP="00377F3A">
      <w:pPr>
        <w:pStyle w:val="NormalText"/>
      </w:pPr>
      <w:r>
        <w:t>The following restraints and/or critical comments are recommended to be applied to all products containing the following actives for use in and around buildings</w:t>
      </w:r>
      <w:r w:rsidR="00E55F65">
        <w:t>.</w:t>
      </w:r>
    </w:p>
    <w:p w14:paraId="13D71B6E" w14:textId="47C0F3FF" w:rsidR="00850971" w:rsidRDefault="00850971" w:rsidP="00377F3A">
      <w:pPr>
        <w:pStyle w:val="Caption"/>
      </w:pPr>
      <w:bookmarkStart w:id="1647" w:name="_Ref214022607"/>
      <w:bookmarkStart w:id="1648" w:name="_Toc213946055"/>
      <w:bookmarkStart w:id="1649" w:name="_Toc216695746"/>
      <w:r>
        <w:t xml:space="preserve">Table </w:t>
      </w:r>
      <w:r>
        <w:fldChar w:fldCharType="begin"/>
      </w:r>
      <w:r>
        <w:instrText xml:space="preserve"> SEQ Table \* ARABIC </w:instrText>
      </w:r>
      <w:r>
        <w:fldChar w:fldCharType="separate"/>
      </w:r>
      <w:r w:rsidR="003861AC">
        <w:rPr>
          <w:noProof/>
        </w:rPr>
        <w:t>84</w:t>
      </w:r>
      <w:r>
        <w:fldChar w:fldCharType="end"/>
      </w:r>
      <w:bookmarkEnd w:id="1647"/>
      <w:r>
        <w:t>: Restraints and critical comments required for supported uses</w:t>
      </w:r>
      <w:r w:rsidR="00B16219">
        <w:t xml:space="preserve"> in and around buildings</w:t>
      </w:r>
      <w:bookmarkEnd w:id="1648"/>
      <w:bookmarkEnd w:id="1649"/>
    </w:p>
    <w:tbl>
      <w:tblPr>
        <w:tblStyle w:val="TableGrid"/>
        <w:tblW w:w="9639" w:type="dxa"/>
        <w:tblLook w:val="04A0" w:firstRow="1" w:lastRow="0" w:firstColumn="1" w:lastColumn="0" w:noHBand="0" w:noVBand="1"/>
      </w:tblPr>
      <w:tblGrid>
        <w:gridCol w:w="1415"/>
        <w:gridCol w:w="8224"/>
      </w:tblGrid>
      <w:tr w:rsidR="00CF7D3A" w:rsidRPr="005F533E" w14:paraId="5F9311DA" w14:textId="77777777" w:rsidTr="0017134F">
        <w:tc>
          <w:tcPr>
            <w:tcW w:w="1415" w:type="dxa"/>
            <w:tcBorders>
              <w:bottom w:val="single" w:sz="4" w:space="0" w:color="auto"/>
            </w:tcBorders>
            <w:shd w:val="clear" w:color="auto" w:fill="53284F"/>
          </w:tcPr>
          <w:p w14:paraId="7FCD3FFB" w14:textId="77777777" w:rsidR="00CF7D3A" w:rsidRPr="005F533E" w:rsidRDefault="00CF7D3A" w:rsidP="00BA7F4F">
            <w:pPr>
              <w:pStyle w:val="TableHead"/>
            </w:pPr>
            <w:r w:rsidRPr="005F533E">
              <w:t>Active</w:t>
            </w:r>
          </w:p>
        </w:tc>
        <w:tc>
          <w:tcPr>
            <w:tcW w:w="8224" w:type="dxa"/>
            <w:tcBorders>
              <w:bottom w:val="single" w:sz="4" w:space="0" w:color="auto"/>
            </w:tcBorders>
            <w:shd w:val="clear" w:color="auto" w:fill="53284F"/>
          </w:tcPr>
          <w:p w14:paraId="001C7A79" w14:textId="77777777" w:rsidR="00CF7D3A" w:rsidRPr="005F533E" w:rsidRDefault="00CF7D3A" w:rsidP="00BA7F4F">
            <w:pPr>
              <w:pStyle w:val="TableHead"/>
            </w:pPr>
            <w:r w:rsidRPr="005F533E">
              <w:t>Restraint Statements</w:t>
            </w:r>
          </w:p>
        </w:tc>
      </w:tr>
      <w:tr w:rsidR="00CF7D3A" w:rsidRPr="002F5CB3" w14:paraId="73BD4EC4" w14:textId="77777777" w:rsidTr="00BD2F8D">
        <w:trPr>
          <w:trHeight w:val="283"/>
        </w:trPr>
        <w:tc>
          <w:tcPr>
            <w:tcW w:w="1415" w:type="dxa"/>
            <w:tcBorders>
              <w:left w:val="nil"/>
              <w:right w:val="nil"/>
            </w:tcBorders>
          </w:tcPr>
          <w:p w14:paraId="2820C43F" w14:textId="77777777" w:rsidR="00CF7D3A" w:rsidRPr="002F5CB3" w:rsidRDefault="00CF7D3A" w:rsidP="00BA7F4F">
            <w:pPr>
              <w:pStyle w:val="TableText"/>
            </w:pPr>
            <w:r w:rsidRPr="002F5CB3">
              <w:t>Coumatetralyl</w:t>
            </w:r>
          </w:p>
        </w:tc>
        <w:tc>
          <w:tcPr>
            <w:tcW w:w="8224" w:type="dxa"/>
            <w:vMerge w:val="restart"/>
            <w:tcBorders>
              <w:left w:val="nil"/>
              <w:right w:val="nil"/>
            </w:tcBorders>
          </w:tcPr>
          <w:p w14:paraId="0C1563E8" w14:textId="77777777" w:rsidR="00CF7D3A" w:rsidRDefault="00CF7D3A" w:rsidP="00BA7F4F">
            <w:pPr>
              <w:pStyle w:val="TableText"/>
            </w:pPr>
            <w:r w:rsidRPr="00755C92">
              <w:t>DO NOT place bait in areas where there is a possibility of contaminating food, livestock feed or surfaces that come in direct contact with food</w:t>
            </w:r>
            <w:r>
              <w:t xml:space="preserve"> or livestock feed</w:t>
            </w:r>
            <w:r w:rsidRPr="00755C92">
              <w:t>.</w:t>
            </w:r>
          </w:p>
          <w:p w14:paraId="2BA6658B" w14:textId="77777777" w:rsidR="00CF7D3A" w:rsidRDefault="00CF7D3A" w:rsidP="00BA7F4F">
            <w:pPr>
              <w:pStyle w:val="TableText"/>
            </w:pPr>
            <w:r w:rsidRPr="00755C92">
              <w:lastRenderedPageBreak/>
              <w:t>DO NOT place baits in locations that are accessible to domestic animals, livestock, non-target native animals or birds</w:t>
            </w:r>
            <w:r>
              <w:t>.</w:t>
            </w:r>
          </w:p>
          <w:p w14:paraId="29924A0F" w14:textId="77777777" w:rsidR="00CF7D3A" w:rsidRDefault="00CF7D3A" w:rsidP="00BA7F4F">
            <w:pPr>
              <w:pStyle w:val="TableText"/>
            </w:pPr>
            <w:r>
              <w:t xml:space="preserve">DO NOT place in animal or livestock housing unless used in </w:t>
            </w:r>
            <w:r w:rsidRPr="00F45DBD">
              <w:t>tamper</w:t>
            </w:r>
            <w:r>
              <w:t xml:space="preserve"> proof</w:t>
            </w:r>
            <w:r w:rsidRPr="00F45DBD">
              <w:t xml:space="preserve"> and weather resistant </w:t>
            </w:r>
            <w:r w:rsidRPr="00F011AE">
              <w:t>bait station</w:t>
            </w:r>
            <w:r>
              <w:t>s</w:t>
            </w:r>
            <w:r w:rsidRPr="00F011AE">
              <w:t xml:space="preserve"> fixed to the ground or other structures.</w:t>
            </w:r>
          </w:p>
          <w:p w14:paraId="6C2FDCA4" w14:textId="77777777" w:rsidR="00CF7D3A" w:rsidRDefault="00CF7D3A" w:rsidP="00BA7F4F">
            <w:pPr>
              <w:pStyle w:val="TableText"/>
            </w:pPr>
            <w:r w:rsidRPr="00077B52">
              <w:t xml:space="preserve">DO NOT </w:t>
            </w:r>
            <w:r>
              <w:t xml:space="preserve">place bait or bait stations above areas which would </w:t>
            </w:r>
            <w:r w:rsidRPr="00077B52">
              <w:t xml:space="preserve">allow </w:t>
            </w:r>
            <w:r>
              <w:t xml:space="preserve">them </w:t>
            </w:r>
            <w:r w:rsidRPr="00077B52">
              <w:t>to contaminate pig and poultry food</w:t>
            </w:r>
            <w:r>
              <w:t xml:space="preserve"> or drinking water</w:t>
            </w:r>
            <w:r w:rsidRPr="00077B52">
              <w:t>.</w:t>
            </w:r>
          </w:p>
          <w:p w14:paraId="03306C74" w14:textId="77777777" w:rsidR="00CF7D3A" w:rsidRPr="002F5CB3" w:rsidRDefault="00CF7D3A" w:rsidP="00BA7F4F">
            <w:pPr>
              <w:pStyle w:val="TableText"/>
            </w:pPr>
            <w:r w:rsidRPr="00755C92">
              <w:t xml:space="preserve">DO NOT </w:t>
            </w:r>
            <w:r>
              <w:t xml:space="preserve">allow livestock or poultry to consume dead or moribund mice and rats. </w:t>
            </w:r>
            <w:r w:rsidRPr="00086673">
              <w:t>All dead or moribund animals and rodent faeces from baited rodents MUST be removed from areas accessible to livestock or poultry.</w:t>
            </w:r>
          </w:p>
        </w:tc>
      </w:tr>
      <w:tr w:rsidR="00CF7D3A" w:rsidRPr="002F5CB3" w14:paraId="33FEB426" w14:textId="77777777" w:rsidTr="00BD2F8D">
        <w:trPr>
          <w:trHeight w:val="283"/>
        </w:trPr>
        <w:tc>
          <w:tcPr>
            <w:tcW w:w="1415" w:type="dxa"/>
            <w:tcBorders>
              <w:left w:val="nil"/>
              <w:right w:val="nil"/>
            </w:tcBorders>
          </w:tcPr>
          <w:p w14:paraId="4083B0FD" w14:textId="77777777" w:rsidR="00CF7D3A" w:rsidRPr="002F5CB3" w:rsidRDefault="00CF7D3A" w:rsidP="00BA7F4F">
            <w:pPr>
              <w:pStyle w:val="TableText"/>
            </w:pPr>
            <w:r w:rsidRPr="002F5CB3">
              <w:t>Diphacinone</w:t>
            </w:r>
          </w:p>
        </w:tc>
        <w:tc>
          <w:tcPr>
            <w:tcW w:w="8224" w:type="dxa"/>
            <w:vMerge/>
            <w:tcBorders>
              <w:left w:val="nil"/>
              <w:right w:val="nil"/>
            </w:tcBorders>
          </w:tcPr>
          <w:p w14:paraId="1729A72A" w14:textId="77777777" w:rsidR="00CF7D3A" w:rsidRPr="002F5CB3" w:rsidRDefault="00CF7D3A" w:rsidP="0023656E">
            <w:pPr>
              <w:spacing w:after="0"/>
              <w:rPr>
                <w:sz w:val="20"/>
                <w:szCs w:val="20"/>
              </w:rPr>
            </w:pPr>
          </w:p>
        </w:tc>
      </w:tr>
      <w:tr w:rsidR="00CF7D3A" w:rsidRPr="002F5CB3" w14:paraId="4F24F875" w14:textId="77777777" w:rsidTr="00BD2F8D">
        <w:trPr>
          <w:trHeight w:val="283"/>
        </w:trPr>
        <w:tc>
          <w:tcPr>
            <w:tcW w:w="1415" w:type="dxa"/>
            <w:tcBorders>
              <w:left w:val="nil"/>
              <w:right w:val="nil"/>
            </w:tcBorders>
          </w:tcPr>
          <w:p w14:paraId="4D51F0FE" w14:textId="77777777" w:rsidR="00CF7D3A" w:rsidRPr="002F5CB3" w:rsidRDefault="00CF7D3A" w:rsidP="00BA7F4F">
            <w:pPr>
              <w:pStyle w:val="TableText"/>
            </w:pPr>
            <w:r w:rsidRPr="002F5CB3">
              <w:lastRenderedPageBreak/>
              <w:t>Warfarin</w:t>
            </w:r>
          </w:p>
        </w:tc>
        <w:tc>
          <w:tcPr>
            <w:tcW w:w="8224" w:type="dxa"/>
            <w:vMerge/>
            <w:tcBorders>
              <w:left w:val="nil"/>
              <w:right w:val="nil"/>
            </w:tcBorders>
          </w:tcPr>
          <w:p w14:paraId="5B971C49" w14:textId="77777777" w:rsidR="00CF7D3A" w:rsidRPr="002F5CB3" w:rsidRDefault="00CF7D3A" w:rsidP="0023656E">
            <w:pPr>
              <w:spacing w:after="0"/>
              <w:rPr>
                <w:sz w:val="20"/>
                <w:szCs w:val="20"/>
              </w:rPr>
            </w:pPr>
          </w:p>
        </w:tc>
      </w:tr>
      <w:tr w:rsidR="00CF7D3A" w:rsidRPr="002F5CB3" w14:paraId="7C8AB112" w14:textId="77777777" w:rsidTr="00BD2F8D">
        <w:trPr>
          <w:trHeight w:val="283"/>
        </w:trPr>
        <w:tc>
          <w:tcPr>
            <w:tcW w:w="1415" w:type="dxa"/>
            <w:tcBorders>
              <w:left w:val="nil"/>
              <w:right w:val="nil"/>
            </w:tcBorders>
          </w:tcPr>
          <w:p w14:paraId="585C7579" w14:textId="77777777" w:rsidR="00CF7D3A" w:rsidRPr="002F5CB3" w:rsidRDefault="00CF7D3A" w:rsidP="00BA7F4F">
            <w:pPr>
              <w:pStyle w:val="TableText"/>
            </w:pPr>
            <w:r w:rsidRPr="002F5CB3">
              <w:t>Brodifacoum</w:t>
            </w:r>
          </w:p>
        </w:tc>
        <w:tc>
          <w:tcPr>
            <w:tcW w:w="8224" w:type="dxa"/>
            <w:vMerge/>
            <w:tcBorders>
              <w:left w:val="nil"/>
              <w:right w:val="nil"/>
            </w:tcBorders>
          </w:tcPr>
          <w:p w14:paraId="6E137C0B" w14:textId="77777777" w:rsidR="00CF7D3A" w:rsidRPr="002F5CB3" w:rsidRDefault="00CF7D3A" w:rsidP="0023656E">
            <w:pPr>
              <w:spacing w:after="0"/>
              <w:rPr>
                <w:sz w:val="20"/>
                <w:szCs w:val="20"/>
              </w:rPr>
            </w:pPr>
          </w:p>
        </w:tc>
      </w:tr>
      <w:tr w:rsidR="00CF7D3A" w:rsidRPr="002F5CB3" w14:paraId="32ADBB80" w14:textId="77777777" w:rsidTr="00BD2F8D">
        <w:trPr>
          <w:trHeight w:val="283"/>
        </w:trPr>
        <w:tc>
          <w:tcPr>
            <w:tcW w:w="1415" w:type="dxa"/>
            <w:tcBorders>
              <w:left w:val="nil"/>
              <w:right w:val="nil"/>
            </w:tcBorders>
          </w:tcPr>
          <w:p w14:paraId="6FB80223" w14:textId="77777777" w:rsidR="00CF7D3A" w:rsidRPr="002F5CB3" w:rsidRDefault="00CF7D3A" w:rsidP="00BA7F4F">
            <w:pPr>
              <w:pStyle w:val="TableText"/>
            </w:pPr>
            <w:r w:rsidRPr="002F5CB3">
              <w:t>Bromadiolone</w:t>
            </w:r>
          </w:p>
        </w:tc>
        <w:tc>
          <w:tcPr>
            <w:tcW w:w="8224" w:type="dxa"/>
            <w:vMerge/>
            <w:tcBorders>
              <w:left w:val="nil"/>
              <w:right w:val="nil"/>
            </w:tcBorders>
          </w:tcPr>
          <w:p w14:paraId="0136E9A3" w14:textId="77777777" w:rsidR="00CF7D3A" w:rsidRPr="002F5CB3" w:rsidRDefault="00CF7D3A" w:rsidP="0023656E">
            <w:pPr>
              <w:spacing w:after="0"/>
              <w:rPr>
                <w:sz w:val="20"/>
                <w:szCs w:val="20"/>
              </w:rPr>
            </w:pPr>
          </w:p>
        </w:tc>
      </w:tr>
      <w:tr w:rsidR="00CF7D3A" w:rsidRPr="002F5CB3" w14:paraId="141600AB" w14:textId="77777777" w:rsidTr="00BD2F8D">
        <w:trPr>
          <w:trHeight w:val="283"/>
        </w:trPr>
        <w:tc>
          <w:tcPr>
            <w:tcW w:w="1415" w:type="dxa"/>
            <w:tcBorders>
              <w:left w:val="nil"/>
              <w:right w:val="nil"/>
            </w:tcBorders>
          </w:tcPr>
          <w:p w14:paraId="4DFEFA90" w14:textId="77777777" w:rsidR="00CF7D3A" w:rsidRPr="002F5CB3" w:rsidRDefault="00CF7D3A" w:rsidP="00BA7F4F">
            <w:pPr>
              <w:pStyle w:val="TableText"/>
            </w:pPr>
            <w:r w:rsidRPr="002F5CB3">
              <w:t>Difenacoum</w:t>
            </w:r>
          </w:p>
        </w:tc>
        <w:tc>
          <w:tcPr>
            <w:tcW w:w="8224" w:type="dxa"/>
            <w:vMerge/>
            <w:tcBorders>
              <w:left w:val="nil"/>
              <w:right w:val="nil"/>
            </w:tcBorders>
          </w:tcPr>
          <w:p w14:paraId="49DF3C38" w14:textId="77777777" w:rsidR="00CF7D3A" w:rsidRPr="002F5CB3" w:rsidRDefault="00CF7D3A" w:rsidP="0023656E">
            <w:pPr>
              <w:spacing w:after="0"/>
              <w:rPr>
                <w:sz w:val="20"/>
                <w:szCs w:val="20"/>
              </w:rPr>
            </w:pPr>
          </w:p>
        </w:tc>
      </w:tr>
      <w:tr w:rsidR="00CF7D3A" w:rsidRPr="002F5CB3" w14:paraId="68715CC4" w14:textId="77777777" w:rsidTr="00BD2F8D">
        <w:trPr>
          <w:trHeight w:val="283"/>
        </w:trPr>
        <w:tc>
          <w:tcPr>
            <w:tcW w:w="1415" w:type="dxa"/>
            <w:tcBorders>
              <w:left w:val="nil"/>
              <w:right w:val="nil"/>
            </w:tcBorders>
          </w:tcPr>
          <w:p w14:paraId="2B246F2C" w14:textId="77777777" w:rsidR="00CF7D3A" w:rsidRPr="002F5CB3" w:rsidRDefault="00CF7D3A" w:rsidP="00BA7F4F">
            <w:pPr>
              <w:pStyle w:val="TableText"/>
            </w:pPr>
            <w:r w:rsidRPr="002F5CB3">
              <w:t>Difethialone</w:t>
            </w:r>
          </w:p>
        </w:tc>
        <w:tc>
          <w:tcPr>
            <w:tcW w:w="8224" w:type="dxa"/>
            <w:vMerge/>
            <w:tcBorders>
              <w:left w:val="nil"/>
              <w:right w:val="nil"/>
            </w:tcBorders>
          </w:tcPr>
          <w:p w14:paraId="2FC9B6AA" w14:textId="77777777" w:rsidR="00CF7D3A" w:rsidRPr="002F5CB3" w:rsidRDefault="00CF7D3A" w:rsidP="0023656E">
            <w:pPr>
              <w:spacing w:after="0"/>
              <w:rPr>
                <w:sz w:val="20"/>
                <w:szCs w:val="20"/>
              </w:rPr>
            </w:pPr>
          </w:p>
        </w:tc>
      </w:tr>
      <w:tr w:rsidR="00CF7D3A" w:rsidRPr="002F5CB3" w14:paraId="395FE338" w14:textId="77777777" w:rsidTr="00BD2F8D">
        <w:trPr>
          <w:trHeight w:val="283"/>
        </w:trPr>
        <w:tc>
          <w:tcPr>
            <w:tcW w:w="1415" w:type="dxa"/>
            <w:tcBorders>
              <w:left w:val="nil"/>
              <w:right w:val="nil"/>
            </w:tcBorders>
          </w:tcPr>
          <w:p w14:paraId="6000B034" w14:textId="77777777" w:rsidR="00CF7D3A" w:rsidRPr="002F5CB3" w:rsidRDefault="00CF7D3A" w:rsidP="00BA7F4F">
            <w:pPr>
              <w:pStyle w:val="TableText"/>
            </w:pPr>
            <w:r w:rsidRPr="002F5CB3">
              <w:t>Flocoumafen</w:t>
            </w:r>
          </w:p>
        </w:tc>
        <w:tc>
          <w:tcPr>
            <w:tcW w:w="8224" w:type="dxa"/>
            <w:vMerge/>
            <w:tcBorders>
              <w:left w:val="nil"/>
              <w:right w:val="nil"/>
            </w:tcBorders>
          </w:tcPr>
          <w:p w14:paraId="1574B567" w14:textId="77777777" w:rsidR="00CF7D3A" w:rsidRPr="002F5CB3" w:rsidRDefault="00CF7D3A" w:rsidP="0023656E">
            <w:pPr>
              <w:spacing w:after="0"/>
              <w:rPr>
                <w:sz w:val="20"/>
                <w:szCs w:val="20"/>
              </w:rPr>
            </w:pPr>
          </w:p>
        </w:tc>
      </w:tr>
      <w:tr w:rsidR="00CF7D3A" w:rsidRPr="005F533E" w14:paraId="5327C53F" w14:textId="77777777" w:rsidTr="0017134F">
        <w:tc>
          <w:tcPr>
            <w:tcW w:w="1415" w:type="dxa"/>
            <w:tcBorders>
              <w:bottom w:val="single" w:sz="4" w:space="0" w:color="auto"/>
            </w:tcBorders>
            <w:shd w:val="clear" w:color="auto" w:fill="53284F"/>
          </w:tcPr>
          <w:p w14:paraId="2E9CBB07" w14:textId="77777777" w:rsidR="00CF7D3A" w:rsidRPr="005F533E" w:rsidRDefault="00CF7D3A" w:rsidP="00BA7F4F">
            <w:pPr>
              <w:pStyle w:val="TableHead"/>
            </w:pPr>
            <w:r w:rsidRPr="005F533E">
              <w:t>Active</w:t>
            </w:r>
          </w:p>
        </w:tc>
        <w:tc>
          <w:tcPr>
            <w:tcW w:w="8224" w:type="dxa"/>
            <w:tcBorders>
              <w:bottom w:val="single" w:sz="4" w:space="0" w:color="auto"/>
            </w:tcBorders>
            <w:shd w:val="clear" w:color="auto" w:fill="53284F"/>
          </w:tcPr>
          <w:p w14:paraId="4DBFD3A8" w14:textId="77777777" w:rsidR="00CF7D3A" w:rsidRPr="005F533E" w:rsidRDefault="00CF7D3A" w:rsidP="00BA7F4F">
            <w:pPr>
              <w:pStyle w:val="TableHead"/>
            </w:pPr>
            <w:r w:rsidRPr="005F533E">
              <w:t>Critical Comments</w:t>
            </w:r>
          </w:p>
        </w:tc>
      </w:tr>
      <w:tr w:rsidR="00CF7D3A" w:rsidRPr="00755C92" w14:paraId="221475E3" w14:textId="77777777" w:rsidTr="00BD2F8D">
        <w:tc>
          <w:tcPr>
            <w:tcW w:w="1415" w:type="dxa"/>
            <w:tcBorders>
              <w:left w:val="nil"/>
              <w:right w:val="nil"/>
            </w:tcBorders>
          </w:tcPr>
          <w:p w14:paraId="37C6ED56" w14:textId="77777777" w:rsidR="00CF7D3A" w:rsidRPr="002F5CB3" w:rsidRDefault="00CF7D3A" w:rsidP="00BA7F4F">
            <w:pPr>
              <w:pStyle w:val="TableText"/>
            </w:pPr>
            <w:r w:rsidRPr="002F5CB3">
              <w:t>Coumatetralyl</w:t>
            </w:r>
          </w:p>
        </w:tc>
        <w:tc>
          <w:tcPr>
            <w:tcW w:w="8224" w:type="dxa"/>
            <w:vMerge w:val="restart"/>
            <w:tcBorders>
              <w:left w:val="nil"/>
              <w:right w:val="nil"/>
            </w:tcBorders>
          </w:tcPr>
          <w:p w14:paraId="658BC1D9" w14:textId="77777777" w:rsidR="00CF7D3A" w:rsidRDefault="00CF7D3A" w:rsidP="00BA7F4F">
            <w:pPr>
              <w:pStyle w:val="TableText"/>
            </w:pPr>
            <w:r>
              <w:t>When used in food producing animal housing situations careful consideration is necessary regarding the placement of bait stations to ensure any rodenticide contamination of water, feed or livestock is prevented.</w:t>
            </w:r>
          </w:p>
          <w:p w14:paraId="3D989838" w14:textId="77777777" w:rsidR="00CF7D3A" w:rsidRPr="00755C92" w:rsidRDefault="00CF7D3A" w:rsidP="00BA7F4F">
            <w:pPr>
              <w:pStyle w:val="TableText"/>
            </w:pPr>
            <w:r w:rsidRPr="00E67D6F">
              <w:t xml:space="preserve">Hazardous to </w:t>
            </w:r>
            <w:r>
              <w:t>livestock, poultry and wildlife</w:t>
            </w:r>
            <w:r w:rsidRPr="00E67D6F">
              <w:t>. Search for and dispose of dead rodents and slugs/snails in the infested area at each visit to prevent secondary poisoning. In case slugs/snails are present, move bait station to another location within the rodent infested site, away from slugs/snails. Dispose of slugs/snails in a way non-target animals are not exposed. Dispose of dead rodents and uneaten bait in compliance with local, state or territory government regulations.</w:t>
            </w:r>
          </w:p>
        </w:tc>
      </w:tr>
      <w:tr w:rsidR="00CF7D3A" w:rsidRPr="00755C92" w14:paraId="0C7401B6" w14:textId="77777777" w:rsidTr="00BD2F8D">
        <w:tc>
          <w:tcPr>
            <w:tcW w:w="1415" w:type="dxa"/>
            <w:tcBorders>
              <w:left w:val="nil"/>
              <w:right w:val="nil"/>
            </w:tcBorders>
          </w:tcPr>
          <w:p w14:paraId="05FB3B44" w14:textId="77777777" w:rsidR="00CF7D3A" w:rsidRPr="002F5CB3" w:rsidRDefault="00CF7D3A" w:rsidP="00BA7F4F">
            <w:pPr>
              <w:pStyle w:val="TableText"/>
            </w:pPr>
            <w:r w:rsidRPr="002F5CB3">
              <w:t>Diphacinone</w:t>
            </w:r>
          </w:p>
        </w:tc>
        <w:tc>
          <w:tcPr>
            <w:tcW w:w="8224" w:type="dxa"/>
            <w:vMerge/>
            <w:tcBorders>
              <w:left w:val="nil"/>
              <w:right w:val="nil"/>
            </w:tcBorders>
          </w:tcPr>
          <w:p w14:paraId="121D6337" w14:textId="77777777" w:rsidR="00CF7D3A" w:rsidRPr="00755C92" w:rsidRDefault="00CF7D3A" w:rsidP="0023656E">
            <w:pPr>
              <w:spacing w:after="0"/>
              <w:rPr>
                <w:sz w:val="20"/>
                <w:szCs w:val="20"/>
              </w:rPr>
            </w:pPr>
          </w:p>
        </w:tc>
      </w:tr>
      <w:tr w:rsidR="00CF7D3A" w:rsidRPr="00755C92" w14:paraId="0DF0C239" w14:textId="77777777" w:rsidTr="00BD2F8D">
        <w:tc>
          <w:tcPr>
            <w:tcW w:w="1415" w:type="dxa"/>
            <w:tcBorders>
              <w:left w:val="nil"/>
              <w:right w:val="nil"/>
            </w:tcBorders>
          </w:tcPr>
          <w:p w14:paraId="59725697" w14:textId="77777777" w:rsidR="00CF7D3A" w:rsidRPr="002F5CB3" w:rsidRDefault="00CF7D3A" w:rsidP="00BA7F4F">
            <w:pPr>
              <w:pStyle w:val="TableText"/>
            </w:pPr>
            <w:r w:rsidRPr="002F5CB3">
              <w:t>Warfarin</w:t>
            </w:r>
          </w:p>
        </w:tc>
        <w:tc>
          <w:tcPr>
            <w:tcW w:w="8224" w:type="dxa"/>
            <w:vMerge/>
            <w:tcBorders>
              <w:left w:val="nil"/>
              <w:right w:val="nil"/>
            </w:tcBorders>
          </w:tcPr>
          <w:p w14:paraId="1270D6E5" w14:textId="77777777" w:rsidR="00CF7D3A" w:rsidRPr="00755C92" w:rsidRDefault="00CF7D3A" w:rsidP="0023656E">
            <w:pPr>
              <w:spacing w:after="0"/>
              <w:rPr>
                <w:sz w:val="20"/>
                <w:szCs w:val="20"/>
              </w:rPr>
            </w:pPr>
          </w:p>
        </w:tc>
      </w:tr>
      <w:tr w:rsidR="00CF7D3A" w:rsidRPr="00755C92" w14:paraId="171DBFBA" w14:textId="77777777" w:rsidTr="00BD2F8D">
        <w:tc>
          <w:tcPr>
            <w:tcW w:w="1415" w:type="dxa"/>
            <w:tcBorders>
              <w:left w:val="nil"/>
              <w:right w:val="nil"/>
            </w:tcBorders>
          </w:tcPr>
          <w:p w14:paraId="6857AC91" w14:textId="77777777" w:rsidR="00CF7D3A" w:rsidRPr="002F5CB3" w:rsidRDefault="00CF7D3A" w:rsidP="00BA7F4F">
            <w:pPr>
              <w:pStyle w:val="TableText"/>
            </w:pPr>
            <w:r w:rsidRPr="002F5CB3">
              <w:t>Brodifacoum</w:t>
            </w:r>
          </w:p>
        </w:tc>
        <w:tc>
          <w:tcPr>
            <w:tcW w:w="8224" w:type="dxa"/>
            <w:vMerge/>
            <w:tcBorders>
              <w:left w:val="nil"/>
              <w:right w:val="nil"/>
            </w:tcBorders>
          </w:tcPr>
          <w:p w14:paraId="068428CC" w14:textId="77777777" w:rsidR="00CF7D3A" w:rsidRPr="00755C92" w:rsidRDefault="00CF7D3A" w:rsidP="0023656E">
            <w:pPr>
              <w:spacing w:after="0"/>
              <w:rPr>
                <w:sz w:val="20"/>
                <w:szCs w:val="20"/>
              </w:rPr>
            </w:pPr>
          </w:p>
        </w:tc>
      </w:tr>
      <w:tr w:rsidR="00CF7D3A" w:rsidRPr="00755C92" w14:paraId="2ADB7A05" w14:textId="77777777" w:rsidTr="00BD2F8D">
        <w:tc>
          <w:tcPr>
            <w:tcW w:w="1415" w:type="dxa"/>
            <w:tcBorders>
              <w:left w:val="nil"/>
              <w:right w:val="nil"/>
            </w:tcBorders>
          </w:tcPr>
          <w:p w14:paraId="6B50FD16" w14:textId="77777777" w:rsidR="00CF7D3A" w:rsidRPr="002F5CB3" w:rsidRDefault="00CF7D3A" w:rsidP="00BA7F4F">
            <w:pPr>
              <w:pStyle w:val="TableText"/>
            </w:pPr>
            <w:r w:rsidRPr="002F5CB3">
              <w:t>Bromadiolone</w:t>
            </w:r>
          </w:p>
        </w:tc>
        <w:tc>
          <w:tcPr>
            <w:tcW w:w="8224" w:type="dxa"/>
            <w:vMerge/>
            <w:tcBorders>
              <w:left w:val="nil"/>
              <w:right w:val="nil"/>
            </w:tcBorders>
          </w:tcPr>
          <w:p w14:paraId="1D0A2FE1" w14:textId="77777777" w:rsidR="00CF7D3A" w:rsidRPr="00755C92" w:rsidRDefault="00CF7D3A" w:rsidP="0023656E">
            <w:pPr>
              <w:spacing w:after="0"/>
              <w:rPr>
                <w:sz w:val="20"/>
                <w:szCs w:val="20"/>
              </w:rPr>
            </w:pPr>
          </w:p>
        </w:tc>
      </w:tr>
      <w:tr w:rsidR="00CF7D3A" w:rsidRPr="00755C92" w14:paraId="09B51F53" w14:textId="77777777" w:rsidTr="00BD2F8D">
        <w:tc>
          <w:tcPr>
            <w:tcW w:w="1415" w:type="dxa"/>
            <w:tcBorders>
              <w:left w:val="nil"/>
              <w:right w:val="nil"/>
            </w:tcBorders>
          </w:tcPr>
          <w:p w14:paraId="40E4DCE5" w14:textId="77777777" w:rsidR="00CF7D3A" w:rsidRPr="002F5CB3" w:rsidRDefault="00CF7D3A" w:rsidP="00BA7F4F">
            <w:pPr>
              <w:pStyle w:val="TableText"/>
            </w:pPr>
            <w:r w:rsidRPr="002F5CB3">
              <w:t>Difenacoum</w:t>
            </w:r>
          </w:p>
        </w:tc>
        <w:tc>
          <w:tcPr>
            <w:tcW w:w="8224" w:type="dxa"/>
            <w:vMerge/>
            <w:tcBorders>
              <w:left w:val="nil"/>
              <w:right w:val="nil"/>
            </w:tcBorders>
          </w:tcPr>
          <w:p w14:paraId="26FB172F" w14:textId="77777777" w:rsidR="00CF7D3A" w:rsidRPr="00755C92" w:rsidRDefault="00CF7D3A" w:rsidP="0023656E">
            <w:pPr>
              <w:spacing w:after="0"/>
              <w:rPr>
                <w:sz w:val="20"/>
                <w:szCs w:val="20"/>
              </w:rPr>
            </w:pPr>
          </w:p>
        </w:tc>
      </w:tr>
      <w:tr w:rsidR="00CF7D3A" w:rsidRPr="00755C92" w14:paraId="2BD802F8" w14:textId="77777777" w:rsidTr="00BD2F8D">
        <w:tc>
          <w:tcPr>
            <w:tcW w:w="1415" w:type="dxa"/>
            <w:tcBorders>
              <w:left w:val="nil"/>
              <w:right w:val="nil"/>
            </w:tcBorders>
          </w:tcPr>
          <w:p w14:paraId="047F5DF1" w14:textId="77777777" w:rsidR="00CF7D3A" w:rsidRPr="002F5CB3" w:rsidRDefault="00CF7D3A" w:rsidP="00BA7F4F">
            <w:pPr>
              <w:pStyle w:val="TableText"/>
            </w:pPr>
            <w:r w:rsidRPr="002F5CB3">
              <w:t>Difethialone</w:t>
            </w:r>
          </w:p>
        </w:tc>
        <w:tc>
          <w:tcPr>
            <w:tcW w:w="8224" w:type="dxa"/>
            <w:vMerge/>
            <w:tcBorders>
              <w:left w:val="nil"/>
              <w:right w:val="nil"/>
            </w:tcBorders>
          </w:tcPr>
          <w:p w14:paraId="25438F2A" w14:textId="77777777" w:rsidR="00CF7D3A" w:rsidRPr="00755C92" w:rsidRDefault="00CF7D3A" w:rsidP="0023656E">
            <w:pPr>
              <w:spacing w:after="0"/>
              <w:rPr>
                <w:sz w:val="20"/>
                <w:szCs w:val="20"/>
              </w:rPr>
            </w:pPr>
          </w:p>
        </w:tc>
      </w:tr>
      <w:tr w:rsidR="00CF7D3A" w:rsidRPr="00755C92" w14:paraId="6AC3E2E8" w14:textId="77777777" w:rsidTr="00BD2F8D">
        <w:tc>
          <w:tcPr>
            <w:tcW w:w="1415" w:type="dxa"/>
            <w:tcBorders>
              <w:left w:val="nil"/>
              <w:right w:val="nil"/>
            </w:tcBorders>
          </w:tcPr>
          <w:p w14:paraId="18F6AD3A" w14:textId="77777777" w:rsidR="00CF7D3A" w:rsidRPr="002F5CB3" w:rsidRDefault="00CF7D3A" w:rsidP="00BA7F4F">
            <w:pPr>
              <w:pStyle w:val="TableText"/>
            </w:pPr>
            <w:r w:rsidRPr="002F5CB3">
              <w:t>Flocoumafen</w:t>
            </w:r>
          </w:p>
        </w:tc>
        <w:tc>
          <w:tcPr>
            <w:tcW w:w="8224" w:type="dxa"/>
            <w:vMerge/>
            <w:tcBorders>
              <w:left w:val="nil"/>
              <w:right w:val="nil"/>
            </w:tcBorders>
          </w:tcPr>
          <w:p w14:paraId="4A604856" w14:textId="77777777" w:rsidR="00CF7D3A" w:rsidRPr="005B505F" w:rsidRDefault="00CF7D3A" w:rsidP="0023656E">
            <w:pPr>
              <w:spacing w:after="0"/>
              <w:rPr>
                <w:sz w:val="20"/>
                <w:szCs w:val="20"/>
              </w:rPr>
            </w:pPr>
          </w:p>
        </w:tc>
      </w:tr>
    </w:tbl>
    <w:p w14:paraId="00556225" w14:textId="77777777" w:rsidR="00CF7D3A" w:rsidRDefault="00CF7D3A" w:rsidP="006F78D3">
      <w:pPr>
        <w:pStyle w:val="Heading3"/>
      </w:pPr>
      <w:bookmarkStart w:id="1650" w:name="_Toc192682463"/>
      <w:bookmarkStart w:id="1651" w:name="_Toc214025603"/>
      <w:bookmarkStart w:id="1652" w:name="_Toc216695625"/>
      <w:r>
        <w:t>Uses not supported by this assessment</w:t>
      </w:r>
      <w:bookmarkEnd w:id="1650"/>
      <w:bookmarkEnd w:id="1651"/>
      <w:bookmarkEnd w:id="1652"/>
    </w:p>
    <w:p w14:paraId="66A2E128" w14:textId="1B19038A" w:rsidR="00CF7D3A" w:rsidRDefault="000A26C1" w:rsidP="00377F3A">
      <w:pPr>
        <w:pStyle w:val="NormalText"/>
      </w:pPr>
      <w:r>
        <w:t xml:space="preserve">All products formulated as powder, loose grain, loose pellets, or liquid are </w:t>
      </w:r>
      <w:r w:rsidR="00CF7D3A">
        <w:t xml:space="preserve">not supported </w:t>
      </w:r>
      <w:r w:rsidR="00192BA4">
        <w:t xml:space="preserve">for use in any </w:t>
      </w:r>
      <w:r w:rsidR="004B0311">
        <w:t xml:space="preserve">food producing </w:t>
      </w:r>
      <w:r w:rsidR="00192BA4">
        <w:t>situation</w:t>
      </w:r>
      <w:r w:rsidR="004B0311">
        <w:t>s</w:t>
      </w:r>
      <w:r w:rsidR="00192BA4">
        <w:t xml:space="preserve"> </w:t>
      </w:r>
      <w:r w:rsidR="009A083C">
        <w:t>considered</w:t>
      </w:r>
      <w:r w:rsidR="00CF7D3A">
        <w:t xml:space="preserve"> </w:t>
      </w:r>
      <w:r w:rsidR="009A083C">
        <w:t xml:space="preserve">in </w:t>
      </w:r>
      <w:r w:rsidR="00CF7D3A">
        <w:t>this assessment</w:t>
      </w:r>
      <w:r w:rsidR="00D20A82">
        <w:t>.</w:t>
      </w:r>
      <w:r w:rsidR="004B0311">
        <w:t xml:space="preserve"> Specif</w:t>
      </w:r>
      <w:r w:rsidR="009A083C">
        <w:t xml:space="preserve">ically, use </w:t>
      </w:r>
      <w:r w:rsidR="00636B6B">
        <w:t>of these formulations</w:t>
      </w:r>
      <w:r w:rsidR="009A083C">
        <w:t xml:space="preserve"> in field crops (sugar cane, macadamia, pineapples) and use i</w:t>
      </w:r>
      <w:r w:rsidR="009A083C" w:rsidRPr="009A083C">
        <w:t>n and around animal, livestock and poultry houses, associated equipment, and food and feed processing areas</w:t>
      </w:r>
      <w:r w:rsidR="00636B6B">
        <w:t xml:space="preserve"> is not supported</w:t>
      </w:r>
      <w:r w:rsidR="009A083C">
        <w:t>.</w:t>
      </w:r>
    </w:p>
    <w:p w14:paraId="3B003DF6" w14:textId="77777777" w:rsidR="00CF7D3A" w:rsidRDefault="00CF7D3A" w:rsidP="006F78D3">
      <w:pPr>
        <w:pStyle w:val="Heading3"/>
      </w:pPr>
      <w:bookmarkStart w:id="1653" w:name="_Toc213945861"/>
      <w:bookmarkStart w:id="1654" w:name="_Toc192682465"/>
      <w:bookmarkStart w:id="1655" w:name="_Toc214025605"/>
      <w:bookmarkStart w:id="1656" w:name="_Toc216695626"/>
      <w:bookmarkEnd w:id="1653"/>
      <w:r>
        <w:t xml:space="preserve">Assessment against the Trade </w:t>
      </w:r>
      <w:r w:rsidRPr="006910B8">
        <w:t>Criteria</w:t>
      </w:r>
      <w:bookmarkEnd w:id="1654"/>
      <w:bookmarkEnd w:id="1655"/>
      <w:bookmarkEnd w:id="1656"/>
    </w:p>
    <w:p w14:paraId="7DB34958" w14:textId="77777777" w:rsidR="008E69B6" w:rsidRDefault="00192BA4" w:rsidP="00377F3A">
      <w:pPr>
        <w:pStyle w:val="NormalText"/>
        <w:sectPr w:rsidR="008E69B6">
          <w:headerReference w:type="even" r:id="rId38"/>
          <w:pgSz w:w="11906" w:h="16838" w:code="9"/>
          <w:pgMar w:top="2835" w:right="1134" w:bottom="1134" w:left="1134" w:header="1701" w:footer="680" w:gutter="0"/>
          <w:cols w:space="708"/>
          <w:docGrid w:linePitch="360"/>
        </w:sectPr>
      </w:pPr>
      <w:r>
        <w:t>T</w:t>
      </w:r>
      <w:r w:rsidRPr="00192BA4">
        <w:t>here are no anticoagulant rodenticide products registered with instructions for use in food producing crops or animals. Use according to the recommended instructions outline</w:t>
      </w:r>
      <w:r>
        <w:t>d</w:t>
      </w:r>
      <w:r w:rsidRPr="00192BA4">
        <w:t xml:space="preserve"> above is not expected to result in residues in trade commodities.</w:t>
      </w:r>
    </w:p>
    <w:p w14:paraId="60C16835" w14:textId="781BEF31" w:rsidR="002E20AC" w:rsidRDefault="002E20AC" w:rsidP="00377F3A">
      <w:pPr>
        <w:pStyle w:val="APVMAAppendixH1"/>
      </w:pPr>
      <w:bookmarkStart w:id="1657" w:name="_Toc212449437"/>
      <w:bookmarkStart w:id="1658" w:name="_Toc212449438"/>
      <w:bookmarkStart w:id="1659" w:name="_Toc212449439"/>
      <w:bookmarkStart w:id="1660" w:name="_Toc212449440"/>
      <w:bookmarkStart w:id="1661" w:name="_Toc212449441"/>
      <w:bookmarkStart w:id="1662" w:name="_Toc212449442"/>
      <w:bookmarkStart w:id="1663" w:name="_Toc212449443"/>
      <w:bookmarkStart w:id="1664" w:name="_Toc212449444"/>
      <w:bookmarkStart w:id="1665" w:name="_Toc212449445"/>
      <w:bookmarkStart w:id="1666" w:name="_Toc212449446"/>
      <w:bookmarkStart w:id="1667" w:name="_Toc212449447"/>
      <w:bookmarkStart w:id="1668" w:name="_Toc212449448"/>
      <w:bookmarkStart w:id="1669" w:name="_Toc212449449"/>
      <w:bookmarkStart w:id="1670" w:name="_Toc212449450"/>
      <w:bookmarkStart w:id="1671" w:name="_Toc212449451"/>
      <w:bookmarkStart w:id="1672" w:name="_Toc212449452"/>
      <w:bookmarkStart w:id="1673" w:name="_Toc212449453"/>
      <w:bookmarkStart w:id="1674" w:name="_Toc212449454"/>
      <w:bookmarkStart w:id="1675" w:name="_Toc212449455"/>
      <w:bookmarkStart w:id="1676" w:name="_Toc212449456"/>
      <w:bookmarkStart w:id="1677" w:name="_Toc212449457"/>
      <w:bookmarkStart w:id="1678" w:name="_Toc212449458"/>
      <w:bookmarkStart w:id="1679" w:name="_Toc212449460"/>
      <w:bookmarkStart w:id="1680" w:name="_Toc212449461"/>
      <w:bookmarkStart w:id="1681" w:name="_Toc212449462"/>
      <w:bookmarkStart w:id="1682" w:name="_Toc212449463"/>
      <w:bookmarkStart w:id="1683" w:name="_Toc212449464"/>
      <w:bookmarkStart w:id="1684" w:name="_Toc212449465"/>
      <w:bookmarkStart w:id="1685" w:name="_Toc212449466"/>
      <w:bookmarkStart w:id="1686" w:name="_Toc212449467"/>
      <w:bookmarkStart w:id="1687" w:name="_Toc212449468"/>
      <w:bookmarkStart w:id="1688" w:name="_Toc212449469"/>
      <w:bookmarkStart w:id="1689" w:name="_Toc212449470"/>
      <w:bookmarkStart w:id="1690" w:name="_Toc212449471"/>
      <w:bookmarkStart w:id="1691" w:name="_Toc212449472"/>
      <w:bookmarkStart w:id="1692" w:name="_Toc212449473"/>
      <w:bookmarkStart w:id="1693" w:name="_Toc212449474"/>
      <w:bookmarkStart w:id="1694" w:name="_Toc212449475"/>
      <w:bookmarkStart w:id="1695" w:name="_Toc212449476"/>
      <w:bookmarkStart w:id="1696" w:name="_Toc212449477"/>
      <w:bookmarkStart w:id="1697" w:name="_Toc212449478"/>
      <w:bookmarkStart w:id="1698" w:name="_Toc212449479"/>
      <w:bookmarkStart w:id="1699" w:name="_Toc212449482"/>
      <w:bookmarkStart w:id="1700" w:name="_Toc212449483"/>
      <w:bookmarkStart w:id="1701" w:name="_Toc212449484"/>
      <w:bookmarkStart w:id="1702" w:name="_Toc212449485"/>
      <w:bookmarkStart w:id="1703" w:name="_Toc212449486"/>
      <w:bookmarkStart w:id="1704" w:name="_Toc212449487"/>
      <w:bookmarkStart w:id="1705" w:name="_Toc212449488"/>
      <w:bookmarkStart w:id="1706" w:name="_Toc212449489"/>
      <w:bookmarkStart w:id="1707" w:name="_Toc212449490"/>
      <w:bookmarkStart w:id="1708" w:name="_Toc212449491"/>
      <w:bookmarkStart w:id="1709" w:name="_Toc212449492"/>
      <w:bookmarkStart w:id="1710" w:name="_Toc212449493"/>
      <w:bookmarkStart w:id="1711" w:name="_Toc212449494"/>
      <w:bookmarkStart w:id="1712" w:name="_Toc212449495"/>
      <w:bookmarkStart w:id="1713" w:name="_Toc212449496"/>
      <w:bookmarkStart w:id="1714" w:name="_Toc212449497"/>
      <w:bookmarkStart w:id="1715" w:name="_Toc212449498"/>
      <w:bookmarkStart w:id="1716" w:name="_Toc212449499"/>
      <w:bookmarkStart w:id="1717" w:name="_Toc212449500"/>
      <w:bookmarkStart w:id="1718" w:name="_Toc212449501"/>
      <w:bookmarkStart w:id="1719" w:name="_Toc212449502"/>
      <w:bookmarkStart w:id="1720" w:name="_Toc212449503"/>
      <w:bookmarkStart w:id="1721" w:name="_Toc212449504"/>
      <w:bookmarkStart w:id="1722" w:name="_Toc212449505"/>
      <w:bookmarkStart w:id="1723" w:name="_Toc212449506"/>
      <w:bookmarkStart w:id="1724" w:name="_Toc212449507"/>
      <w:bookmarkStart w:id="1725" w:name="_Toc212449508"/>
      <w:bookmarkStart w:id="1726" w:name="_Toc212449509"/>
      <w:bookmarkStart w:id="1727" w:name="_Toc212449510"/>
      <w:bookmarkStart w:id="1728" w:name="_Toc212449511"/>
      <w:bookmarkStart w:id="1729" w:name="_Toc212449512"/>
      <w:bookmarkStart w:id="1730" w:name="_Toc212449513"/>
      <w:bookmarkStart w:id="1731" w:name="_Toc212449514"/>
      <w:bookmarkStart w:id="1732" w:name="_Toc212449515"/>
      <w:bookmarkStart w:id="1733" w:name="_Toc212449516"/>
      <w:bookmarkStart w:id="1734" w:name="_Toc212449518"/>
      <w:bookmarkStart w:id="1735" w:name="_Toc212449519"/>
      <w:bookmarkStart w:id="1736" w:name="_Toc212449520"/>
      <w:bookmarkStart w:id="1737" w:name="_Toc212449521"/>
      <w:bookmarkStart w:id="1738" w:name="_Toc212449522"/>
      <w:bookmarkStart w:id="1739" w:name="_Toc212449523"/>
      <w:bookmarkStart w:id="1740" w:name="_Toc212449524"/>
      <w:bookmarkStart w:id="1741" w:name="_Toc212449525"/>
      <w:bookmarkStart w:id="1742" w:name="_Toc212449526"/>
      <w:bookmarkStart w:id="1743" w:name="_Toc212449527"/>
      <w:bookmarkStart w:id="1744" w:name="_Toc212449528"/>
      <w:bookmarkStart w:id="1745" w:name="_Toc212449529"/>
      <w:bookmarkStart w:id="1746" w:name="_Toc212449530"/>
      <w:bookmarkStart w:id="1747" w:name="_Toc212449531"/>
      <w:bookmarkStart w:id="1748" w:name="_Toc212449532"/>
      <w:bookmarkStart w:id="1749" w:name="_Toc212449533"/>
      <w:bookmarkStart w:id="1750" w:name="_Toc212449534"/>
      <w:bookmarkStart w:id="1751" w:name="_Toc212449535"/>
      <w:bookmarkStart w:id="1752" w:name="_Toc212449536"/>
      <w:bookmarkStart w:id="1753" w:name="_Toc212449537"/>
      <w:bookmarkStart w:id="1754" w:name="_Toc212449538"/>
      <w:bookmarkStart w:id="1755" w:name="_Toc212449539"/>
      <w:bookmarkStart w:id="1756" w:name="_Toc212449540"/>
      <w:bookmarkStart w:id="1757" w:name="_Toc212449541"/>
      <w:bookmarkStart w:id="1758" w:name="_Toc212449542"/>
      <w:bookmarkStart w:id="1759" w:name="_Toc212449557"/>
      <w:bookmarkStart w:id="1760" w:name="_Toc212449564"/>
      <w:bookmarkStart w:id="1761" w:name="_Toc212449571"/>
      <w:bookmarkStart w:id="1762" w:name="_Toc212449578"/>
      <w:bookmarkStart w:id="1763" w:name="_Toc212449585"/>
      <w:bookmarkStart w:id="1764" w:name="_Toc212449592"/>
      <w:bookmarkStart w:id="1765" w:name="_Toc212449599"/>
      <w:bookmarkStart w:id="1766" w:name="_Toc212449613"/>
      <w:bookmarkStart w:id="1767" w:name="_Toc212449620"/>
      <w:bookmarkStart w:id="1768" w:name="_Toc212449627"/>
      <w:bookmarkStart w:id="1769" w:name="_Toc212449634"/>
      <w:bookmarkStart w:id="1770" w:name="_Toc212449641"/>
      <w:bookmarkStart w:id="1771" w:name="_Toc212449648"/>
      <w:bookmarkStart w:id="1772" w:name="_Toc212449662"/>
      <w:bookmarkStart w:id="1773" w:name="_Toc212449669"/>
      <w:bookmarkStart w:id="1774" w:name="_Toc212449676"/>
      <w:bookmarkStart w:id="1775" w:name="_Toc212449683"/>
      <w:bookmarkStart w:id="1776" w:name="_Toc212449690"/>
      <w:bookmarkStart w:id="1777" w:name="_Toc212449697"/>
      <w:bookmarkStart w:id="1778" w:name="_Toc212449704"/>
      <w:bookmarkStart w:id="1779" w:name="_Toc212449717"/>
      <w:bookmarkStart w:id="1780" w:name="_Toc212449723"/>
      <w:bookmarkStart w:id="1781" w:name="_Toc212449729"/>
      <w:bookmarkStart w:id="1782" w:name="_Toc212449740"/>
      <w:bookmarkStart w:id="1783" w:name="_Toc212449745"/>
      <w:bookmarkStart w:id="1784" w:name="_Toc212449746"/>
      <w:bookmarkStart w:id="1785" w:name="_Toc212449747"/>
      <w:bookmarkStart w:id="1786" w:name="_Toc212449748"/>
      <w:bookmarkStart w:id="1787" w:name="_Toc212449749"/>
      <w:bookmarkStart w:id="1788" w:name="_Toc212449750"/>
      <w:bookmarkStart w:id="1789" w:name="_Toc212449751"/>
      <w:bookmarkStart w:id="1790" w:name="_Toc212449752"/>
      <w:bookmarkStart w:id="1791" w:name="_Toc212449753"/>
      <w:bookmarkStart w:id="1792" w:name="_Toc212449754"/>
      <w:bookmarkStart w:id="1793" w:name="_Toc212449755"/>
      <w:bookmarkStart w:id="1794" w:name="_Toc212449776"/>
      <w:bookmarkStart w:id="1795" w:name="_Toc212449777"/>
      <w:bookmarkStart w:id="1796" w:name="_Toc212449778"/>
      <w:bookmarkStart w:id="1797" w:name="_Toc212449779"/>
      <w:bookmarkStart w:id="1798" w:name="_Toc212449780"/>
      <w:bookmarkStart w:id="1799" w:name="_Toc212449781"/>
      <w:bookmarkStart w:id="1800" w:name="_Toc212449783"/>
      <w:bookmarkStart w:id="1801" w:name="_Toc212449784"/>
      <w:bookmarkStart w:id="1802" w:name="_Toc212449785"/>
      <w:bookmarkStart w:id="1803" w:name="_Toc212449786"/>
      <w:bookmarkStart w:id="1804" w:name="_Toc212449787"/>
      <w:bookmarkStart w:id="1805" w:name="_Toc212449788"/>
      <w:bookmarkStart w:id="1806" w:name="_Toc212449789"/>
      <w:bookmarkStart w:id="1807" w:name="_Toc212449790"/>
      <w:bookmarkStart w:id="1808" w:name="_Toc212449791"/>
      <w:bookmarkStart w:id="1809" w:name="_Toc212449792"/>
      <w:bookmarkStart w:id="1810" w:name="_Toc212449793"/>
      <w:bookmarkStart w:id="1811" w:name="_Toc212449794"/>
      <w:bookmarkStart w:id="1812" w:name="_Toc212449795"/>
      <w:bookmarkStart w:id="1813" w:name="_Toc212449796"/>
      <w:bookmarkStart w:id="1814" w:name="_Toc212449797"/>
      <w:bookmarkStart w:id="1815" w:name="_Toc212449798"/>
      <w:bookmarkStart w:id="1816" w:name="_Toc212449799"/>
      <w:bookmarkStart w:id="1817" w:name="_Toc212449800"/>
      <w:bookmarkStart w:id="1818" w:name="_Toc212449801"/>
      <w:bookmarkStart w:id="1819" w:name="_Toc212449802"/>
      <w:bookmarkStart w:id="1820" w:name="_Toc212449803"/>
      <w:bookmarkStart w:id="1821" w:name="_Toc212449804"/>
      <w:bookmarkStart w:id="1822" w:name="_Toc212449805"/>
      <w:bookmarkStart w:id="1823" w:name="_Toc212449806"/>
      <w:bookmarkStart w:id="1824" w:name="_Toc212449807"/>
      <w:bookmarkStart w:id="1825" w:name="_Toc212449808"/>
      <w:bookmarkStart w:id="1826" w:name="_Toc212449809"/>
      <w:bookmarkStart w:id="1827" w:name="_Toc212449810"/>
      <w:bookmarkStart w:id="1828" w:name="_Toc212449811"/>
      <w:bookmarkStart w:id="1829" w:name="_Toc212449812"/>
      <w:bookmarkStart w:id="1830" w:name="_Toc212449813"/>
      <w:bookmarkStart w:id="1831" w:name="_Toc212449814"/>
      <w:bookmarkStart w:id="1832" w:name="_Toc212449815"/>
      <w:bookmarkStart w:id="1833" w:name="_Toc212449816"/>
      <w:bookmarkStart w:id="1834" w:name="_Toc212449817"/>
      <w:bookmarkStart w:id="1835" w:name="_Toc212449818"/>
      <w:bookmarkStart w:id="1836" w:name="_Toc212449819"/>
      <w:bookmarkStart w:id="1837" w:name="_Toc212449820"/>
      <w:bookmarkStart w:id="1838" w:name="_Toc212449821"/>
      <w:bookmarkStart w:id="1839" w:name="_Toc212449822"/>
      <w:bookmarkStart w:id="1840" w:name="_Toc212449823"/>
      <w:bookmarkStart w:id="1841" w:name="_Toc212449839"/>
      <w:bookmarkStart w:id="1842" w:name="_Toc212449900"/>
      <w:bookmarkStart w:id="1843" w:name="_Toc212449913"/>
      <w:bookmarkStart w:id="1844" w:name="_Toc212449920"/>
      <w:bookmarkStart w:id="1845" w:name="_Toc212449934"/>
      <w:bookmarkStart w:id="1846" w:name="_Toc212449941"/>
      <w:bookmarkStart w:id="1847" w:name="_Toc212449951"/>
      <w:bookmarkStart w:id="1848" w:name="_Toc212449966"/>
      <w:bookmarkStart w:id="1849" w:name="_Toc212449971"/>
      <w:bookmarkStart w:id="1850" w:name="_Toc212449981"/>
      <w:bookmarkStart w:id="1851" w:name="_Toc212449986"/>
      <w:bookmarkStart w:id="1852" w:name="_Toc212449991"/>
      <w:bookmarkStart w:id="1853" w:name="_Toc212449998"/>
      <w:bookmarkStart w:id="1854" w:name="_Toc212450011"/>
      <w:bookmarkStart w:id="1855" w:name="_Toc212450027"/>
      <w:bookmarkStart w:id="1856" w:name="_Toc212450158"/>
      <w:bookmarkStart w:id="1857" w:name="_Toc212450179"/>
      <w:bookmarkStart w:id="1858" w:name="_Toc212450192"/>
      <w:bookmarkStart w:id="1859" w:name="_Toc212450204"/>
      <w:bookmarkStart w:id="1860" w:name="_Toc212450217"/>
      <w:bookmarkStart w:id="1861" w:name="_Toc212450242"/>
      <w:bookmarkStart w:id="1862" w:name="_Toc212450255"/>
      <w:bookmarkStart w:id="1863" w:name="_Toc212450277"/>
      <w:bookmarkStart w:id="1864" w:name="_Toc212450287"/>
      <w:bookmarkStart w:id="1865" w:name="_Toc212450309"/>
      <w:bookmarkStart w:id="1866" w:name="_Toc212450322"/>
      <w:bookmarkStart w:id="1867" w:name="_Toc212450347"/>
      <w:bookmarkStart w:id="1868" w:name="_Toc212450360"/>
      <w:bookmarkStart w:id="1869" w:name="_Toc212450385"/>
      <w:bookmarkStart w:id="1870" w:name="_Toc212450398"/>
      <w:bookmarkStart w:id="1871" w:name="_Toc212450423"/>
      <w:bookmarkStart w:id="1872" w:name="_Toc212450436"/>
      <w:bookmarkStart w:id="1873" w:name="_Toc212450461"/>
      <w:bookmarkStart w:id="1874" w:name="_Toc212450474"/>
      <w:bookmarkStart w:id="1875" w:name="_Toc212450491"/>
      <w:bookmarkStart w:id="1876" w:name="_Toc212450508"/>
      <w:bookmarkStart w:id="1877" w:name="_Toc212450514"/>
      <w:bookmarkStart w:id="1878" w:name="_Toc212450527"/>
      <w:bookmarkStart w:id="1879" w:name="_Toc212450534"/>
      <w:bookmarkStart w:id="1880" w:name="_Toc212450541"/>
      <w:bookmarkStart w:id="1881" w:name="_Toc212450548"/>
      <w:bookmarkStart w:id="1882" w:name="_Toc212450559"/>
      <w:bookmarkStart w:id="1883" w:name="_Toc212450575"/>
      <w:bookmarkStart w:id="1884" w:name="_Toc212450590"/>
      <w:bookmarkStart w:id="1885" w:name="_Toc212450595"/>
      <w:bookmarkStart w:id="1886" w:name="_Toc212450605"/>
      <w:bookmarkStart w:id="1887" w:name="_Toc212450610"/>
      <w:bookmarkStart w:id="1888" w:name="_Toc212450615"/>
      <w:bookmarkStart w:id="1889" w:name="_Toc212450622"/>
      <w:bookmarkStart w:id="1890" w:name="_Toc212450633"/>
      <w:bookmarkStart w:id="1891" w:name="_Toc212450634"/>
      <w:bookmarkStart w:id="1892" w:name="_Toc212450635"/>
      <w:bookmarkStart w:id="1893" w:name="_Toc212450636"/>
      <w:bookmarkStart w:id="1894" w:name="_Toc212450637"/>
      <w:bookmarkStart w:id="1895" w:name="_Toc212450638"/>
      <w:bookmarkStart w:id="1896" w:name="_Toc212450639"/>
      <w:bookmarkStart w:id="1897" w:name="_Toc212450640"/>
      <w:bookmarkStart w:id="1898" w:name="_Toc212450641"/>
      <w:bookmarkStart w:id="1899" w:name="_Toc212450642"/>
      <w:bookmarkStart w:id="1900" w:name="_Toc212450643"/>
      <w:bookmarkStart w:id="1901" w:name="_Toc212450644"/>
      <w:bookmarkStart w:id="1902" w:name="_Toc212450645"/>
      <w:bookmarkStart w:id="1903" w:name="_Toc212450646"/>
      <w:bookmarkStart w:id="1904" w:name="_Toc212450647"/>
      <w:bookmarkStart w:id="1905" w:name="_Toc212450648"/>
      <w:bookmarkStart w:id="1906" w:name="_Toc212450649"/>
      <w:bookmarkStart w:id="1907" w:name="_Toc212450650"/>
      <w:bookmarkStart w:id="1908" w:name="_Toc212450651"/>
      <w:bookmarkStart w:id="1909" w:name="_Toc212450652"/>
      <w:bookmarkStart w:id="1910" w:name="_Toc212450653"/>
      <w:bookmarkStart w:id="1911" w:name="_Toc212450654"/>
      <w:bookmarkStart w:id="1912" w:name="_Toc212450655"/>
      <w:bookmarkStart w:id="1913" w:name="_Toc212450656"/>
      <w:bookmarkStart w:id="1914" w:name="_Toc212450657"/>
      <w:bookmarkStart w:id="1915" w:name="_Toc212450658"/>
      <w:bookmarkStart w:id="1916" w:name="_Toc212450659"/>
      <w:bookmarkStart w:id="1917" w:name="_Toc212450660"/>
      <w:bookmarkStart w:id="1918" w:name="_Toc212450661"/>
      <w:bookmarkStart w:id="1919" w:name="_Toc212450662"/>
      <w:bookmarkStart w:id="1920" w:name="_Toc212450663"/>
      <w:bookmarkStart w:id="1921" w:name="_Toc212450664"/>
      <w:bookmarkStart w:id="1922" w:name="_Toc212450665"/>
      <w:bookmarkStart w:id="1923" w:name="_Toc212450666"/>
      <w:bookmarkStart w:id="1924" w:name="_Toc212450667"/>
      <w:bookmarkStart w:id="1925" w:name="_Toc212450668"/>
      <w:bookmarkStart w:id="1926" w:name="_Toc212450669"/>
      <w:bookmarkStart w:id="1927" w:name="_Toc212450670"/>
      <w:bookmarkStart w:id="1928" w:name="_Toc212450671"/>
      <w:bookmarkStart w:id="1929" w:name="_Toc212450672"/>
      <w:bookmarkStart w:id="1930" w:name="_Toc212450673"/>
      <w:bookmarkStart w:id="1931" w:name="_Toc212450674"/>
      <w:bookmarkStart w:id="1932" w:name="_Toc212450675"/>
      <w:bookmarkStart w:id="1933" w:name="_Toc212450676"/>
      <w:bookmarkStart w:id="1934" w:name="_Toc212450677"/>
      <w:bookmarkStart w:id="1935" w:name="_Toc212450678"/>
      <w:bookmarkStart w:id="1936" w:name="_Toc212450679"/>
      <w:bookmarkStart w:id="1937" w:name="_Toc212450680"/>
      <w:bookmarkStart w:id="1938" w:name="_Toc212450681"/>
      <w:bookmarkStart w:id="1939" w:name="_Toc212450682"/>
      <w:bookmarkStart w:id="1940" w:name="_Toc414373845"/>
      <w:bookmarkStart w:id="1941" w:name="_Toc135232600"/>
      <w:bookmarkStart w:id="1942" w:name="_Toc214025606"/>
      <w:bookmarkStart w:id="1943" w:name="_Toc216695627"/>
      <w:bookmarkEnd w:id="35"/>
      <w:bookmarkEnd w:id="3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r>
        <w:lastRenderedPageBreak/>
        <w:t>A</w:t>
      </w:r>
      <w:r w:rsidR="005720AA">
        <w:rPr>
          <w:caps w:val="0"/>
        </w:rPr>
        <w:t>ppendix</w:t>
      </w:r>
      <w:r>
        <w:t xml:space="preserve"> </w:t>
      </w:r>
      <w:r w:rsidR="00FA4E31">
        <w:t>A</w:t>
      </w:r>
      <w:r>
        <w:t xml:space="preserve"> </w:t>
      </w:r>
      <w:r w:rsidR="00FD344F">
        <w:t>–</w:t>
      </w:r>
      <w:r>
        <w:t xml:space="preserve"> </w:t>
      </w:r>
      <w:bookmarkEnd w:id="1940"/>
      <w:bookmarkEnd w:id="1941"/>
      <w:r w:rsidR="00A12A97">
        <w:t>L</w:t>
      </w:r>
      <w:r w:rsidR="005720AA">
        <w:rPr>
          <w:caps w:val="0"/>
        </w:rPr>
        <w:t>isting of environmental endpoints</w:t>
      </w:r>
      <w:bookmarkEnd w:id="1942"/>
      <w:bookmarkEnd w:id="1943"/>
    </w:p>
    <w:p w14:paraId="76C7B0B0" w14:textId="33C06116" w:rsidR="002E20AC" w:rsidRDefault="000C65C6" w:rsidP="00377F3A">
      <w:pPr>
        <w:pStyle w:val="APVMAAppendixH2"/>
      </w:pPr>
      <w:bookmarkStart w:id="1944" w:name="_Toc214025607"/>
      <w:bookmarkStart w:id="1945" w:name="_Toc216695628"/>
      <w:r>
        <w:t>Coumatetralyl</w:t>
      </w:r>
      <w:bookmarkEnd w:id="1944"/>
      <w:bookmarkEnd w:id="1945"/>
    </w:p>
    <w:p w14:paraId="3861DCEC" w14:textId="25DA5FD0" w:rsidR="00EE24E4" w:rsidRDefault="00EE24E4" w:rsidP="00377F3A">
      <w:pPr>
        <w:pStyle w:val="APVMAAppendixH3"/>
      </w:pPr>
      <w:bookmarkStart w:id="1946" w:name="_Toc214025608"/>
      <w:bookmarkStart w:id="1947" w:name="_Toc216695629"/>
      <w:r>
        <w:t>Fate and behaviour in the environment</w:t>
      </w:r>
      <w:bookmarkEnd w:id="1946"/>
      <w:bookmarkEnd w:id="1947"/>
    </w:p>
    <w:p w14:paraId="2DED0B2E" w14:textId="72BDBC4E" w:rsidR="00A12A97" w:rsidRPr="00542311" w:rsidRDefault="00850971" w:rsidP="00377F3A">
      <w:pPr>
        <w:pStyle w:val="Caption"/>
        <w:rPr>
          <w:color w:val="auto"/>
        </w:rPr>
      </w:pPr>
      <w:bookmarkStart w:id="1948" w:name="_Toc213946056"/>
      <w:bookmarkStart w:id="1949" w:name="_Toc216695747"/>
      <w:r>
        <w:t xml:space="preserve">Table </w:t>
      </w:r>
      <w:r>
        <w:fldChar w:fldCharType="begin"/>
      </w:r>
      <w:r>
        <w:instrText xml:space="preserve"> SEQ Table \* ARABIC </w:instrText>
      </w:r>
      <w:r>
        <w:fldChar w:fldCharType="separate"/>
      </w:r>
      <w:r w:rsidR="003861AC">
        <w:rPr>
          <w:noProof/>
        </w:rPr>
        <w:t>85</w:t>
      </w:r>
      <w:r>
        <w:fldChar w:fldCharType="end"/>
      </w:r>
      <w:r>
        <w:t>:</w:t>
      </w:r>
      <w:bookmarkStart w:id="1950" w:name="_Hlk157516970"/>
      <w:r w:rsidR="00A5093B">
        <w:t xml:space="preserve"> </w:t>
      </w:r>
      <w:r w:rsidR="00EE24E4">
        <w:t xml:space="preserve">Coumatetralyl – </w:t>
      </w:r>
      <w:r w:rsidR="00A12A97" w:rsidRPr="008B4AF6">
        <w:t>Physical</w:t>
      </w:r>
      <w:r w:rsidR="00EE24E4">
        <w:t xml:space="preserve"> </w:t>
      </w:r>
      <w:r w:rsidR="00A12A97" w:rsidRPr="008B4AF6">
        <w:t>and chemical properties</w:t>
      </w:r>
      <w:bookmarkEnd w:id="1948"/>
      <w:bookmarkEnd w:id="19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207"/>
        <w:gridCol w:w="2984"/>
        <w:gridCol w:w="3437"/>
      </w:tblGrid>
      <w:tr w:rsidR="00EE24E4" w:rsidRPr="00542311" w14:paraId="0511CD77" w14:textId="77777777" w:rsidTr="0017134F">
        <w:trPr>
          <w:cantSplit/>
          <w:tblHeader/>
        </w:trPr>
        <w:tc>
          <w:tcPr>
            <w:tcW w:w="0" w:type="auto"/>
            <w:tcBorders>
              <w:bottom w:val="single" w:sz="4" w:space="0" w:color="auto"/>
            </w:tcBorders>
            <w:shd w:val="clear" w:color="auto" w:fill="53284F"/>
          </w:tcPr>
          <w:p w14:paraId="222F3962" w14:textId="77777777" w:rsidR="00EE24E4" w:rsidRPr="00542311" w:rsidRDefault="00EE24E4" w:rsidP="00377F3A">
            <w:pPr>
              <w:pStyle w:val="TableHead"/>
            </w:pPr>
            <w:r w:rsidRPr="00542311">
              <w:t>Study</w:t>
            </w:r>
          </w:p>
        </w:tc>
        <w:tc>
          <w:tcPr>
            <w:tcW w:w="0" w:type="auto"/>
            <w:tcBorders>
              <w:bottom w:val="single" w:sz="4" w:space="0" w:color="auto"/>
            </w:tcBorders>
            <w:shd w:val="clear" w:color="auto" w:fill="53284F"/>
          </w:tcPr>
          <w:p w14:paraId="08B92AAA" w14:textId="77777777" w:rsidR="00EE24E4" w:rsidRPr="00542311" w:rsidRDefault="00EE24E4" w:rsidP="00377F3A">
            <w:pPr>
              <w:pStyle w:val="TableHead"/>
            </w:pPr>
            <w:r w:rsidRPr="00542311">
              <w:t>Result</w:t>
            </w:r>
          </w:p>
        </w:tc>
        <w:tc>
          <w:tcPr>
            <w:tcW w:w="0" w:type="auto"/>
            <w:tcBorders>
              <w:bottom w:val="single" w:sz="4" w:space="0" w:color="auto"/>
            </w:tcBorders>
            <w:shd w:val="clear" w:color="auto" w:fill="53284F"/>
          </w:tcPr>
          <w:p w14:paraId="42A668DD" w14:textId="77777777" w:rsidR="00EE24E4" w:rsidRPr="00542311" w:rsidRDefault="00EE24E4" w:rsidP="00377F3A">
            <w:pPr>
              <w:pStyle w:val="TableHead"/>
            </w:pPr>
            <w:r w:rsidRPr="00542311">
              <w:t>Reference</w:t>
            </w:r>
          </w:p>
        </w:tc>
      </w:tr>
      <w:tr w:rsidR="00EE24E4" w:rsidRPr="008B4AF6" w14:paraId="0DDB763D" w14:textId="77777777" w:rsidTr="00073396">
        <w:trPr>
          <w:cantSplit/>
        </w:trPr>
        <w:tc>
          <w:tcPr>
            <w:tcW w:w="0" w:type="auto"/>
            <w:tcBorders>
              <w:top w:val="single" w:sz="4" w:space="0" w:color="auto"/>
              <w:left w:val="nil"/>
              <w:bottom w:val="nil"/>
              <w:right w:val="nil"/>
            </w:tcBorders>
          </w:tcPr>
          <w:p w14:paraId="17F4C882" w14:textId="77777777" w:rsidR="00EE24E4" w:rsidRPr="008B4AF6" w:rsidRDefault="00EE24E4" w:rsidP="00377F3A">
            <w:pPr>
              <w:pStyle w:val="TableText"/>
            </w:pPr>
            <w:r w:rsidRPr="008B4AF6">
              <w:t>Vapour pressure</w:t>
            </w:r>
          </w:p>
        </w:tc>
        <w:tc>
          <w:tcPr>
            <w:tcW w:w="0" w:type="auto"/>
            <w:tcBorders>
              <w:top w:val="single" w:sz="4" w:space="0" w:color="auto"/>
              <w:left w:val="nil"/>
              <w:bottom w:val="nil"/>
              <w:right w:val="nil"/>
            </w:tcBorders>
          </w:tcPr>
          <w:p w14:paraId="24BCD80E" w14:textId="77777777" w:rsidR="00EE24E4" w:rsidRDefault="00EE24E4" w:rsidP="00377F3A">
            <w:pPr>
              <w:pStyle w:val="TableText"/>
            </w:pPr>
            <w:r>
              <w:t>&lt;1.0 × 10</w:t>
            </w:r>
            <w:r w:rsidRPr="001B1C10">
              <w:rPr>
                <w:vertAlign w:val="superscript"/>
              </w:rPr>
              <w:t>-3</w:t>
            </w:r>
            <w:r>
              <w:t xml:space="preserve"> Pa at 20°C</w:t>
            </w:r>
          </w:p>
        </w:tc>
        <w:tc>
          <w:tcPr>
            <w:tcW w:w="0" w:type="auto"/>
            <w:tcBorders>
              <w:top w:val="single" w:sz="4" w:space="0" w:color="auto"/>
              <w:left w:val="nil"/>
              <w:bottom w:val="nil"/>
              <w:right w:val="nil"/>
            </w:tcBorders>
          </w:tcPr>
          <w:p w14:paraId="7BB946BB" w14:textId="77777777" w:rsidR="00EE24E4" w:rsidRDefault="00EE24E4" w:rsidP="00377F3A">
            <w:pPr>
              <w:pStyle w:val="TableText"/>
            </w:pPr>
            <w:r>
              <w:t>Olf 2000</w:t>
            </w:r>
          </w:p>
        </w:tc>
      </w:tr>
      <w:tr w:rsidR="00EE24E4" w:rsidRPr="008B4AF6" w14:paraId="1F6A5629" w14:textId="77777777" w:rsidTr="00073396">
        <w:trPr>
          <w:cantSplit/>
        </w:trPr>
        <w:tc>
          <w:tcPr>
            <w:tcW w:w="0" w:type="auto"/>
            <w:tcBorders>
              <w:top w:val="nil"/>
              <w:left w:val="nil"/>
              <w:bottom w:val="nil"/>
              <w:right w:val="nil"/>
            </w:tcBorders>
          </w:tcPr>
          <w:p w14:paraId="20B4082A" w14:textId="77777777" w:rsidR="00EE24E4" w:rsidRPr="008B4AF6" w:rsidRDefault="00EE24E4" w:rsidP="00377F3A">
            <w:pPr>
              <w:pStyle w:val="TableText"/>
            </w:pPr>
            <w:r>
              <w:t>Henry’s law constant</w:t>
            </w:r>
          </w:p>
        </w:tc>
        <w:tc>
          <w:tcPr>
            <w:tcW w:w="0" w:type="auto"/>
            <w:tcBorders>
              <w:top w:val="nil"/>
              <w:left w:val="nil"/>
              <w:bottom w:val="nil"/>
              <w:right w:val="nil"/>
            </w:tcBorders>
          </w:tcPr>
          <w:p w14:paraId="35AA07DA" w14:textId="77777777" w:rsidR="00EE24E4" w:rsidRPr="008B4AF6" w:rsidRDefault="00EE24E4" w:rsidP="00377F3A">
            <w:pPr>
              <w:pStyle w:val="TableText"/>
            </w:pPr>
            <w:r>
              <w:t>&lt;6.6 × 10</w:t>
            </w:r>
            <w:r w:rsidRPr="001B1C10">
              <w:rPr>
                <w:vertAlign w:val="superscript"/>
              </w:rPr>
              <w:t>-2</w:t>
            </w:r>
            <w:r>
              <w:t xml:space="preserve"> Pa m</w:t>
            </w:r>
            <w:r w:rsidRPr="00005672">
              <w:rPr>
                <w:vertAlign w:val="superscript"/>
              </w:rPr>
              <w:t>3</w:t>
            </w:r>
            <w:r>
              <w:t xml:space="preserve"> mol</w:t>
            </w:r>
            <w:r w:rsidRPr="001B1C10">
              <w:rPr>
                <w:vertAlign w:val="superscript"/>
              </w:rPr>
              <w:t>-1</w:t>
            </w:r>
          </w:p>
        </w:tc>
        <w:tc>
          <w:tcPr>
            <w:tcW w:w="0" w:type="auto"/>
            <w:tcBorders>
              <w:top w:val="nil"/>
              <w:left w:val="nil"/>
              <w:bottom w:val="nil"/>
              <w:right w:val="nil"/>
            </w:tcBorders>
          </w:tcPr>
          <w:p w14:paraId="56FC12CE" w14:textId="77777777" w:rsidR="00EE24E4" w:rsidRPr="008B4AF6" w:rsidRDefault="00EE24E4" w:rsidP="00377F3A">
            <w:pPr>
              <w:pStyle w:val="TableText"/>
            </w:pPr>
            <w:r w:rsidRPr="001B1C10">
              <w:t>Stöcker</w:t>
            </w:r>
            <w:r>
              <w:t xml:space="preserve"> 2004</w:t>
            </w:r>
          </w:p>
        </w:tc>
      </w:tr>
      <w:tr w:rsidR="00EE24E4" w:rsidRPr="008B4AF6" w14:paraId="7FA6A89A" w14:textId="77777777" w:rsidTr="00073396">
        <w:trPr>
          <w:cantSplit/>
        </w:trPr>
        <w:tc>
          <w:tcPr>
            <w:tcW w:w="0" w:type="auto"/>
            <w:tcBorders>
              <w:top w:val="nil"/>
              <w:left w:val="nil"/>
              <w:bottom w:val="nil"/>
              <w:right w:val="nil"/>
            </w:tcBorders>
          </w:tcPr>
          <w:p w14:paraId="13132B48" w14:textId="77777777" w:rsidR="00EE24E4" w:rsidRPr="008B4AF6" w:rsidRDefault="00EE24E4" w:rsidP="00377F3A">
            <w:pPr>
              <w:pStyle w:val="TableText"/>
            </w:pPr>
            <w:r w:rsidRPr="008B4AF6">
              <w:t>Solubility in water</w:t>
            </w:r>
          </w:p>
        </w:tc>
        <w:tc>
          <w:tcPr>
            <w:tcW w:w="0" w:type="auto"/>
            <w:tcBorders>
              <w:top w:val="nil"/>
              <w:left w:val="nil"/>
              <w:bottom w:val="nil"/>
              <w:right w:val="nil"/>
            </w:tcBorders>
          </w:tcPr>
          <w:p w14:paraId="617025B2" w14:textId="77777777" w:rsidR="00EE24E4" w:rsidRPr="006F78D3" w:rsidRDefault="00EE24E4" w:rsidP="00377F3A">
            <w:pPr>
              <w:pStyle w:val="TableText"/>
              <w:rPr>
                <w:lang w:val="de-CH"/>
              </w:rPr>
            </w:pPr>
            <w:r w:rsidRPr="006F78D3">
              <w:rPr>
                <w:lang w:val="de-CH"/>
              </w:rPr>
              <w:t>pH 5, 20°C: 4.8 mg/L</w:t>
            </w:r>
          </w:p>
          <w:p w14:paraId="266314E0" w14:textId="77777777" w:rsidR="00EE24E4" w:rsidRPr="006F78D3" w:rsidRDefault="00EE24E4" w:rsidP="00377F3A">
            <w:pPr>
              <w:pStyle w:val="TableText"/>
              <w:rPr>
                <w:lang w:val="de-CH"/>
              </w:rPr>
            </w:pPr>
            <w:r w:rsidRPr="006F78D3">
              <w:rPr>
                <w:lang w:val="de-CH"/>
              </w:rPr>
              <w:t>pH 7, 20°C: 460 mg/L</w:t>
            </w:r>
          </w:p>
          <w:p w14:paraId="4224AED7" w14:textId="77777777" w:rsidR="00EE24E4" w:rsidRDefault="00EE24E4" w:rsidP="00377F3A">
            <w:pPr>
              <w:pStyle w:val="TableText"/>
            </w:pPr>
            <w:r>
              <w:t>pH 9, 20°C: 4650 mg/L</w:t>
            </w:r>
          </w:p>
        </w:tc>
        <w:tc>
          <w:tcPr>
            <w:tcW w:w="0" w:type="auto"/>
            <w:tcBorders>
              <w:top w:val="nil"/>
              <w:left w:val="nil"/>
              <w:bottom w:val="nil"/>
              <w:right w:val="nil"/>
            </w:tcBorders>
          </w:tcPr>
          <w:p w14:paraId="1454434D" w14:textId="77777777" w:rsidR="00EE24E4" w:rsidRDefault="00EE24E4" w:rsidP="00377F3A">
            <w:pPr>
              <w:pStyle w:val="TableText"/>
            </w:pPr>
            <w:r>
              <w:t>Erstling &amp; Jungheim 2002a</w:t>
            </w:r>
          </w:p>
        </w:tc>
      </w:tr>
      <w:tr w:rsidR="00EE24E4" w:rsidRPr="008B4AF6" w14:paraId="0D616F78" w14:textId="77777777" w:rsidTr="00073396">
        <w:trPr>
          <w:cantSplit/>
        </w:trPr>
        <w:tc>
          <w:tcPr>
            <w:tcW w:w="0" w:type="auto"/>
            <w:tcBorders>
              <w:top w:val="nil"/>
              <w:left w:val="nil"/>
              <w:bottom w:val="nil"/>
              <w:right w:val="nil"/>
            </w:tcBorders>
          </w:tcPr>
          <w:p w14:paraId="6C0246D4" w14:textId="77777777" w:rsidR="00EE24E4" w:rsidRPr="008B4AF6" w:rsidRDefault="00EE24E4" w:rsidP="00377F3A">
            <w:pPr>
              <w:pStyle w:val="TableText"/>
            </w:pPr>
            <w:r w:rsidRPr="008B4AF6">
              <w:t>Partition coefficient</w:t>
            </w:r>
          </w:p>
        </w:tc>
        <w:tc>
          <w:tcPr>
            <w:tcW w:w="0" w:type="auto"/>
            <w:tcBorders>
              <w:top w:val="nil"/>
              <w:left w:val="nil"/>
              <w:bottom w:val="nil"/>
              <w:right w:val="nil"/>
            </w:tcBorders>
          </w:tcPr>
          <w:p w14:paraId="2E642043" w14:textId="77777777" w:rsidR="00EE24E4" w:rsidRDefault="00EE24E4" w:rsidP="00377F3A">
            <w:pPr>
              <w:pStyle w:val="TableText"/>
            </w:pPr>
            <w:r>
              <w:t>pH 5: log P</w:t>
            </w:r>
            <w:r w:rsidRPr="00F81098">
              <w:rPr>
                <w:vertAlign w:val="subscript"/>
              </w:rPr>
              <w:t>OW</w:t>
            </w:r>
            <w:r>
              <w:t xml:space="preserve"> 3.4</w:t>
            </w:r>
          </w:p>
          <w:p w14:paraId="52367DE2" w14:textId="77777777" w:rsidR="00EE24E4" w:rsidRDefault="00EE24E4" w:rsidP="00377F3A">
            <w:pPr>
              <w:pStyle w:val="TableText"/>
            </w:pPr>
            <w:r>
              <w:t>pH 7: log P</w:t>
            </w:r>
            <w:r w:rsidRPr="00F81098">
              <w:rPr>
                <w:vertAlign w:val="subscript"/>
              </w:rPr>
              <w:t>OW</w:t>
            </w:r>
            <w:r>
              <w:t xml:space="preserve"> 1.5</w:t>
            </w:r>
          </w:p>
          <w:p w14:paraId="0F883540" w14:textId="77777777" w:rsidR="00EE24E4" w:rsidRDefault="00EE24E4" w:rsidP="00377F3A">
            <w:pPr>
              <w:pStyle w:val="TableText"/>
            </w:pPr>
            <w:r>
              <w:t>pH 9: log P</w:t>
            </w:r>
            <w:r w:rsidRPr="00F81098">
              <w:rPr>
                <w:vertAlign w:val="subscript"/>
              </w:rPr>
              <w:t>OW</w:t>
            </w:r>
            <w:r>
              <w:t xml:space="preserve"> -0.1</w:t>
            </w:r>
          </w:p>
        </w:tc>
        <w:tc>
          <w:tcPr>
            <w:tcW w:w="0" w:type="auto"/>
            <w:tcBorders>
              <w:top w:val="nil"/>
              <w:left w:val="nil"/>
              <w:bottom w:val="nil"/>
              <w:right w:val="nil"/>
            </w:tcBorders>
          </w:tcPr>
          <w:p w14:paraId="776F8C2C" w14:textId="77777777" w:rsidR="00EE24E4" w:rsidRDefault="00EE24E4" w:rsidP="00377F3A">
            <w:pPr>
              <w:pStyle w:val="TableText"/>
            </w:pPr>
            <w:r>
              <w:t>Erstling &amp; Jungheim 2002b</w:t>
            </w:r>
          </w:p>
        </w:tc>
      </w:tr>
      <w:tr w:rsidR="00EE24E4" w:rsidRPr="008B4AF6" w14:paraId="05EA2245" w14:textId="77777777" w:rsidTr="00073396">
        <w:trPr>
          <w:cantSplit/>
        </w:trPr>
        <w:tc>
          <w:tcPr>
            <w:tcW w:w="0" w:type="auto"/>
            <w:tcBorders>
              <w:top w:val="nil"/>
              <w:left w:val="nil"/>
              <w:bottom w:val="nil"/>
              <w:right w:val="nil"/>
            </w:tcBorders>
          </w:tcPr>
          <w:p w14:paraId="469C2773" w14:textId="77777777" w:rsidR="00EE24E4" w:rsidRPr="008B4AF6" w:rsidRDefault="00EE24E4" w:rsidP="00377F3A">
            <w:pPr>
              <w:pStyle w:val="TableText"/>
            </w:pPr>
            <w:r w:rsidRPr="008B4AF6">
              <w:t>Dissociation constant</w:t>
            </w:r>
          </w:p>
        </w:tc>
        <w:tc>
          <w:tcPr>
            <w:tcW w:w="0" w:type="auto"/>
            <w:tcBorders>
              <w:top w:val="nil"/>
              <w:left w:val="nil"/>
              <w:bottom w:val="nil"/>
              <w:right w:val="nil"/>
            </w:tcBorders>
          </w:tcPr>
          <w:p w14:paraId="6FA243E9" w14:textId="77777777" w:rsidR="00EE24E4" w:rsidRPr="008B4AF6" w:rsidRDefault="00EE24E4" w:rsidP="00377F3A">
            <w:pPr>
              <w:pStyle w:val="TableText"/>
            </w:pPr>
            <w:r>
              <w:t>pKa 3.9</w:t>
            </w:r>
          </w:p>
        </w:tc>
        <w:tc>
          <w:tcPr>
            <w:tcW w:w="0" w:type="auto"/>
            <w:tcBorders>
              <w:top w:val="nil"/>
              <w:left w:val="nil"/>
              <w:bottom w:val="nil"/>
              <w:right w:val="nil"/>
            </w:tcBorders>
          </w:tcPr>
          <w:p w14:paraId="3F143961" w14:textId="77777777" w:rsidR="00EE24E4" w:rsidRPr="008B4AF6" w:rsidRDefault="00EE24E4" w:rsidP="00377F3A">
            <w:pPr>
              <w:pStyle w:val="TableText"/>
            </w:pPr>
            <w:r>
              <w:t>Wiche &amp; Ziemer 2014</w:t>
            </w:r>
          </w:p>
        </w:tc>
      </w:tr>
      <w:tr w:rsidR="00EE24E4" w:rsidRPr="008B4AF6" w14:paraId="59C523CA" w14:textId="77777777" w:rsidTr="00073396">
        <w:trPr>
          <w:cantSplit/>
        </w:trPr>
        <w:tc>
          <w:tcPr>
            <w:tcW w:w="0" w:type="auto"/>
            <w:tcBorders>
              <w:top w:val="nil"/>
              <w:left w:val="nil"/>
              <w:bottom w:val="single" w:sz="4" w:space="0" w:color="auto"/>
              <w:right w:val="nil"/>
            </w:tcBorders>
          </w:tcPr>
          <w:p w14:paraId="3EBC79B5" w14:textId="77777777" w:rsidR="00EE24E4" w:rsidRPr="008B4AF6" w:rsidRDefault="00EE24E4" w:rsidP="00377F3A">
            <w:pPr>
              <w:pStyle w:val="TableText"/>
            </w:pPr>
            <w:r w:rsidRPr="008B4AF6">
              <w:t>UV-VIS absorption (max)</w:t>
            </w:r>
          </w:p>
        </w:tc>
        <w:tc>
          <w:tcPr>
            <w:tcW w:w="0" w:type="auto"/>
            <w:tcBorders>
              <w:top w:val="nil"/>
              <w:left w:val="nil"/>
              <w:bottom w:val="single" w:sz="4" w:space="0" w:color="auto"/>
              <w:right w:val="nil"/>
            </w:tcBorders>
          </w:tcPr>
          <w:p w14:paraId="5F95EF91" w14:textId="77777777" w:rsidR="00EE24E4" w:rsidRDefault="00EE24E4" w:rsidP="00377F3A">
            <w:pPr>
              <w:pStyle w:val="TableText"/>
            </w:pP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p w14:paraId="16148437" w14:textId="77777777" w:rsidR="00EE24E4" w:rsidRDefault="00EE24E4" w:rsidP="00377F3A">
            <w:pPr>
              <w:pStyle w:val="TableText"/>
            </w:pPr>
            <w:r>
              <w:t>271 nm</w:t>
            </w:r>
            <w:r>
              <w:tab/>
              <w:t>11769</w:t>
            </w:r>
          </w:p>
          <w:p w14:paraId="2C20F318" w14:textId="77777777" w:rsidR="00EE24E4" w:rsidRDefault="00EE24E4" w:rsidP="00377F3A">
            <w:pPr>
              <w:pStyle w:val="TableText"/>
            </w:pPr>
            <w:r>
              <w:t>282 nm</w:t>
            </w:r>
            <w:r>
              <w:tab/>
              <w:t>12059</w:t>
            </w:r>
          </w:p>
          <w:p w14:paraId="071AB3A4" w14:textId="77777777" w:rsidR="00EE24E4" w:rsidRPr="008B4AF6" w:rsidRDefault="00EE24E4" w:rsidP="00377F3A">
            <w:pPr>
              <w:pStyle w:val="TableText"/>
            </w:pPr>
            <w:r>
              <w:t>308 nm</w:t>
            </w:r>
            <w:r>
              <w:tab/>
              <w:t>10623</w:t>
            </w:r>
          </w:p>
        </w:tc>
        <w:tc>
          <w:tcPr>
            <w:tcW w:w="0" w:type="auto"/>
            <w:tcBorders>
              <w:top w:val="nil"/>
              <w:left w:val="nil"/>
              <w:bottom w:val="single" w:sz="4" w:space="0" w:color="auto"/>
              <w:right w:val="nil"/>
            </w:tcBorders>
          </w:tcPr>
          <w:p w14:paraId="266A5ED7" w14:textId="77777777" w:rsidR="00EE24E4" w:rsidRPr="008B4AF6" w:rsidRDefault="00EE24E4" w:rsidP="00377F3A">
            <w:pPr>
              <w:pStyle w:val="TableText"/>
            </w:pPr>
            <w:r>
              <w:t>Kaussmann 2000</w:t>
            </w:r>
          </w:p>
        </w:tc>
      </w:tr>
    </w:tbl>
    <w:p w14:paraId="3049C0DC" w14:textId="2B07E60D" w:rsidR="00A12A97" w:rsidRPr="00861CA0" w:rsidRDefault="00850971" w:rsidP="00377F3A">
      <w:pPr>
        <w:pStyle w:val="Caption"/>
      </w:pPr>
      <w:bookmarkStart w:id="1951" w:name="_Toc213946057"/>
      <w:bookmarkStart w:id="1952" w:name="_Toc216695748"/>
      <w:bookmarkEnd w:id="1950"/>
      <w:r>
        <w:t xml:space="preserve">Table </w:t>
      </w:r>
      <w:r>
        <w:fldChar w:fldCharType="begin"/>
      </w:r>
      <w:r>
        <w:instrText xml:space="preserve"> SEQ Table \* ARABIC </w:instrText>
      </w:r>
      <w:r>
        <w:fldChar w:fldCharType="separate"/>
      </w:r>
      <w:r w:rsidR="003861AC">
        <w:rPr>
          <w:noProof/>
        </w:rPr>
        <w:t>86</w:t>
      </w:r>
      <w:r>
        <w:fldChar w:fldCharType="end"/>
      </w:r>
      <w:r>
        <w:t xml:space="preserve">: </w:t>
      </w:r>
      <w:bookmarkStart w:id="1953" w:name="_Hlk157517016"/>
      <w:r w:rsidR="00405A1D">
        <w:t xml:space="preserve">Coumatetralyl – </w:t>
      </w:r>
      <w:r w:rsidR="00A12A97">
        <w:t xml:space="preserve">Fate and behaviour in </w:t>
      </w:r>
      <w:r w:rsidR="00405A1D">
        <w:t>environmental media</w:t>
      </w:r>
      <w:bookmarkEnd w:id="1951"/>
      <w:bookmarkEnd w:id="1952"/>
    </w:p>
    <w:tbl>
      <w:tblPr>
        <w:tblW w:w="0" w:type="auto"/>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55"/>
        <w:gridCol w:w="1972"/>
        <w:gridCol w:w="3431"/>
        <w:gridCol w:w="2975"/>
      </w:tblGrid>
      <w:tr w:rsidR="00A12A97" w:rsidRPr="000B2FA7" w14:paraId="4DCD5080" w14:textId="77777777" w:rsidTr="0017134F">
        <w:trPr>
          <w:cantSplit/>
          <w:tblHeader/>
        </w:trPr>
        <w:tc>
          <w:tcPr>
            <w:tcW w:w="0" w:type="auto"/>
            <w:tcBorders>
              <w:bottom w:val="single" w:sz="4" w:space="0" w:color="auto"/>
            </w:tcBorders>
            <w:shd w:val="clear" w:color="auto" w:fill="53284F"/>
          </w:tcPr>
          <w:p w14:paraId="187872D1" w14:textId="01A83F32" w:rsidR="00A12A97" w:rsidRDefault="00405A1D" w:rsidP="00377F3A">
            <w:pPr>
              <w:pStyle w:val="TableHead"/>
            </w:pPr>
            <w:r>
              <w:t>Compartment</w:t>
            </w:r>
          </w:p>
        </w:tc>
        <w:tc>
          <w:tcPr>
            <w:tcW w:w="0" w:type="auto"/>
            <w:tcBorders>
              <w:bottom w:val="single" w:sz="4" w:space="0" w:color="auto"/>
            </w:tcBorders>
            <w:shd w:val="clear" w:color="auto" w:fill="53284F"/>
          </w:tcPr>
          <w:p w14:paraId="5FD98CEC" w14:textId="77777777" w:rsidR="00A12A97" w:rsidRDefault="00A12A97" w:rsidP="00377F3A">
            <w:pPr>
              <w:pStyle w:val="TableHead"/>
            </w:pPr>
            <w:r>
              <w:t>Study</w:t>
            </w:r>
          </w:p>
        </w:tc>
        <w:tc>
          <w:tcPr>
            <w:tcW w:w="3431" w:type="dxa"/>
            <w:tcBorders>
              <w:bottom w:val="single" w:sz="4" w:space="0" w:color="auto"/>
            </w:tcBorders>
            <w:shd w:val="clear" w:color="auto" w:fill="53284F"/>
          </w:tcPr>
          <w:p w14:paraId="38002123" w14:textId="77777777" w:rsidR="00A12A97" w:rsidRPr="00CA558C" w:rsidRDefault="00A12A97" w:rsidP="00377F3A">
            <w:pPr>
              <w:pStyle w:val="TableHead"/>
            </w:pPr>
            <w:r>
              <w:t>Result</w:t>
            </w:r>
          </w:p>
        </w:tc>
        <w:tc>
          <w:tcPr>
            <w:tcW w:w="2975" w:type="dxa"/>
            <w:tcBorders>
              <w:bottom w:val="single" w:sz="4" w:space="0" w:color="auto"/>
            </w:tcBorders>
            <w:shd w:val="clear" w:color="auto" w:fill="53284F"/>
          </w:tcPr>
          <w:p w14:paraId="780408AA" w14:textId="77777777" w:rsidR="00A12A97" w:rsidRPr="00CA558C" w:rsidRDefault="00A12A97" w:rsidP="00377F3A">
            <w:pPr>
              <w:pStyle w:val="TableHead"/>
            </w:pPr>
            <w:r>
              <w:t>Reference</w:t>
            </w:r>
          </w:p>
        </w:tc>
      </w:tr>
      <w:tr w:rsidR="00A12A97" w:rsidRPr="000B2FA7" w14:paraId="22E93DF7" w14:textId="77777777" w:rsidTr="00D267E9">
        <w:trPr>
          <w:cantSplit/>
        </w:trPr>
        <w:tc>
          <w:tcPr>
            <w:tcW w:w="0" w:type="auto"/>
            <w:tcBorders>
              <w:left w:val="nil"/>
              <w:bottom w:val="nil"/>
            </w:tcBorders>
          </w:tcPr>
          <w:p w14:paraId="719229F0" w14:textId="59DBC577" w:rsidR="00A12A97" w:rsidRDefault="00405A1D" w:rsidP="00377F3A">
            <w:pPr>
              <w:pStyle w:val="TableText"/>
            </w:pPr>
            <w:r>
              <w:t>Soil</w:t>
            </w:r>
          </w:p>
        </w:tc>
        <w:tc>
          <w:tcPr>
            <w:tcW w:w="0" w:type="auto"/>
            <w:vMerge w:val="restart"/>
            <w:tcBorders>
              <w:left w:val="nil"/>
            </w:tcBorders>
          </w:tcPr>
          <w:p w14:paraId="0F5FDDF7" w14:textId="77777777" w:rsidR="00A12A97" w:rsidRDefault="00A12A97" w:rsidP="00377F3A">
            <w:pPr>
              <w:pStyle w:val="TableText"/>
            </w:pPr>
            <w:r>
              <w:t>Aerobic soil metabolism</w:t>
            </w:r>
          </w:p>
        </w:tc>
        <w:tc>
          <w:tcPr>
            <w:tcW w:w="3431" w:type="dxa"/>
            <w:tcBorders>
              <w:bottom w:val="nil"/>
            </w:tcBorders>
          </w:tcPr>
          <w:p w14:paraId="6BD31748" w14:textId="77777777" w:rsidR="00A12A97" w:rsidRPr="003B78E0" w:rsidRDefault="00A12A97" w:rsidP="00377F3A">
            <w:pPr>
              <w:pStyle w:val="TableText"/>
            </w:pPr>
            <w:r>
              <w:t>Sandy loam:</w:t>
            </w:r>
            <w:r>
              <w:tab/>
              <w:t>DT</w:t>
            </w:r>
            <w:r w:rsidRPr="003B78E0">
              <w:rPr>
                <w:vertAlign w:val="subscript"/>
              </w:rPr>
              <w:t>50</w:t>
            </w:r>
            <w:r>
              <w:t xml:space="preserve"> 8.7 d</w:t>
            </w:r>
          </w:p>
        </w:tc>
        <w:tc>
          <w:tcPr>
            <w:tcW w:w="2975" w:type="dxa"/>
            <w:tcBorders>
              <w:bottom w:val="nil"/>
            </w:tcBorders>
          </w:tcPr>
          <w:p w14:paraId="1C311B19" w14:textId="77777777" w:rsidR="00A12A97" w:rsidRDefault="00A12A97" w:rsidP="00377F3A">
            <w:pPr>
              <w:pStyle w:val="TableText"/>
            </w:pPr>
            <w:r>
              <w:t>Kreschnak 2014, Scholz 1987a</w:t>
            </w:r>
          </w:p>
        </w:tc>
      </w:tr>
      <w:tr w:rsidR="00A12A97" w:rsidRPr="000B2FA7" w14:paraId="094597CD" w14:textId="77777777" w:rsidTr="00D267E9">
        <w:trPr>
          <w:cantSplit/>
        </w:trPr>
        <w:tc>
          <w:tcPr>
            <w:tcW w:w="0" w:type="auto"/>
            <w:tcBorders>
              <w:top w:val="nil"/>
              <w:left w:val="nil"/>
              <w:bottom w:val="nil"/>
            </w:tcBorders>
          </w:tcPr>
          <w:p w14:paraId="68FAE2D4" w14:textId="77777777" w:rsidR="00A12A97" w:rsidRDefault="00A12A97" w:rsidP="00377F3A">
            <w:pPr>
              <w:pStyle w:val="TableText"/>
            </w:pPr>
          </w:p>
        </w:tc>
        <w:tc>
          <w:tcPr>
            <w:tcW w:w="0" w:type="auto"/>
            <w:vMerge/>
            <w:tcBorders>
              <w:left w:val="nil"/>
              <w:bottom w:val="nil"/>
            </w:tcBorders>
          </w:tcPr>
          <w:p w14:paraId="7BDCBE65" w14:textId="77777777" w:rsidR="00A12A97" w:rsidRDefault="00A12A97" w:rsidP="00377F3A">
            <w:pPr>
              <w:pStyle w:val="TableText"/>
            </w:pPr>
          </w:p>
        </w:tc>
        <w:tc>
          <w:tcPr>
            <w:tcW w:w="3431" w:type="dxa"/>
            <w:tcBorders>
              <w:top w:val="nil"/>
              <w:bottom w:val="nil"/>
            </w:tcBorders>
          </w:tcPr>
          <w:p w14:paraId="5E8131A9" w14:textId="77777777" w:rsidR="00A12A97" w:rsidRDefault="00A12A97" w:rsidP="00377F3A">
            <w:pPr>
              <w:pStyle w:val="TableText"/>
            </w:pPr>
            <w:r>
              <w:t>Sandy loam:</w:t>
            </w:r>
            <w:r>
              <w:tab/>
              <w:t>DT</w:t>
            </w:r>
            <w:r w:rsidRPr="003B78E0">
              <w:rPr>
                <w:vertAlign w:val="subscript"/>
              </w:rPr>
              <w:t>50</w:t>
            </w:r>
            <w:r>
              <w:t xml:space="preserve"> 8.2 d</w:t>
            </w:r>
          </w:p>
          <w:p w14:paraId="1D5AFBBC" w14:textId="77777777" w:rsidR="00A12A97" w:rsidRDefault="00A12A97" w:rsidP="00377F3A">
            <w:pPr>
              <w:pStyle w:val="TableText"/>
            </w:pPr>
            <w:r>
              <w:t>Silt loam:</w:t>
            </w:r>
            <w:r>
              <w:tab/>
              <w:t>DT</w:t>
            </w:r>
            <w:r w:rsidRPr="003B78E0">
              <w:rPr>
                <w:vertAlign w:val="subscript"/>
              </w:rPr>
              <w:t>50</w:t>
            </w:r>
            <w:r>
              <w:t xml:space="preserve"> 5.9 d</w:t>
            </w:r>
          </w:p>
        </w:tc>
        <w:tc>
          <w:tcPr>
            <w:tcW w:w="2975" w:type="dxa"/>
            <w:tcBorders>
              <w:top w:val="nil"/>
              <w:bottom w:val="nil"/>
            </w:tcBorders>
          </w:tcPr>
          <w:p w14:paraId="46781EE2" w14:textId="77777777" w:rsidR="00A12A97" w:rsidRDefault="00A12A97" w:rsidP="00377F3A">
            <w:pPr>
              <w:pStyle w:val="TableText"/>
            </w:pPr>
            <w:r>
              <w:t>Kreschnak 2014, Scholz 1987b</w:t>
            </w:r>
          </w:p>
        </w:tc>
      </w:tr>
      <w:tr w:rsidR="00A12A97" w:rsidRPr="000B2FA7" w14:paraId="6CD8BACA" w14:textId="77777777" w:rsidTr="00D267E9">
        <w:trPr>
          <w:cantSplit/>
        </w:trPr>
        <w:tc>
          <w:tcPr>
            <w:tcW w:w="0" w:type="auto"/>
            <w:tcBorders>
              <w:top w:val="nil"/>
              <w:left w:val="nil"/>
              <w:bottom w:val="nil"/>
            </w:tcBorders>
          </w:tcPr>
          <w:p w14:paraId="4DDD42D4" w14:textId="77777777" w:rsidR="00A12A97" w:rsidRDefault="00A12A97" w:rsidP="00377F3A">
            <w:pPr>
              <w:pStyle w:val="TableText"/>
            </w:pPr>
          </w:p>
        </w:tc>
        <w:tc>
          <w:tcPr>
            <w:tcW w:w="0" w:type="auto"/>
            <w:tcBorders>
              <w:top w:val="nil"/>
              <w:left w:val="nil"/>
              <w:bottom w:val="nil"/>
            </w:tcBorders>
          </w:tcPr>
          <w:p w14:paraId="3C599110" w14:textId="77777777" w:rsidR="00A12A97" w:rsidRDefault="00A12A97" w:rsidP="00377F3A">
            <w:pPr>
              <w:pStyle w:val="TableText"/>
            </w:pPr>
          </w:p>
        </w:tc>
        <w:tc>
          <w:tcPr>
            <w:tcW w:w="3431" w:type="dxa"/>
            <w:tcBorders>
              <w:top w:val="nil"/>
              <w:bottom w:val="nil"/>
            </w:tcBorders>
          </w:tcPr>
          <w:p w14:paraId="531EE8AE" w14:textId="77777777" w:rsidR="00A12A97" w:rsidRDefault="00A12A97" w:rsidP="00377F3A">
            <w:pPr>
              <w:pStyle w:val="TableText"/>
            </w:pPr>
            <w:r>
              <w:t>Geomean DT</w:t>
            </w:r>
            <w:r w:rsidRPr="00F22358">
              <w:rPr>
                <w:vertAlign w:val="subscript"/>
              </w:rPr>
              <w:t>50</w:t>
            </w:r>
            <w:r>
              <w:t xml:space="preserve"> 7.5 d</w:t>
            </w:r>
          </w:p>
        </w:tc>
        <w:tc>
          <w:tcPr>
            <w:tcW w:w="2975" w:type="dxa"/>
            <w:tcBorders>
              <w:top w:val="nil"/>
              <w:bottom w:val="nil"/>
            </w:tcBorders>
          </w:tcPr>
          <w:p w14:paraId="63D13B31" w14:textId="77777777" w:rsidR="00A12A97" w:rsidRDefault="00A12A97" w:rsidP="00377F3A">
            <w:pPr>
              <w:pStyle w:val="TableText"/>
            </w:pPr>
          </w:p>
        </w:tc>
      </w:tr>
      <w:tr w:rsidR="00A12A97" w:rsidRPr="000B2FA7" w14:paraId="540CF7ED" w14:textId="77777777" w:rsidTr="00D267E9">
        <w:trPr>
          <w:cantSplit/>
        </w:trPr>
        <w:tc>
          <w:tcPr>
            <w:tcW w:w="0" w:type="auto"/>
            <w:tcBorders>
              <w:top w:val="nil"/>
              <w:left w:val="nil"/>
              <w:bottom w:val="nil"/>
            </w:tcBorders>
          </w:tcPr>
          <w:p w14:paraId="5182B81D" w14:textId="77777777" w:rsidR="00A12A97" w:rsidRDefault="00A12A97" w:rsidP="00377F3A">
            <w:pPr>
              <w:pStyle w:val="TableText"/>
            </w:pPr>
          </w:p>
        </w:tc>
        <w:tc>
          <w:tcPr>
            <w:tcW w:w="0" w:type="auto"/>
            <w:tcBorders>
              <w:top w:val="nil"/>
              <w:left w:val="nil"/>
              <w:bottom w:val="nil"/>
            </w:tcBorders>
          </w:tcPr>
          <w:p w14:paraId="1EDE1D8F" w14:textId="77777777" w:rsidR="00A12A97" w:rsidRDefault="00A12A97" w:rsidP="00377F3A">
            <w:pPr>
              <w:pStyle w:val="TableText"/>
            </w:pPr>
          </w:p>
        </w:tc>
        <w:tc>
          <w:tcPr>
            <w:tcW w:w="3431" w:type="dxa"/>
            <w:tcBorders>
              <w:top w:val="nil"/>
              <w:bottom w:val="nil"/>
            </w:tcBorders>
          </w:tcPr>
          <w:p w14:paraId="4A20B570" w14:textId="77777777" w:rsidR="00A12A97" w:rsidRDefault="00A12A97" w:rsidP="00377F3A">
            <w:pPr>
              <w:pStyle w:val="TableText"/>
            </w:pPr>
            <w:r>
              <w:t>44-51% mineralisation after 81-90d</w:t>
            </w:r>
          </w:p>
          <w:p w14:paraId="63DD7642" w14:textId="77777777" w:rsidR="00A12A97" w:rsidRDefault="00A12A97" w:rsidP="00377F3A">
            <w:pPr>
              <w:pStyle w:val="TableText"/>
            </w:pPr>
            <w:r>
              <w:t>34-38% bound residues after 81-90d</w:t>
            </w:r>
          </w:p>
          <w:p w14:paraId="420EA362" w14:textId="77777777" w:rsidR="00A12A97" w:rsidRDefault="00A12A97" w:rsidP="00377F3A">
            <w:pPr>
              <w:pStyle w:val="TableText"/>
            </w:pPr>
            <w:r>
              <w:t>No major metabolites</w:t>
            </w:r>
          </w:p>
        </w:tc>
        <w:tc>
          <w:tcPr>
            <w:tcW w:w="2975" w:type="dxa"/>
            <w:tcBorders>
              <w:top w:val="nil"/>
              <w:bottom w:val="nil"/>
            </w:tcBorders>
          </w:tcPr>
          <w:p w14:paraId="469EC589" w14:textId="77777777" w:rsidR="00A12A97" w:rsidRDefault="00A12A97" w:rsidP="00377F3A">
            <w:pPr>
              <w:pStyle w:val="TableText"/>
            </w:pPr>
          </w:p>
        </w:tc>
      </w:tr>
      <w:tr w:rsidR="00A12A97" w:rsidRPr="000B2FA7" w14:paraId="34E2B42E" w14:textId="77777777" w:rsidTr="00D267E9">
        <w:trPr>
          <w:cantSplit/>
        </w:trPr>
        <w:tc>
          <w:tcPr>
            <w:tcW w:w="0" w:type="auto"/>
            <w:tcBorders>
              <w:top w:val="nil"/>
              <w:left w:val="nil"/>
              <w:bottom w:val="nil"/>
            </w:tcBorders>
          </w:tcPr>
          <w:p w14:paraId="1090332A" w14:textId="77777777" w:rsidR="00A12A97" w:rsidRDefault="00A12A97" w:rsidP="00377F3A">
            <w:pPr>
              <w:pStyle w:val="TableText"/>
            </w:pPr>
          </w:p>
        </w:tc>
        <w:tc>
          <w:tcPr>
            <w:tcW w:w="0" w:type="auto"/>
            <w:tcBorders>
              <w:top w:val="nil"/>
              <w:left w:val="nil"/>
              <w:bottom w:val="nil"/>
            </w:tcBorders>
          </w:tcPr>
          <w:p w14:paraId="07079399" w14:textId="77777777" w:rsidR="00A12A97" w:rsidRDefault="00A12A97" w:rsidP="00377F3A">
            <w:pPr>
              <w:pStyle w:val="TableText"/>
            </w:pPr>
            <w:r>
              <w:t>Anaerobic soil metabolism</w:t>
            </w:r>
          </w:p>
        </w:tc>
        <w:tc>
          <w:tcPr>
            <w:tcW w:w="3431" w:type="dxa"/>
            <w:tcBorders>
              <w:top w:val="nil"/>
              <w:bottom w:val="nil"/>
            </w:tcBorders>
          </w:tcPr>
          <w:p w14:paraId="48B6170B" w14:textId="77777777" w:rsidR="00A12A97" w:rsidRDefault="00A12A97" w:rsidP="00377F3A">
            <w:pPr>
              <w:pStyle w:val="TableText"/>
            </w:pPr>
            <w:r>
              <w:t>Sandy loam:</w:t>
            </w:r>
            <w:r>
              <w:tab/>
              <w:t xml:space="preserve">stable </w:t>
            </w:r>
          </w:p>
          <w:p w14:paraId="0C9EDF42" w14:textId="77777777" w:rsidR="00A12A97" w:rsidRDefault="00A12A97" w:rsidP="00377F3A">
            <w:pPr>
              <w:pStyle w:val="TableText"/>
            </w:pPr>
            <w:r>
              <w:t>&lt;1% mineralisation after 60d</w:t>
            </w:r>
          </w:p>
          <w:p w14:paraId="45E7ADC9" w14:textId="77777777" w:rsidR="00A12A97" w:rsidRDefault="00A12A97" w:rsidP="00377F3A">
            <w:pPr>
              <w:pStyle w:val="TableText"/>
            </w:pPr>
            <w:r>
              <w:t>5% bound residues after 60d</w:t>
            </w:r>
          </w:p>
          <w:p w14:paraId="6402C472" w14:textId="77777777" w:rsidR="00A12A97" w:rsidRPr="003B78E0" w:rsidRDefault="00A12A97" w:rsidP="00377F3A">
            <w:pPr>
              <w:pStyle w:val="TableText"/>
            </w:pPr>
            <w:r>
              <w:t>No major metabolites</w:t>
            </w:r>
          </w:p>
        </w:tc>
        <w:tc>
          <w:tcPr>
            <w:tcW w:w="2975" w:type="dxa"/>
            <w:tcBorders>
              <w:top w:val="nil"/>
              <w:bottom w:val="nil"/>
            </w:tcBorders>
          </w:tcPr>
          <w:p w14:paraId="59372DBE" w14:textId="77777777" w:rsidR="00A12A97" w:rsidRDefault="00A12A97" w:rsidP="00377F3A">
            <w:pPr>
              <w:pStyle w:val="TableText"/>
            </w:pPr>
            <w:r>
              <w:t>Scholz 1987a</w:t>
            </w:r>
          </w:p>
        </w:tc>
      </w:tr>
      <w:tr w:rsidR="00A12A97" w:rsidRPr="000B2FA7" w14:paraId="4569B1FA" w14:textId="77777777" w:rsidTr="00D267E9">
        <w:trPr>
          <w:cantSplit/>
        </w:trPr>
        <w:tc>
          <w:tcPr>
            <w:tcW w:w="0" w:type="auto"/>
            <w:tcBorders>
              <w:top w:val="nil"/>
              <w:left w:val="nil"/>
              <w:bottom w:val="nil"/>
            </w:tcBorders>
          </w:tcPr>
          <w:p w14:paraId="78272099" w14:textId="77777777" w:rsidR="00A12A97" w:rsidRPr="008B4AF6" w:rsidRDefault="00A12A97" w:rsidP="00377F3A">
            <w:pPr>
              <w:pStyle w:val="TableText"/>
            </w:pPr>
          </w:p>
        </w:tc>
        <w:tc>
          <w:tcPr>
            <w:tcW w:w="0" w:type="auto"/>
            <w:vMerge w:val="restart"/>
            <w:tcBorders>
              <w:top w:val="nil"/>
              <w:left w:val="nil"/>
            </w:tcBorders>
          </w:tcPr>
          <w:p w14:paraId="101A9043" w14:textId="77777777" w:rsidR="00A12A97" w:rsidRDefault="00A12A97" w:rsidP="00377F3A">
            <w:pPr>
              <w:pStyle w:val="TableText"/>
            </w:pPr>
            <w:r>
              <w:t>Adsorption/</w:t>
            </w:r>
          </w:p>
          <w:p w14:paraId="661D056C" w14:textId="77777777" w:rsidR="00A12A97" w:rsidRDefault="00A12A97" w:rsidP="00377F3A">
            <w:pPr>
              <w:pStyle w:val="TableText"/>
            </w:pPr>
            <w:r>
              <w:t>desorption</w:t>
            </w:r>
          </w:p>
        </w:tc>
        <w:tc>
          <w:tcPr>
            <w:tcW w:w="3431" w:type="dxa"/>
            <w:tcBorders>
              <w:top w:val="nil"/>
              <w:bottom w:val="nil"/>
            </w:tcBorders>
          </w:tcPr>
          <w:p w14:paraId="0265EB16" w14:textId="77777777" w:rsidR="00A12A97" w:rsidRPr="00F3045B" w:rsidRDefault="00A12A97" w:rsidP="00377F3A">
            <w:pPr>
              <w:pStyle w:val="TableText"/>
            </w:pPr>
            <w:r w:rsidRPr="003B78E0">
              <w:t>Soil</w:t>
            </w:r>
            <w:r>
              <w:tab/>
            </w:r>
            <w:r w:rsidRPr="0086508E">
              <w:t>pH</w:t>
            </w:r>
            <w:r>
              <w:tab/>
            </w:r>
            <w:r w:rsidRPr="003B78E0">
              <w:t>%OC</w:t>
            </w:r>
            <w:r>
              <w:tab/>
            </w:r>
            <w:r w:rsidRPr="003B78E0">
              <w:t>K</w:t>
            </w:r>
            <w:r>
              <w:t>d</w:t>
            </w:r>
            <w:r>
              <w:tab/>
            </w:r>
            <w:r w:rsidRPr="003B78E0">
              <w:t>Koc</w:t>
            </w:r>
          </w:p>
        </w:tc>
        <w:tc>
          <w:tcPr>
            <w:tcW w:w="2975" w:type="dxa"/>
            <w:tcBorders>
              <w:top w:val="nil"/>
              <w:bottom w:val="nil"/>
            </w:tcBorders>
          </w:tcPr>
          <w:p w14:paraId="1AF85F38" w14:textId="77777777" w:rsidR="00A12A97" w:rsidRDefault="00A12A97" w:rsidP="00377F3A">
            <w:pPr>
              <w:pStyle w:val="TableText"/>
            </w:pPr>
          </w:p>
        </w:tc>
      </w:tr>
      <w:tr w:rsidR="00A12A97" w:rsidRPr="000B2FA7" w14:paraId="53F02333" w14:textId="77777777" w:rsidTr="00D267E9">
        <w:trPr>
          <w:cantSplit/>
        </w:trPr>
        <w:tc>
          <w:tcPr>
            <w:tcW w:w="0" w:type="auto"/>
            <w:tcBorders>
              <w:top w:val="nil"/>
              <w:left w:val="nil"/>
              <w:bottom w:val="nil"/>
            </w:tcBorders>
          </w:tcPr>
          <w:p w14:paraId="02DD8B02" w14:textId="77777777" w:rsidR="00A12A97" w:rsidRPr="008B4AF6" w:rsidRDefault="00A12A97" w:rsidP="00377F3A">
            <w:pPr>
              <w:pStyle w:val="TableText"/>
            </w:pPr>
          </w:p>
        </w:tc>
        <w:tc>
          <w:tcPr>
            <w:tcW w:w="0" w:type="auto"/>
            <w:vMerge/>
            <w:tcBorders>
              <w:left w:val="nil"/>
              <w:bottom w:val="nil"/>
            </w:tcBorders>
          </w:tcPr>
          <w:p w14:paraId="082A6E46" w14:textId="77777777" w:rsidR="00A12A97" w:rsidRPr="008B4AF6" w:rsidRDefault="00A12A97" w:rsidP="00377F3A">
            <w:pPr>
              <w:pStyle w:val="TableText"/>
            </w:pPr>
          </w:p>
        </w:tc>
        <w:tc>
          <w:tcPr>
            <w:tcW w:w="3431" w:type="dxa"/>
            <w:tcBorders>
              <w:top w:val="nil"/>
              <w:bottom w:val="nil"/>
            </w:tcBorders>
          </w:tcPr>
          <w:p w14:paraId="5ED51CCA" w14:textId="77777777" w:rsidR="00A12A97" w:rsidRDefault="00A12A97" w:rsidP="00377F3A">
            <w:pPr>
              <w:pStyle w:val="TableText"/>
            </w:pPr>
            <w:r>
              <w:t>clay</w:t>
            </w:r>
            <w:r>
              <w:tab/>
              <w:t>5.6</w:t>
            </w:r>
            <w:r>
              <w:tab/>
              <w:t>3.3</w:t>
            </w:r>
            <w:r>
              <w:tab/>
              <w:t>15</w:t>
            </w:r>
            <w:r>
              <w:tab/>
              <w:t>468</w:t>
            </w:r>
          </w:p>
          <w:p w14:paraId="30BE6C68" w14:textId="77777777" w:rsidR="00A12A97" w:rsidRDefault="00A12A97" w:rsidP="00377F3A">
            <w:pPr>
              <w:pStyle w:val="TableText"/>
            </w:pPr>
            <w:r>
              <w:t>loam</w:t>
            </w:r>
            <w:r>
              <w:tab/>
              <w:t>5.7</w:t>
            </w:r>
            <w:r>
              <w:tab/>
              <w:t>3.0</w:t>
            </w:r>
            <w:r>
              <w:tab/>
              <w:t>9.0</w:t>
            </w:r>
            <w:r>
              <w:tab/>
              <w:t>299</w:t>
            </w:r>
          </w:p>
          <w:p w14:paraId="1451A614" w14:textId="77777777" w:rsidR="00A12A97" w:rsidRDefault="00A12A97" w:rsidP="00377F3A">
            <w:pPr>
              <w:pStyle w:val="TableText"/>
            </w:pPr>
            <w:r>
              <w:t>sandy loam</w:t>
            </w:r>
            <w:r>
              <w:tab/>
              <w:t>6.6</w:t>
            </w:r>
            <w:r>
              <w:tab/>
              <w:t>1.2</w:t>
            </w:r>
            <w:r>
              <w:tab/>
              <w:t>5.0</w:t>
            </w:r>
            <w:r>
              <w:tab/>
              <w:t>283</w:t>
            </w:r>
          </w:p>
          <w:p w14:paraId="1B5D0E02" w14:textId="77777777" w:rsidR="00A12A97" w:rsidRDefault="00A12A97" w:rsidP="00377F3A">
            <w:pPr>
              <w:pStyle w:val="TableText"/>
            </w:pPr>
            <w:r>
              <w:t>silt loam</w:t>
            </w:r>
            <w:r>
              <w:tab/>
              <w:t>6.8</w:t>
            </w:r>
            <w:r>
              <w:tab/>
              <w:t>1.3</w:t>
            </w:r>
            <w:r>
              <w:tab/>
              <w:t>0.41</w:t>
            </w:r>
            <w:r>
              <w:tab/>
              <w:t>31</w:t>
            </w:r>
          </w:p>
          <w:p w14:paraId="5BEF13CE" w14:textId="77777777" w:rsidR="00A12A97" w:rsidRPr="0086508E" w:rsidRDefault="00A12A97" w:rsidP="00377F3A">
            <w:pPr>
              <w:pStyle w:val="TableText"/>
            </w:pPr>
            <w:r>
              <w:t>silt loam</w:t>
            </w:r>
            <w:r>
              <w:tab/>
              <w:t>7.1</w:t>
            </w:r>
            <w:r>
              <w:tab/>
              <w:t>3.7</w:t>
            </w:r>
            <w:r>
              <w:tab/>
              <w:t>2.1</w:t>
            </w:r>
            <w:r>
              <w:tab/>
              <w:t>57</w:t>
            </w:r>
          </w:p>
        </w:tc>
        <w:tc>
          <w:tcPr>
            <w:tcW w:w="2975" w:type="dxa"/>
            <w:tcBorders>
              <w:top w:val="nil"/>
              <w:bottom w:val="nil"/>
            </w:tcBorders>
          </w:tcPr>
          <w:p w14:paraId="7DD79EB3" w14:textId="77777777" w:rsidR="00A12A97" w:rsidRDefault="00A12A97" w:rsidP="00377F3A">
            <w:pPr>
              <w:pStyle w:val="TableText"/>
            </w:pPr>
            <w:r>
              <w:t>Goller 2014</w:t>
            </w:r>
          </w:p>
        </w:tc>
      </w:tr>
      <w:tr w:rsidR="00A12A97" w:rsidRPr="000B2FA7" w14:paraId="0BED87F5" w14:textId="77777777" w:rsidTr="00D267E9">
        <w:trPr>
          <w:cantSplit/>
        </w:trPr>
        <w:tc>
          <w:tcPr>
            <w:tcW w:w="0" w:type="auto"/>
            <w:tcBorders>
              <w:top w:val="nil"/>
              <w:left w:val="nil"/>
              <w:bottom w:val="nil"/>
            </w:tcBorders>
          </w:tcPr>
          <w:p w14:paraId="3E834434" w14:textId="5F335BA4" w:rsidR="00A12A97" w:rsidRPr="008B4AF6" w:rsidRDefault="00A12A97" w:rsidP="00377F3A">
            <w:pPr>
              <w:pStyle w:val="TableText"/>
            </w:pPr>
          </w:p>
        </w:tc>
        <w:tc>
          <w:tcPr>
            <w:tcW w:w="0" w:type="auto"/>
            <w:tcBorders>
              <w:top w:val="nil"/>
              <w:left w:val="nil"/>
              <w:bottom w:val="nil"/>
            </w:tcBorders>
          </w:tcPr>
          <w:p w14:paraId="3AD7C008" w14:textId="504F949E" w:rsidR="00A12A97" w:rsidRPr="008B4AF6" w:rsidRDefault="00A12A97" w:rsidP="00377F3A">
            <w:pPr>
              <w:pStyle w:val="TableText"/>
            </w:pPr>
          </w:p>
        </w:tc>
        <w:tc>
          <w:tcPr>
            <w:tcW w:w="3431" w:type="dxa"/>
            <w:tcBorders>
              <w:top w:val="nil"/>
              <w:bottom w:val="nil"/>
            </w:tcBorders>
          </w:tcPr>
          <w:p w14:paraId="01EEBE97" w14:textId="77777777" w:rsidR="00A12A97" w:rsidRDefault="00A12A97" w:rsidP="00377F3A">
            <w:pPr>
              <w:pStyle w:val="TableText"/>
            </w:pPr>
            <w:r>
              <w:t>sandy loam</w:t>
            </w:r>
            <w:r>
              <w:tab/>
              <w:t>4.3</w:t>
            </w:r>
            <w:r>
              <w:tab/>
              <w:t>1.1</w:t>
            </w:r>
            <w:r>
              <w:tab/>
              <w:t>8.1</w:t>
            </w:r>
            <w:r>
              <w:tab/>
              <w:t>735</w:t>
            </w:r>
          </w:p>
          <w:p w14:paraId="3F124580" w14:textId="77777777" w:rsidR="00A12A97" w:rsidRDefault="00A12A97" w:rsidP="00377F3A">
            <w:pPr>
              <w:pStyle w:val="TableText"/>
            </w:pPr>
            <w:r>
              <w:t>clay</w:t>
            </w:r>
            <w:r>
              <w:tab/>
              <w:t>5.7</w:t>
            </w:r>
            <w:r>
              <w:tab/>
              <w:t>2.3</w:t>
            </w:r>
            <w:r>
              <w:tab/>
              <w:t>2.7</w:t>
            </w:r>
            <w:r>
              <w:tab/>
              <w:t>115</w:t>
            </w:r>
          </w:p>
          <w:p w14:paraId="3B012482" w14:textId="77777777" w:rsidR="00A12A97" w:rsidRDefault="00A12A97" w:rsidP="00377F3A">
            <w:pPr>
              <w:pStyle w:val="TableText"/>
            </w:pPr>
            <w:r>
              <w:t>sand</w:t>
            </w:r>
            <w:r>
              <w:tab/>
              <w:t>6.0</w:t>
            </w:r>
            <w:r>
              <w:tab/>
              <w:t>0.56</w:t>
            </w:r>
            <w:r>
              <w:tab/>
              <w:t>2.3</w:t>
            </w:r>
            <w:r>
              <w:tab/>
              <w:t>403</w:t>
            </w:r>
          </w:p>
          <w:p w14:paraId="35E25403" w14:textId="77777777" w:rsidR="00A12A97" w:rsidRDefault="00A12A97" w:rsidP="00377F3A">
            <w:pPr>
              <w:pStyle w:val="TableText"/>
            </w:pPr>
            <w:r>
              <w:t>silt loam</w:t>
            </w:r>
            <w:r>
              <w:tab/>
              <w:t>6.5</w:t>
            </w:r>
            <w:r>
              <w:tab/>
              <w:t>3.0</w:t>
            </w:r>
            <w:r>
              <w:tab/>
              <w:t>2.1</w:t>
            </w:r>
            <w:r>
              <w:tab/>
              <w:t>71</w:t>
            </w:r>
          </w:p>
          <w:p w14:paraId="46BDC730" w14:textId="77777777" w:rsidR="00A12A97" w:rsidRPr="008B4AF6" w:rsidRDefault="00A12A97" w:rsidP="00377F3A">
            <w:pPr>
              <w:pStyle w:val="TableText"/>
            </w:pPr>
            <w:r>
              <w:t>clay loam</w:t>
            </w:r>
            <w:r>
              <w:tab/>
              <w:t>7.4</w:t>
            </w:r>
            <w:r>
              <w:tab/>
              <w:t>1.7</w:t>
            </w:r>
            <w:r>
              <w:tab/>
              <w:t>3.1</w:t>
            </w:r>
            <w:r>
              <w:tab/>
              <w:t>185</w:t>
            </w:r>
          </w:p>
        </w:tc>
        <w:tc>
          <w:tcPr>
            <w:tcW w:w="2975" w:type="dxa"/>
            <w:tcBorders>
              <w:top w:val="nil"/>
              <w:bottom w:val="nil"/>
            </w:tcBorders>
          </w:tcPr>
          <w:p w14:paraId="798F5CF1" w14:textId="77777777" w:rsidR="00A12A97" w:rsidRPr="008B4AF6" w:rsidRDefault="00A12A97" w:rsidP="00377F3A">
            <w:pPr>
              <w:pStyle w:val="TableText"/>
            </w:pPr>
            <w:r>
              <w:t>Slangen 2002</w:t>
            </w:r>
          </w:p>
        </w:tc>
      </w:tr>
      <w:tr w:rsidR="00A12A97" w:rsidRPr="000B2FA7" w14:paraId="71AB8B4A" w14:textId="77777777" w:rsidTr="00D267E9">
        <w:trPr>
          <w:cantSplit/>
        </w:trPr>
        <w:tc>
          <w:tcPr>
            <w:tcW w:w="0" w:type="auto"/>
            <w:tcBorders>
              <w:top w:val="nil"/>
              <w:left w:val="nil"/>
              <w:bottom w:val="nil"/>
            </w:tcBorders>
          </w:tcPr>
          <w:p w14:paraId="328585F7" w14:textId="77777777" w:rsidR="00A12A97" w:rsidRPr="008B4AF6" w:rsidRDefault="00A12A97" w:rsidP="00377F3A">
            <w:pPr>
              <w:pStyle w:val="TableText"/>
            </w:pPr>
          </w:p>
        </w:tc>
        <w:tc>
          <w:tcPr>
            <w:tcW w:w="0" w:type="auto"/>
            <w:tcBorders>
              <w:top w:val="nil"/>
              <w:left w:val="nil"/>
              <w:bottom w:val="nil"/>
            </w:tcBorders>
          </w:tcPr>
          <w:p w14:paraId="477124E7" w14:textId="77777777" w:rsidR="00A12A97" w:rsidRPr="008B4AF6" w:rsidRDefault="00A12A97" w:rsidP="00377F3A">
            <w:pPr>
              <w:pStyle w:val="TableText"/>
            </w:pPr>
          </w:p>
        </w:tc>
        <w:tc>
          <w:tcPr>
            <w:tcW w:w="3431" w:type="dxa"/>
            <w:tcBorders>
              <w:top w:val="nil"/>
              <w:bottom w:val="nil"/>
            </w:tcBorders>
          </w:tcPr>
          <w:p w14:paraId="5AA19965" w14:textId="77777777" w:rsidR="00A12A97" w:rsidRDefault="00A12A97" w:rsidP="00377F3A">
            <w:pPr>
              <w:pStyle w:val="TableText"/>
            </w:pPr>
            <w:r>
              <w:t>pH &lt;6.5: mean Kd 7.4 mL/g, Koc 404 mL/g</w:t>
            </w:r>
          </w:p>
          <w:p w14:paraId="04868B9D" w14:textId="77777777" w:rsidR="00A12A97" w:rsidRDefault="00A12A97" w:rsidP="00377F3A">
            <w:pPr>
              <w:pStyle w:val="TableText"/>
            </w:pPr>
            <w:r>
              <w:t xml:space="preserve">pH </w:t>
            </w:r>
            <w:r>
              <w:rPr>
                <w:rFonts w:ascii="Calibri" w:hAnsi="Calibri" w:cs="Calibri"/>
              </w:rPr>
              <w:t>≥</w:t>
            </w:r>
            <w:r>
              <w:t>6.5: mean Kd 2.5 mL/g, Koc 125 mL/g</w:t>
            </w:r>
          </w:p>
        </w:tc>
        <w:tc>
          <w:tcPr>
            <w:tcW w:w="2975" w:type="dxa"/>
            <w:tcBorders>
              <w:top w:val="nil"/>
              <w:bottom w:val="nil"/>
            </w:tcBorders>
          </w:tcPr>
          <w:p w14:paraId="38A6CA4C" w14:textId="77777777" w:rsidR="00A12A97" w:rsidRDefault="00A12A97" w:rsidP="00377F3A">
            <w:pPr>
              <w:pStyle w:val="TableText"/>
            </w:pPr>
          </w:p>
        </w:tc>
      </w:tr>
      <w:tr w:rsidR="00405A1D" w:rsidRPr="000B2FA7" w14:paraId="548A9805" w14:textId="77777777" w:rsidTr="00D267E9">
        <w:trPr>
          <w:cantSplit/>
        </w:trPr>
        <w:tc>
          <w:tcPr>
            <w:tcW w:w="0" w:type="auto"/>
            <w:tcBorders>
              <w:top w:val="nil"/>
              <w:left w:val="nil"/>
              <w:bottom w:val="nil"/>
            </w:tcBorders>
          </w:tcPr>
          <w:p w14:paraId="7757A84C" w14:textId="77777777" w:rsidR="00405A1D" w:rsidRDefault="00405A1D" w:rsidP="00377F3A">
            <w:pPr>
              <w:pStyle w:val="TableText"/>
            </w:pPr>
            <w:r>
              <w:t>Water and</w:t>
            </w:r>
          </w:p>
          <w:p w14:paraId="249D5364" w14:textId="133D0E38" w:rsidR="00405A1D" w:rsidRPr="008B4AF6" w:rsidRDefault="00405A1D" w:rsidP="00377F3A">
            <w:pPr>
              <w:pStyle w:val="TableText"/>
            </w:pPr>
            <w:r>
              <w:t>sediment</w:t>
            </w:r>
          </w:p>
        </w:tc>
        <w:tc>
          <w:tcPr>
            <w:tcW w:w="0" w:type="auto"/>
            <w:tcBorders>
              <w:top w:val="nil"/>
              <w:left w:val="nil"/>
              <w:bottom w:val="nil"/>
            </w:tcBorders>
          </w:tcPr>
          <w:p w14:paraId="4294EC62" w14:textId="6936E79E" w:rsidR="00405A1D" w:rsidRPr="008B4AF6" w:rsidRDefault="00405A1D" w:rsidP="00377F3A">
            <w:pPr>
              <w:pStyle w:val="TableText"/>
            </w:pPr>
            <w:r>
              <w:t>Hydrolysis</w:t>
            </w:r>
          </w:p>
        </w:tc>
        <w:tc>
          <w:tcPr>
            <w:tcW w:w="3431" w:type="dxa"/>
            <w:tcBorders>
              <w:top w:val="nil"/>
              <w:bottom w:val="nil"/>
            </w:tcBorders>
          </w:tcPr>
          <w:p w14:paraId="7A608B1C" w14:textId="77777777" w:rsidR="00405A1D" w:rsidRDefault="00405A1D" w:rsidP="00377F3A">
            <w:pPr>
              <w:pStyle w:val="TableText"/>
            </w:pPr>
            <w:r>
              <w:t>pH 4, 50°C: stable</w:t>
            </w:r>
          </w:p>
          <w:p w14:paraId="64C5B4E5" w14:textId="77777777" w:rsidR="00405A1D" w:rsidRDefault="00405A1D" w:rsidP="00377F3A">
            <w:pPr>
              <w:pStyle w:val="TableText"/>
            </w:pPr>
            <w:r>
              <w:t>pH 7, 50°C: stable</w:t>
            </w:r>
          </w:p>
          <w:p w14:paraId="663D4943" w14:textId="0FB99B9F" w:rsidR="00405A1D" w:rsidRDefault="00405A1D" w:rsidP="00377F3A">
            <w:pPr>
              <w:pStyle w:val="TableText"/>
            </w:pPr>
            <w:r>
              <w:t>pH 9, 50°C: stable</w:t>
            </w:r>
          </w:p>
        </w:tc>
        <w:tc>
          <w:tcPr>
            <w:tcW w:w="2975" w:type="dxa"/>
            <w:tcBorders>
              <w:top w:val="nil"/>
              <w:bottom w:val="nil"/>
            </w:tcBorders>
          </w:tcPr>
          <w:p w14:paraId="58306B20" w14:textId="5E93E1DA" w:rsidR="00405A1D" w:rsidRDefault="00405A1D" w:rsidP="00377F3A">
            <w:pPr>
              <w:pStyle w:val="TableText"/>
            </w:pPr>
            <w:r>
              <w:t>Lange 2014</w:t>
            </w:r>
          </w:p>
        </w:tc>
      </w:tr>
      <w:tr w:rsidR="00405A1D" w:rsidRPr="000B2FA7" w14:paraId="428B901D" w14:textId="77777777" w:rsidTr="00D267E9">
        <w:trPr>
          <w:cantSplit/>
        </w:trPr>
        <w:tc>
          <w:tcPr>
            <w:tcW w:w="0" w:type="auto"/>
            <w:tcBorders>
              <w:top w:val="nil"/>
              <w:left w:val="nil"/>
              <w:bottom w:val="nil"/>
            </w:tcBorders>
          </w:tcPr>
          <w:p w14:paraId="6DEE99F9" w14:textId="77777777" w:rsidR="00405A1D" w:rsidRDefault="00405A1D" w:rsidP="00377F3A">
            <w:pPr>
              <w:pStyle w:val="TableText"/>
            </w:pPr>
          </w:p>
        </w:tc>
        <w:tc>
          <w:tcPr>
            <w:tcW w:w="0" w:type="auto"/>
            <w:tcBorders>
              <w:top w:val="nil"/>
              <w:left w:val="nil"/>
              <w:bottom w:val="nil"/>
            </w:tcBorders>
          </w:tcPr>
          <w:p w14:paraId="7595DC37" w14:textId="7F248644" w:rsidR="00405A1D" w:rsidRDefault="00405A1D" w:rsidP="00377F3A">
            <w:pPr>
              <w:pStyle w:val="TableText"/>
            </w:pPr>
            <w:r>
              <w:t>Aqueous photolysis</w:t>
            </w:r>
          </w:p>
        </w:tc>
        <w:tc>
          <w:tcPr>
            <w:tcW w:w="3431" w:type="dxa"/>
            <w:tcBorders>
              <w:top w:val="nil"/>
              <w:bottom w:val="nil"/>
            </w:tcBorders>
          </w:tcPr>
          <w:p w14:paraId="373FE7D3" w14:textId="77777777" w:rsidR="00405A1D" w:rsidRDefault="00405A1D" w:rsidP="00377F3A">
            <w:pPr>
              <w:pStyle w:val="TableText"/>
            </w:pPr>
            <w:r>
              <w:t>DT</w:t>
            </w:r>
            <w:r w:rsidRPr="003B78E0">
              <w:rPr>
                <w:vertAlign w:val="subscript"/>
              </w:rPr>
              <w:t>50</w:t>
            </w:r>
            <w:r>
              <w:t xml:space="preserve"> 0.82 d in summer at 40°N</w:t>
            </w:r>
          </w:p>
          <w:p w14:paraId="112E2671" w14:textId="29AD4CB7" w:rsidR="00405A1D" w:rsidRDefault="00405A1D" w:rsidP="00377F3A">
            <w:pPr>
              <w:pStyle w:val="TableText"/>
            </w:pPr>
            <w:r>
              <w:t>DT</w:t>
            </w:r>
            <w:r w:rsidRPr="003B78E0">
              <w:rPr>
                <w:vertAlign w:val="subscript"/>
              </w:rPr>
              <w:t>50</w:t>
            </w:r>
            <w:r>
              <w:t xml:space="preserve"> 3.6 d in winter at 40°N</w:t>
            </w:r>
          </w:p>
        </w:tc>
        <w:tc>
          <w:tcPr>
            <w:tcW w:w="2975" w:type="dxa"/>
            <w:tcBorders>
              <w:top w:val="nil"/>
              <w:bottom w:val="nil"/>
            </w:tcBorders>
          </w:tcPr>
          <w:p w14:paraId="3285654A" w14:textId="7864D1C2" w:rsidR="00405A1D" w:rsidRDefault="00405A1D" w:rsidP="00377F3A">
            <w:pPr>
              <w:pStyle w:val="TableText"/>
            </w:pPr>
            <w:r>
              <w:t>Lange 2015</w:t>
            </w:r>
          </w:p>
        </w:tc>
      </w:tr>
      <w:tr w:rsidR="00405A1D" w:rsidRPr="00136C92" w14:paraId="6D17AE92" w14:textId="77777777" w:rsidTr="00D267E9">
        <w:trPr>
          <w:cantSplit/>
        </w:trPr>
        <w:tc>
          <w:tcPr>
            <w:tcW w:w="0" w:type="auto"/>
            <w:tcBorders>
              <w:top w:val="nil"/>
              <w:left w:val="nil"/>
              <w:bottom w:val="nil"/>
            </w:tcBorders>
          </w:tcPr>
          <w:p w14:paraId="11B640CD" w14:textId="77777777" w:rsidR="00405A1D" w:rsidRDefault="00405A1D" w:rsidP="00377F3A">
            <w:pPr>
              <w:pStyle w:val="TableText"/>
            </w:pPr>
          </w:p>
        </w:tc>
        <w:tc>
          <w:tcPr>
            <w:tcW w:w="0" w:type="auto"/>
            <w:tcBorders>
              <w:top w:val="nil"/>
              <w:left w:val="nil"/>
              <w:bottom w:val="nil"/>
            </w:tcBorders>
          </w:tcPr>
          <w:p w14:paraId="17E0B77D" w14:textId="409103E9" w:rsidR="00405A1D" w:rsidRDefault="00405A1D" w:rsidP="00377F3A">
            <w:pPr>
              <w:pStyle w:val="TableText"/>
            </w:pPr>
            <w:r>
              <w:t>Readily biodegradable</w:t>
            </w:r>
          </w:p>
        </w:tc>
        <w:tc>
          <w:tcPr>
            <w:tcW w:w="3431" w:type="dxa"/>
            <w:tcBorders>
              <w:top w:val="nil"/>
              <w:bottom w:val="nil"/>
            </w:tcBorders>
          </w:tcPr>
          <w:p w14:paraId="22EC0709" w14:textId="164FD8A4" w:rsidR="00405A1D" w:rsidRDefault="00405A1D" w:rsidP="00377F3A">
            <w:pPr>
              <w:pStyle w:val="TableText"/>
            </w:pPr>
            <w:r>
              <w:t>No</w:t>
            </w:r>
          </w:p>
        </w:tc>
        <w:tc>
          <w:tcPr>
            <w:tcW w:w="2975" w:type="dxa"/>
            <w:tcBorders>
              <w:top w:val="nil"/>
              <w:bottom w:val="nil"/>
            </w:tcBorders>
          </w:tcPr>
          <w:p w14:paraId="53D6A8D4" w14:textId="1036BAA3" w:rsidR="00405A1D" w:rsidRPr="006F78D3" w:rsidRDefault="00405A1D" w:rsidP="00377F3A">
            <w:pPr>
              <w:pStyle w:val="TableText"/>
              <w:rPr>
                <w:lang w:val="de-CH"/>
              </w:rPr>
            </w:pPr>
            <w:r w:rsidRPr="006F78D3">
              <w:rPr>
                <w:lang w:val="de-CH"/>
              </w:rPr>
              <w:t xml:space="preserve">Desmares-Koopmans &amp; </w:t>
            </w:r>
            <w:r w:rsidRPr="00F85D43">
              <w:rPr>
                <w:lang w:val="de-CH"/>
              </w:rPr>
              <w:t>van de Waart</w:t>
            </w:r>
            <w:r w:rsidRPr="006F78D3">
              <w:rPr>
                <w:lang w:val="de-CH"/>
              </w:rPr>
              <w:t xml:space="preserve"> 2001a </w:t>
            </w:r>
          </w:p>
        </w:tc>
      </w:tr>
      <w:tr w:rsidR="00405A1D" w:rsidRPr="00136C92" w14:paraId="74BBCE76" w14:textId="77777777" w:rsidTr="00D267E9">
        <w:trPr>
          <w:cantSplit/>
        </w:trPr>
        <w:tc>
          <w:tcPr>
            <w:tcW w:w="0" w:type="auto"/>
            <w:tcBorders>
              <w:top w:val="nil"/>
              <w:left w:val="nil"/>
              <w:bottom w:val="single" w:sz="4" w:space="0" w:color="auto"/>
            </w:tcBorders>
          </w:tcPr>
          <w:p w14:paraId="4E4BB17C" w14:textId="77777777" w:rsidR="00405A1D" w:rsidRPr="006F78D3" w:rsidRDefault="00405A1D" w:rsidP="00377F3A">
            <w:pPr>
              <w:pStyle w:val="TableText"/>
              <w:rPr>
                <w:lang w:val="de-CH"/>
              </w:rPr>
            </w:pPr>
          </w:p>
        </w:tc>
        <w:tc>
          <w:tcPr>
            <w:tcW w:w="0" w:type="auto"/>
            <w:tcBorders>
              <w:top w:val="nil"/>
              <w:left w:val="nil"/>
              <w:bottom w:val="single" w:sz="4" w:space="0" w:color="auto"/>
            </w:tcBorders>
          </w:tcPr>
          <w:p w14:paraId="48E4C780" w14:textId="63EC6E37" w:rsidR="00405A1D" w:rsidRDefault="00405A1D" w:rsidP="00377F3A">
            <w:pPr>
              <w:pStyle w:val="TableText"/>
            </w:pPr>
            <w:r>
              <w:t>Inherently biodegradable</w:t>
            </w:r>
          </w:p>
        </w:tc>
        <w:tc>
          <w:tcPr>
            <w:tcW w:w="3431" w:type="dxa"/>
            <w:tcBorders>
              <w:top w:val="nil"/>
              <w:bottom w:val="single" w:sz="4" w:space="0" w:color="auto"/>
            </w:tcBorders>
          </w:tcPr>
          <w:p w14:paraId="0BC65118" w14:textId="004D1CCF" w:rsidR="00405A1D" w:rsidRDefault="00405A1D" w:rsidP="00377F3A">
            <w:pPr>
              <w:pStyle w:val="TableText"/>
            </w:pPr>
            <w:r>
              <w:t>No</w:t>
            </w:r>
          </w:p>
        </w:tc>
        <w:tc>
          <w:tcPr>
            <w:tcW w:w="2975" w:type="dxa"/>
            <w:tcBorders>
              <w:top w:val="nil"/>
              <w:bottom w:val="single" w:sz="4" w:space="0" w:color="auto"/>
            </w:tcBorders>
          </w:tcPr>
          <w:p w14:paraId="5221C628" w14:textId="2956E919" w:rsidR="00405A1D" w:rsidRPr="006F78D3" w:rsidRDefault="00405A1D" w:rsidP="00377F3A">
            <w:pPr>
              <w:pStyle w:val="TableText"/>
              <w:rPr>
                <w:lang w:val="de-CH"/>
              </w:rPr>
            </w:pPr>
            <w:r w:rsidRPr="006F78D3">
              <w:rPr>
                <w:lang w:val="de-CH"/>
              </w:rPr>
              <w:t xml:space="preserve">Desmares-Koopmans &amp; </w:t>
            </w:r>
            <w:r w:rsidRPr="00F85D43">
              <w:rPr>
                <w:lang w:val="de-CH"/>
              </w:rPr>
              <w:t>van de Waart</w:t>
            </w:r>
            <w:r w:rsidRPr="006F78D3">
              <w:rPr>
                <w:lang w:val="de-CH"/>
              </w:rPr>
              <w:t xml:space="preserve"> 2001b </w:t>
            </w:r>
          </w:p>
        </w:tc>
      </w:tr>
      <w:tr w:rsidR="00405A1D" w:rsidRPr="000B2FA7" w14:paraId="6A3F1D0D" w14:textId="77777777" w:rsidTr="00D267E9">
        <w:trPr>
          <w:cantSplit/>
        </w:trPr>
        <w:tc>
          <w:tcPr>
            <w:tcW w:w="0" w:type="auto"/>
            <w:tcBorders>
              <w:top w:val="single" w:sz="4" w:space="0" w:color="auto"/>
              <w:left w:val="nil"/>
              <w:bottom w:val="single" w:sz="4" w:space="0" w:color="auto"/>
            </w:tcBorders>
          </w:tcPr>
          <w:p w14:paraId="1EC0A0F4" w14:textId="187904F2" w:rsidR="00405A1D" w:rsidRDefault="00405A1D" w:rsidP="00377F3A">
            <w:pPr>
              <w:pStyle w:val="TableText"/>
            </w:pPr>
            <w:r>
              <w:lastRenderedPageBreak/>
              <w:t>Air</w:t>
            </w:r>
          </w:p>
        </w:tc>
        <w:tc>
          <w:tcPr>
            <w:tcW w:w="0" w:type="auto"/>
            <w:tcBorders>
              <w:top w:val="single" w:sz="4" w:space="0" w:color="auto"/>
              <w:left w:val="nil"/>
              <w:bottom w:val="single" w:sz="4" w:space="0" w:color="auto"/>
            </w:tcBorders>
          </w:tcPr>
          <w:p w14:paraId="5EEB866F" w14:textId="786CE80C" w:rsidR="00405A1D" w:rsidRDefault="00405A1D" w:rsidP="00377F3A">
            <w:pPr>
              <w:pStyle w:val="TableText"/>
            </w:pPr>
            <w:r>
              <w:t>Tropospheric degradation</w:t>
            </w:r>
          </w:p>
        </w:tc>
        <w:tc>
          <w:tcPr>
            <w:tcW w:w="3431" w:type="dxa"/>
            <w:tcBorders>
              <w:top w:val="single" w:sz="4" w:space="0" w:color="auto"/>
              <w:bottom w:val="single" w:sz="4" w:space="0" w:color="auto"/>
            </w:tcBorders>
          </w:tcPr>
          <w:p w14:paraId="050F1EFB" w14:textId="77777777" w:rsidR="00405A1D" w:rsidRDefault="00405A1D" w:rsidP="00377F3A">
            <w:pPr>
              <w:pStyle w:val="TableText"/>
            </w:pPr>
            <w:r>
              <w:t>DT</w:t>
            </w:r>
            <w:r w:rsidRPr="00642D1D">
              <w:rPr>
                <w:vertAlign w:val="subscript"/>
              </w:rPr>
              <w:t>50</w:t>
            </w:r>
            <w:r>
              <w:t xml:space="preserve"> 2.4 h (OH radical reaction)</w:t>
            </w:r>
          </w:p>
          <w:p w14:paraId="0C912958" w14:textId="30243829" w:rsidR="00405A1D" w:rsidRDefault="00405A1D" w:rsidP="00377F3A">
            <w:pPr>
              <w:pStyle w:val="TableText"/>
            </w:pPr>
            <w:r>
              <w:t>DT</w:t>
            </w:r>
            <w:r w:rsidRPr="00642D1D">
              <w:rPr>
                <w:vertAlign w:val="subscript"/>
              </w:rPr>
              <w:t>50</w:t>
            </w:r>
            <w:r>
              <w:t xml:space="preserve"> 2.0 h (ozone reaction)</w:t>
            </w:r>
          </w:p>
        </w:tc>
        <w:tc>
          <w:tcPr>
            <w:tcW w:w="2975" w:type="dxa"/>
            <w:tcBorders>
              <w:top w:val="single" w:sz="4" w:space="0" w:color="auto"/>
              <w:bottom w:val="single" w:sz="4" w:space="0" w:color="auto"/>
            </w:tcBorders>
          </w:tcPr>
          <w:p w14:paraId="37EBC05A" w14:textId="788B407A" w:rsidR="00405A1D" w:rsidRDefault="00405A1D" w:rsidP="00377F3A">
            <w:pPr>
              <w:pStyle w:val="TableText"/>
            </w:pPr>
            <w:r>
              <w:t>Hellpointner 2004</w:t>
            </w:r>
          </w:p>
        </w:tc>
      </w:tr>
      <w:tr w:rsidR="00D267E9" w:rsidRPr="000B2FA7" w14:paraId="3296A572" w14:textId="77777777" w:rsidTr="00D267E9">
        <w:trPr>
          <w:cantSplit/>
        </w:trPr>
        <w:tc>
          <w:tcPr>
            <w:tcW w:w="0" w:type="auto"/>
            <w:tcBorders>
              <w:top w:val="single" w:sz="4" w:space="0" w:color="auto"/>
              <w:left w:val="nil"/>
              <w:bottom w:val="nil"/>
            </w:tcBorders>
          </w:tcPr>
          <w:p w14:paraId="283FBC65" w14:textId="794DD11B" w:rsidR="00D267E9" w:rsidRDefault="00D267E9" w:rsidP="00377F3A">
            <w:pPr>
              <w:pStyle w:val="TableText"/>
            </w:pPr>
            <w:r>
              <w:t>Biota</w:t>
            </w:r>
          </w:p>
        </w:tc>
        <w:tc>
          <w:tcPr>
            <w:tcW w:w="0" w:type="auto"/>
            <w:tcBorders>
              <w:top w:val="single" w:sz="4" w:space="0" w:color="auto"/>
              <w:left w:val="nil"/>
              <w:bottom w:val="nil"/>
            </w:tcBorders>
          </w:tcPr>
          <w:p w14:paraId="302B483B" w14:textId="167E68D5" w:rsidR="00D267E9" w:rsidRPr="00025A81" w:rsidRDefault="00025A81" w:rsidP="00377F3A">
            <w:pPr>
              <w:pStyle w:val="TableText"/>
            </w:pPr>
            <w:r w:rsidRPr="00025A81">
              <w:t>Rat</w:t>
            </w:r>
          </w:p>
        </w:tc>
        <w:tc>
          <w:tcPr>
            <w:tcW w:w="3431" w:type="dxa"/>
            <w:tcBorders>
              <w:top w:val="single" w:sz="4" w:space="0" w:color="auto"/>
              <w:bottom w:val="nil"/>
            </w:tcBorders>
          </w:tcPr>
          <w:p w14:paraId="1C95D1AF" w14:textId="77777777" w:rsidR="00D267E9" w:rsidRDefault="00D267E9" w:rsidP="00377F3A">
            <w:pPr>
              <w:pStyle w:val="TableText"/>
            </w:pPr>
            <w:r>
              <w:t>75-86% oral absorption</w:t>
            </w:r>
          </w:p>
          <w:p w14:paraId="077EDB99" w14:textId="3A99E597" w:rsidR="00D267E9" w:rsidRDefault="00D267E9" w:rsidP="00377F3A">
            <w:pPr>
              <w:pStyle w:val="TableText"/>
            </w:pPr>
            <w:r>
              <w:t>42-49% elimination after 7d</w:t>
            </w:r>
          </w:p>
        </w:tc>
        <w:tc>
          <w:tcPr>
            <w:tcW w:w="2975" w:type="dxa"/>
            <w:tcBorders>
              <w:top w:val="single" w:sz="4" w:space="0" w:color="auto"/>
              <w:bottom w:val="nil"/>
            </w:tcBorders>
          </w:tcPr>
          <w:p w14:paraId="28BB4018" w14:textId="3D09A27B" w:rsidR="00D267E9" w:rsidRDefault="00D267E9" w:rsidP="00377F3A">
            <w:pPr>
              <w:pStyle w:val="TableText"/>
            </w:pPr>
            <w:r>
              <w:t>Anderson 1999b</w:t>
            </w:r>
          </w:p>
        </w:tc>
      </w:tr>
      <w:tr w:rsidR="00D267E9" w:rsidRPr="000B2FA7" w14:paraId="0FB9DF06" w14:textId="77777777" w:rsidTr="00D267E9">
        <w:trPr>
          <w:cantSplit/>
        </w:trPr>
        <w:tc>
          <w:tcPr>
            <w:tcW w:w="0" w:type="auto"/>
            <w:tcBorders>
              <w:top w:val="nil"/>
              <w:left w:val="nil"/>
              <w:bottom w:val="nil"/>
            </w:tcBorders>
          </w:tcPr>
          <w:p w14:paraId="15435B2D" w14:textId="77777777" w:rsidR="00D267E9" w:rsidRDefault="00D267E9" w:rsidP="00377F3A">
            <w:pPr>
              <w:pStyle w:val="TableText"/>
            </w:pPr>
          </w:p>
        </w:tc>
        <w:tc>
          <w:tcPr>
            <w:tcW w:w="0" w:type="auto"/>
            <w:tcBorders>
              <w:top w:val="nil"/>
              <w:left w:val="nil"/>
              <w:bottom w:val="nil"/>
            </w:tcBorders>
          </w:tcPr>
          <w:p w14:paraId="540D8385" w14:textId="77777777" w:rsidR="00D267E9" w:rsidRPr="00025A81" w:rsidRDefault="00D267E9" w:rsidP="00377F3A">
            <w:pPr>
              <w:pStyle w:val="TableText"/>
            </w:pPr>
          </w:p>
        </w:tc>
        <w:tc>
          <w:tcPr>
            <w:tcW w:w="3431" w:type="dxa"/>
            <w:tcBorders>
              <w:top w:val="nil"/>
              <w:bottom w:val="nil"/>
            </w:tcBorders>
          </w:tcPr>
          <w:p w14:paraId="257B6BAC" w14:textId="68ADA93E" w:rsidR="00D267E9" w:rsidRDefault="00D267E9" w:rsidP="00377F3A">
            <w:pPr>
              <w:pStyle w:val="TableText"/>
            </w:pPr>
            <w:r>
              <w:t>Liver DT</w:t>
            </w:r>
            <w:r w:rsidRPr="00F855FB">
              <w:rPr>
                <w:vertAlign w:val="subscript"/>
              </w:rPr>
              <w:t>50</w:t>
            </w:r>
            <w:r>
              <w:t xml:space="preserve"> 55 d</w:t>
            </w:r>
          </w:p>
        </w:tc>
        <w:tc>
          <w:tcPr>
            <w:tcW w:w="2975" w:type="dxa"/>
            <w:tcBorders>
              <w:top w:val="nil"/>
              <w:bottom w:val="nil"/>
            </w:tcBorders>
          </w:tcPr>
          <w:p w14:paraId="0ADE5D9C" w14:textId="233E74A9" w:rsidR="00D267E9" w:rsidRDefault="00D267E9" w:rsidP="00377F3A">
            <w:pPr>
              <w:pStyle w:val="TableText"/>
            </w:pPr>
            <w:r>
              <w:t xml:space="preserve">Parmar </w:t>
            </w:r>
            <w:r w:rsidR="00B7183A" w:rsidRPr="00B7183A">
              <w:rPr>
                <w:i/>
                <w:iCs/>
              </w:rPr>
              <w:t>et al</w:t>
            </w:r>
            <w:r>
              <w:t>. 1987</w:t>
            </w:r>
          </w:p>
        </w:tc>
      </w:tr>
      <w:tr w:rsidR="00D267E9" w:rsidRPr="000B2FA7" w14:paraId="56CD064C" w14:textId="77777777" w:rsidTr="00D267E9">
        <w:trPr>
          <w:cantSplit/>
        </w:trPr>
        <w:tc>
          <w:tcPr>
            <w:tcW w:w="0" w:type="auto"/>
            <w:tcBorders>
              <w:top w:val="nil"/>
              <w:left w:val="nil"/>
              <w:bottom w:val="nil"/>
            </w:tcBorders>
          </w:tcPr>
          <w:p w14:paraId="7CF5EEBF" w14:textId="77777777" w:rsidR="00D267E9" w:rsidRDefault="00D267E9" w:rsidP="00377F3A">
            <w:pPr>
              <w:pStyle w:val="TableText"/>
            </w:pPr>
          </w:p>
        </w:tc>
        <w:tc>
          <w:tcPr>
            <w:tcW w:w="0" w:type="auto"/>
            <w:tcBorders>
              <w:top w:val="nil"/>
              <w:left w:val="nil"/>
              <w:bottom w:val="nil"/>
            </w:tcBorders>
          </w:tcPr>
          <w:p w14:paraId="01D51A04" w14:textId="1D483856" w:rsidR="00D267E9" w:rsidRPr="00025A81" w:rsidRDefault="00025A81" w:rsidP="00377F3A">
            <w:pPr>
              <w:pStyle w:val="TableText"/>
            </w:pPr>
            <w:r w:rsidRPr="00025A81">
              <w:t>Mouse</w:t>
            </w:r>
          </w:p>
        </w:tc>
        <w:tc>
          <w:tcPr>
            <w:tcW w:w="3431" w:type="dxa"/>
            <w:tcBorders>
              <w:top w:val="nil"/>
              <w:bottom w:val="nil"/>
            </w:tcBorders>
          </w:tcPr>
          <w:p w14:paraId="6753AC0B" w14:textId="0A61EC74" w:rsidR="00D267E9" w:rsidRDefault="00D267E9" w:rsidP="00377F3A">
            <w:pPr>
              <w:pStyle w:val="TableText"/>
            </w:pPr>
            <w:r>
              <w:t>Liver DT</w:t>
            </w:r>
            <w:r w:rsidRPr="00F855FB">
              <w:rPr>
                <w:vertAlign w:val="subscript"/>
              </w:rPr>
              <w:t>50</w:t>
            </w:r>
            <w:r>
              <w:t xml:space="preserve"> 16 d</w:t>
            </w:r>
          </w:p>
        </w:tc>
        <w:tc>
          <w:tcPr>
            <w:tcW w:w="2975" w:type="dxa"/>
            <w:tcBorders>
              <w:top w:val="nil"/>
              <w:bottom w:val="nil"/>
            </w:tcBorders>
          </w:tcPr>
          <w:p w14:paraId="0FFC22BA" w14:textId="4BC6A479" w:rsidR="00D267E9" w:rsidRDefault="00D267E9" w:rsidP="00377F3A">
            <w:pPr>
              <w:pStyle w:val="TableText"/>
            </w:pPr>
            <w:r>
              <w:t xml:space="preserve">Vandenbroucke </w:t>
            </w:r>
            <w:r w:rsidR="00B7183A" w:rsidRPr="00B7183A">
              <w:rPr>
                <w:i/>
                <w:iCs/>
              </w:rPr>
              <w:t>et al</w:t>
            </w:r>
            <w:r>
              <w:t>. 2008</w:t>
            </w:r>
          </w:p>
        </w:tc>
      </w:tr>
      <w:tr w:rsidR="00D267E9" w:rsidRPr="000B2FA7" w14:paraId="1756C468" w14:textId="77777777" w:rsidTr="00025A81">
        <w:trPr>
          <w:cantSplit/>
        </w:trPr>
        <w:tc>
          <w:tcPr>
            <w:tcW w:w="0" w:type="auto"/>
            <w:tcBorders>
              <w:top w:val="nil"/>
              <w:left w:val="nil"/>
              <w:bottom w:val="nil"/>
            </w:tcBorders>
          </w:tcPr>
          <w:p w14:paraId="4AAAE4BB" w14:textId="77777777" w:rsidR="00D267E9" w:rsidRDefault="00D267E9" w:rsidP="00377F3A">
            <w:pPr>
              <w:pStyle w:val="TableText"/>
            </w:pPr>
          </w:p>
        </w:tc>
        <w:tc>
          <w:tcPr>
            <w:tcW w:w="0" w:type="auto"/>
            <w:tcBorders>
              <w:top w:val="nil"/>
              <w:left w:val="nil"/>
              <w:bottom w:val="nil"/>
            </w:tcBorders>
          </w:tcPr>
          <w:p w14:paraId="1915B007" w14:textId="692F24F7" w:rsidR="00D267E9" w:rsidRPr="00025A81" w:rsidRDefault="00025A81" w:rsidP="00377F3A">
            <w:pPr>
              <w:pStyle w:val="TableText"/>
            </w:pPr>
            <w:r w:rsidRPr="00025A81">
              <w:t>Red deer</w:t>
            </w:r>
          </w:p>
        </w:tc>
        <w:tc>
          <w:tcPr>
            <w:tcW w:w="3431" w:type="dxa"/>
            <w:tcBorders>
              <w:top w:val="nil"/>
              <w:bottom w:val="nil"/>
            </w:tcBorders>
          </w:tcPr>
          <w:p w14:paraId="700ECB11" w14:textId="475A3AE1" w:rsidR="00D267E9" w:rsidRDefault="00D267E9" w:rsidP="00377F3A">
            <w:pPr>
              <w:pStyle w:val="TableText"/>
            </w:pPr>
            <w:r>
              <w:t>Liver DT</w:t>
            </w:r>
            <w:r w:rsidRPr="00F855FB">
              <w:rPr>
                <w:vertAlign w:val="subscript"/>
              </w:rPr>
              <w:t>50</w:t>
            </w:r>
            <w:r>
              <w:t xml:space="preserve"> 19 d</w:t>
            </w:r>
          </w:p>
        </w:tc>
        <w:tc>
          <w:tcPr>
            <w:tcW w:w="2975" w:type="dxa"/>
            <w:tcBorders>
              <w:top w:val="nil"/>
              <w:bottom w:val="nil"/>
            </w:tcBorders>
          </w:tcPr>
          <w:p w14:paraId="029132CE" w14:textId="1EA0A1A2" w:rsidR="00D267E9" w:rsidRDefault="00D267E9" w:rsidP="00377F3A">
            <w:pPr>
              <w:pStyle w:val="TableText"/>
            </w:pPr>
            <w:r>
              <w:t xml:space="preserve">Crowell </w:t>
            </w:r>
            <w:r w:rsidR="00B7183A" w:rsidRPr="00B7183A">
              <w:rPr>
                <w:i/>
                <w:iCs/>
              </w:rPr>
              <w:t>et al</w:t>
            </w:r>
            <w:r>
              <w:t>. 2013</w:t>
            </w:r>
          </w:p>
        </w:tc>
      </w:tr>
      <w:tr w:rsidR="00025A81" w:rsidRPr="000B2FA7" w14:paraId="3BE025F3" w14:textId="77777777" w:rsidTr="00D267E9">
        <w:trPr>
          <w:cantSplit/>
        </w:trPr>
        <w:tc>
          <w:tcPr>
            <w:tcW w:w="0" w:type="auto"/>
            <w:tcBorders>
              <w:top w:val="nil"/>
              <w:left w:val="nil"/>
              <w:bottom w:val="single" w:sz="4" w:space="0" w:color="auto"/>
            </w:tcBorders>
          </w:tcPr>
          <w:p w14:paraId="76F3D11E" w14:textId="77777777" w:rsidR="00025A81" w:rsidRDefault="00025A81" w:rsidP="00377F3A">
            <w:pPr>
              <w:pStyle w:val="TableText"/>
            </w:pPr>
          </w:p>
        </w:tc>
        <w:tc>
          <w:tcPr>
            <w:tcW w:w="0" w:type="auto"/>
            <w:tcBorders>
              <w:top w:val="nil"/>
              <w:left w:val="nil"/>
              <w:bottom w:val="single" w:sz="4" w:space="0" w:color="auto"/>
            </w:tcBorders>
          </w:tcPr>
          <w:p w14:paraId="02AA5CE5" w14:textId="4BE6A0C7" w:rsidR="00025A81" w:rsidRPr="00025A81" w:rsidRDefault="004A0055" w:rsidP="00377F3A">
            <w:pPr>
              <w:pStyle w:val="TableText"/>
            </w:pPr>
            <w:r>
              <w:t>Fish</w:t>
            </w:r>
          </w:p>
        </w:tc>
        <w:tc>
          <w:tcPr>
            <w:tcW w:w="3431" w:type="dxa"/>
            <w:tcBorders>
              <w:top w:val="nil"/>
              <w:bottom w:val="single" w:sz="4" w:space="0" w:color="auto"/>
            </w:tcBorders>
          </w:tcPr>
          <w:p w14:paraId="5CBA6D5E" w14:textId="0024BB4A" w:rsidR="00025A81" w:rsidRDefault="00025A81" w:rsidP="00377F3A">
            <w:pPr>
              <w:pStyle w:val="TableText"/>
            </w:pPr>
            <w:r>
              <w:t>BCF 11, CT</w:t>
            </w:r>
            <w:r w:rsidRPr="00025A81">
              <w:rPr>
                <w:vertAlign w:val="subscript"/>
              </w:rPr>
              <w:t>50</w:t>
            </w:r>
            <w:r>
              <w:t xml:space="preserve"> ~15 h</w:t>
            </w:r>
          </w:p>
        </w:tc>
        <w:tc>
          <w:tcPr>
            <w:tcW w:w="2975" w:type="dxa"/>
            <w:tcBorders>
              <w:top w:val="nil"/>
              <w:bottom w:val="single" w:sz="4" w:space="0" w:color="auto"/>
            </w:tcBorders>
          </w:tcPr>
          <w:p w14:paraId="7702A77C" w14:textId="791398FB" w:rsidR="00025A81" w:rsidRDefault="00025A81" w:rsidP="00377F3A">
            <w:pPr>
              <w:pStyle w:val="TableText"/>
            </w:pPr>
            <w:r>
              <w:t>Grau 1992c</w:t>
            </w:r>
          </w:p>
        </w:tc>
      </w:tr>
    </w:tbl>
    <w:p w14:paraId="21AF1A3C" w14:textId="11682594" w:rsidR="00A12A97" w:rsidRPr="00122CA9" w:rsidRDefault="00850971" w:rsidP="00377F3A">
      <w:pPr>
        <w:pStyle w:val="Caption"/>
      </w:pPr>
      <w:bookmarkStart w:id="1954" w:name="_Toc213946058"/>
      <w:bookmarkStart w:id="1955" w:name="_Toc216695749"/>
      <w:bookmarkEnd w:id="1953"/>
      <w:r>
        <w:t xml:space="preserve">Table </w:t>
      </w:r>
      <w:r>
        <w:fldChar w:fldCharType="begin"/>
      </w:r>
      <w:r>
        <w:instrText xml:space="preserve"> SEQ Table \* ARABIC </w:instrText>
      </w:r>
      <w:r>
        <w:fldChar w:fldCharType="separate"/>
      </w:r>
      <w:r w:rsidR="003861AC">
        <w:rPr>
          <w:noProof/>
        </w:rPr>
        <w:t>87</w:t>
      </w:r>
      <w:r>
        <w:fldChar w:fldCharType="end"/>
      </w:r>
      <w:r>
        <w:t xml:space="preserve">: </w:t>
      </w:r>
      <w:r w:rsidR="00405A1D">
        <w:t xml:space="preserve">Coumatetralyl – </w:t>
      </w:r>
      <w:r w:rsidR="006A5695">
        <w:t>Residues m</w:t>
      </w:r>
      <w:r w:rsidR="00A12A97">
        <w:t>onitoring data</w:t>
      </w:r>
      <w:bookmarkEnd w:id="1954"/>
      <w:bookmarkEnd w:id="1955"/>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58"/>
        <w:gridCol w:w="914"/>
        <w:gridCol w:w="6071"/>
        <w:gridCol w:w="1347"/>
      </w:tblGrid>
      <w:tr w:rsidR="0071004A" w:rsidRPr="003B5A86" w14:paraId="6E6B6C81" w14:textId="77777777" w:rsidTr="0017134F">
        <w:trPr>
          <w:cantSplit/>
          <w:tblHeader/>
        </w:trPr>
        <w:tc>
          <w:tcPr>
            <w:tcW w:w="0" w:type="auto"/>
            <w:tcBorders>
              <w:bottom w:val="single" w:sz="4" w:space="0" w:color="auto"/>
            </w:tcBorders>
            <w:shd w:val="clear" w:color="auto" w:fill="53284F"/>
          </w:tcPr>
          <w:p w14:paraId="4D4753EC" w14:textId="77777777" w:rsidR="0071004A" w:rsidRPr="0071004A" w:rsidRDefault="0071004A"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446B6A6A" w14:textId="77777777" w:rsidR="0071004A" w:rsidRPr="0071004A" w:rsidRDefault="0071004A"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67DE2AA3" w14:textId="7AD6D7D5" w:rsidR="0071004A" w:rsidRPr="0071004A" w:rsidRDefault="00D267E9" w:rsidP="00377F3A">
            <w:pPr>
              <w:pStyle w:val="TableHead"/>
              <w:rPr>
                <w:lang w:eastAsia="en-AU"/>
              </w:rPr>
            </w:pPr>
            <w:r>
              <w:rPr>
                <w:lang w:eastAsia="en-AU"/>
              </w:rPr>
              <w:t>Result</w:t>
            </w:r>
          </w:p>
        </w:tc>
        <w:tc>
          <w:tcPr>
            <w:tcW w:w="0" w:type="auto"/>
            <w:tcBorders>
              <w:bottom w:val="single" w:sz="4" w:space="0" w:color="auto"/>
            </w:tcBorders>
            <w:shd w:val="clear" w:color="auto" w:fill="53284F"/>
          </w:tcPr>
          <w:p w14:paraId="5116B004" w14:textId="77777777" w:rsidR="0071004A" w:rsidRPr="0071004A" w:rsidRDefault="0071004A" w:rsidP="00377F3A">
            <w:pPr>
              <w:pStyle w:val="TableHead"/>
              <w:rPr>
                <w:lang w:eastAsia="en-AU"/>
              </w:rPr>
            </w:pPr>
            <w:r w:rsidRPr="0071004A">
              <w:rPr>
                <w:lang w:eastAsia="en-AU"/>
              </w:rPr>
              <w:t>Reference</w:t>
            </w:r>
          </w:p>
        </w:tc>
      </w:tr>
      <w:tr w:rsidR="0071004A" w:rsidRPr="003B5A86" w14:paraId="4525A7E1" w14:textId="77777777" w:rsidTr="004A0055">
        <w:trPr>
          <w:cantSplit/>
        </w:trPr>
        <w:tc>
          <w:tcPr>
            <w:tcW w:w="0" w:type="auto"/>
            <w:tcBorders>
              <w:top w:val="single" w:sz="4" w:space="0" w:color="auto"/>
              <w:left w:val="nil"/>
              <w:bottom w:val="single" w:sz="4" w:space="0" w:color="auto"/>
              <w:right w:val="nil"/>
            </w:tcBorders>
          </w:tcPr>
          <w:p w14:paraId="2F617035" w14:textId="77777777" w:rsidR="0071004A" w:rsidRPr="00E673EB" w:rsidRDefault="0071004A"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481A6B22"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388CD4F0" w14:textId="77777777" w:rsidR="0071004A" w:rsidRPr="00E673EB" w:rsidRDefault="0071004A" w:rsidP="00377F3A">
            <w:pPr>
              <w:pStyle w:val="TableText"/>
            </w:pPr>
            <w:r w:rsidRPr="00E673EB">
              <w:t>&lt;LOQ (0.2 µg/kg) in suspended particulate matter at 16 sampling locations in German rivers in 2015</w:t>
            </w:r>
          </w:p>
        </w:tc>
        <w:tc>
          <w:tcPr>
            <w:tcW w:w="0" w:type="auto"/>
            <w:tcBorders>
              <w:top w:val="single" w:sz="4" w:space="0" w:color="auto"/>
              <w:left w:val="nil"/>
              <w:bottom w:val="single" w:sz="4" w:space="0" w:color="auto"/>
              <w:right w:val="nil"/>
            </w:tcBorders>
          </w:tcPr>
          <w:p w14:paraId="0DD1D002" w14:textId="4C61207A"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3A498E22" w14:textId="77777777" w:rsidTr="004A0055">
        <w:trPr>
          <w:cantSplit/>
          <w:trHeight w:val="13"/>
        </w:trPr>
        <w:tc>
          <w:tcPr>
            <w:tcW w:w="0" w:type="auto"/>
            <w:tcBorders>
              <w:top w:val="single" w:sz="4" w:space="0" w:color="auto"/>
              <w:left w:val="nil"/>
              <w:bottom w:val="nil"/>
              <w:right w:val="nil"/>
            </w:tcBorders>
          </w:tcPr>
          <w:p w14:paraId="157FDF28" w14:textId="77777777" w:rsidR="0071004A" w:rsidRPr="00E673EB" w:rsidRDefault="0071004A" w:rsidP="00377F3A">
            <w:pPr>
              <w:pStyle w:val="TableText"/>
              <w:rPr>
                <w:lang w:eastAsia="en-AU"/>
              </w:rPr>
            </w:pPr>
            <w:r w:rsidRPr="00E673EB">
              <w:rPr>
                <w:lang w:eastAsia="en-AU"/>
              </w:rPr>
              <w:t>Target rodents</w:t>
            </w:r>
          </w:p>
        </w:tc>
        <w:tc>
          <w:tcPr>
            <w:tcW w:w="0" w:type="auto"/>
            <w:tcBorders>
              <w:top w:val="single" w:sz="4" w:space="0" w:color="auto"/>
              <w:left w:val="nil"/>
              <w:bottom w:val="nil"/>
              <w:right w:val="nil"/>
            </w:tcBorders>
          </w:tcPr>
          <w:p w14:paraId="65A0ACB0"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600DCDC0" w14:textId="77777777" w:rsidR="0071004A" w:rsidRPr="00E673EB" w:rsidRDefault="0071004A" w:rsidP="00377F3A">
            <w:pPr>
              <w:pStyle w:val="TableText"/>
              <w:rPr>
                <w:u w:val="single"/>
              </w:rPr>
            </w:pPr>
            <w:r w:rsidRPr="00E673EB">
              <w:t>Max liver residues 25000 µg/kg in canefield rat and 560 µg/kg in climbing rat following 375 mg/kg paste treatment at two sites in North Qld sugarcane</w:t>
            </w:r>
          </w:p>
        </w:tc>
        <w:tc>
          <w:tcPr>
            <w:tcW w:w="0" w:type="auto"/>
            <w:tcBorders>
              <w:top w:val="single" w:sz="4" w:space="0" w:color="auto"/>
              <w:left w:val="nil"/>
              <w:bottom w:val="nil"/>
              <w:right w:val="nil"/>
            </w:tcBorders>
          </w:tcPr>
          <w:p w14:paraId="0C9B3B96" w14:textId="77777777" w:rsidR="0071004A" w:rsidRPr="00E673EB" w:rsidRDefault="0071004A" w:rsidP="00377F3A">
            <w:pPr>
              <w:pStyle w:val="TableText"/>
            </w:pPr>
            <w:r w:rsidRPr="00E673EB">
              <w:t>Brodie &amp; Dyer 2002a</w:t>
            </w:r>
          </w:p>
        </w:tc>
      </w:tr>
      <w:tr w:rsidR="0071004A" w:rsidRPr="003B5A86" w14:paraId="275B1DC1" w14:textId="77777777" w:rsidTr="004A0055">
        <w:trPr>
          <w:cantSplit/>
          <w:trHeight w:val="13"/>
        </w:trPr>
        <w:tc>
          <w:tcPr>
            <w:tcW w:w="0" w:type="auto"/>
            <w:tcBorders>
              <w:top w:val="nil"/>
              <w:left w:val="nil"/>
              <w:bottom w:val="single" w:sz="4" w:space="0" w:color="auto"/>
              <w:right w:val="nil"/>
            </w:tcBorders>
          </w:tcPr>
          <w:p w14:paraId="1D15FD3E"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FA1044B"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0F2EAA1C" w14:textId="77777777" w:rsidR="0071004A" w:rsidRPr="00E673EB" w:rsidRDefault="0071004A" w:rsidP="00377F3A">
            <w:pPr>
              <w:pStyle w:val="TableText"/>
              <w:rPr>
                <w:u w:val="single"/>
              </w:rPr>
            </w:pPr>
            <w:r w:rsidRPr="00E673EB">
              <w:t>Max liver residues 17000 µg/kg in canefield rat and 1000 µg/kg in climbing rat following 375 mg/kg wax block treatment at two sites in North Qld sugarcane</w:t>
            </w:r>
          </w:p>
        </w:tc>
        <w:tc>
          <w:tcPr>
            <w:tcW w:w="0" w:type="auto"/>
            <w:tcBorders>
              <w:top w:val="nil"/>
              <w:left w:val="nil"/>
              <w:bottom w:val="single" w:sz="4" w:space="0" w:color="auto"/>
              <w:right w:val="nil"/>
            </w:tcBorders>
          </w:tcPr>
          <w:p w14:paraId="0C40A734" w14:textId="77777777" w:rsidR="0071004A" w:rsidRPr="00E673EB" w:rsidRDefault="0071004A" w:rsidP="00377F3A">
            <w:pPr>
              <w:pStyle w:val="TableText"/>
            </w:pPr>
            <w:r w:rsidRPr="00E673EB">
              <w:t>Brodie &amp; Dyer 2002b</w:t>
            </w:r>
          </w:p>
        </w:tc>
      </w:tr>
      <w:tr w:rsidR="0071004A" w:rsidRPr="003B5A86" w14:paraId="6A7B24C7" w14:textId="77777777" w:rsidTr="004A0055">
        <w:trPr>
          <w:cantSplit/>
          <w:trHeight w:val="13"/>
        </w:trPr>
        <w:tc>
          <w:tcPr>
            <w:tcW w:w="0" w:type="auto"/>
            <w:vMerge w:val="restart"/>
            <w:tcBorders>
              <w:top w:val="single" w:sz="4" w:space="0" w:color="auto"/>
              <w:left w:val="nil"/>
              <w:bottom w:val="nil"/>
              <w:right w:val="nil"/>
            </w:tcBorders>
          </w:tcPr>
          <w:p w14:paraId="7872509F" w14:textId="77777777" w:rsidR="0071004A" w:rsidRPr="00E673EB" w:rsidRDefault="0071004A"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548BEB28"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16C94011" w14:textId="77777777" w:rsidR="0071004A" w:rsidRPr="00E673EB" w:rsidRDefault="0071004A" w:rsidP="00377F3A">
            <w:pPr>
              <w:pStyle w:val="TableText"/>
            </w:pPr>
            <w:r w:rsidRPr="00E673EB">
              <w:t>Max liver residues 290 µg/kg in northern brown bandicoot following 375 mg/kg paste treatment at two sites in North Qld sugarcane</w:t>
            </w:r>
          </w:p>
        </w:tc>
        <w:tc>
          <w:tcPr>
            <w:tcW w:w="0" w:type="auto"/>
            <w:tcBorders>
              <w:top w:val="single" w:sz="4" w:space="0" w:color="auto"/>
              <w:left w:val="nil"/>
              <w:bottom w:val="nil"/>
              <w:right w:val="nil"/>
            </w:tcBorders>
          </w:tcPr>
          <w:p w14:paraId="41AB7A2F" w14:textId="77777777" w:rsidR="0071004A" w:rsidRPr="00E673EB" w:rsidRDefault="0071004A" w:rsidP="00377F3A">
            <w:pPr>
              <w:pStyle w:val="TableText"/>
            </w:pPr>
            <w:r w:rsidRPr="00E673EB">
              <w:t>Brodie &amp; Dyer 2002a</w:t>
            </w:r>
          </w:p>
        </w:tc>
      </w:tr>
      <w:tr w:rsidR="0071004A" w:rsidRPr="003B5A86" w14:paraId="546DDFB8" w14:textId="77777777" w:rsidTr="004A0055">
        <w:trPr>
          <w:cantSplit/>
          <w:trHeight w:val="13"/>
        </w:trPr>
        <w:tc>
          <w:tcPr>
            <w:tcW w:w="0" w:type="auto"/>
            <w:vMerge/>
            <w:tcBorders>
              <w:top w:val="nil"/>
              <w:left w:val="nil"/>
              <w:bottom w:val="nil"/>
              <w:right w:val="nil"/>
            </w:tcBorders>
          </w:tcPr>
          <w:p w14:paraId="3423531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A364D1A" w14:textId="77777777" w:rsidR="0071004A" w:rsidRPr="00E673EB" w:rsidRDefault="0071004A" w:rsidP="00377F3A">
            <w:pPr>
              <w:pStyle w:val="TableText"/>
            </w:pPr>
          </w:p>
        </w:tc>
        <w:tc>
          <w:tcPr>
            <w:tcW w:w="0" w:type="auto"/>
            <w:tcBorders>
              <w:top w:val="nil"/>
              <w:left w:val="nil"/>
              <w:bottom w:val="nil"/>
              <w:right w:val="nil"/>
            </w:tcBorders>
          </w:tcPr>
          <w:p w14:paraId="2038B271" w14:textId="77777777" w:rsidR="0071004A" w:rsidRPr="00E673EB" w:rsidRDefault="0071004A" w:rsidP="00377F3A">
            <w:pPr>
              <w:pStyle w:val="TableText"/>
            </w:pPr>
            <w:r w:rsidRPr="00E673EB">
              <w:t>Max liver residues 220 µg/kg in northern brown bandicoot following 375 mg/kg wax block treatment at two sites in North Qld sugarcane</w:t>
            </w:r>
          </w:p>
        </w:tc>
        <w:tc>
          <w:tcPr>
            <w:tcW w:w="0" w:type="auto"/>
            <w:tcBorders>
              <w:top w:val="nil"/>
              <w:left w:val="nil"/>
              <w:bottom w:val="nil"/>
              <w:right w:val="nil"/>
            </w:tcBorders>
          </w:tcPr>
          <w:p w14:paraId="3A226448" w14:textId="77777777" w:rsidR="0071004A" w:rsidRPr="00E673EB" w:rsidRDefault="0071004A" w:rsidP="00377F3A">
            <w:pPr>
              <w:pStyle w:val="TableText"/>
            </w:pPr>
            <w:r w:rsidRPr="00E673EB">
              <w:t>Brodie &amp; Dyer 2002b</w:t>
            </w:r>
          </w:p>
        </w:tc>
      </w:tr>
      <w:tr w:rsidR="0071004A" w:rsidRPr="003B5A86" w14:paraId="09473E1C" w14:textId="77777777" w:rsidTr="004A0055">
        <w:trPr>
          <w:cantSplit/>
          <w:trHeight w:val="13"/>
        </w:trPr>
        <w:tc>
          <w:tcPr>
            <w:tcW w:w="0" w:type="auto"/>
            <w:tcBorders>
              <w:top w:val="nil"/>
              <w:left w:val="nil"/>
              <w:bottom w:val="nil"/>
              <w:right w:val="nil"/>
            </w:tcBorders>
          </w:tcPr>
          <w:p w14:paraId="4166828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4A9C9E3" w14:textId="77777777" w:rsidR="0071004A" w:rsidRPr="00E673EB" w:rsidRDefault="0071004A" w:rsidP="00377F3A">
            <w:pPr>
              <w:pStyle w:val="TableText"/>
            </w:pPr>
          </w:p>
        </w:tc>
        <w:tc>
          <w:tcPr>
            <w:tcW w:w="0" w:type="auto"/>
            <w:tcBorders>
              <w:top w:val="nil"/>
              <w:left w:val="nil"/>
              <w:bottom w:val="nil"/>
              <w:right w:val="nil"/>
            </w:tcBorders>
          </w:tcPr>
          <w:p w14:paraId="50B2CB53" w14:textId="77777777" w:rsidR="0071004A" w:rsidRPr="00E673EB" w:rsidRDefault="0071004A" w:rsidP="00377F3A">
            <w:pPr>
              <w:pStyle w:val="TableText"/>
            </w:pPr>
            <w:r w:rsidRPr="00E673EB">
              <w:t>Not detected in brushtail possum in rural &amp; urban areas across Australia between 2006 and 2021</w:t>
            </w:r>
          </w:p>
        </w:tc>
        <w:tc>
          <w:tcPr>
            <w:tcW w:w="0" w:type="auto"/>
            <w:tcBorders>
              <w:top w:val="nil"/>
              <w:left w:val="nil"/>
              <w:bottom w:val="nil"/>
              <w:right w:val="nil"/>
            </w:tcBorders>
          </w:tcPr>
          <w:p w14:paraId="762F2264" w14:textId="77777777" w:rsidR="0071004A" w:rsidRPr="00E673EB" w:rsidRDefault="0071004A" w:rsidP="00377F3A">
            <w:pPr>
              <w:pStyle w:val="TableText"/>
            </w:pPr>
            <w:r w:rsidRPr="00E673EB">
              <w:t>WHA 2022</w:t>
            </w:r>
          </w:p>
        </w:tc>
      </w:tr>
      <w:tr w:rsidR="0071004A" w:rsidRPr="003B5A86" w14:paraId="6ABA8C14" w14:textId="77777777" w:rsidTr="004A0055">
        <w:trPr>
          <w:cantSplit/>
          <w:trHeight w:val="13"/>
        </w:trPr>
        <w:tc>
          <w:tcPr>
            <w:tcW w:w="0" w:type="auto"/>
            <w:tcBorders>
              <w:top w:val="nil"/>
              <w:left w:val="nil"/>
              <w:bottom w:val="nil"/>
              <w:right w:val="nil"/>
            </w:tcBorders>
          </w:tcPr>
          <w:p w14:paraId="1389ED2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D5C740C" w14:textId="77777777" w:rsidR="0071004A" w:rsidRPr="00E673EB" w:rsidRDefault="0071004A" w:rsidP="00377F3A">
            <w:pPr>
              <w:pStyle w:val="TableText"/>
            </w:pPr>
          </w:p>
        </w:tc>
        <w:tc>
          <w:tcPr>
            <w:tcW w:w="0" w:type="auto"/>
            <w:tcBorders>
              <w:top w:val="nil"/>
              <w:left w:val="nil"/>
              <w:bottom w:val="nil"/>
              <w:right w:val="nil"/>
            </w:tcBorders>
          </w:tcPr>
          <w:p w14:paraId="4EDCB9A3" w14:textId="77777777" w:rsidR="0071004A" w:rsidRPr="00E673EB" w:rsidRDefault="0071004A" w:rsidP="00377F3A">
            <w:pPr>
              <w:pStyle w:val="TableText"/>
            </w:pPr>
            <w:r w:rsidRPr="00E673EB">
              <w:t>Not detected in 53 brushtail possums, 82 ringtail possums in Victoria in 2022</w:t>
            </w:r>
          </w:p>
        </w:tc>
        <w:tc>
          <w:tcPr>
            <w:tcW w:w="0" w:type="auto"/>
            <w:tcBorders>
              <w:top w:val="nil"/>
              <w:left w:val="nil"/>
              <w:bottom w:val="nil"/>
              <w:right w:val="nil"/>
            </w:tcBorders>
          </w:tcPr>
          <w:p w14:paraId="04CA94C9" w14:textId="5366A417" w:rsidR="0071004A" w:rsidRPr="00E673EB" w:rsidRDefault="0071004A" w:rsidP="00377F3A">
            <w:pPr>
              <w:pStyle w:val="TableText"/>
            </w:pPr>
            <w:r w:rsidRPr="00E673EB">
              <w:t xml:space="preserve">Scammell </w:t>
            </w:r>
            <w:r w:rsidR="00B7183A" w:rsidRPr="00B7183A">
              <w:rPr>
                <w:i/>
                <w:iCs/>
              </w:rPr>
              <w:t>et al</w:t>
            </w:r>
            <w:r w:rsidRPr="00E673EB">
              <w:t>. 2024</w:t>
            </w:r>
          </w:p>
        </w:tc>
      </w:tr>
      <w:tr w:rsidR="0071004A" w:rsidRPr="003B5A86" w14:paraId="4209952E" w14:textId="77777777" w:rsidTr="004A0055">
        <w:trPr>
          <w:cantSplit/>
          <w:trHeight w:val="13"/>
        </w:trPr>
        <w:tc>
          <w:tcPr>
            <w:tcW w:w="0" w:type="auto"/>
            <w:tcBorders>
              <w:top w:val="nil"/>
              <w:left w:val="nil"/>
              <w:bottom w:val="nil"/>
              <w:right w:val="nil"/>
            </w:tcBorders>
          </w:tcPr>
          <w:p w14:paraId="46F5FAC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5A2D7E5" w14:textId="77777777" w:rsidR="0071004A" w:rsidRPr="00E673EB" w:rsidRDefault="0071004A" w:rsidP="00377F3A">
            <w:pPr>
              <w:pStyle w:val="TableText"/>
            </w:pPr>
            <w:r w:rsidRPr="00E673EB">
              <w:t>UK</w:t>
            </w:r>
          </w:p>
        </w:tc>
        <w:tc>
          <w:tcPr>
            <w:tcW w:w="0" w:type="auto"/>
            <w:tcBorders>
              <w:top w:val="nil"/>
              <w:left w:val="nil"/>
              <w:bottom w:val="nil"/>
              <w:right w:val="nil"/>
            </w:tcBorders>
          </w:tcPr>
          <w:p w14:paraId="33415518" w14:textId="77777777" w:rsidR="0071004A" w:rsidRPr="00E673EB" w:rsidRDefault="0071004A" w:rsidP="00377F3A">
            <w:pPr>
              <w:pStyle w:val="TableText"/>
            </w:pPr>
            <w:r w:rsidRPr="00E673EB">
              <w:t>Max liver residues 9.7 µg/kg in 6/45 stoat, 60 µg/kg in 3/10 weasel following open area baiting in English estates between 1996-97</w:t>
            </w:r>
          </w:p>
        </w:tc>
        <w:tc>
          <w:tcPr>
            <w:tcW w:w="0" w:type="auto"/>
            <w:tcBorders>
              <w:top w:val="nil"/>
              <w:left w:val="nil"/>
              <w:bottom w:val="nil"/>
              <w:right w:val="nil"/>
            </w:tcBorders>
          </w:tcPr>
          <w:p w14:paraId="6C6A3895" w14:textId="01D1D300" w:rsidR="0071004A" w:rsidRPr="00E673EB" w:rsidRDefault="0071004A" w:rsidP="00377F3A">
            <w:pPr>
              <w:pStyle w:val="TableText"/>
            </w:pPr>
            <w:r w:rsidRPr="00E673EB">
              <w:t xml:space="preserve">McDonald </w:t>
            </w:r>
            <w:r w:rsidR="00B7183A" w:rsidRPr="00B7183A">
              <w:rPr>
                <w:i/>
                <w:iCs/>
              </w:rPr>
              <w:t>et al</w:t>
            </w:r>
            <w:r w:rsidRPr="00E673EB">
              <w:t>. 1998</w:t>
            </w:r>
          </w:p>
        </w:tc>
      </w:tr>
      <w:tr w:rsidR="0071004A" w:rsidRPr="003B5A86" w14:paraId="2DF9EC86" w14:textId="77777777" w:rsidTr="004A0055">
        <w:trPr>
          <w:cantSplit/>
          <w:trHeight w:val="13"/>
        </w:trPr>
        <w:tc>
          <w:tcPr>
            <w:tcW w:w="0" w:type="auto"/>
            <w:tcBorders>
              <w:top w:val="nil"/>
              <w:left w:val="nil"/>
              <w:bottom w:val="nil"/>
              <w:right w:val="nil"/>
            </w:tcBorders>
          </w:tcPr>
          <w:p w14:paraId="751A8C2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67F0664" w14:textId="77777777" w:rsidR="0071004A" w:rsidRPr="00E673EB" w:rsidRDefault="0071004A" w:rsidP="00377F3A">
            <w:pPr>
              <w:pStyle w:val="TableText"/>
            </w:pPr>
          </w:p>
        </w:tc>
        <w:tc>
          <w:tcPr>
            <w:tcW w:w="0" w:type="auto"/>
            <w:tcBorders>
              <w:top w:val="nil"/>
              <w:left w:val="nil"/>
              <w:bottom w:val="nil"/>
              <w:right w:val="nil"/>
            </w:tcBorders>
          </w:tcPr>
          <w:p w14:paraId="2224DE8E" w14:textId="77777777" w:rsidR="0071004A" w:rsidRPr="00E673EB" w:rsidRDefault="0071004A" w:rsidP="00377F3A">
            <w:pPr>
              <w:pStyle w:val="TableText"/>
            </w:pPr>
            <w:r w:rsidRPr="00E673EB">
              <w:t>Not detected in liver of polecat that made heavy use of agricultural premises using anticoagulant rodenticides in UK between 1993-95</w:t>
            </w:r>
          </w:p>
        </w:tc>
        <w:tc>
          <w:tcPr>
            <w:tcW w:w="0" w:type="auto"/>
            <w:tcBorders>
              <w:top w:val="nil"/>
              <w:left w:val="nil"/>
              <w:bottom w:val="nil"/>
              <w:right w:val="nil"/>
            </w:tcBorders>
          </w:tcPr>
          <w:p w14:paraId="7B7AB836" w14:textId="77777777" w:rsidR="0071004A" w:rsidRPr="00E673EB" w:rsidRDefault="0071004A" w:rsidP="00377F3A">
            <w:pPr>
              <w:pStyle w:val="TableText"/>
            </w:pPr>
            <w:r w:rsidRPr="00E673EB">
              <w:t>Birks 1998</w:t>
            </w:r>
          </w:p>
        </w:tc>
      </w:tr>
      <w:tr w:rsidR="0071004A" w:rsidRPr="003B5A86" w14:paraId="4D054FDD" w14:textId="77777777" w:rsidTr="004A0055">
        <w:trPr>
          <w:cantSplit/>
          <w:trHeight w:val="13"/>
        </w:trPr>
        <w:tc>
          <w:tcPr>
            <w:tcW w:w="0" w:type="auto"/>
            <w:tcBorders>
              <w:top w:val="nil"/>
              <w:left w:val="nil"/>
              <w:bottom w:val="nil"/>
              <w:right w:val="nil"/>
            </w:tcBorders>
          </w:tcPr>
          <w:p w14:paraId="08B68F7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EA99BAB" w14:textId="77777777" w:rsidR="0071004A" w:rsidRPr="00E673EB" w:rsidRDefault="0071004A" w:rsidP="00377F3A">
            <w:pPr>
              <w:pStyle w:val="TableText"/>
            </w:pPr>
            <w:r>
              <w:t>Europe</w:t>
            </w:r>
          </w:p>
        </w:tc>
        <w:tc>
          <w:tcPr>
            <w:tcW w:w="0" w:type="auto"/>
            <w:tcBorders>
              <w:top w:val="nil"/>
              <w:left w:val="nil"/>
              <w:bottom w:val="nil"/>
              <w:right w:val="nil"/>
            </w:tcBorders>
          </w:tcPr>
          <w:p w14:paraId="2BC5E31D" w14:textId="77777777" w:rsidR="0071004A" w:rsidRPr="00E673EB" w:rsidRDefault="0071004A" w:rsidP="00377F3A">
            <w:pPr>
              <w:pStyle w:val="TableText"/>
            </w:pPr>
            <w:r w:rsidRPr="00E673EB">
              <w:t>Not detected in liver or muscle of 51 wild boars in urban area, 20 wild boars in suburban area, or 13 wild boars in rural area of Spain</w:t>
            </w:r>
          </w:p>
        </w:tc>
        <w:tc>
          <w:tcPr>
            <w:tcW w:w="0" w:type="auto"/>
            <w:tcBorders>
              <w:top w:val="nil"/>
              <w:left w:val="nil"/>
              <w:bottom w:val="nil"/>
              <w:right w:val="nil"/>
            </w:tcBorders>
          </w:tcPr>
          <w:p w14:paraId="61A689E7" w14:textId="459C101D" w:rsidR="0071004A" w:rsidRPr="00E673EB" w:rsidRDefault="0071004A" w:rsidP="00377F3A">
            <w:pPr>
              <w:pStyle w:val="TableText"/>
            </w:pPr>
            <w:r w:rsidRPr="00E673EB">
              <w:t xml:space="preserve">Alabau </w:t>
            </w:r>
            <w:r w:rsidR="00B7183A" w:rsidRPr="00B7183A">
              <w:rPr>
                <w:i/>
                <w:iCs/>
              </w:rPr>
              <w:t>et al</w:t>
            </w:r>
            <w:r w:rsidRPr="00E673EB">
              <w:t>. 2020</w:t>
            </w:r>
          </w:p>
        </w:tc>
      </w:tr>
      <w:tr w:rsidR="0071004A" w14:paraId="3528FE94" w14:textId="77777777" w:rsidTr="004A0055">
        <w:trPr>
          <w:cantSplit/>
          <w:trHeight w:val="13"/>
        </w:trPr>
        <w:tc>
          <w:tcPr>
            <w:tcW w:w="0" w:type="auto"/>
            <w:tcBorders>
              <w:top w:val="nil"/>
              <w:left w:val="nil"/>
              <w:bottom w:val="single" w:sz="4" w:space="0" w:color="auto"/>
              <w:right w:val="nil"/>
            </w:tcBorders>
          </w:tcPr>
          <w:p w14:paraId="23ADF551"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3A8DF18"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60837E2C" w14:textId="77777777" w:rsidR="0071004A" w:rsidRPr="00E673EB" w:rsidRDefault="0071004A" w:rsidP="00377F3A">
            <w:pPr>
              <w:pStyle w:val="TableText"/>
            </w:pPr>
            <w:r w:rsidRPr="00E673EB">
              <w:t>Not detected in 29 herbivores, 3 insectivores, 96 carnivores in Spain between 2005 and 2010</w:t>
            </w:r>
          </w:p>
        </w:tc>
        <w:tc>
          <w:tcPr>
            <w:tcW w:w="0" w:type="auto"/>
            <w:tcBorders>
              <w:top w:val="nil"/>
              <w:left w:val="nil"/>
              <w:bottom w:val="single" w:sz="4" w:space="0" w:color="auto"/>
              <w:right w:val="nil"/>
            </w:tcBorders>
          </w:tcPr>
          <w:p w14:paraId="2F8C51C0" w14:textId="7937C936"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4C948443" w14:textId="77777777" w:rsidTr="004A0055">
        <w:trPr>
          <w:cantSplit/>
          <w:trHeight w:val="13"/>
        </w:trPr>
        <w:tc>
          <w:tcPr>
            <w:tcW w:w="0" w:type="auto"/>
            <w:tcBorders>
              <w:top w:val="single" w:sz="4" w:space="0" w:color="auto"/>
              <w:left w:val="nil"/>
              <w:bottom w:val="nil"/>
              <w:right w:val="nil"/>
            </w:tcBorders>
          </w:tcPr>
          <w:p w14:paraId="2B9490E1"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7D86DCA1"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39CB107A" w14:textId="77777777" w:rsidR="0071004A" w:rsidRPr="00E673EB" w:rsidRDefault="0071004A" w:rsidP="00377F3A">
            <w:pPr>
              <w:pStyle w:val="TableText"/>
            </w:pPr>
            <w:r w:rsidRPr="00E673EB">
              <w:t>Max liver residues 1.6 µg/kg in barn owls; not detected in little ravens, Australian kestrels, whistling kites, barking owls, southern boobooks, powerful owls, tawny frogmouths in rural &amp; urban areas across Australia between 2006 and 2021</w:t>
            </w:r>
          </w:p>
        </w:tc>
        <w:tc>
          <w:tcPr>
            <w:tcW w:w="0" w:type="auto"/>
            <w:tcBorders>
              <w:top w:val="single" w:sz="4" w:space="0" w:color="auto"/>
              <w:left w:val="nil"/>
              <w:bottom w:val="nil"/>
              <w:right w:val="nil"/>
            </w:tcBorders>
          </w:tcPr>
          <w:p w14:paraId="3E43DD7B" w14:textId="77777777" w:rsidR="0071004A" w:rsidRPr="00E673EB" w:rsidRDefault="0071004A" w:rsidP="00377F3A">
            <w:pPr>
              <w:pStyle w:val="TableText"/>
            </w:pPr>
            <w:r w:rsidRPr="00E673EB">
              <w:t>WHA 2022</w:t>
            </w:r>
          </w:p>
        </w:tc>
      </w:tr>
      <w:tr w:rsidR="0071004A" w:rsidRPr="003B5A86" w14:paraId="25D742FF" w14:textId="77777777" w:rsidTr="004A0055">
        <w:trPr>
          <w:cantSplit/>
          <w:trHeight w:val="13"/>
        </w:trPr>
        <w:tc>
          <w:tcPr>
            <w:tcW w:w="0" w:type="auto"/>
            <w:tcBorders>
              <w:top w:val="nil"/>
              <w:left w:val="nil"/>
              <w:bottom w:val="nil"/>
              <w:right w:val="nil"/>
            </w:tcBorders>
          </w:tcPr>
          <w:p w14:paraId="1835867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8734F54" w14:textId="77777777" w:rsidR="0071004A" w:rsidRPr="00E673EB" w:rsidRDefault="0071004A" w:rsidP="00377F3A">
            <w:pPr>
              <w:pStyle w:val="TableText"/>
            </w:pPr>
          </w:p>
        </w:tc>
        <w:tc>
          <w:tcPr>
            <w:tcW w:w="0" w:type="auto"/>
            <w:tcBorders>
              <w:top w:val="nil"/>
              <w:left w:val="nil"/>
              <w:bottom w:val="nil"/>
              <w:right w:val="nil"/>
            </w:tcBorders>
          </w:tcPr>
          <w:p w14:paraId="5AB71EC8" w14:textId="77777777" w:rsidR="0071004A" w:rsidRPr="00E673EB" w:rsidRDefault="0071004A" w:rsidP="00377F3A">
            <w:pPr>
              <w:pStyle w:val="TableText"/>
            </w:pPr>
            <w:r w:rsidRPr="00E673EB">
              <w:t>Max liver residues 161 µg/kg in 5/38 powerful owls in Sydney basin urban areas between 2015 and 2021</w:t>
            </w:r>
          </w:p>
        </w:tc>
        <w:tc>
          <w:tcPr>
            <w:tcW w:w="0" w:type="auto"/>
            <w:tcBorders>
              <w:top w:val="nil"/>
              <w:left w:val="nil"/>
              <w:bottom w:val="nil"/>
              <w:right w:val="nil"/>
            </w:tcBorders>
          </w:tcPr>
          <w:p w14:paraId="3E24D39F" w14:textId="77777777" w:rsidR="0071004A" w:rsidRPr="00E673EB" w:rsidRDefault="0071004A" w:rsidP="00377F3A">
            <w:pPr>
              <w:pStyle w:val="TableText"/>
            </w:pPr>
            <w:r w:rsidRPr="00E673EB">
              <w:t>Birdlife Australia 2022</w:t>
            </w:r>
          </w:p>
        </w:tc>
      </w:tr>
      <w:tr w:rsidR="0071004A" w:rsidRPr="003B5A86" w14:paraId="70D370E0" w14:textId="77777777" w:rsidTr="004A0055">
        <w:trPr>
          <w:cantSplit/>
          <w:trHeight w:val="13"/>
        </w:trPr>
        <w:tc>
          <w:tcPr>
            <w:tcW w:w="0" w:type="auto"/>
            <w:tcBorders>
              <w:top w:val="nil"/>
              <w:left w:val="nil"/>
              <w:bottom w:val="nil"/>
              <w:right w:val="nil"/>
            </w:tcBorders>
          </w:tcPr>
          <w:p w14:paraId="6B9E777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95A92F5" w14:textId="77777777" w:rsidR="0071004A" w:rsidRPr="00E673EB" w:rsidRDefault="0071004A" w:rsidP="00377F3A">
            <w:pPr>
              <w:pStyle w:val="TableText"/>
            </w:pPr>
          </w:p>
        </w:tc>
        <w:tc>
          <w:tcPr>
            <w:tcW w:w="0" w:type="auto"/>
            <w:tcBorders>
              <w:top w:val="nil"/>
              <w:left w:val="nil"/>
              <w:bottom w:val="nil"/>
              <w:right w:val="nil"/>
            </w:tcBorders>
          </w:tcPr>
          <w:p w14:paraId="62C4A2C9" w14:textId="77777777" w:rsidR="0071004A" w:rsidRPr="00E673EB" w:rsidRDefault="0071004A" w:rsidP="00377F3A">
            <w:pPr>
              <w:pStyle w:val="TableText"/>
            </w:pPr>
            <w:r w:rsidRPr="00E673EB">
              <w:t xml:space="preserve">Not detected in 5 eastern barn owls, 12 southern boobooks, 19 tawny frogmouths, 24 powerful owls in urban, forest, &amp; agricultural areas of Vic, SA &amp; NSW between 2003 and 2022 </w:t>
            </w:r>
          </w:p>
        </w:tc>
        <w:tc>
          <w:tcPr>
            <w:tcW w:w="0" w:type="auto"/>
            <w:tcBorders>
              <w:top w:val="nil"/>
              <w:left w:val="nil"/>
              <w:bottom w:val="nil"/>
              <w:right w:val="nil"/>
            </w:tcBorders>
          </w:tcPr>
          <w:p w14:paraId="2CA5D46F" w14:textId="0480497B" w:rsidR="0071004A" w:rsidRPr="00E673EB" w:rsidRDefault="0071004A" w:rsidP="00377F3A">
            <w:pPr>
              <w:pStyle w:val="TableText"/>
            </w:pPr>
            <w:r w:rsidRPr="00E673EB">
              <w:t xml:space="preserve">Cooke </w:t>
            </w:r>
            <w:r w:rsidR="00B7183A" w:rsidRPr="00B7183A">
              <w:rPr>
                <w:i/>
                <w:iCs/>
              </w:rPr>
              <w:t>et al</w:t>
            </w:r>
            <w:r w:rsidRPr="00E673EB">
              <w:t>. 2023</w:t>
            </w:r>
          </w:p>
        </w:tc>
      </w:tr>
      <w:tr w:rsidR="0071004A" w14:paraId="12738BDB" w14:textId="77777777" w:rsidTr="004A0055">
        <w:trPr>
          <w:cantSplit/>
          <w:trHeight w:val="13"/>
        </w:trPr>
        <w:tc>
          <w:tcPr>
            <w:tcW w:w="0" w:type="auto"/>
            <w:tcBorders>
              <w:top w:val="nil"/>
              <w:left w:val="nil"/>
              <w:bottom w:val="nil"/>
              <w:right w:val="nil"/>
            </w:tcBorders>
          </w:tcPr>
          <w:p w14:paraId="22BCCE4F" w14:textId="52FD9291" w:rsidR="0071004A" w:rsidRPr="00E673EB" w:rsidRDefault="0071004A" w:rsidP="00377F3A">
            <w:pPr>
              <w:pStyle w:val="TableText"/>
              <w:rPr>
                <w:lang w:eastAsia="en-AU"/>
              </w:rPr>
            </w:pPr>
          </w:p>
        </w:tc>
        <w:tc>
          <w:tcPr>
            <w:tcW w:w="0" w:type="auto"/>
            <w:tcBorders>
              <w:top w:val="nil"/>
              <w:left w:val="nil"/>
              <w:bottom w:val="nil"/>
              <w:right w:val="nil"/>
            </w:tcBorders>
          </w:tcPr>
          <w:p w14:paraId="404362DF" w14:textId="1F22F666" w:rsidR="0071004A" w:rsidRPr="00E673EB" w:rsidRDefault="0071004A" w:rsidP="00377F3A">
            <w:pPr>
              <w:pStyle w:val="TableText"/>
            </w:pPr>
          </w:p>
        </w:tc>
        <w:tc>
          <w:tcPr>
            <w:tcW w:w="0" w:type="auto"/>
            <w:tcBorders>
              <w:top w:val="nil"/>
              <w:left w:val="nil"/>
              <w:bottom w:val="nil"/>
              <w:right w:val="nil"/>
            </w:tcBorders>
          </w:tcPr>
          <w:p w14:paraId="7434EB5C" w14:textId="77777777" w:rsidR="0071004A" w:rsidRPr="00E673EB" w:rsidRDefault="0071004A" w:rsidP="00377F3A">
            <w:pPr>
              <w:pStyle w:val="TableText"/>
            </w:pPr>
            <w:r w:rsidRPr="00E673EB">
              <w:t>Not detected in 5 Carnaby’s cockatoos from Kalamunda WA in 2024</w:t>
            </w:r>
          </w:p>
        </w:tc>
        <w:tc>
          <w:tcPr>
            <w:tcW w:w="0" w:type="auto"/>
            <w:tcBorders>
              <w:top w:val="nil"/>
              <w:left w:val="nil"/>
              <w:bottom w:val="nil"/>
              <w:right w:val="nil"/>
            </w:tcBorders>
          </w:tcPr>
          <w:p w14:paraId="2D362D45" w14:textId="1941C82F" w:rsidR="0071004A" w:rsidRPr="00E673EB" w:rsidRDefault="0071004A" w:rsidP="00377F3A">
            <w:pPr>
              <w:pStyle w:val="TableText"/>
            </w:pPr>
            <w:r w:rsidRPr="00E673EB">
              <w:t xml:space="preserve">Le Souëf </w:t>
            </w:r>
            <w:r w:rsidR="00B7183A" w:rsidRPr="00B7183A">
              <w:rPr>
                <w:i/>
                <w:iCs/>
              </w:rPr>
              <w:t>et al</w:t>
            </w:r>
            <w:r w:rsidRPr="00E673EB">
              <w:t>. 2024</w:t>
            </w:r>
          </w:p>
        </w:tc>
      </w:tr>
      <w:tr w:rsidR="0071004A" w:rsidRPr="003B5A86" w14:paraId="6217D41E" w14:textId="77777777" w:rsidTr="004A0055">
        <w:trPr>
          <w:cantSplit/>
          <w:trHeight w:val="13"/>
        </w:trPr>
        <w:tc>
          <w:tcPr>
            <w:tcW w:w="0" w:type="auto"/>
            <w:tcBorders>
              <w:top w:val="nil"/>
              <w:left w:val="nil"/>
              <w:bottom w:val="nil"/>
              <w:right w:val="nil"/>
            </w:tcBorders>
          </w:tcPr>
          <w:p w14:paraId="3E9ADD3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624527A" w14:textId="77777777" w:rsidR="0071004A" w:rsidRPr="00E673EB" w:rsidRDefault="0071004A" w:rsidP="00377F3A">
            <w:pPr>
              <w:pStyle w:val="TableText"/>
            </w:pPr>
          </w:p>
        </w:tc>
        <w:tc>
          <w:tcPr>
            <w:tcW w:w="0" w:type="auto"/>
            <w:tcBorders>
              <w:top w:val="nil"/>
              <w:left w:val="nil"/>
              <w:bottom w:val="nil"/>
              <w:right w:val="nil"/>
            </w:tcBorders>
          </w:tcPr>
          <w:p w14:paraId="4A7CFC91" w14:textId="77777777" w:rsidR="0071004A" w:rsidRPr="00E673EB" w:rsidRDefault="0071004A" w:rsidP="00377F3A">
            <w:pPr>
              <w:pStyle w:val="TableText"/>
            </w:pPr>
            <w:r w:rsidRPr="00E673EB">
              <w:t>Not detected in 73 southern boobooks in urban &amp; peri-urban areas of WA</w:t>
            </w:r>
          </w:p>
        </w:tc>
        <w:tc>
          <w:tcPr>
            <w:tcW w:w="0" w:type="auto"/>
            <w:tcBorders>
              <w:top w:val="nil"/>
              <w:left w:val="nil"/>
              <w:bottom w:val="nil"/>
              <w:right w:val="nil"/>
            </w:tcBorders>
          </w:tcPr>
          <w:p w14:paraId="37F2363F" w14:textId="77777777" w:rsidR="0071004A" w:rsidRPr="00E673EB" w:rsidRDefault="0071004A" w:rsidP="00377F3A">
            <w:pPr>
              <w:pStyle w:val="TableText"/>
            </w:pPr>
            <w:r w:rsidRPr="00E673EB">
              <w:t>Lohr 2018</w:t>
            </w:r>
          </w:p>
        </w:tc>
      </w:tr>
      <w:tr w:rsidR="0071004A" w:rsidRPr="003B5A86" w14:paraId="169777F0" w14:textId="77777777" w:rsidTr="004A0055">
        <w:trPr>
          <w:cantSplit/>
          <w:trHeight w:val="13"/>
        </w:trPr>
        <w:tc>
          <w:tcPr>
            <w:tcW w:w="0" w:type="auto"/>
            <w:tcBorders>
              <w:top w:val="nil"/>
              <w:left w:val="nil"/>
              <w:bottom w:val="nil"/>
              <w:right w:val="nil"/>
            </w:tcBorders>
          </w:tcPr>
          <w:p w14:paraId="508DD8F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CC9EF78" w14:textId="77777777" w:rsidR="0071004A" w:rsidRPr="00E673EB" w:rsidRDefault="0071004A" w:rsidP="00377F3A">
            <w:pPr>
              <w:pStyle w:val="TableText"/>
            </w:pPr>
          </w:p>
        </w:tc>
        <w:tc>
          <w:tcPr>
            <w:tcW w:w="0" w:type="auto"/>
            <w:tcBorders>
              <w:top w:val="nil"/>
              <w:left w:val="nil"/>
              <w:bottom w:val="nil"/>
              <w:right w:val="nil"/>
            </w:tcBorders>
          </w:tcPr>
          <w:p w14:paraId="19F4CA14" w14:textId="77777777" w:rsidR="0071004A" w:rsidRPr="00E673EB" w:rsidRDefault="0071004A" w:rsidP="00377F3A">
            <w:pPr>
              <w:pStyle w:val="TableText"/>
            </w:pPr>
            <w:r w:rsidRPr="00E673EB">
              <w:t xml:space="preserve">Max liver residues 14 µg/kg in 1/50 (2%) wedge-tailed eagles across Tasmania between 1996 and 2018 </w:t>
            </w:r>
          </w:p>
        </w:tc>
        <w:tc>
          <w:tcPr>
            <w:tcW w:w="0" w:type="auto"/>
            <w:tcBorders>
              <w:top w:val="nil"/>
              <w:left w:val="nil"/>
              <w:bottom w:val="nil"/>
              <w:right w:val="nil"/>
            </w:tcBorders>
          </w:tcPr>
          <w:p w14:paraId="5EF921ED" w14:textId="24BBC1C8" w:rsidR="0071004A" w:rsidRPr="00E673EB" w:rsidRDefault="0071004A" w:rsidP="00377F3A">
            <w:pPr>
              <w:pStyle w:val="TableText"/>
            </w:pPr>
            <w:r w:rsidRPr="00E673EB">
              <w:t xml:space="preserve">Pay </w:t>
            </w:r>
            <w:r w:rsidR="00B7183A" w:rsidRPr="00B7183A">
              <w:rPr>
                <w:i/>
                <w:iCs/>
              </w:rPr>
              <w:t>et al</w:t>
            </w:r>
            <w:r w:rsidRPr="00E673EB">
              <w:t>. 2021</w:t>
            </w:r>
          </w:p>
        </w:tc>
      </w:tr>
      <w:tr w:rsidR="0071004A" w:rsidRPr="003B5A86" w14:paraId="698C6575" w14:textId="77777777" w:rsidTr="004A0055">
        <w:trPr>
          <w:cantSplit/>
          <w:trHeight w:val="13"/>
        </w:trPr>
        <w:tc>
          <w:tcPr>
            <w:tcW w:w="0" w:type="auto"/>
            <w:tcBorders>
              <w:top w:val="nil"/>
              <w:left w:val="nil"/>
              <w:bottom w:val="nil"/>
              <w:right w:val="nil"/>
            </w:tcBorders>
          </w:tcPr>
          <w:p w14:paraId="0E50370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65AC0C2" w14:textId="77777777" w:rsidR="0071004A" w:rsidRPr="00E673EB" w:rsidRDefault="0071004A" w:rsidP="00377F3A">
            <w:pPr>
              <w:pStyle w:val="TableText"/>
            </w:pPr>
            <w:r w:rsidRPr="00E673EB">
              <w:t>Tawain</w:t>
            </w:r>
          </w:p>
        </w:tc>
        <w:tc>
          <w:tcPr>
            <w:tcW w:w="0" w:type="auto"/>
            <w:tcBorders>
              <w:top w:val="nil"/>
              <w:left w:val="nil"/>
              <w:bottom w:val="nil"/>
              <w:right w:val="nil"/>
            </w:tcBorders>
          </w:tcPr>
          <w:p w14:paraId="52A1B070" w14:textId="77777777" w:rsidR="0071004A" w:rsidRPr="00E673EB" w:rsidRDefault="0071004A" w:rsidP="00377F3A">
            <w:pPr>
              <w:pStyle w:val="TableText"/>
            </w:pPr>
            <w:r w:rsidRPr="00E673EB">
              <w:t>Geomean liver residues 6 µg/kg in 1/1 common buzzard; not detected in 74 black-winged kite, 46 crested goshawk, 42 collared scops-owl, 12 crested serpent-eagle, 8 black kite, 6 oriental honey-buzzard, 6 short-eared owl, 3 eastern grass-owl, 3 eurasian kestrel or 11 other raptor species, in Taiwan between 2010 and 2018</w:t>
            </w:r>
          </w:p>
        </w:tc>
        <w:tc>
          <w:tcPr>
            <w:tcW w:w="0" w:type="auto"/>
            <w:tcBorders>
              <w:top w:val="nil"/>
              <w:left w:val="nil"/>
              <w:bottom w:val="nil"/>
              <w:right w:val="nil"/>
            </w:tcBorders>
          </w:tcPr>
          <w:p w14:paraId="1FFA89FD" w14:textId="0B94ED66" w:rsidR="0071004A" w:rsidRPr="00E673EB" w:rsidRDefault="0071004A" w:rsidP="00377F3A">
            <w:pPr>
              <w:pStyle w:val="TableText"/>
            </w:pPr>
            <w:r w:rsidRPr="00E673EB">
              <w:t xml:space="preserve">Hong </w:t>
            </w:r>
            <w:r w:rsidR="00B7183A" w:rsidRPr="00B7183A">
              <w:rPr>
                <w:i/>
                <w:iCs/>
              </w:rPr>
              <w:t>et al</w:t>
            </w:r>
            <w:r w:rsidRPr="00E673EB">
              <w:t>. 2019</w:t>
            </w:r>
          </w:p>
        </w:tc>
      </w:tr>
      <w:tr w:rsidR="0071004A" w:rsidRPr="003B5A86" w14:paraId="423ADA3F" w14:textId="77777777" w:rsidTr="004A0055">
        <w:trPr>
          <w:cantSplit/>
          <w:trHeight w:val="13"/>
        </w:trPr>
        <w:tc>
          <w:tcPr>
            <w:tcW w:w="0" w:type="auto"/>
            <w:tcBorders>
              <w:top w:val="nil"/>
              <w:left w:val="nil"/>
              <w:bottom w:val="nil"/>
              <w:right w:val="nil"/>
            </w:tcBorders>
          </w:tcPr>
          <w:p w14:paraId="59D4D91F"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59A57D9" w14:textId="77777777" w:rsidR="0071004A" w:rsidRPr="00E673EB" w:rsidRDefault="0071004A" w:rsidP="00377F3A">
            <w:pPr>
              <w:pStyle w:val="TableText"/>
            </w:pPr>
          </w:p>
        </w:tc>
        <w:tc>
          <w:tcPr>
            <w:tcW w:w="0" w:type="auto"/>
            <w:tcBorders>
              <w:top w:val="nil"/>
              <w:left w:val="nil"/>
              <w:bottom w:val="nil"/>
              <w:right w:val="nil"/>
            </w:tcBorders>
          </w:tcPr>
          <w:p w14:paraId="1D28F4A7" w14:textId="77777777" w:rsidR="0071004A" w:rsidRPr="00E673EB" w:rsidRDefault="0071004A" w:rsidP="00377F3A">
            <w:pPr>
              <w:pStyle w:val="TableText"/>
            </w:pPr>
            <w:r w:rsidRPr="00E673EB">
              <w:t>Not detected in 112 black-winged kites from Taiwan airports between 2013 and 2016</w:t>
            </w:r>
          </w:p>
        </w:tc>
        <w:tc>
          <w:tcPr>
            <w:tcW w:w="0" w:type="auto"/>
            <w:tcBorders>
              <w:top w:val="nil"/>
              <w:left w:val="nil"/>
              <w:bottom w:val="nil"/>
              <w:right w:val="nil"/>
            </w:tcBorders>
          </w:tcPr>
          <w:p w14:paraId="473E75D2" w14:textId="6B641527" w:rsidR="0071004A" w:rsidRPr="00E673EB" w:rsidRDefault="0071004A" w:rsidP="00377F3A">
            <w:pPr>
              <w:pStyle w:val="TableText"/>
            </w:pPr>
            <w:r w:rsidRPr="00E673EB">
              <w:t xml:space="preserve">Lin </w:t>
            </w:r>
            <w:r w:rsidR="00B7183A" w:rsidRPr="00B7183A">
              <w:rPr>
                <w:i/>
                <w:iCs/>
              </w:rPr>
              <w:t>et al</w:t>
            </w:r>
            <w:r w:rsidRPr="00E673EB">
              <w:t>. 2022</w:t>
            </w:r>
          </w:p>
        </w:tc>
      </w:tr>
      <w:tr w:rsidR="0071004A" w:rsidRPr="003B5A86" w14:paraId="17F4C525" w14:textId="77777777" w:rsidTr="004A0055">
        <w:trPr>
          <w:cantSplit/>
          <w:trHeight w:val="13"/>
        </w:trPr>
        <w:tc>
          <w:tcPr>
            <w:tcW w:w="0" w:type="auto"/>
            <w:tcBorders>
              <w:top w:val="nil"/>
              <w:left w:val="nil"/>
              <w:bottom w:val="nil"/>
              <w:right w:val="nil"/>
            </w:tcBorders>
          </w:tcPr>
          <w:p w14:paraId="5AA3FA6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FC9E682" w14:textId="77777777" w:rsidR="0071004A" w:rsidRPr="00E673EB" w:rsidRDefault="0071004A" w:rsidP="00377F3A">
            <w:pPr>
              <w:pStyle w:val="TableText"/>
            </w:pPr>
            <w:r>
              <w:t>North America</w:t>
            </w:r>
          </w:p>
        </w:tc>
        <w:tc>
          <w:tcPr>
            <w:tcW w:w="0" w:type="auto"/>
            <w:tcBorders>
              <w:top w:val="nil"/>
              <w:left w:val="nil"/>
              <w:bottom w:val="nil"/>
              <w:right w:val="nil"/>
            </w:tcBorders>
          </w:tcPr>
          <w:p w14:paraId="5F9CDFB1" w14:textId="77777777" w:rsidR="0071004A" w:rsidRPr="00E673EB" w:rsidRDefault="0071004A" w:rsidP="00377F3A">
            <w:pPr>
              <w:pStyle w:val="TableText"/>
            </w:pPr>
            <w:r w:rsidRPr="00E673EB">
              <w:t>Not detected in 50 Cooper’s hawk, 78 red-tailed hawk, 22 screech owls, 53 great horned owl in New York between 1998 and 2001</w:t>
            </w:r>
          </w:p>
        </w:tc>
        <w:tc>
          <w:tcPr>
            <w:tcW w:w="0" w:type="auto"/>
            <w:tcBorders>
              <w:top w:val="nil"/>
              <w:left w:val="nil"/>
              <w:bottom w:val="nil"/>
              <w:right w:val="nil"/>
            </w:tcBorders>
          </w:tcPr>
          <w:p w14:paraId="203E7AAB" w14:textId="2C7D0B71"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rsidRPr="003B5A86" w14:paraId="26E08537" w14:textId="77777777" w:rsidTr="004A0055">
        <w:trPr>
          <w:cantSplit/>
          <w:trHeight w:val="13"/>
        </w:trPr>
        <w:tc>
          <w:tcPr>
            <w:tcW w:w="0" w:type="auto"/>
            <w:tcBorders>
              <w:top w:val="nil"/>
              <w:left w:val="nil"/>
              <w:bottom w:val="nil"/>
              <w:right w:val="nil"/>
            </w:tcBorders>
          </w:tcPr>
          <w:p w14:paraId="271FAAF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4EEE4F5" w14:textId="77777777" w:rsidR="0071004A" w:rsidRPr="00E673EB" w:rsidRDefault="0071004A" w:rsidP="00377F3A">
            <w:pPr>
              <w:pStyle w:val="TableText"/>
            </w:pPr>
            <w:r>
              <w:t>Europe</w:t>
            </w:r>
          </w:p>
        </w:tc>
        <w:tc>
          <w:tcPr>
            <w:tcW w:w="0" w:type="auto"/>
            <w:tcBorders>
              <w:top w:val="nil"/>
              <w:left w:val="nil"/>
              <w:bottom w:val="nil"/>
              <w:right w:val="nil"/>
            </w:tcBorders>
          </w:tcPr>
          <w:p w14:paraId="5BD23DF4" w14:textId="77777777" w:rsidR="0071004A" w:rsidRPr="00E673EB" w:rsidRDefault="0071004A" w:rsidP="00377F3A">
            <w:pPr>
              <w:pStyle w:val="TableText"/>
            </w:pPr>
            <w:r w:rsidRPr="00E673EB">
              <w:t>Max liver residues 9.1 µg/kg in 8/48 northern goshawk; not detected in 41 red kite, 60 white-tailed eagle, 23 Eurasian sparrowhawk, or 13 osprey in Germany between 1996 and 2018</w:t>
            </w:r>
          </w:p>
        </w:tc>
        <w:tc>
          <w:tcPr>
            <w:tcW w:w="0" w:type="auto"/>
            <w:tcBorders>
              <w:top w:val="nil"/>
              <w:left w:val="nil"/>
              <w:bottom w:val="nil"/>
              <w:right w:val="nil"/>
            </w:tcBorders>
          </w:tcPr>
          <w:p w14:paraId="2B9FA743" w14:textId="639C385A" w:rsidR="0071004A" w:rsidRPr="00E673EB" w:rsidRDefault="0071004A" w:rsidP="00377F3A">
            <w:pPr>
              <w:pStyle w:val="TableText"/>
            </w:pPr>
            <w:r w:rsidRPr="00E673EB">
              <w:t xml:space="preserve">Badry </w:t>
            </w:r>
            <w:r w:rsidR="00B7183A" w:rsidRPr="00B7183A">
              <w:rPr>
                <w:i/>
                <w:iCs/>
              </w:rPr>
              <w:t>et al</w:t>
            </w:r>
            <w:r w:rsidRPr="00E673EB">
              <w:t>. 2021</w:t>
            </w:r>
          </w:p>
        </w:tc>
      </w:tr>
      <w:tr w:rsidR="0071004A" w:rsidRPr="003B5A86" w14:paraId="053A4EF1" w14:textId="77777777" w:rsidTr="004A0055">
        <w:trPr>
          <w:cantSplit/>
          <w:trHeight w:val="13"/>
        </w:trPr>
        <w:tc>
          <w:tcPr>
            <w:tcW w:w="0" w:type="auto"/>
            <w:tcBorders>
              <w:top w:val="nil"/>
              <w:left w:val="nil"/>
              <w:bottom w:val="nil"/>
              <w:right w:val="nil"/>
            </w:tcBorders>
          </w:tcPr>
          <w:p w14:paraId="1496EA8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CB04C87" w14:textId="77777777" w:rsidR="0071004A" w:rsidRPr="00E673EB" w:rsidRDefault="0071004A" w:rsidP="00377F3A">
            <w:pPr>
              <w:pStyle w:val="TableText"/>
            </w:pPr>
          </w:p>
        </w:tc>
        <w:tc>
          <w:tcPr>
            <w:tcW w:w="0" w:type="auto"/>
            <w:tcBorders>
              <w:top w:val="nil"/>
              <w:left w:val="nil"/>
              <w:bottom w:val="nil"/>
              <w:right w:val="nil"/>
            </w:tcBorders>
          </w:tcPr>
          <w:p w14:paraId="1274D12E" w14:textId="77777777" w:rsidR="0071004A" w:rsidRPr="00E673EB" w:rsidRDefault="0071004A" w:rsidP="00377F3A">
            <w:pPr>
              <w:pStyle w:val="TableText"/>
            </w:pPr>
            <w:r w:rsidRPr="00E673EB">
              <w:t>Max liver residues 18 µg/kg in 10/80 barn owls, 435 µg/kg in 13/141 buzzards, 64 µg/kg in 9/66 kestrels, 29 µg/kg in 3/38 long-eared owls, 3 µg/kg in 2/31 rough-legged buzzards, 39 µg/kg in 9/44 tawny owls from intensively managed landscapes in Denmark</w:t>
            </w:r>
          </w:p>
        </w:tc>
        <w:tc>
          <w:tcPr>
            <w:tcW w:w="0" w:type="auto"/>
            <w:tcBorders>
              <w:top w:val="nil"/>
              <w:left w:val="nil"/>
              <w:bottom w:val="nil"/>
              <w:right w:val="nil"/>
            </w:tcBorders>
          </w:tcPr>
          <w:p w14:paraId="26898830" w14:textId="7B2AC0BD" w:rsidR="0071004A" w:rsidRPr="00E673EB" w:rsidRDefault="0071004A" w:rsidP="00377F3A">
            <w:pPr>
              <w:pStyle w:val="TableText"/>
            </w:pPr>
            <w:r w:rsidRPr="00E673EB">
              <w:t xml:space="preserve">Christensen </w:t>
            </w:r>
            <w:r w:rsidR="00B7183A" w:rsidRPr="00B7183A">
              <w:rPr>
                <w:i/>
                <w:iCs/>
              </w:rPr>
              <w:t>et al</w:t>
            </w:r>
            <w:r w:rsidRPr="00E673EB">
              <w:t>. 2012</w:t>
            </w:r>
          </w:p>
        </w:tc>
      </w:tr>
      <w:tr w:rsidR="0071004A" w14:paraId="75C4EF44" w14:textId="77777777" w:rsidTr="004A0055">
        <w:trPr>
          <w:cantSplit/>
          <w:trHeight w:val="13"/>
        </w:trPr>
        <w:tc>
          <w:tcPr>
            <w:tcW w:w="0" w:type="auto"/>
            <w:tcBorders>
              <w:top w:val="nil"/>
              <w:left w:val="nil"/>
              <w:bottom w:val="single" w:sz="4" w:space="0" w:color="auto"/>
              <w:right w:val="nil"/>
            </w:tcBorders>
          </w:tcPr>
          <w:p w14:paraId="1166DDA7"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325201A5"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0F15F6B4" w14:textId="77777777" w:rsidR="0071004A" w:rsidRPr="00E673EB" w:rsidRDefault="0071004A" w:rsidP="00377F3A">
            <w:pPr>
              <w:pStyle w:val="TableText"/>
            </w:pPr>
            <w:r w:rsidRPr="00E673EB">
              <w:t>Not detected in 142 granivorous birds, 129 predatory birds in Spain between 2005 and 2010</w:t>
            </w:r>
          </w:p>
        </w:tc>
        <w:tc>
          <w:tcPr>
            <w:tcW w:w="0" w:type="auto"/>
            <w:tcBorders>
              <w:top w:val="nil"/>
              <w:left w:val="nil"/>
              <w:bottom w:val="single" w:sz="4" w:space="0" w:color="auto"/>
              <w:right w:val="nil"/>
            </w:tcBorders>
          </w:tcPr>
          <w:p w14:paraId="58A6101C" w14:textId="15C95826"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66D3B39A" w14:textId="77777777" w:rsidTr="004A0055">
        <w:trPr>
          <w:cantSplit/>
          <w:trHeight w:val="13"/>
        </w:trPr>
        <w:tc>
          <w:tcPr>
            <w:tcW w:w="0" w:type="auto"/>
            <w:tcBorders>
              <w:top w:val="single" w:sz="4" w:space="0" w:color="auto"/>
              <w:left w:val="nil"/>
              <w:bottom w:val="single" w:sz="4" w:space="0" w:color="auto"/>
              <w:right w:val="nil"/>
            </w:tcBorders>
          </w:tcPr>
          <w:p w14:paraId="0DC0D035" w14:textId="77777777" w:rsidR="0071004A" w:rsidRPr="00E673EB" w:rsidRDefault="0071004A" w:rsidP="00377F3A">
            <w:pPr>
              <w:pStyle w:val="TableText"/>
              <w:rPr>
                <w:lang w:eastAsia="en-AU"/>
              </w:rPr>
            </w:pPr>
            <w:r w:rsidRPr="00E673EB">
              <w:rPr>
                <w:lang w:eastAsia="en-AU"/>
              </w:rPr>
              <w:t>Reptiles</w:t>
            </w:r>
          </w:p>
        </w:tc>
        <w:tc>
          <w:tcPr>
            <w:tcW w:w="0" w:type="auto"/>
            <w:tcBorders>
              <w:top w:val="single" w:sz="4" w:space="0" w:color="auto"/>
              <w:left w:val="nil"/>
              <w:bottom w:val="single" w:sz="4" w:space="0" w:color="auto"/>
              <w:right w:val="nil"/>
            </w:tcBorders>
          </w:tcPr>
          <w:p w14:paraId="390043A4"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5A2FC1DE"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single" w:sz="4" w:space="0" w:color="auto"/>
              <w:left w:val="nil"/>
              <w:bottom w:val="single" w:sz="4" w:space="0" w:color="auto"/>
              <w:right w:val="nil"/>
            </w:tcBorders>
          </w:tcPr>
          <w:p w14:paraId="752D52F0" w14:textId="20CCADD4"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E12517F" w14:textId="77777777" w:rsidTr="004A0055">
        <w:trPr>
          <w:cantSplit/>
          <w:trHeight w:val="13"/>
        </w:trPr>
        <w:tc>
          <w:tcPr>
            <w:tcW w:w="0" w:type="auto"/>
            <w:tcBorders>
              <w:top w:val="single" w:sz="4" w:space="0" w:color="auto"/>
              <w:left w:val="nil"/>
              <w:bottom w:val="nil"/>
              <w:right w:val="nil"/>
            </w:tcBorders>
          </w:tcPr>
          <w:p w14:paraId="62E0FC60" w14:textId="77777777" w:rsidR="0071004A" w:rsidRPr="00E673EB" w:rsidRDefault="0071004A"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6C3EE722" w14:textId="77777777" w:rsidR="0071004A" w:rsidRPr="00E673EB" w:rsidRDefault="0071004A" w:rsidP="00377F3A">
            <w:pPr>
              <w:pStyle w:val="TableText"/>
            </w:pPr>
            <w:r>
              <w:t>Europe</w:t>
            </w:r>
          </w:p>
        </w:tc>
        <w:tc>
          <w:tcPr>
            <w:tcW w:w="0" w:type="auto"/>
            <w:tcBorders>
              <w:top w:val="single" w:sz="4" w:space="0" w:color="auto"/>
              <w:left w:val="nil"/>
              <w:bottom w:val="nil"/>
              <w:right w:val="nil"/>
            </w:tcBorders>
          </w:tcPr>
          <w:p w14:paraId="4435F1A5" w14:textId="77777777" w:rsidR="0071004A" w:rsidRPr="00E673EB" w:rsidRDefault="0071004A" w:rsidP="00377F3A">
            <w:pPr>
              <w:pStyle w:val="TableText"/>
            </w:pPr>
            <w:r w:rsidRPr="00E673EB">
              <w:t>&lt;LOQ (0.2 µg/kg) in bream of two German rivers between 1992 and 2015</w:t>
            </w:r>
          </w:p>
        </w:tc>
        <w:tc>
          <w:tcPr>
            <w:tcW w:w="0" w:type="auto"/>
            <w:tcBorders>
              <w:top w:val="single" w:sz="4" w:space="0" w:color="auto"/>
              <w:left w:val="nil"/>
              <w:bottom w:val="nil"/>
              <w:right w:val="nil"/>
            </w:tcBorders>
          </w:tcPr>
          <w:p w14:paraId="64842F2A" w14:textId="69E320F9"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14:paraId="16A6470D" w14:textId="77777777" w:rsidTr="004A0055">
        <w:trPr>
          <w:cantSplit/>
          <w:trHeight w:val="13"/>
        </w:trPr>
        <w:tc>
          <w:tcPr>
            <w:tcW w:w="0" w:type="auto"/>
            <w:tcBorders>
              <w:top w:val="nil"/>
              <w:left w:val="nil"/>
              <w:bottom w:val="nil"/>
              <w:right w:val="nil"/>
            </w:tcBorders>
          </w:tcPr>
          <w:p w14:paraId="6472467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F0510D4" w14:textId="77777777" w:rsidR="0071004A" w:rsidRPr="00E673EB" w:rsidRDefault="0071004A" w:rsidP="00377F3A">
            <w:pPr>
              <w:pStyle w:val="TableText"/>
            </w:pPr>
          </w:p>
        </w:tc>
        <w:tc>
          <w:tcPr>
            <w:tcW w:w="0" w:type="auto"/>
            <w:tcBorders>
              <w:top w:val="nil"/>
              <w:left w:val="nil"/>
              <w:bottom w:val="nil"/>
              <w:right w:val="nil"/>
            </w:tcBorders>
          </w:tcPr>
          <w:p w14:paraId="50635C32" w14:textId="77777777" w:rsidR="0071004A" w:rsidRPr="00E673EB" w:rsidRDefault="0071004A" w:rsidP="00377F3A">
            <w:pPr>
              <w:pStyle w:val="TableText"/>
            </w:pPr>
            <w:r w:rsidRPr="00E673EB">
              <w:t>Max liver residues 1.6 µg/kg in 13/32 fish in bioaccumulation ponds and 0.02 µg/kg in 1/12 fish in receiving streams of municipal wastewater treatment plants in Germany between 2013 and 2016</w:t>
            </w:r>
          </w:p>
        </w:tc>
        <w:tc>
          <w:tcPr>
            <w:tcW w:w="0" w:type="auto"/>
            <w:tcBorders>
              <w:top w:val="nil"/>
              <w:left w:val="nil"/>
              <w:bottom w:val="nil"/>
              <w:right w:val="nil"/>
            </w:tcBorders>
          </w:tcPr>
          <w:p w14:paraId="0ED4D970" w14:textId="4974D935" w:rsidR="0071004A" w:rsidRPr="00E673EB" w:rsidRDefault="0071004A" w:rsidP="00377F3A">
            <w:pPr>
              <w:pStyle w:val="TableText"/>
            </w:pPr>
            <w:r w:rsidRPr="00E673EB">
              <w:t xml:space="preserve">Regnery </w:t>
            </w:r>
            <w:r w:rsidR="00B7183A" w:rsidRPr="00B7183A">
              <w:rPr>
                <w:i/>
                <w:iCs/>
              </w:rPr>
              <w:t>et al</w:t>
            </w:r>
            <w:r w:rsidRPr="00E673EB">
              <w:t>. 2019</w:t>
            </w:r>
          </w:p>
        </w:tc>
      </w:tr>
      <w:tr w:rsidR="0071004A" w14:paraId="3EE3C07F" w14:textId="77777777" w:rsidTr="004A0055">
        <w:trPr>
          <w:cantSplit/>
          <w:trHeight w:val="13"/>
        </w:trPr>
        <w:tc>
          <w:tcPr>
            <w:tcW w:w="0" w:type="auto"/>
            <w:tcBorders>
              <w:top w:val="nil"/>
              <w:left w:val="nil"/>
              <w:bottom w:val="single" w:sz="4" w:space="0" w:color="auto"/>
              <w:right w:val="nil"/>
            </w:tcBorders>
          </w:tcPr>
          <w:p w14:paraId="218A719D"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735560C"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3432E52C" w14:textId="77777777" w:rsidR="0071004A" w:rsidRPr="00E673EB" w:rsidRDefault="0071004A" w:rsidP="00377F3A">
            <w:pPr>
              <w:pStyle w:val="TableText"/>
            </w:pPr>
            <w:r w:rsidRPr="00E673EB">
              <w:t>Max liver residues 0.06 µg/kg in 27/46 fish in receiving streams of municipal wastewater treatment plants in Germany in 2019</w:t>
            </w:r>
          </w:p>
        </w:tc>
        <w:tc>
          <w:tcPr>
            <w:tcW w:w="0" w:type="auto"/>
            <w:tcBorders>
              <w:top w:val="nil"/>
              <w:left w:val="nil"/>
              <w:bottom w:val="single" w:sz="4" w:space="0" w:color="auto"/>
              <w:right w:val="nil"/>
            </w:tcBorders>
          </w:tcPr>
          <w:p w14:paraId="1F8EA885" w14:textId="22BD9D8C" w:rsidR="0071004A" w:rsidRPr="00E673EB" w:rsidRDefault="0071004A" w:rsidP="00377F3A">
            <w:pPr>
              <w:pStyle w:val="TableText"/>
            </w:pPr>
            <w:r w:rsidRPr="00E673EB">
              <w:t xml:space="preserve">Regnery </w:t>
            </w:r>
            <w:r w:rsidR="00B7183A" w:rsidRPr="00B7183A">
              <w:rPr>
                <w:i/>
                <w:iCs/>
              </w:rPr>
              <w:t>et al</w:t>
            </w:r>
            <w:r w:rsidRPr="00E673EB">
              <w:t>. 2020</w:t>
            </w:r>
          </w:p>
        </w:tc>
      </w:tr>
    </w:tbl>
    <w:p w14:paraId="459A7C7D" w14:textId="2BBA0104" w:rsidR="00EE24E4" w:rsidRPr="00850971" w:rsidRDefault="00EE24E4" w:rsidP="00377F3A">
      <w:pPr>
        <w:pStyle w:val="APVMAAppendixH3"/>
      </w:pPr>
      <w:bookmarkStart w:id="1956" w:name="_Toc214025609"/>
      <w:bookmarkStart w:id="1957" w:name="_Toc216695630"/>
      <w:r w:rsidRPr="00850971">
        <w:t>Effects on non-target species</w:t>
      </w:r>
      <w:bookmarkEnd w:id="1956"/>
      <w:bookmarkEnd w:id="1957"/>
    </w:p>
    <w:p w14:paraId="32E6CB46" w14:textId="4FE06DAB" w:rsidR="00261086" w:rsidRPr="00861CA0" w:rsidRDefault="00850971" w:rsidP="00377F3A">
      <w:pPr>
        <w:pStyle w:val="Caption"/>
      </w:pPr>
      <w:bookmarkStart w:id="1958" w:name="_Toc213946059"/>
      <w:bookmarkStart w:id="1959" w:name="_Hlk182398442"/>
      <w:bookmarkStart w:id="1960" w:name="_Toc216695750"/>
      <w:r>
        <w:t xml:space="preserve">Table </w:t>
      </w:r>
      <w:r>
        <w:fldChar w:fldCharType="begin"/>
      </w:r>
      <w:r>
        <w:instrText xml:space="preserve"> SEQ Table \* ARABIC </w:instrText>
      </w:r>
      <w:r>
        <w:fldChar w:fldCharType="separate"/>
      </w:r>
      <w:r w:rsidR="003861AC">
        <w:rPr>
          <w:noProof/>
        </w:rPr>
        <w:t>88</w:t>
      </w:r>
      <w:r>
        <w:fldChar w:fldCharType="end"/>
      </w:r>
      <w:r>
        <w:t xml:space="preserve">: </w:t>
      </w:r>
      <w:bookmarkStart w:id="1961" w:name="_Hlk157518559"/>
      <w:r w:rsidR="00980B2F">
        <w:t xml:space="preserve">Coumatetralyl – Primary poisoning </w:t>
      </w:r>
      <w:r w:rsidR="00261086">
        <w:t>studies on terrestrial vertebrates</w:t>
      </w:r>
      <w:bookmarkEnd w:id="1958"/>
      <w:bookmarkEnd w:id="1960"/>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90"/>
        <w:gridCol w:w="1329"/>
        <w:gridCol w:w="2261"/>
        <w:gridCol w:w="2731"/>
        <w:gridCol w:w="2317"/>
      </w:tblGrid>
      <w:tr w:rsidR="00980B2F" w:rsidRPr="000B2FA7" w14:paraId="459F4EDE" w14:textId="77777777" w:rsidTr="0017134F">
        <w:trPr>
          <w:cantSplit/>
          <w:tblHeader/>
        </w:trPr>
        <w:tc>
          <w:tcPr>
            <w:tcW w:w="0" w:type="auto"/>
            <w:tcBorders>
              <w:bottom w:val="single" w:sz="4" w:space="0" w:color="auto"/>
            </w:tcBorders>
            <w:shd w:val="clear" w:color="auto" w:fill="53284F"/>
          </w:tcPr>
          <w:p w14:paraId="3A481E76" w14:textId="77777777" w:rsidR="00980B2F" w:rsidRDefault="00980B2F" w:rsidP="00377F3A">
            <w:pPr>
              <w:pStyle w:val="TableHead"/>
            </w:pPr>
            <w:r>
              <w:t>Group</w:t>
            </w:r>
          </w:p>
        </w:tc>
        <w:tc>
          <w:tcPr>
            <w:tcW w:w="0" w:type="auto"/>
            <w:tcBorders>
              <w:bottom w:val="single" w:sz="4" w:space="0" w:color="auto"/>
            </w:tcBorders>
            <w:shd w:val="clear" w:color="auto" w:fill="53284F"/>
          </w:tcPr>
          <w:p w14:paraId="7BC5730C" w14:textId="77777777" w:rsidR="00980B2F" w:rsidRDefault="00980B2F" w:rsidP="00377F3A">
            <w:pPr>
              <w:pStyle w:val="TableHead"/>
            </w:pPr>
            <w:r>
              <w:t>Exposure</w:t>
            </w:r>
          </w:p>
        </w:tc>
        <w:tc>
          <w:tcPr>
            <w:tcW w:w="0" w:type="auto"/>
            <w:tcBorders>
              <w:bottom w:val="single" w:sz="4" w:space="0" w:color="auto"/>
            </w:tcBorders>
            <w:shd w:val="clear" w:color="auto" w:fill="53284F"/>
          </w:tcPr>
          <w:p w14:paraId="60DB9FEC" w14:textId="77777777" w:rsidR="00980B2F" w:rsidRPr="00CA558C" w:rsidRDefault="00980B2F" w:rsidP="00377F3A">
            <w:pPr>
              <w:pStyle w:val="TableHead"/>
            </w:pPr>
            <w:r>
              <w:t>Species</w:t>
            </w:r>
          </w:p>
        </w:tc>
        <w:tc>
          <w:tcPr>
            <w:tcW w:w="0" w:type="auto"/>
            <w:tcBorders>
              <w:bottom w:val="single" w:sz="4" w:space="0" w:color="auto"/>
            </w:tcBorders>
            <w:shd w:val="clear" w:color="auto" w:fill="53284F"/>
          </w:tcPr>
          <w:p w14:paraId="649317A5" w14:textId="77777777" w:rsidR="00980B2F" w:rsidRPr="00CA558C" w:rsidRDefault="00980B2F" w:rsidP="00377F3A">
            <w:pPr>
              <w:pStyle w:val="TableHead"/>
            </w:pPr>
            <w:r>
              <w:t>Toxicity v</w:t>
            </w:r>
            <w:r w:rsidRPr="00CA558C">
              <w:t>alue</w:t>
            </w:r>
            <w:r>
              <w:rPr>
                <w:rStyle w:val="FootnoteReference"/>
                <w:rFonts w:ascii="Arial" w:hAnsi="Arial"/>
                <w:b/>
                <w:sz w:val="17"/>
                <w:szCs w:val="17"/>
              </w:rPr>
              <w:footnoteReference w:id="26"/>
            </w:r>
          </w:p>
        </w:tc>
        <w:tc>
          <w:tcPr>
            <w:tcW w:w="0" w:type="auto"/>
            <w:tcBorders>
              <w:bottom w:val="single" w:sz="4" w:space="0" w:color="auto"/>
            </w:tcBorders>
            <w:shd w:val="clear" w:color="auto" w:fill="53284F"/>
          </w:tcPr>
          <w:p w14:paraId="79FEF8E4" w14:textId="77777777" w:rsidR="00980B2F" w:rsidRPr="00CA558C" w:rsidRDefault="00980B2F" w:rsidP="00377F3A">
            <w:pPr>
              <w:pStyle w:val="TableHead"/>
            </w:pPr>
            <w:r>
              <w:t>Reference</w:t>
            </w:r>
          </w:p>
        </w:tc>
      </w:tr>
      <w:tr w:rsidR="00980B2F" w:rsidRPr="000B2FA7" w14:paraId="660BE87E" w14:textId="77777777" w:rsidTr="00073396">
        <w:trPr>
          <w:cantSplit/>
        </w:trPr>
        <w:tc>
          <w:tcPr>
            <w:tcW w:w="0" w:type="auto"/>
            <w:tcBorders>
              <w:top w:val="single" w:sz="4" w:space="0" w:color="auto"/>
              <w:left w:val="nil"/>
              <w:bottom w:val="nil"/>
              <w:right w:val="nil"/>
            </w:tcBorders>
          </w:tcPr>
          <w:p w14:paraId="4AE37CBC" w14:textId="77777777" w:rsidR="00980B2F" w:rsidRDefault="00980B2F" w:rsidP="00377F3A">
            <w:pPr>
              <w:pStyle w:val="TableText"/>
            </w:pPr>
            <w:r>
              <w:t>Mammals</w:t>
            </w:r>
          </w:p>
        </w:tc>
        <w:tc>
          <w:tcPr>
            <w:tcW w:w="0" w:type="auto"/>
            <w:tcBorders>
              <w:top w:val="single" w:sz="4" w:space="0" w:color="auto"/>
              <w:left w:val="nil"/>
              <w:bottom w:val="nil"/>
              <w:right w:val="nil"/>
            </w:tcBorders>
          </w:tcPr>
          <w:p w14:paraId="14350600" w14:textId="77777777" w:rsidR="00980B2F" w:rsidRDefault="00980B2F" w:rsidP="00377F3A">
            <w:pPr>
              <w:pStyle w:val="TableText"/>
            </w:pPr>
            <w:r>
              <w:t>Acute</w:t>
            </w:r>
          </w:p>
        </w:tc>
        <w:tc>
          <w:tcPr>
            <w:tcW w:w="0" w:type="auto"/>
            <w:tcBorders>
              <w:top w:val="single" w:sz="4" w:space="0" w:color="auto"/>
              <w:left w:val="nil"/>
              <w:bottom w:val="nil"/>
              <w:right w:val="nil"/>
            </w:tcBorders>
          </w:tcPr>
          <w:p w14:paraId="5133EF56" w14:textId="77777777" w:rsidR="00980B2F" w:rsidRDefault="00980B2F" w:rsidP="00377F3A">
            <w:pPr>
              <w:pStyle w:val="TableText"/>
            </w:pPr>
            <w:r>
              <w:t>Rattus norvegicus</w:t>
            </w:r>
          </w:p>
        </w:tc>
        <w:tc>
          <w:tcPr>
            <w:tcW w:w="0" w:type="auto"/>
            <w:tcBorders>
              <w:top w:val="single" w:sz="4" w:space="0" w:color="auto"/>
              <w:left w:val="nil"/>
              <w:bottom w:val="nil"/>
              <w:right w:val="nil"/>
            </w:tcBorders>
          </w:tcPr>
          <w:p w14:paraId="50719F11" w14:textId="77777777" w:rsidR="00980B2F" w:rsidRDefault="00980B2F" w:rsidP="00377F3A">
            <w:pPr>
              <w:pStyle w:val="TableText"/>
            </w:pPr>
            <w:r>
              <w:t>LD</w:t>
            </w:r>
            <w:r w:rsidRPr="001460B1">
              <w:rPr>
                <w:vertAlign w:val="subscript"/>
              </w:rPr>
              <w:t>50</w:t>
            </w:r>
            <w:r>
              <w:t xml:space="preserve"> 15 mg/kg bw</w:t>
            </w:r>
          </w:p>
        </w:tc>
        <w:tc>
          <w:tcPr>
            <w:tcW w:w="0" w:type="auto"/>
            <w:tcBorders>
              <w:top w:val="single" w:sz="4" w:space="0" w:color="auto"/>
              <w:left w:val="nil"/>
              <w:bottom w:val="nil"/>
              <w:right w:val="nil"/>
            </w:tcBorders>
          </w:tcPr>
          <w:p w14:paraId="31F02D70" w14:textId="77777777" w:rsidR="00980B2F" w:rsidRDefault="00980B2F" w:rsidP="00377F3A">
            <w:pPr>
              <w:pStyle w:val="TableText"/>
            </w:pPr>
            <w:r>
              <w:t>Bowmann 1992</w:t>
            </w:r>
          </w:p>
        </w:tc>
      </w:tr>
      <w:tr w:rsidR="00980B2F" w:rsidRPr="000B2FA7" w14:paraId="095D2CFF" w14:textId="77777777" w:rsidTr="00073396">
        <w:trPr>
          <w:cantSplit/>
        </w:trPr>
        <w:tc>
          <w:tcPr>
            <w:tcW w:w="0" w:type="auto"/>
            <w:tcBorders>
              <w:top w:val="nil"/>
              <w:left w:val="nil"/>
              <w:bottom w:val="nil"/>
              <w:right w:val="nil"/>
            </w:tcBorders>
          </w:tcPr>
          <w:p w14:paraId="30CBA4A5" w14:textId="77777777" w:rsidR="00980B2F" w:rsidRDefault="00980B2F" w:rsidP="00377F3A">
            <w:pPr>
              <w:pStyle w:val="TableText"/>
            </w:pPr>
          </w:p>
        </w:tc>
        <w:tc>
          <w:tcPr>
            <w:tcW w:w="0" w:type="auto"/>
            <w:tcBorders>
              <w:top w:val="nil"/>
              <w:left w:val="nil"/>
              <w:bottom w:val="nil"/>
              <w:right w:val="nil"/>
            </w:tcBorders>
          </w:tcPr>
          <w:p w14:paraId="0F7809D0" w14:textId="77777777" w:rsidR="00980B2F" w:rsidRDefault="00980B2F" w:rsidP="00377F3A">
            <w:pPr>
              <w:pStyle w:val="TableText"/>
            </w:pPr>
            <w:r>
              <w:t>Dietary</w:t>
            </w:r>
          </w:p>
        </w:tc>
        <w:tc>
          <w:tcPr>
            <w:tcW w:w="0" w:type="auto"/>
            <w:tcBorders>
              <w:top w:val="nil"/>
              <w:left w:val="nil"/>
              <w:bottom w:val="nil"/>
              <w:right w:val="nil"/>
            </w:tcBorders>
          </w:tcPr>
          <w:p w14:paraId="0B1D2910" w14:textId="77777777" w:rsidR="00980B2F" w:rsidRDefault="00980B2F" w:rsidP="00377F3A">
            <w:pPr>
              <w:pStyle w:val="TableText"/>
            </w:pPr>
            <w:r>
              <w:t>Meriones hurrianae</w:t>
            </w:r>
          </w:p>
          <w:p w14:paraId="78BCFCA3" w14:textId="77777777" w:rsidR="00980B2F" w:rsidRDefault="00980B2F" w:rsidP="00377F3A">
            <w:pPr>
              <w:pStyle w:val="TableText"/>
            </w:pPr>
            <w:r>
              <w:t>Tatera indica</w:t>
            </w:r>
          </w:p>
        </w:tc>
        <w:tc>
          <w:tcPr>
            <w:tcW w:w="0" w:type="auto"/>
            <w:tcBorders>
              <w:top w:val="nil"/>
              <w:left w:val="nil"/>
              <w:bottom w:val="nil"/>
              <w:right w:val="nil"/>
            </w:tcBorders>
          </w:tcPr>
          <w:p w14:paraId="0534F167" w14:textId="77777777" w:rsidR="00980B2F" w:rsidRDefault="00980B2F" w:rsidP="00377F3A">
            <w:pPr>
              <w:pStyle w:val="TableText"/>
            </w:pPr>
            <w:r>
              <w:t>LDD</w:t>
            </w:r>
            <w:r w:rsidRPr="00830841">
              <w:rPr>
                <w:vertAlign w:val="subscript"/>
              </w:rPr>
              <w:t>50</w:t>
            </w:r>
            <w:r>
              <w:t xml:space="preserve"> 0.53 mg/kg bw/d</w:t>
            </w:r>
          </w:p>
          <w:p w14:paraId="5B1DBD61" w14:textId="77777777" w:rsidR="00980B2F" w:rsidRDefault="00980B2F" w:rsidP="00377F3A">
            <w:pPr>
              <w:pStyle w:val="TableText"/>
            </w:pPr>
            <w:r>
              <w:t>LDD</w:t>
            </w:r>
            <w:r w:rsidRPr="00830841">
              <w:rPr>
                <w:vertAlign w:val="subscript"/>
              </w:rPr>
              <w:t>50</w:t>
            </w:r>
            <w:r>
              <w:t xml:space="preserve"> 0.60 mg/kg bw/d</w:t>
            </w:r>
          </w:p>
        </w:tc>
        <w:tc>
          <w:tcPr>
            <w:tcW w:w="0" w:type="auto"/>
            <w:tcBorders>
              <w:top w:val="nil"/>
              <w:left w:val="nil"/>
              <w:bottom w:val="nil"/>
              <w:right w:val="nil"/>
            </w:tcBorders>
          </w:tcPr>
          <w:p w14:paraId="1EF71E96" w14:textId="77777777" w:rsidR="00980B2F" w:rsidRDefault="00980B2F" w:rsidP="00377F3A">
            <w:pPr>
              <w:pStyle w:val="TableText"/>
            </w:pPr>
            <w:r>
              <w:t>Mathur &amp; Prakash 1983</w:t>
            </w:r>
          </w:p>
        </w:tc>
      </w:tr>
      <w:tr w:rsidR="00980B2F" w:rsidRPr="000B2FA7" w14:paraId="1CD963DF" w14:textId="77777777" w:rsidTr="00073396">
        <w:trPr>
          <w:cantSplit/>
        </w:trPr>
        <w:tc>
          <w:tcPr>
            <w:tcW w:w="0" w:type="auto"/>
            <w:tcBorders>
              <w:top w:val="nil"/>
              <w:left w:val="nil"/>
              <w:bottom w:val="nil"/>
              <w:right w:val="nil"/>
            </w:tcBorders>
          </w:tcPr>
          <w:p w14:paraId="058D7A14" w14:textId="77777777" w:rsidR="00980B2F" w:rsidRDefault="00980B2F" w:rsidP="00377F3A">
            <w:pPr>
              <w:pStyle w:val="TableText"/>
            </w:pPr>
          </w:p>
        </w:tc>
        <w:tc>
          <w:tcPr>
            <w:tcW w:w="0" w:type="auto"/>
            <w:tcBorders>
              <w:top w:val="nil"/>
              <w:left w:val="nil"/>
              <w:bottom w:val="nil"/>
              <w:right w:val="nil"/>
            </w:tcBorders>
          </w:tcPr>
          <w:p w14:paraId="1F91032C" w14:textId="77777777" w:rsidR="00980B2F" w:rsidRDefault="00980B2F" w:rsidP="00377F3A">
            <w:pPr>
              <w:pStyle w:val="TableText"/>
            </w:pPr>
            <w:r>
              <w:t>Palatability &amp;</w:t>
            </w:r>
          </w:p>
          <w:p w14:paraId="1933616A" w14:textId="77777777" w:rsidR="00980B2F" w:rsidRDefault="00980B2F" w:rsidP="00377F3A">
            <w:pPr>
              <w:pStyle w:val="TableText"/>
            </w:pPr>
            <w:r>
              <w:t>avoidance</w:t>
            </w:r>
          </w:p>
        </w:tc>
        <w:tc>
          <w:tcPr>
            <w:tcW w:w="0" w:type="auto"/>
            <w:tcBorders>
              <w:top w:val="nil"/>
              <w:left w:val="nil"/>
              <w:bottom w:val="nil"/>
              <w:right w:val="nil"/>
            </w:tcBorders>
          </w:tcPr>
          <w:p w14:paraId="632CDC59" w14:textId="77777777" w:rsidR="00980B2F" w:rsidRDefault="00980B2F" w:rsidP="00377F3A">
            <w:pPr>
              <w:pStyle w:val="TableText"/>
            </w:pPr>
            <w:r>
              <w:t>Felis catus</w:t>
            </w:r>
          </w:p>
        </w:tc>
        <w:tc>
          <w:tcPr>
            <w:tcW w:w="0" w:type="auto"/>
            <w:tcBorders>
              <w:top w:val="nil"/>
              <w:left w:val="nil"/>
              <w:bottom w:val="nil"/>
              <w:right w:val="nil"/>
            </w:tcBorders>
          </w:tcPr>
          <w:p w14:paraId="4B0E2F0D" w14:textId="77777777" w:rsidR="00980B2F" w:rsidRDefault="00980B2F" w:rsidP="00377F3A">
            <w:pPr>
              <w:pStyle w:val="TableText"/>
            </w:pPr>
            <w:r>
              <w:t>0.37 g/kg paste:</w:t>
            </w:r>
            <w:r>
              <w:tab/>
              <w:t>AV 1.0</w:t>
            </w:r>
          </w:p>
        </w:tc>
        <w:tc>
          <w:tcPr>
            <w:tcW w:w="0" w:type="auto"/>
            <w:tcBorders>
              <w:top w:val="nil"/>
              <w:left w:val="nil"/>
              <w:bottom w:val="nil"/>
              <w:right w:val="nil"/>
            </w:tcBorders>
          </w:tcPr>
          <w:p w14:paraId="7A2FF510" w14:textId="77777777" w:rsidR="00980B2F" w:rsidRDefault="00980B2F" w:rsidP="00377F3A">
            <w:pPr>
              <w:pStyle w:val="TableText"/>
            </w:pPr>
            <w:r>
              <w:t>Hopkins &amp; Kerwick 2001</w:t>
            </w:r>
          </w:p>
        </w:tc>
      </w:tr>
      <w:tr w:rsidR="00980B2F" w:rsidRPr="000B2FA7" w14:paraId="1F123E1F" w14:textId="77777777" w:rsidTr="00073396">
        <w:trPr>
          <w:cantSplit/>
        </w:trPr>
        <w:tc>
          <w:tcPr>
            <w:tcW w:w="0" w:type="auto"/>
            <w:tcBorders>
              <w:top w:val="nil"/>
              <w:left w:val="nil"/>
              <w:bottom w:val="nil"/>
              <w:right w:val="nil"/>
            </w:tcBorders>
          </w:tcPr>
          <w:p w14:paraId="5605E37A" w14:textId="77777777" w:rsidR="00980B2F" w:rsidRDefault="00980B2F" w:rsidP="00377F3A">
            <w:pPr>
              <w:pStyle w:val="TableText"/>
            </w:pPr>
            <w:r>
              <w:t>Birds</w:t>
            </w:r>
          </w:p>
        </w:tc>
        <w:tc>
          <w:tcPr>
            <w:tcW w:w="0" w:type="auto"/>
            <w:tcBorders>
              <w:top w:val="nil"/>
              <w:left w:val="nil"/>
              <w:bottom w:val="nil"/>
              <w:right w:val="nil"/>
            </w:tcBorders>
          </w:tcPr>
          <w:p w14:paraId="3AF4A00E" w14:textId="77777777" w:rsidR="00980B2F" w:rsidRDefault="00980B2F" w:rsidP="00377F3A">
            <w:pPr>
              <w:pStyle w:val="TableText"/>
            </w:pPr>
            <w:r>
              <w:t>Acute</w:t>
            </w:r>
          </w:p>
        </w:tc>
        <w:tc>
          <w:tcPr>
            <w:tcW w:w="0" w:type="auto"/>
            <w:tcBorders>
              <w:top w:val="nil"/>
              <w:left w:val="nil"/>
              <w:bottom w:val="nil"/>
              <w:right w:val="nil"/>
            </w:tcBorders>
          </w:tcPr>
          <w:p w14:paraId="55ACFFAB" w14:textId="77777777" w:rsidR="00980B2F" w:rsidRDefault="00980B2F" w:rsidP="00377F3A">
            <w:pPr>
              <w:pStyle w:val="TableText"/>
            </w:pPr>
            <w:r>
              <w:t>Columbia livia</w:t>
            </w:r>
          </w:p>
        </w:tc>
        <w:tc>
          <w:tcPr>
            <w:tcW w:w="0" w:type="auto"/>
            <w:tcBorders>
              <w:top w:val="nil"/>
              <w:left w:val="nil"/>
              <w:bottom w:val="nil"/>
              <w:right w:val="nil"/>
            </w:tcBorders>
          </w:tcPr>
          <w:p w14:paraId="68D92101" w14:textId="77777777" w:rsidR="00980B2F" w:rsidRDefault="00980B2F" w:rsidP="00377F3A">
            <w:pPr>
              <w:pStyle w:val="TableText"/>
            </w:pPr>
            <w:r>
              <w:t>LD</w:t>
            </w:r>
            <w:r w:rsidRPr="004959F4">
              <w:rPr>
                <w:vertAlign w:val="subscript"/>
              </w:rPr>
              <w:t>50</w:t>
            </w:r>
            <w:r>
              <w:t xml:space="preserve"> &gt;37 mg/kg bw</w:t>
            </w:r>
          </w:p>
        </w:tc>
        <w:tc>
          <w:tcPr>
            <w:tcW w:w="0" w:type="auto"/>
            <w:tcBorders>
              <w:top w:val="nil"/>
              <w:left w:val="nil"/>
              <w:bottom w:val="nil"/>
              <w:right w:val="nil"/>
            </w:tcBorders>
          </w:tcPr>
          <w:p w14:paraId="6CD4140E" w14:textId="77777777" w:rsidR="00980B2F" w:rsidRDefault="00980B2F" w:rsidP="00377F3A">
            <w:pPr>
              <w:pStyle w:val="TableText"/>
            </w:pPr>
            <w:r>
              <w:t>Bhide &amp; Naik 1989a</w:t>
            </w:r>
          </w:p>
        </w:tc>
      </w:tr>
      <w:tr w:rsidR="00980B2F" w:rsidRPr="000B2FA7" w14:paraId="11D76A9F" w14:textId="77777777" w:rsidTr="00073396">
        <w:trPr>
          <w:cantSplit/>
        </w:trPr>
        <w:tc>
          <w:tcPr>
            <w:tcW w:w="0" w:type="auto"/>
            <w:tcBorders>
              <w:top w:val="nil"/>
              <w:left w:val="nil"/>
              <w:bottom w:val="nil"/>
              <w:right w:val="nil"/>
            </w:tcBorders>
          </w:tcPr>
          <w:p w14:paraId="23EC3B55" w14:textId="77777777" w:rsidR="00980B2F" w:rsidRDefault="00980B2F" w:rsidP="00377F3A">
            <w:pPr>
              <w:pStyle w:val="TableText"/>
            </w:pPr>
          </w:p>
        </w:tc>
        <w:tc>
          <w:tcPr>
            <w:tcW w:w="0" w:type="auto"/>
            <w:tcBorders>
              <w:top w:val="nil"/>
              <w:left w:val="nil"/>
              <w:bottom w:val="nil"/>
              <w:right w:val="nil"/>
            </w:tcBorders>
          </w:tcPr>
          <w:p w14:paraId="38ACF396" w14:textId="77777777" w:rsidR="00980B2F" w:rsidRPr="00F77589" w:rsidRDefault="00980B2F" w:rsidP="00377F3A">
            <w:pPr>
              <w:pStyle w:val="TableText"/>
            </w:pPr>
          </w:p>
        </w:tc>
        <w:tc>
          <w:tcPr>
            <w:tcW w:w="0" w:type="auto"/>
            <w:tcBorders>
              <w:top w:val="nil"/>
              <w:left w:val="nil"/>
              <w:bottom w:val="nil"/>
              <w:right w:val="nil"/>
            </w:tcBorders>
          </w:tcPr>
          <w:p w14:paraId="5E0994D0" w14:textId="77777777" w:rsidR="00980B2F" w:rsidRDefault="00980B2F" w:rsidP="00377F3A">
            <w:pPr>
              <w:pStyle w:val="TableText"/>
            </w:pPr>
            <w:r>
              <w:t>Gallus domesticus</w:t>
            </w:r>
          </w:p>
        </w:tc>
        <w:tc>
          <w:tcPr>
            <w:tcW w:w="0" w:type="auto"/>
            <w:tcBorders>
              <w:top w:val="nil"/>
              <w:left w:val="nil"/>
              <w:bottom w:val="nil"/>
              <w:right w:val="nil"/>
            </w:tcBorders>
          </w:tcPr>
          <w:p w14:paraId="309EC8CE" w14:textId="77777777" w:rsidR="00980B2F" w:rsidRDefault="00980B2F" w:rsidP="00377F3A">
            <w:pPr>
              <w:pStyle w:val="TableText"/>
            </w:pPr>
            <w:r>
              <w:t>LD</w:t>
            </w:r>
            <w:r w:rsidRPr="004959F4">
              <w:rPr>
                <w:vertAlign w:val="subscript"/>
              </w:rPr>
              <w:t>50</w:t>
            </w:r>
            <w:r>
              <w:t xml:space="preserve"> &gt;37 mg/kg bw</w:t>
            </w:r>
          </w:p>
        </w:tc>
        <w:tc>
          <w:tcPr>
            <w:tcW w:w="0" w:type="auto"/>
            <w:tcBorders>
              <w:top w:val="nil"/>
              <w:left w:val="nil"/>
              <w:bottom w:val="nil"/>
              <w:right w:val="nil"/>
            </w:tcBorders>
          </w:tcPr>
          <w:p w14:paraId="568A4720" w14:textId="77777777" w:rsidR="00980B2F" w:rsidRDefault="00980B2F" w:rsidP="00377F3A">
            <w:pPr>
              <w:pStyle w:val="TableText"/>
            </w:pPr>
            <w:r>
              <w:t>Bhide &amp; Naik 1989b</w:t>
            </w:r>
          </w:p>
        </w:tc>
      </w:tr>
      <w:tr w:rsidR="00980B2F" w:rsidRPr="000B2FA7" w14:paraId="380A702B" w14:textId="77777777" w:rsidTr="00073396">
        <w:trPr>
          <w:cantSplit/>
        </w:trPr>
        <w:tc>
          <w:tcPr>
            <w:tcW w:w="0" w:type="auto"/>
            <w:tcBorders>
              <w:top w:val="nil"/>
              <w:left w:val="nil"/>
              <w:bottom w:val="nil"/>
              <w:right w:val="nil"/>
            </w:tcBorders>
          </w:tcPr>
          <w:p w14:paraId="085871D7" w14:textId="77777777" w:rsidR="00980B2F" w:rsidRDefault="00980B2F" w:rsidP="00377F3A">
            <w:pPr>
              <w:pStyle w:val="TableText"/>
            </w:pPr>
          </w:p>
        </w:tc>
        <w:tc>
          <w:tcPr>
            <w:tcW w:w="0" w:type="auto"/>
            <w:tcBorders>
              <w:top w:val="nil"/>
              <w:left w:val="nil"/>
              <w:bottom w:val="nil"/>
              <w:right w:val="nil"/>
            </w:tcBorders>
          </w:tcPr>
          <w:p w14:paraId="4413F61C" w14:textId="77777777" w:rsidR="00980B2F" w:rsidRPr="00F77589" w:rsidRDefault="00980B2F" w:rsidP="00377F3A">
            <w:pPr>
              <w:pStyle w:val="TableText"/>
            </w:pPr>
          </w:p>
        </w:tc>
        <w:tc>
          <w:tcPr>
            <w:tcW w:w="0" w:type="auto"/>
            <w:tcBorders>
              <w:top w:val="nil"/>
              <w:left w:val="nil"/>
              <w:bottom w:val="nil"/>
              <w:right w:val="nil"/>
            </w:tcBorders>
          </w:tcPr>
          <w:p w14:paraId="4CD56211" w14:textId="77777777" w:rsidR="00980B2F" w:rsidRPr="0075361C" w:rsidRDefault="00980B2F" w:rsidP="00377F3A">
            <w:pPr>
              <w:pStyle w:val="TableText"/>
            </w:pPr>
            <w:r>
              <w:t>Coturnix japonica</w:t>
            </w:r>
          </w:p>
        </w:tc>
        <w:tc>
          <w:tcPr>
            <w:tcW w:w="0" w:type="auto"/>
            <w:tcBorders>
              <w:top w:val="nil"/>
              <w:left w:val="nil"/>
              <w:bottom w:val="nil"/>
              <w:right w:val="nil"/>
            </w:tcBorders>
          </w:tcPr>
          <w:p w14:paraId="31201479" w14:textId="77777777" w:rsidR="00980B2F" w:rsidRPr="00CA558C" w:rsidRDefault="00980B2F" w:rsidP="00377F3A">
            <w:pPr>
              <w:pStyle w:val="TableText"/>
            </w:pPr>
            <w:r>
              <w:t>LD</w:t>
            </w:r>
            <w:r w:rsidRPr="00F77589">
              <w:rPr>
                <w:vertAlign w:val="subscript"/>
              </w:rPr>
              <w:t>50</w:t>
            </w:r>
            <w:r>
              <w:t xml:space="preserve"> &gt;2000 mg/kg bw</w:t>
            </w:r>
          </w:p>
        </w:tc>
        <w:tc>
          <w:tcPr>
            <w:tcW w:w="0" w:type="auto"/>
            <w:tcBorders>
              <w:top w:val="nil"/>
              <w:left w:val="nil"/>
              <w:bottom w:val="nil"/>
              <w:right w:val="nil"/>
            </w:tcBorders>
          </w:tcPr>
          <w:p w14:paraId="36BE27D2" w14:textId="77777777" w:rsidR="00980B2F" w:rsidRPr="00CA558C" w:rsidRDefault="00980B2F" w:rsidP="00377F3A">
            <w:pPr>
              <w:pStyle w:val="TableText"/>
            </w:pPr>
            <w:r>
              <w:t>Grau 1992a</w:t>
            </w:r>
          </w:p>
        </w:tc>
      </w:tr>
      <w:tr w:rsidR="00980B2F" w:rsidRPr="000B2FA7" w14:paraId="4F54A45C" w14:textId="77777777" w:rsidTr="00073396">
        <w:trPr>
          <w:cantSplit/>
        </w:trPr>
        <w:tc>
          <w:tcPr>
            <w:tcW w:w="0" w:type="auto"/>
            <w:tcBorders>
              <w:top w:val="nil"/>
              <w:left w:val="nil"/>
              <w:bottom w:val="nil"/>
              <w:right w:val="nil"/>
            </w:tcBorders>
          </w:tcPr>
          <w:p w14:paraId="0F7B99B4" w14:textId="77777777" w:rsidR="00980B2F" w:rsidRDefault="00980B2F" w:rsidP="00377F3A">
            <w:pPr>
              <w:pStyle w:val="TableText"/>
            </w:pPr>
          </w:p>
        </w:tc>
        <w:tc>
          <w:tcPr>
            <w:tcW w:w="0" w:type="auto"/>
            <w:tcBorders>
              <w:top w:val="nil"/>
              <w:left w:val="nil"/>
              <w:bottom w:val="nil"/>
              <w:right w:val="nil"/>
            </w:tcBorders>
          </w:tcPr>
          <w:p w14:paraId="13C4422B" w14:textId="77777777" w:rsidR="00980B2F" w:rsidRDefault="00980B2F" w:rsidP="00377F3A">
            <w:pPr>
              <w:pStyle w:val="TableText"/>
            </w:pPr>
            <w:r>
              <w:t>Dietary</w:t>
            </w:r>
          </w:p>
        </w:tc>
        <w:tc>
          <w:tcPr>
            <w:tcW w:w="0" w:type="auto"/>
            <w:tcBorders>
              <w:top w:val="nil"/>
              <w:left w:val="nil"/>
              <w:bottom w:val="nil"/>
              <w:right w:val="nil"/>
            </w:tcBorders>
          </w:tcPr>
          <w:p w14:paraId="6B2B32CD" w14:textId="77777777" w:rsidR="00980B2F" w:rsidRPr="00180A69" w:rsidRDefault="00980B2F" w:rsidP="00377F3A">
            <w:pPr>
              <w:pStyle w:val="TableText"/>
            </w:pPr>
            <w:r>
              <w:t>Coturnix japonica</w:t>
            </w:r>
          </w:p>
        </w:tc>
        <w:tc>
          <w:tcPr>
            <w:tcW w:w="0" w:type="auto"/>
            <w:tcBorders>
              <w:top w:val="nil"/>
              <w:left w:val="nil"/>
              <w:bottom w:val="nil"/>
              <w:right w:val="nil"/>
            </w:tcBorders>
          </w:tcPr>
          <w:p w14:paraId="7348D1BD" w14:textId="77777777" w:rsidR="00980B2F" w:rsidRPr="00CA558C" w:rsidRDefault="00980B2F" w:rsidP="00377F3A">
            <w:pPr>
              <w:pStyle w:val="TableText"/>
            </w:pPr>
            <w:r>
              <w:t>LC</w:t>
            </w:r>
            <w:r w:rsidRPr="00F77589">
              <w:rPr>
                <w:vertAlign w:val="subscript"/>
              </w:rPr>
              <w:t>50</w:t>
            </w:r>
            <w:r>
              <w:t xml:space="preserve"> 1733 mg/kg food</w:t>
            </w:r>
          </w:p>
        </w:tc>
        <w:tc>
          <w:tcPr>
            <w:tcW w:w="0" w:type="auto"/>
            <w:tcBorders>
              <w:top w:val="nil"/>
              <w:left w:val="nil"/>
              <w:bottom w:val="nil"/>
              <w:right w:val="nil"/>
            </w:tcBorders>
          </w:tcPr>
          <w:p w14:paraId="4BA335D2" w14:textId="77777777" w:rsidR="00980B2F" w:rsidRDefault="00980B2F" w:rsidP="00377F3A">
            <w:pPr>
              <w:pStyle w:val="TableText"/>
            </w:pPr>
            <w:r>
              <w:t>Grau 1992b</w:t>
            </w:r>
          </w:p>
        </w:tc>
      </w:tr>
      <w:tr w:rsidR="00980B2F" w:rsidRPr="000B2FA7" w14:paraId="458081AB" w14:textId="77777777" w:rsidTr="00073396">
        <w:trPr>
          <w:cantSplit/>
        </w:trPr>
        <w:tc>
          <w:tcPr>
            <w:tcW w:w="0" w:type="auto"/>
            <w:tcBorders>
              <w:top w:val="nil"/>
              <w:left w:val="nil"/>
              <w:bottom w:val="nil"/>
              <w:right w:val="nil"/>
            </w:tcBorders>
          </w:tcPr>
          <w:p w14:paraId="0DBD91A4" w14:textId="77777777" w:rsidR="00980B2F" w:rsidRDefault="00980B2F" w:rsidP="00377F3A">
            <w:pPr>
              <w:pStyle w:val="TableText"/>
            </w:pPr>
          </w:p>
        </w:tc>
        <w:tc>
          <w:tcPr>
            <w:tcW w:w="0" w:type="auto"/>
            <w:tcBorders>
              <w:top w:val="nil"/>
              <w:left w:val="nil"/>
              <w:bottom w:val="nil"/>
              <w:right w:val="nil"/>
            </w:tcBorders>
          </w:tcPr>
          <w:p w14:paraId="3C88F1F5" w14:textId="77777777" w:rsidR="00980B2F" w:rsidRDefault="00980B2F" w:rsidP="00377F3A">
            <w:pPr>
              <w:pStyle w:val="TableText"/>
            </w:pPr>
          </w:p>
        </w:tc>
        <w:tc>
          <w:tcPr>
            <w:tcW w:w="0" w:type="auto"/>
            <w:tcBorders>
              <w:top w:val="nil"/>
              <w:left w:val="nil"/>
              <w:bottom w:val="nil"/>
              <w:right w:val="nil"/>
            </w:tcBorders>
          </w:tcPr>
          <w:p w14:paraId="6CB71260" w14:textId="77777777" w:rsidR="00980B2F" w:rsidRDefault="00980B2F" w:rsidP="00377F3A">
            <w:pPr>
              <w:pStyle w:val="TableText"/>
            </w:pPr>
            <w:r>
              <w:t>Passer melanurus</w:t>
            </w:r>
          </w:p>
        </w:tc>
        <w:tc>
          <w:tcPr>
            <w:tcW w:w="0" w:type="auto"/>
            <w:tcBorders>
              <w:top w:val="nil"/>
              <w:left w:val="nil"/>
              <w:bottom w:val="nil"/>
              <w:right w:val="nil"/>
            </w:tcBorders>
          </w:tcPr>
          <w:p w14:paraId="4648ECED" w14:textId="77777777" w:rsidR="00980B2F" w:rsidRPr="006F78D3" w:rsidRDefault="00980B2F" w:rsidP="00377F3A">
            <w:pPr>
              <w:pStyle w:val="TableText"/>
              <w:rPr>
                <w:lang w:val="de-CH"/>
              </w:rPr>
            </w:pPr>
            <w:r w:rsidRPr="006F78D3">
              <w:rPr>
                <w:lang w:val="de-CH"/>
              </w:rPr>
              <w:t>LDD</w:t>
            </w:r>
            <w:r w:rsidRPr="00F85D43">
              <w:rPr>
                <w:vertAlign w:val="subscript"/>
                <w:lang w:val="de-CH"/>
              </w:rPr>
              <w:t>50</w:t>
            </w:r>
            <w:r w:rsidRPr="006F78D3">
              <w:rPr>
                <w:lang w:val="de-CH"/>
              </w:rPr>
              <w:t xml:space="preserve"> 38 mg/kg bw/d </w:t>
            </w:r>
          </w:p>
        </w:tc>
        <w:tc>
          <w:tcPr>
            <w:tcW w:w="0" w:type="auto"/>
            <w:tcBorders>
              <w:top w:val="nil"/>
              <w:left w:val="nil"/>
              <w:bottom w:val="nil"/>
              <w:right w:val="nil"/>
            </w:tcBorders>
          </w:tcPr>
          <w:p w14:paraId="76B62A45" w14:textId="77777777" w:rsidR="00980B2F" w:rsidRDefault="00980B2F" w:rsidP="00377F3A">
            <w:pPr>
              <w:pStyle w:val="TableText"/>
            </w:pPr>
            <w:r w:rsidRPr="00830841">
              <w:t>Heÿl 1986</w:t>
            </w:r>
          </w:p>
        </w:tc>
      </w:tr>
      <w:tr w:rsidR="00980B2F" w:rsidRPr="000B2FA7" w14:paraId="1D40F307" w14:textId="77777777" w:rsidTr="00073396">
        <w:trPr>
          <w:cantSplit/>
        </w:trPr>
        <w:tc>
          <w:tcPr>
            <w:tcW w:w="0" w:type="auto"/>
            <w:tcBorders>
              <w:top w:val="nil"/>
              <w:left w:val="nil"/>
              <w:bottom w:val="nil"/>
              <w:right w:val="nil"/>
            </w:tcBorders>
          </w:tcPr>
          <w:p w14:paraId="5BCB897D" w14:textId="77777777" w:rsidR="00980B2F" w:rsidRDefault="00980B2F" w:rsidP="00377F3A">
            <w:pPr>
              <w:pStyle w:val="TableText"/>
            </w:pPr>
          </w:p>
        </w:tc>
        <w:tc>
          <w:tcPr>
            <w:tcW w:w="0" w:type="auto"/>
            <w:tcBorders>
              <w:top w:val="nil"/>
              <w:left w:val="nil"/>
              <w:bottom w:val="nil"/>
              <w:right w:val="nil"/>
            </w:tcBorders>
          </w:tcPr>
          <w:p w14:paraId="2A66723A" w14:textId="77777777" w:rsidR="00980B2F" w:rsidRDefault="00980B2F" w:rsidP="00377F3A">
            <w:pPr>
              <w:pStyle w:val="TableText"/>
            </w:pPr>
            <w:r>
              <w:t>Reproduction</w:t>
            </w:r>
          </w:p>
        </w:tc>
        <w:tc>
          <w:tcPr>
            <w:tcW w:w="0" w:type="auto"/>
            <w:tcBorders>
              <w:top w:val="nil"/>
              <w:left w:val="nil"/>
              <w:bottom w:val="nil"/>
              <w:right w:val="nil"/>
            </w:tcBorders>
          </w:tcPr>
          <w:p w14:paraId="3738F18A" w14:textId="77777777" w:rsidR="00980B2F" w:rsidRPr="00180A69" w:rsidRDefault="00980B2F" w:rsidP="00377F3A">
            <w:pPr>
              <w:pStyle w:val="TableText"/>
            </w:pPr>
            <w:r>
              <w:t>Coturnix japonica</w:t>
            </w:r>
          </w:p>
        </w:tc>
        <w:tc>
          <w:tcPr>
            <w:tcW w:w="0" w:type="auto"/>
            <w:tcBorders>
              <w:top w:val="nil"/>
              <w:left w:val="nil"/>
              <w:bottom w:val="nil"/>
              <w:right w:val="nil"/>
            </w:tcBorders>
          </w:tcPr>
          <w:p w14:paraId="1E970623" w14:textId="77777777" w:rsidR="00980B2F" w:rsidRPr="00CA558C" w:rsidRDefault="00980B2F" w:rsidP="00377F3A">
            <w:pPr>
              <w:pStyle w:val="TableText"/>
            </w:pPr>
            <w:r>
              <w:t>NOEC 20 mg/kg food</w:t>
            </w:r>
          </w:p>
        </w:tc>
        <w:tc>
          <w:tcPr>
            <w:tcW w:w="0" w:type="auto"/>
            <w:tcBorders>
              <w:top w:val="nil"/>
              <w:left w:val="nil"/>
              <w:bottom w:val="nil"/>
              <w:right w:val="nil"/>
            </w:tcBorders>
          </w:tcPr>
          <w:p w14:paraId="22D33FBD" w14:textId="77777777" w:rsidR="00980B2F" w:rsidRDefault="00980B2F" w:rsidP="00377F3A">
            <w:pPr>
              <w:pStyle w:val="TableText"/>
            </w:pPr>
            <w:r>
              <w:t>Barfknecht 2004</w:t>
            </w:r>
          </w:p>
        </w:tc>
      </w:tr>
      <w:tr w:rsidR="00980B2F" w:rsidRPr="000B2FA7" w14:paraId="72A468BF" w14:textId="77777777" w:rsidTr="00073396">
        <w:trPr>
          <w:cantSplit/>
        </w:trPr>
        <w:tc>
          <w:tcPr>
            <w:tcW w:w="0" w:type="auto"/>
            <w:tcBorders>
              <w:top w:val="nil"/>
              <w:left w:val="nil"/>
              <w:bottom w:val="nil"/>
              <w:right w:val="nil"/>
            </w:tcBorders>
          </w:tcPr>
          <w:p w14:paraId="365609EC" w14:textId="77777777" w:rsidR="00980B2F" w:rsidRDefault="00980B2F" w:rsidP="00377F3A">
            <w:pPr>
              <w:pStyle w:val="TableText"/>
            </w:pPr>
          </w:p>
        </w:tc>
        <w:tc>
          <w:tcPr>
            <w:tcW w:w="0" w:type="auto"/>
            <w:vMerge w:val="restart"/>
            <w:tcBorders>
              <w:top w:val="nil"/>
              <w:left w:val="nil"/>
              <w:right w:val="nil"/>
            </w:tcBorders>
          </w:tcPr>
          <w:p w14:paraId="1DC77C0D" w14:textId="77777777" w:rsidR="00980B2F" w:rsidRDefault="00980B2F" w:rsidP="00377F3A">
            <w:pPr>
              <w:pStyle w:val="TableText"/>
            </w:pPr>
            <w:r>
              <w:t>Palatability &amp;</w:t>
            </w:r>
          </w:p>
          <w:p w14:paraId="08EEC5FC" w14:textId="77777777" w:rsidR="00980B2F" w:rsidRDefault="00980B2F" w:rsidP="00377F3A">
            <w:pPr>
              <w:pStyle w:val="TableText"/>
            </w:pPr>
            <w:r>
              <w:t>avoidance</w:t>
            </w:r>
          </w:p>
        </w:tc>
        <w:tc>
          <w:tcPr>
            <w:tcW w:w="0" w:type="auto"/>
            <w:tcBorders>
              <w:top w:val="nil"/>
              <w:left w:val="nil"/>
              <w:bottom w:val="nil"/>
              <w:right w:val="nil"/>
            </w:tcBorders>
          </w:tcPr>
          <w:p w14:paraId="4B2DFE0F" w14:textId="77777777" w:rsidR="00980B2F" w:rsidRDefault="00980B2F" w:rsidP="00377F3A">
            <w:pPr>
              <w:pStyle w:val="TableText"/>
            </w:pPr>
            <w:r>
              <w:t>Gallus domesticus</w:t>
            </w:r>
          </w:p>
        </w:tc>
        <w:tc>
          <w:tcPr>
            <w:tcW w:w="0" w:type="auto"/>
            <w:tcBorders>
              <w:top w:val="nil"/>
              <w:left w:val="nil"/>
              <w:bottom w:val="nil"/>
              <w:right w:val="nil"/>
            </w:tcBorders>
          </w:tcPr>
          <w:p w14:paraId="3E78510D" w14:textId="77777777" w:rsidR="00980B2F" w:rsidRDefault="00980B2F" w:rsidP="00377F3A">
            <w:pPr>
              <w:pStyle w:val="TableText"/>
            </w:pPr>
            <w:r>
              <w:t xml:space="preserve">0.0375 g/kg paste: </w:t>
            </w:r>
            <w:r>
              <w:tab/>
              <w:t>PD 0</w:t>
            </w:r>
          </w:p>
        </w:tc>
        <w:tc>
          <w:tcPr>
            <w:tcW w:w="0" w:type="auto"/>
            <w:tcBorders>
              <w:top w:val="nil"/>
              <w:left w:val="nil"/>
              <w:bottom w:val="nil"/>
              <w:right w:val="nil"/>
            </w:tcBorders>
          </w:tcPr>
          <w:p w14:paraId="28CA4421" w14:textId="77777777" w:rsidR="00980B2F" w:rsidRDefault="00980B2F" w:rsidP="00377F3A">
            <w:pPr>
              <w:pStyle w:val="TableText"/>
            </w:pPr>
            <w:r w:rsidRPr="00085294">
              <w:t>Barfknecht</w:t>
            </w:r>
            <w:r>
              <w:t xml:space="preserve"> 2005a</w:t>
            </w:r>
          </w:p>
        </w:tc>
      </w:tr>
      <w:tr w:rsidR="00980B2F" w:rsidRPr="000B2FA7" w14:paraId="1317F930" w14:textId="77777777" w:rsidTr="00073396">
        <w:trPr>
          <w:cantSplit/>
        </w:trPr>
        <w:tc>
          <w:tcPr>
            <w:tcW w:w="0" w:type="auto"/>
            <w:tcBorders>
              <w:top w:val="nil"/>
              <w:left w:val="nil"/>
              <w:bottom w:val="nil"/>
              <w:right w:val="nil"/>
            </w:tcBorders>
          </w:tcPr>
          <w:p w14:paraId="21D10828" w14:textId="77777777" w:rsidR="00980B2F" w:rsidRDefault="00980B2F" w:rsidP="00377F3A">
            <w:pPr>
              <w:pStyle w:val="TableText"/>
            </w:pPr>
          </w:p>
        </w:tc>
        <w:tc>
          <w:tcPr>
            <w:tcW w:w="0" w:type="auto"/>
            <w:vMerge/>
            <w:tcBorders>
              <w:left w:val="nil"/>
              <w:bottom w:val="nil"/>
              <w:right w:val="nil"/>
            </w:tcBorders>
          </w:tcPr>
          <w:p w14:paraId="6B329C07" w14:textId="77777777" w:rsidR="00980B2F" w:rsidRDefault="00980B2F" w:rsidP="00377F3A">
            <w:pPr>
              <w:pStyle w:val="TableText"/>
            </w:pPr>
          </w:p>
        </w:tc>
        <w:tc>
          <w:tcPr>
            <w:tcW w:w="0" w:type="auto"/>
            <w:tcBorders>
              <w:top w:val="nil"/>
              <w:left w:val="nil"/>
              <w:bottom w:val="nil"/>
              <w:right w:val="nil"/>
            </w:tcBorders>
          </w:tcPr>
          <w:p w14:paraId="0F98ACE9" w14:textId="77777777" w:rsidR="00980B2F" w:rsidRDefault="00980B2F" w:rsidP="00377F3A">
            <w:pPr>
              <w:pStyle w:val="TableText"/>
            </w:pPr>
          </w:p>
        </w:tc>
        <w:tc>
          <w:tcPr>
            <w:tcW w:w="0" w:type="auto"/>
            <w:tcBorders>
              <w:top w:val="nil"/>
              <w:left w:val="nil"/>
              <w:bottom w:val="nil"/>
              <w:right w:val="nil"/>
            </w:tcBorders>
          </w:tcPr>
          <w:p w14:paraId="6F2E1D90" w14:textId="77777777" w:rsidR="00980B2F" w:rsidRDefault="00980B2F" w:rsidP="00377F3A">
            <w:pPr>
              <w:pStyle w:val="TableText"/>
            </w:pPr>
            <w:r>
              <w:t xml:space="preserve">0.0375 g/kg paste: </w:t>
            </w:r>
            <w:r>
              <w:tab/>
              <w:t>AV 0.60</w:t>
            </w:r>
          </w:p>
        </w:tc>
        <w:tc>
          <w:tcPr>
            <w:tcW w:w="0" w:type="auto"/>
            <w:tcBorders>
              <w:top w:val="nil"/>
              <w:left w:val="nil"/>
              <w:bottom w:val="nil"/>
              <w:right w:val="nil"/>
            </w:tcBorders>
          </w:tcPr>
          <w:p w14:paraId="573122FC" w14:textId="77777777" w:rsidR="00980B2F" w:rsidRPr="00085294" w:rsidRDefault="00980B2F" w:rsidP="00377F3A">
            <w:pPr>
              <w:pStyle w:val="TableText"/>
            </w:pPr>
            <w:r w:rsidRPr="00085294">
              <w:t>Barfknecht</w:t>
            </w:r>
            <w:r>
              <w:t xml:space="preserve"> 2005b</w:t>
            </w:r>
          </w:p>
        </w:tc>
      </w:tr>
      <w:tr w:rsidR="00980B2F" w:rsidRPr="000B2FA7" w14:paraId="66373BAE" w14:textId="77777777" w:rsidTr="00073396">
        <w:trPr>
          <w:cantSplit/>
        </w:trPr>
        <w:tc>
          <w:tcPr>
            <w:tcW w:w="0" w:type="auto"/>
            <w:tcBorders>
              <w:top w:val="nil"/>
              <w:left w:val="nil"/>
              <w:bottom w:val="single" w:sz="4" w:space="0" w:color="auto"/>
              <w:right w:val="nil"/>
            </w:tcBorders>
          </w:tcPr>
          <w:p w14:paraId="5DC0CDFB" w14:textId="77777777" w:rsidR="00980B2F" w:rsidRDefault="00980B2F" w:rsidP="00377F3A">
            <w:pPr>
              <w:pStyle w:val="TableText"/>
            </w:pPr>
            <w:r>
              <w:t>Reptiles</w:t>
            </w:r>
          </w:p>
        </w:tc>
        <w:tc>
          <w:tcPr>
            <w:tcW w:w="0" w:type="auto"/>
            <w:tcBorders>
              <w:top w:val="nil"/>
              <w:left w:val="nil"/>
              <w:bottom w:val="single" w:sz="4" w:space="0" w:color="auto"/>
              <w:right w:val="nil"/>
            </w:tcBorders>
          </w:tcPr>
          <w:p w14:paraId="48AAED66" w14:textId="77777777" w:rsidR="00980B2F" w:rsidRDefault="00980B2F" w:rsidP="00377F3A">
            <w:pPr>
              <w:pStyle w:val="TableText"/>
            </w:pPr>
            <w:r>
              <w:t>Acute</w:t>
            </w:r>
          </w:p>
        </w:tc>
        <w:tc>
          <w:tcPr>
            <w:tcW w:w="0" w:type="auto"/>
            <w:tcBorders>
              <w:top w:val="nil"/>
              <w:left w:val="nil"/>
              <w:bottom w:val="single" w:sz="4" w:space="0" w:color="auto"/>
              <w:right w:val="nil"/>
            </w:tcBorders>
          </w:tcPr>
          <w:p w14:paraId="60624C60" w14:textId="77777777" w:rsidR="00980B2F" w:rsidRDefault="00980B2F" w:rsidP="00377F3A">
            <w:pPr>
              <w:pStyle w:val="TableText"/>
            </w:pPr>
            <w:r>
              <w:t>Sceloporus occidentalis</w:t>
            </w:r>
          </w:p>
        </w:tc>
        <w:tc>
          <w:tcPr>
            <w:tcW w:w="0" w:type="auto"/>
            <w:tcBorders>
              <w:top w:val="nil"/>
              <w:left w:val="nil"/>
              <w:bottom w:val="single" w:sz="4" w:space="0" w:color="auto"/>
              <w:right w:val="nil"/>
            </w:tcBorders>
          </w:tcPr>
          <w:p w14:paraId="3618F56A" w14:textId="77777777" w:rsidR="00980B2F" w:rsidRDefault="00980B2F" w:rsidP="00377F3A">
            <w:pPr>
              <w:pStyle w:val="TableText"/>
            </w:pPr>
            <w:r>
              <w:t>LD</w:t>
            </w:r>
            <w:r w:rsidRPr="00347AC9">
              <w:rPr>
                <w:vertAlign w:val="subscript"/>
              </w:rPr>
              <w:t>50</w:t>
            </w:r>
            <w:r>
              <w:t xml:space="preserve"> &gt;1750 mg/kg bw</w:t>
            </w:r>
          </w:p>
        </w:tc>
        <w:tc>
          <w:tcPr>
            <w:tcW w:w="0" w:type="auto"/>
            <w:tcBorders>
              <w:top w:val="nil"/>
              <w:left w:val="nil"/>
              <w:bottom w:val="single" w:sz="4" w:space="0" w:color="auto"/>
              <w:right w:val="nil"/>
            </w:tcBorders>
          </w:tcPr>
          <w:p w14:paraId="768BA49E" w14:textId="5F51CEC9" w:rsidR="00980B2F" w:rsidRPr="00085294" w:rsidRDefault="00980B2F" w:rsidP="00377F3A">
            <w:pPr>
              <w:pStyle w:val="TableText"/>
            </w:pPr>
            <w:r>
              <w:t xml:space="preserve">Weir </w:t>
            </w:r>
            <w:r w:rsidR="00B7183A" w:rsidRPr="00B7183A">
              <w:rPr>
                <w:i/>
                <w:iCs/>
              </w:rPr>
              <w:t>et al</w:t>
            </w:r>
            <w:r>
              <w:t>. 2016</w:t>
            </w:r>
          </w:p>
        </w:tc>
      </w:tr>
    </w:tbl>
    <w:bookmarkEnd w:id="1961"/>
    <w:p w14:paraId="41ACE34B" w14:textId="77777777" w:rsidR="00261086" w:rsidRPr="004249C4" w:rsidRDefault="00261086" w:rsidP="00377F3A">
      <w:pPr>
        <w:pStyle w:val="TableText"/>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20988578" w14:textId="37740BC5" w:rsidR="00261086" w:rsidRPr="00861CA0" w:rsidRDefault="00850971" w:rsidP="00377F3A">
      <w:pPr>
        <w:pStyle w:val="Caption"/>
      </w:pPr>
      <w:bookmarkStart w:id="1962" w:name="_Toc213946060"/>
      <w:bookmarkStart w:id="1963" w:name="_Hlk182409757"/>
      <w:bookmarkStart w:id="1964" w:name="_Hlk182494229"/>
      <w:bookmarkStart w:id="1965" w:name="_Toc216695751"/>
      <w:bookmarkEnd w:id="1959"/>
      <w:r>
        <w:t xml:space="preserve">Table </w:t>
      </w:r>
      <w:r>
        <w:fldChar w:fldCharType="begin"/>
      </w:r>
      <w:r>
        <w:instrText xml:space="preserve"> SEQ Table \* ARABIC </w:instrText>
      </w:r>
      <w:r>
        <w:fldChar w:fldCharType="separate"/>
      </w:r>
      <w:r w:rsidR="003861AC">
        <w:rPr>
          <w:noProof/>
        </w:rPr>
        <w:t>89</w:t>
      </w:r>
      <w:r>
        <w:fldChar w:fldCharType="end"/>
      </w:r>
      <w:r>
        <w:t>:</w:t>
      </w:r>
      <w:r w:rsidR="00A5093B">
        <w:t xml:space="preserve"> </w:t>
      </w:r>
      <w:r w:rsidR="002839E4">
        <w:t xml:space="preserve">Coumatetralyl – </w:t>
      </w:r>
      <w:r w:rsidR="00261086">
        <w:t>Secondary poisoning studies on terrestrial vertebrates</w:t>
      </w:r>
      <w:bookmarkEnd w:id="1962"/>
      <w:bookmarkEnd w:id="19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3"/>
        <w:gridCol w:w="1275"/>
        <w:gridCol w:w="1202"/>
        <w:gridCol w:w="4045"/>
        <w:gridCol w:w="2213"/>
      </w:tblGrid>
      <w:tr w:rsidR="002839E4" w:rsidRPr="000B2FA7" w14:paraId="768E4CB8" w14:textId="77777777" w:rsidTr="0017134F">
        <w:trPr>
          <w:cantSplit/>
          <w:tblHeader/>
        </w:trPr>
        <w:tc>
          <w:tcPr>
            <w:tcW w:w="0" w:type="auto"/>
            <w:tcBorders>
              <w:bottom w:val="single" w:sz="4" w:space="0" w:color="auto"/>
            </w:tcBorders>
            <w:shd w:val="clear" w:color="auto" w:fill="53284F"/>
          </w:tcPr>
          <w:p w14:paraId="754AC8B8" w14:textId="77777777" w:rsidR="002839E4" w:rsidRDefault="002839E4" w:rsidP="00377F3A">
            <w:pPr>
              <w:pStyle w:val="TableHead"/>
            </w:pPr>
            <w:r>
              <w:t>Group</w:t>
            </w:r>
          </w:p>
        </w:tc>
        <w:tc>
          <w:tcPr>
            <w:tcW w:w="0" w:type="auto"/>
            <w:tcBorders>
              <w:bottom w:val="single" w:sz="4" w:space="0" w:color="auto"/>
            </w:tcBorders>
            <w:shd w:val="clear" w:color="auto" w:fill="53284F"/>
          </w:tcPr>
          <w:p w14:paraId="51032AB6" w14:textId="77777777" w:rsidR="002839E4" w:rsidRDefault="002839E4" w:rsidP="00377F3A">
            <w:pPr>
              <w:pStyle w:val="TableHead"/>
            </w:pPr>
            <w:r>
              <w:t>Species</w:t>
            </w:r>
          </w:p>
        </w:tc>
        <w:tc>
          <w:tcPr>
            <w:tcW w:w="0" w:type="auto"/>
            <w:tcBorders>
              <w:bottom w:val="single" w:sz="4" w:space="0" w:color="auto"/>
            </w:tcBorders>
            <w:shd w:val="clear" w:color="auto" w:fill="53284F"/>
          </w:tcPr>
          <w:p w14:paraId="018A694E" w14:textId="77777777" w:rsidR="002839E4" w:rsidRPr="00CA558C" w:rsidRDefault="002839E4" w:rsidP="00377F3A">
            <w:pPr>
              <w:pStyle w:val="TableHead"/>
            </w:pPr>
            <w:r>
              <w:t>Poisoned food</w:t>
            </w:r>
          </w:p>
        </w:tc>
        <w:tc>
          <w:tcPr>
            <w:tcW w:w="0" w:type="auto"/>
            <w:tcBorders>
              <w:bottom w:val="single" w:sz="4" w:space="0" w:color="auto"/>
            </w:tcBorders>
            <w:shd w:val="clear" w:color="auto" w:fill="53284F"/>
          </w:tcPr>
          <w:p w14:paraId="35F67901" w14:textId="77777777" w:rsidR="002839E4" w:rsidRPr="00CA558C" w:rsidRDefault="002839E4" w:rsidP="00377F3A">
            <w:pPr>
              <w:pStyle w:val="TableHead"/>
            </w:pPr>
            <w:r>
              <w:t>Study details &amp; result</w:t>
            </w:r>
          </w:p>
        </w:tc>
        <w:tc>
          <w:tcPr>
            <w:tcW w:w="0" w:type="auto"/>
            <w:tcBorders>
              <w:bottom w:val="single" w:sz="4" w:space="0" w:color="auto"/>
            </w:tcBorders>
            <w:shd w:val="clear" w:color="auto" w:fill="53284F"/>
          </w:tcPr>
          <w:p w14:paraId="4B8CE086" w14:textId="77777777" w:rsidR="002839E4" w:rsidRPr="00CA558C" w:rsidRDefault="002839E4" w:rsidP="00377F3A">
            <w:pPr>
              <w:pStyle w:val="TableHead"/>
            </w:pPr>
            <w:r>
              <w:t>Reference</w:t>
            </w:r>
          </w:p>
        </w:tc>
      </w:tr>
      <w:tr w:rsidR="002839E4" w:rsidRPr="000B2FA7" w14:paraId="7793475A" w14:textId="77777777" w:rsidTr="00073396">
        <w:trPr>
          <w:cantSplit/>
        </w:trPr>
        <w:tc>
          <w:tcPr>
            <w:tcW w:w="0" w:type="auto"/>
            <w:tcBorders>
              <w:top w:val="single" w:sz="4" w:space="0" w:color="auto"/>
              <w:left w:val="nil"/>
              <w:bottom w:val="nil"/>
              <w:right w:val="nil"/>
            </w:tcBorders>
          </w:tcPr>
          <w:p w14:paraId="74B28F34" w14:textId="77777777" w:rsidR="002839E4" w:rsidRPr="00F85B76" w:rsidRDefault="002839E4" w:rsidP="00377F3A">
            <w:pPr>
              <w:pStyle w:val="TableText"/>
            </w:pPr>
            <w:r w:rsidRPr="00F85B76">
              <w:t>Mammals</w:t>
            </w:r>
          </w:p>
        </w:tc>
        <w:tc>
          <w:tcPr>
            <w:tcW w:w="0" w:type="auto"/>
            <w:tcBorders>
              <w:top w:val="single" w:sz="4" w:space="0" w:color="auto"/>
              <w:left w:val="nil"/>
              <w:bottom w:val="nil"/>
              <w:right w:val="nil"/>
            </w:tcBorders>
          </w:tcPr>
          <w:p w14:paraId="012CACDD" w14:textId="77777777" w:rsidR="002839E4" w:rsidRPr="00F85B76" w:rsidRDefault="002839E4" w:rsidP="00377F3A">
            <w:pPr>
              <w:pStyle w:val="TableText"/>
            </w:pPr>
            <w:r w:rsidRPr="00F85B76">
              <w:t>Rattus norvegicus</w:t>
            </w:r>
          </w:p>
          <w:p w14:paraId="29F04E36" w14:textId="77777777" w:rsidR="002839E4" w:rsidRPr="00F85B76" w:rsidRDefault="002839E4" w:rsidP="00377F3A">
            <w:pPr>
              <w:pStyle w:val="TableText"/>
            </w:pPr>
          </w:p>
        </w:tc>
        <w:tc>
          <w:tcPr>
            <w:tcW w:w="0" w:type="auto"/>
            <w:tcBorders>
              <w:top w:val="single" w:sz="4" w:space="0" w:color="auto"/>
              <w:left w:val="nil"/>
              <w:bottom w:val="nil"/>
              <w:right w:val="nil"/>
            </w:tcBorders>
          </w:tcPr>
          <w:p w14:paraId="02F542BE" w14:textId="77777777" w:rsidR="002839E4" w:rsidRPr="00F85B76" w:rsidRDefault="002839E4" w:rsidP="00377F3A">
            <w:pPr>
              <w:pStyle w:val="TableText"/>
            </w:pPr>
            <w:r w:rsidRPr="00F85B76">
              <w:t>211 mg/kg sparrow</w:t>
            </w:r>
          </w:p>
          <w:p w14:paraId="160E18D4" w14:textId="77777777" w:rsidR="002839E4" w:rsidRPr="00F85B76" w:rsidRDefault="002839E4" w:rsidP="00377F3A">
            <w:pPr>
              <w:pStyle w:val="TableText"/>
            </w:pPr>
            <w:r w:rsidRPr="00F85B76">
              <w:t>for 8-9 days</w:t>
            </w:r>
          </w:p>
        </w:tc>
        <w:tc>
          <w:tcPr>
            <w:tcW w:w="0" w:type="auto"/>
            <w:tcBorders>
              <w:top w:val="single" w:sz="4" w:space="0" w:color="auto"/>
              <w:left w:val="nil"/>
              <w:bottom w:val="nil"/>
              <w:right w:val="nil"/>
            </w:tcBorders>
          </w:tcPr>
          <w:p w14:paraId="35DB35C7" w14:textId="77777777" w:rsidR="002839E4" w:rsidRPr="00F85B76" w:rsidRDefault="002839E4" w:rsidP="00377F3A">
            <w:pPr>
              <w:pStyle w:val="TableText"/>
            </w:pPr>
            <w:r w:rsidRPr="00F85B76">
              <w:t>2/2 died after consuming 9.5% of body mass daily</w:t>
            </w:r>
          </w:p>
        </w:tc>
        <w:tc>
          <w:tcPr>
            <w:tcW w:w="0" w:type="auto"/>
            <w:tcBorders>
              <w:top w:val="single" w:sz="4" w:space="0" w:color="auto"/>
              <w:left w:val="nil"/>
              <w:bottom w:val="nil"/>
              <w:right w:val="nil"/>
            </w:tcBorders>
          </w:tcPr>
          <w:p w14:paraId="35AAE155" w14:textId="77777777" w:rsidR="002839E4" w:rsidRPr="00F85B76" w:rsidRDefault="002839E4" w:rsidP="00377F3A">
            <w:pPr>
              <w:pStyle w:val="TableText"/>
            </w:pPr>
            <w:r w:rsidRPr="00F85B76">
              <w:t>Heÿl 1986</w:t>
            </w:r>
          </w:p>
        </w:tc>
      </w:tr>
      <w:tr w:rsidR="002839E4" w:rsidRPr="000B2FA7" w14:paraId="1A824EA9" w14:textId="77777777" w:rsidTr="00073396">
        <w:trPr>
          <w:cantSplit/>
        </w:trPr>
        <w:tc>
          <w:tcPr>
            <w:tcW w:w="0" w:type="auto"/>
            <w:tcBorders>
              <w:top w:val="nil"/>
              <w:left w:val="nil"/>
              <w:bottom w:val="nil"/>
              <w:right w:val="nil"/>
            </w:tcBorders>
          </w:tcPr>
          <w:p w14:paraId="7835E074" w14:textId="77777777" w:rsidR="002839E4" w:rsidRPr="00F85B76" w:rsidRDefault="002839E4" w:rsidP="00377F3A">
            <w:pPr>
              <w:pStyle w:val="TableText"/>
            </w:pPr>
          </w:p>
        </w:tc>
        <w:tc>
          <w:tcPr>
            <w:tcW w:w="0" w:type="auto"/>
            <w:tcBorders>
              <w:top w:val="nil"/>
              <w:left w:val="nil"/>
              <w:bottom w:val="nil"/>
              <w:right w:val="nil"/>
            </w:tcBorders>
          </w:tcPr>
          <w:p w14:paraId="45F0CC9C" w14:textId="77777777" w:rsidR="002839E4" w:rsidRPr="00F85B76" w:rsidRDefault="002839E4" w:rsidP="00377F3A">
            <w:pPr>
              <w:pStyle w:val="TableText"/>
            </w:pPr>
            <w:r w:rsidRPr="00F85B76">
              <w:t>Felis catus</w:t>
            </w:r>
          </w:p>
        </w:tc>
        <w:tc>
          <w:tcPr>
            <w:tcW w:w="0" w:type="auto"/>
            <w:tcBorders>
              <w:top w:val="nil"/>
              <w:left w:val="nil"/>
              <w:bottom w:val="nil"/>
              <w:right w:val="nil"/>
            </w:tcBorders>
          </w:tcPr>
          <w:p w14:paraId="41E649EC" w14:textId="77777777" w:rsidR="002839E4" w:rsidRPr="00F85B76" w:rsidRDefault="002839E4" w:rsidP="00377F3A">
            <w:pPr>
              <w:pStyle w:val="TableText"/>
            </w:pPr>
            <w:r w:rsidRPr="00F85B76">
              <w:t>211 mg/kg sparrow</w:t>
            </w:r>
          </w:p>
          <w:p w14:paraId="3AAEC6FD" w14:textId="77777777" w:rsidR="002839E4" w:rsidRPr="00F85B76" w:rsidRDefault="002839E4" w:rsidP="00377F3A">
            <w:pPr>
              <w:pStyle w:val="TableText"/>
            </w:pPr>
            <w:r w:rsidRPr="00F85B76">
              <w:t>for 14 days</w:t>
            </w:r>
          </w:p>
        </w:tc>
        <w:tc>
          <w:tcPr>
            <w:tcW w:w="0" w:type="auto"/>
            <w:tcBorders>
              <w:top w:val="nil"/>
              <w:left w:val="nil"/>
              <w:bottom w:val="nil"/>
              <w:right w:val="nil"/>
            </w:tcBorders>
          </w:tcPr>
          <w:p w14:paraId="5E14B319" w14:textId="77777777" w:rsidR="002839E4" w:rsidRPr="00F85B76" w:rsidRDefault="002839E4" w:rsidP="00377F3A">
            <w:pPr>
              <w:pStyle w:val="TableText"/>
            </w:pPr>
            <w:r w:rsidRPr="00F85B76">
              <w:t>1/1 died after consuming 3.1% of body mass daily</w:t>
            </w:r>
          </w:p>
        </w:tc>
        <w:tc>
          <w:tcPr>
            <w:tcW w:w="0" w:type="auto"/>
            <w:tcBorders>
              <w:top w:val="nil"/>
              <w:left w:val="nil"/>
              <w:bottom w:val="nil"/>
              <w:right w:val="nil"/>
            </w:tcBorders>
          </w:tcPr>
          <w:p w14:paraId="5B27A218" w14:textId="77777777" w:rsidR="002839E4" w:rsidRPr="00F85B76" w:rsidRDefault="002839E4" w:rsidP="00377F3A">
            <w:pPr>
              <w:pStyle w:val="TableText"/>
            </w:pPr>
            <w:r w:rsidRPr="00F85B76">
              <w:t>Heÿl 1986</w:t>
            </w:r>
          </w:p>
        </w:tc>
      </w:tr>
      <w:tr w:rsidR="002839E4" w:rsidRPr="000B2FA7" w14:paraId="2375B4B3" w14:textId="77777777" w:rsidTr="00073396">
        <w:trPr>
          <w:cantSplit/>
        </w:trPr>
        <w:tc>
          <w:tcPr>
            <w:tcW w:w="0" w:type="auto"/>
            <w:tcBorders>
              <w:top w:val="nil"/>
              <w:left w:val="nil"/>
              <w:bottom w:val="nil"/>
              <w:right w:val="nil"/>
            </w:tcBorders>
          </w:tcPr>
          <w:p w14:paraId="520CD117" w14:textId="77777777" w:rsidR="002839E4" w:rsidRPr="00F85B76" w:rsidRDefault="002839E4" w:rsidP="00377F3A">
            <w:pPr>
              <w:pStyle w:val="TableText"/>
            </w:pPr>
          </w:p>
        </w:tc>
        <w:tc>
          <w:tcPr>
            <w:tcW w:w="0" w:type="auto"/>
            <w:tcBorders>
              <w:top w:val="nil"/>
              <w:left w:val="nil"/>
              <w:bottom w:val="nil"/>
              <w:right w:val="nil"/>
            </w:tcBorders>
          </w:tcPr>
          <w:p w14:paraId="50BE3812" w14:textId="77777777" w:rsidR="002839E4" w:rsidRPr="00F85B76" w:rsidRDefault="002839E4" w:rsidP="00377F3A">
            <w:pPr>
              <w:pStyle w:val="TableText"/>
            </w:pPr>
            <w:r w:rsidRPr="00F85B76">
              <w:t>Mustela furo</w:t>
            </w:r>
          </w:p>
        </w:tc>
        <w:tc>
          <w:tcPr>
            <w:tcW w:w="0" w:type="auto"/>
            <w:tcBorders>
              <w:top w:val="nil"/>
              <w:left w:val="nil"/>
              <w:bottom w:val="nil"/>
              <w:right w:val="nil"/>
            </w:tcBorders>
          </w:tcPr>
          <w:p w14:paraId="2C79E6C7" w14:textId="77777777" w:rsidR="002839E4" w:rsidRPr="00F85B76" w:rsidRDefault="002839E4" w:rsidP="00377F3A">
            <w:pPr>
              <w:pStyle w:val="TableText"/>
            </w:pPr>
            <w:r w:rsidRPr="00F85B76">
              <w:t>5.0 mg/kg rat</w:t>
            </w:r>
          </w:p>
          <w:p w14:paraId="5B972AC5" w14:textId="77777777" w:rsidR="002839E4" w:rsidRPr="00F85B76" w:rsidRDefault="002839E4" w:rsidP="00377F3A">
            <w:pPr>
              <w:pStyle w:val="TableText"/>
            </w:pPr>
            <w:r w:rsidRPr="00F85B76">
              <w:t>for 3 days</w:t>
            </w:r>
          </w:p>
        </w:tc>
        <w:tc>
          <w:tcPr>
            <w:tcW w:w="0" w:type="auto"/>
            <w:tcBorders>
              <w:top w:val="nil"/>
              <w:left w:val="nil"/>
              <w:bottom w:val="nil"/>
              <w:right w:val="nil"/>
            </w:tcBorders>
          </w:tcPr>
          <w:p w14:paraId="5150B689" w14:textId="77777777" w:rsidR="002839E4" w:rsidRPr="00F85B76" w:rsidRDefault="002839E4" w:rsidP="00377F3A">
            <w:pPr>
              <w:pStyle w:val="TableText"/>
            </w:pPr>
            <w:r w:rsidRPr="00F85B76">
              <w:t>2/9 died after consuming higher proportion of their body weights (average 83% of body mass for all 9)</w:t>
            </w:r>
          </w:p>
        </w:tc>
        <w:tc>
          <w:tcPr>
            <w:tcW w:w="0" w:type="auto"/>
            <w:tcBorders>
              <w:top w:val="nil"/>
              <w:left w:val="nil"/>
              <w:bottom w:val="nil"/>
              <w:right w:val="nil"/>
            </w:tcBorders>
          </w:tcPr>
          <w:p w14:paraId="20777FFC" w14:textId="2F09789A" w:rsidR="002839E4" w:rsidRPr="00F85B76" w:rsidRDefault="002839E4" w:rsidP="00377F3A">
            <w:pPr>
              <w:pStyle w:val="TableText"/>
            </w:pPr>
            <w:r w:rsidRPr="00F85B76">
              <w:t>O’Connor &amp; Eason 1999a</w:t>
            </w:r>
            <w:r>
              <w:t xml:space="preserve">, O’Connor </w:t>
            </w:r>
            <w:r w:rsidR="00B7183A" w:rsidRPr="00B7183A">
              <w:rPr>
                <w:i/>
                <w:iCs/>
              </w:rPr>
              <w:t>et al</w:t>
            </w:r>
            <w:r>
              <w:t>. 2003</w:t>
            </w:r>
          </w:p>
        </w:tc>
      </w:tr>
      <w:tr w:rsidR="002839E4" w:rsidRPr="000B2FA7" w14:paraId="52E7EF05" w14:textId="77777777" w:rsidTr="00073396">
        <w:trPr>
          <w:cantSplit/>
        </w:trPr>
        <w:tc>
          <w:tcPr>
            <w:tcW w:w="0" w:type="auto"/>
            <w:tcBorders>
              <w:top w:val="single" w:sz="4" w:space="0" w:color="auto"/>
              <w:left w:val="nil"/>
              <w:bottom w:val="nil"/>
              <w:right w:val="nil"/>
            </w:tcBorders>
          </w:tcPr>
          <w:p w14:paraId="62462AA9" w14:textId="77777777" w:rsidR="002839E4" w:rsidRPr="00F85B76" w:rsidRDefault="002839E4" w:rsidP="00377F3A">
            <w:pPr>
              <w:pStyle w:val="TableText"/>
            </w:pPr>
            <w:r w:rsidRPr="00F85B76">
              <w:t>Birds</w:t>
            </w:r>
          </w:p>
        </w:tc>
        <w:tc>
          <w:tcPr>
            <w:tcW w:w="0" w:type="auto"/>
            <w:tcBorders>
              <w:top w:val="single" w:sz="4" w:space="0" w:color="auto"/>
              <w:left w:val="nil"/>
              <w:bottom w:val="nil"/>
              <w:right w:val="nil"/>
            </w:tcBorders>
          </w:tcPr>
          <w:p w14:paraId="38DF75FA" w14:textId="77777777" w:rsidR="002839E4" w:rsidRPr="00F85B76" w:rsidRDefault="002839E4" w:rsidP="00377F3A">
            <w:pPr>
              <w:pStyle w:val="TableText"/>
            </w:pPr>
            <w:r w:rsidRPr="00F85B76">
              <w:t>Buteo vulpinus</w:t>
            </w:r>
          </w:p>
        </w:tc>
        <w:tc>
          <w:tcPr>
            <w:tcW w:w="0" w:type="auto"/>
            <w:tcBorders>
              <w:top w:val="single" w:sz="4" w:space="0" w:color="auto"/>
              <w:left w:val="nil"/>
              <w:bottom w:val="nil"/>
              <w:right w:val="nil"/>
            </w:tcBorders>
          </w:tcPr>
          <w:p w14:paraId="6FBDD6D4" w14:textId="77777777" w:rsidR="002839E4" w:rsidRPr="00F85B76" w:rsidRDefault="002839E4" w:rsidP="00377F3A">
            <w:pPr>
              <w:pStyle w:val="TableText"/>
            </w:pPr>
            <w:r w:rsidRPr="00F85B76">
              <w:t>211 mg/kg sparrow</w:t>
            </w:r>
          </w:p>
          <w:p w14:paraId="60E76924" w14:textId="77777777" w:rsidR="002839E4" w:rsidRPr="00F85B76" w:rsidRDefault="002839E4" w:rsidP="00377F3A">
            <w:pPr>
              <w:pStyle w:val="TableText"/>
            </w:pPr>
            <w:r w:rsidRPr="00F85B76">
              <w:t>for 18 days</w:t>
            </w:r>
          </w:p>
        </w:tc>
        <w:tc>
          <w:tcPr>
            <w:tcW w:w="0" w:type="auto"/>
            <w:tcBorders>
              <w:top w:val="single" w:sz="4" w:space="0" w:color="auto"/>
              <w:left w:val="nil"/>
              <w:bottom w:val="nil"/>
              <w:right w:val="nil"/>
            </w:tcBorders>
          </w:tcPr>
          <w:p w14:paraId="28B97A19" w14:textId="77777777" w:rsidR="002839E4" w:rsidRPr="00F85B76" w:rsidRDefault="002839E4" w:rsidP="00377F3A">
            <w:pPr>
              <w:pStyle w:val="TableText"/>
            </w:pPr>
            <w:r w:rsidRPr="00F85B76">
              <w:t>1/1 survived after consuming 13% of body mass daily</w:t>
            </w:r>
          </w:p>
        </w:tc>
        <w:tc>
          <w:tcPr>
            <w:tcW w:w="0" w:type="auto"/>
            <w:tcBorders>
              <w:top w:val="single" w:sz="4" w:space="0" w:color="auto"/>
              <w:left w:val="nil"/>
              <w:bottom w:val="nil"/>
              <w:right w:val="nil"/>
            </w:tcBorders>
          </w:tcPr>
          <w:p w14:paraId="6E8DD9C3" w14:textId="77777777" w:rsidR="002839E4" w:rsidRPr="00F85B76" w:rsidRDefault="002839E4" w:rsidP="00377F3A">
            <w:pPr>
              <w:pStyle w:val="TableText"/>
            </w:pPr>
            <w:r w:rsidRPr="00F85B76">
              <w:t>Heÿl 1986</w:t>
            </w:r>
          </w:p>
        </w:tc>
      </w:tr>
      <w:tr w:rsidR="002839E4" w:rsidRPr="000B2FA7" w14:paraId="00148E60" w14:textId="77777777" w:rsidTr="00073396">
        <w:trPr>
          <w:cantSplit/>
        </w:trPr>
        <w:tc>
          <w:tcPr>
            <w:tcW w:w="0" w:type="auto"/>
            <w:tcBorders>
              <w:top w:val="nil"/>
              <w:left w:val="nil"/>
              <w:bottom w:val="nil"/>
              <w:right w:val="nil"/>
            </w:tcBorders>
          </w:tcPr>
          <w:p w14:paraId="1BBE53A6" w14:textId="77777777" w:rsidR="002839E4" w:rsidRPr="00F85B76" w:rsidRDefault="002839E4" w:rsidP="00377F3A">
            <w:pPr>
              <w:pStyle w:val="TableText"/>
            </w:pPr>
          </w:p>
        </w:tc>
        <w:tc>
          <w:tcPr>
            <w:tcW w:w="0" w:type="auto"/>
            <w:tcBorders>
              <w:top w:val="nil"/>
              <w:left w:val="nil"/>
              <w:bottom w:val="nil"/>
              <w:right w:val="nil"/>
            </w:tcBorders>
          </w:tcPr>
          <w:p w14:paraId="6F9BCFC2" w14:textId="77777777" w:rsidR="002839E4" w:rsidRPr="00F85B76" w:rsidRDefault="002839E4" w:rsidP="00377F3A">
            <w:pPr>
              <w:pStyle w:val="TableText"/>
            </w:pPr>
            <w:r w:rsidRPr="00F85B76">
              <w:t>Bubo africanus</w:t>
            </w:r>
          </w:p>
        </w:tc>
        <w:tc>
          <w:tcPr>
            <w:tcW w:w="0" w:type="auto"/>
            <w:tcBorders>
              <w:top w:val="nil"/>
              <w:left w:val="nil"/>
              <w:bottom w:val="nil"/>
              <w:right w:val="nil"/>
            </w:tcBorders>
          </w:tcPr>
          <w:p w14:paraId="477E381E" w14:textId="77777777" w:rsidR="002839E4" w:rsidRPr="00F85B76" w:rsidRDefault="002839E4" w:rsidP="00377F3A">
            <w:pPr>
              <w:pStyle w:val="TableText"/>
            </w:pPr>
            <w:r w:rsidRPr="00F85B76">
              <w:t>211 mg/kg sparrow</w:t>
            </w:r>
          </w:p>
          <w:p w14:paraId="503BAD71" w14:textId="77777777" w:rsidR="002839E4" w:rsidRPr="00F85B76" w:rsidRDefault="002839E4" w:rsidP="00377F3A">
            <w:pPr>
              <w:pStyle w:val="TableText"/>
              <w:rPr>
                <w:i/>
                <w:iCs/>
              </w:rPr>
            </w:pPr>
            <w:r w:rsidRPr="00F85B76">
              <w:t>for 18 days</w:t>
            </w:r>
          </w:p>
        </w:tc>
        <w:tc>
          <w:tcPr>
            <w:tcW w:w="0" w:type="auto"/>
            <w:tcBorders>
              <w:top w:val="nil"/>
              <w:left w:val="nil"/>
              <w:bottom w:val="nil"/>
              <w:right w:val="nil"/>
            </w:tcBorders>
          </w:tcPr>
          <w:p w14:paraId="1C799A06" w14:textId="77777777" w:rsidR="002839E4" w:rsidRPr="00F85B76" w:rsidRDefault="002839E4" w:rsidP="00377F3A">
            <w:pPr>
              <w:pStyle w:val="TableText"/>
            </w:pPr>
            <w:r w:rsidRPr="00F85B76">
              <w:t>1/1 survived after consuming 9.8% of body mass daily</w:t>
            </w:r>
          </w:p>
        </w:tc>
        <w:tc>
          <w:tcPr>
            <w:tcW w:w="0" w:type="auto"/>
            <w:tcBorders>
              <w:top w:val="nil"/>
              <w:left w:val="nil"/>
              <w:bottom w:val="nil"/>
              <w:right w:val="nil"/>
            </w:tcBorders>
          </w:tcPr>
          <w:p w14:paraId="0016A715" w14:textId="77777777" w:rsidR="002839E4" w:rsidRPr="00F85B76" w:rsidRDefault="002839E4" w:rsidP="00377F3A">
            <w:pPr>
              <w:pStyle w:val="TableText"/>
            </w:pPr>
            <w:r w:rsidRPr="00F85B76">
              <w:t>Heÿl 1986</w:t>
            </w:r>
          </w:p>
        </w:tc>
      </w:tr>
      <w:tr w:rsidR="002839E4" w:rsidRPr="000B2FA7" w14:paraId="4F5387C7" w14:textId="77777777" w:rsidTr="00073396">
        <w:trPr>
          <w:cantSplit/>
        </w:trPr>
        <w:tc>
          <w:tcPr>
            <w:tcW w:w="0" w:type="auto"/>
            <w:tcBorders>
              <w:top w:val="nil"/>
              <w:left w:val="nil"/>
              <w:bottom w:val="nil"/>
              <w:right w:val="nil"/>
            </w:tcBorders>
          </w:tcPr>
          <w:p w14:paraId="264BEDC0" w14:textId="77777777" w:rsidR="002839E4" w:rsidRPr="00F85B76" w:rsidRDefault="002839E4" w:rsidP="00377F3A">
            <w:pPr>
              <w:pStyle w:val="TableText"/>
            </w:pPr>
          </w:p>
        </w:tc>
        <w:tc>
          <w:tcPr>
            <w:tcW w:w="0" w:type="auto"/>
            <w:tcBorders>
              <w:top w:val="nil"/>
              <w:left w:val="nil"/>
              <w:bottom w:val="nil"/>
              <w:right w:val="nil"/>
            </w:tcBorders>
          </w:tcPr>
          <w:p w14:paraId="49ECB002" w14:textId="77777777" w:rsidR="002839E4" w:rsidRPr="00F85B76" w:rsidRDefault="002839E4" w:rsidP="00377F3A">
            <w:pPr>
              <w:pStyle w:val="TableText"/>
            </w:pPr>
            <w:r w:rsidRPr="00F85B76">
              <w:t>Tyto alba</w:t>
            </w:r>
          </w:p>
        </w:tc>
        <w:tc>
          <w:tcPr>
            <w:tcW w:w="0" w:type="auto"/>
            <w:tcBorders>
              <w:top w:val="nil"/>
              <w:left w:val="nil"/>
              <w:bottom w:val="nil"/>
              <w:right w:val="nil"/>
            </w:tcBorders>
          </w:tcPr>
          <w:p w14:paraId="18292956" w14:textId="77777777" w:rsidR="002839E4" w:rsidRPr="00F85B76" w:rsidRDefault="002839E4" w:rsidP="00377F3A">
            <w:pPr>
              <w:pStyle w:val="TableText"/>
            </w:pPr>
            <w:r w:rsidRPr="00F85B76">
              <w:t>3.9 mg/kg rat</w:t>
            </w:r>
          </w:p>
          <w:p w14:paraId="7E2399E9" w14:textId="77777777" w:rsidR="002839E4" w:rsidRPr="00F85B76" w:rsidRDefault="002839E4" w:rsidP="00377F3A">
            <w:pPr>
              <w:pStyle w:val="TableText"/>
            </w:pPr>
            <w:r w:rsidRPr="00F85B76">
              <w:t>for 6 days</w:t>
            </w:r>
          </w:p>
        </w:tc>
        <w:tc>
          <w:tcPr>
            <w:tcW w:w="0" w:type="auto"/>
            <w:tcBorders>
              <w:top w:val="nil"/>
              <w:left w:val="nil"/>
              <w:bottom w:val="nil"/>
              <w:right w:val="nil"/>
            </w:tcBorders>
          </w:tcPr>
          <w:p w14:paraId="36D47F66" w14:textId="77777777" w:rsidR="002839E4" w:rsidRPr="00F85B76" w:rsidRDefault="002839E4" w:rsidP="00377F3A">
            <w:pPr>
              <w:pStyle w:val="TableText"/>
            </w:pPr>
            <w:r w:rsidRPr="00F85B76">
              <w:t>4/4 survived after consuming 22-25% of body mass daily</w:t>
            </w:r>
          </w:p>
        </w:tc>
        <w:tc>
          <w:tcPr>
            <w:tcW w:w="0" w:type="auto"/>
            <w:tcBorders>
              <w:top w:val="nil"/>
              <w:left w:val="nil"/>
              <w:bottom w:val="nil"/>
              <w:right w:val="nil"/>
            </w:tcBorders>
          </w:tcPr>
          <w:p w14:paraId="11283A5C" w14:textId="19646604" w:rsidR="002839E4" w:rsidRPr="00F85B76" w:rsidRDefault="002839E4" w:rsidP="00377F3A">
            <w:pPr>
              <w:pStyle w:val="TableText"/>
            </w:pPr>
            <w:r w:rsidRPr="00F85B76">
              <w:t xml:space="preserve">Fisher </w:t>
            </w:r>
            <w:r w:rsidR="00B7183A" w:rsidRPr="00B7183A">
              <w:rPr>
                <w:i/>
                <w:iCs/>
              </w:rPr>
              <w:t>et al</w:t>
            </w:r>
            <w:r w:rsidRPr="00F85B76">
              <w:t>. 2003</w:t>
            </w:r>
          </w:p>
        </w:tc>
      </w:tr>
      <w:tr w:rsidR="002839E4" w:rsidRPr="000B2FA7" w14:paraId="2CA2F6D0" w14:textId="77777777" w:rsidTr="00073396">
        <w:trPr>
          <w:cantSplit/>
        </w:trPr>
        <w:tc>
          <w:tcPr>
            <w:tcW w:w="0" w:type="auto"/>
            <w:tcBorders>
              <w:top w:val="nil"/>
              <w:left w:val="nil"/>
              <w:bottom w:val="single" w:sz="4" w:space="0" w:color="auto"/>
              <w:right w:val="nil"/>
            </w:tcBorders>
          </w:tcPr>
          <w:p w14:paraId="7E6841D8" w14:textId="77777777" w:rsidR="002839E4" w:rsidRPr="00F85B76" w:rsidRDefault="002839E4" w:rsidP="00377F3A">
            <w:pPr>
              <w:pStyle w:val="TableText"/>
            </w:pPr>
          </w:p>
        </w:tc>
        <w:tc>
          <w:tcPr>
            <w:tcW w:w="0" w:type="auto"/>
            <w:tcBorders>
              <w:top w:val="nil"/>
              <w:left w:val="nil"/>
              <w:bottom w:val="single" w:sz="4" w:space="0" w:color="auto"/>
              <w:right w:val="nil"/>
            </w:tcBorders>
          </w:tcPr>
          <w:p w14:paraId="00B2F2D5" w14:textId="77777777" w:rsidR="002839E4" w:rsidRPr="00F85B76" w:rsidRDefault="002839E4" w:rsidP="00377F3A">
            <w:pPr>
              <w:pStyle w:val="TableText"/>
            </w:pPr>
            <w:r w:rsidRPr="00F85B76">
              <w:t>Gallirallus australis</w:t>
            </w:r>
          </w:p>
        </w:tc>
        <w:tc>
          <w:tcPr>
            <w:tcW w:w="0" w:type="auto"/>
            <w:tcBorders>
              <w:top w:val="nil"/>
              <w:left w:val="nil"/>
              <w:bottom w:val="single" w:sz="4" w:space="0" w:color="auto"/>
              <w:right w:val="nil"/>
            </w:tcBorders>
          </w:tcPr>
          <w:p w14:paraId="6C1A967D" w14:textId="77777777" w:rsidR="002839E4" w:rsidRPr="00F85B76" w:rsidRDefault="002839E4" w:rsidP="00377F3A">
            <w:pPr>
              <w:pStyle w:val="TableText"/>
            </w:pPr>
            <w:r w:rsidRPr="00F85B76">
              <w:t>5.0 mg/kg rat</w:t>
            </w:r>
          </w:p>
          <w:p w14:paraId="530C33B2" w14:textId="77777777" w:rsidR="002839E4" w:rsidRPr="00F85B76" w:rsidRDefault="002839E4" w:rsidP="00377F3A">
            <w:pPr>
              <w:pStyle w:val="TableText"/>
            </w:pPr>
            <w:r w:rsidRPr="00F85B76">
              <w:t>for 3 days</w:t>
            </w:r>
          </w:p>
        </w:tc>
        <w:tc>
          <w:tcPr>
            <w:tcW w:w="0" w:type="auto"/>
            <w:tcBorders>
              <w:top w:val="nil"/>
              <w:left w:val="nil"/>
              <w:bottom w:val="single" w:sz="4" w:space="0" w:color="auto"/>
              <w:right w:val="nil"/>
            </w:tcBorders>
          </w:tcPr>
          <w:p w14:paraId="16280377" w14:textId="77777777" w:rsidR="002839E4" w:rsidRPr="00F85B76" w:rsidRDefault="002839E4" w:rsidP="00377F3A">
            <w:pPr>
              <w:pStyle w:val="TableText"/>
            </w:pPr>
            <w:r w:rsidRPr="00F85B76">
              <w:t xml:space="preserve">10/10 survived after consuming </w:t>
            </w:r>
            <w:r>
              <w:t>25</w:t>
            </w:r>
            <w:r w:rsidRPr="00F85B76">
              <w:t>% of body mass daily</w:t>
            </w:r>
          </w:p>
        </w:tc>
        <w:tc>
          <w:tcPr>
            <w:tcW w:w="0" w:type="auto"/>
            <w:tcBorders>
              <w:top w:val="nil"/>
              <w:left w:val="nil"/>
              <w:bottom w:val="single" w:sz="4" w:space="0" w:color="auto"/>
              <w:right w:val="nil"/>
            </w:tcBorders>
          </w:tcPr>
          <w:p w14:paraId="1819B0DE" w14:textId="3BAA7887" w:rsidR="002839E4" w:rsidRPr="00F85B76" w:rsidRDefault="002839E4" w:rsidP="00377F3A">
            <w:pPr>
              <w:pStyle w:val="TableText"/>
            </w:pPr>
            <w:r w:rsidRPr="00F85B76">
              <w:t>O’Connor &amp; Eason 1999b</w:t>
            </w:r>
            <w:r>
              <w:t xml:space="preserve">, O’Connor </w:t>
            </w:r>
            <w:r w:rsidR="00B7183A" w:rsidRPr="00B7183A">
              <w:rPr>
                <w:i/>
                <w:iCs/>
              </w:rPr>
              <w:t>et al</w:t>
            </w:r>
            <w:r>
              <w:t>. 2003</w:t>
            </w:r>
          </w:p>
        </w:tc>
      </w:tr>
    </w:tbl>
    <w:p w14:paraId="638A5D5A" w14:textId="18A7D3F3" w:rsidR="00261086" w:rsidRPr="00861CA0" w:rsidRDefault="00850971" w:rsidP="00377F3A">
      <w:pPr>
        <w:pStyle w:val="Caption"/>
      </w:pPr>
      <w:bookmarkStart w:id="1966" w:name="_Ref214822632"/>
      <w:bookmarkStart w:id="1967" w:name="_Toc213946061"/>
      <w:bookmarkStart w:id="1968" w:name="_Toc216695752"/>
      <w:bookmarkEnd w:id="1963"/>
      <w:r>
        <w:t xml:space="preserve">Table </w:t>
      </w:r>
      <w:r>
        <w:fldChar w:fldCharType="begin"/>
      </w:r>
      <w:r>
        <w:instrText xml:space="preserve"> SEQ Table \* ARABIC </w:instrText>
      </w:r>
      <w:r>
        <w:fldChar w:fldCharType="separate"/>
      </w:r>
      <w:r w:rsidR="003861AC">
        <w:rPr>
          <w:noProof/>
        </w:rPr>
        <w:t>90</w:t>
      </w:r>
      <w:r>
        <w:fldChar w:fldCharType="end"/>
      </w:r>
      <w:bookmarkEnd w:id="1966"/>
      <w:r>
        <w:t>:</w:t>
      </w:r>
      <w:bookmarkStart w:id="1969" w:name="_Hlk157517117"/>
      <w:r w:rsidR="00A5093B">
        <w:t xml:space="preserve"> </w:t>
      </w:r>
      <w:r w:rsidR="002839E4">
        <w:t xml:space="preserve">Coumatetralyl – </w:t>
      </w:r>
      <w:r w:rsidR="00261086" w:rsidRPr="003B601F">
        <w:t>Field studies and adverse incidents</w:t>
      </w:r>
      <w:r w:rsidR="00261086">
        <w:t xml:space="preserve"> involving terrestrial vertebrates from approved or unspecified use</w:t>
      </w:r>
      <w:bookmarkEnd w:id="1967"/>
      <w:bookmarkEnd w:id="1968"/>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615"/>
        <w:gridCol w:w="1893"/>
        <w:gridCol w:w="3668"/>
        <w:gridCol w:w="2519"/>
      </w:tblGrid>
      <w:tr w:rsidR="002839E4" w:rsidRPr="000B2FA7" w14:paraId="0EE4F930" w14:textId="77777777" w:rsidTr="0017134F">
        <w:trPr>
          <w:cantSplit/>
          <w:tblHeader/>
        </w:trPr>
        <w:tc>
          <w:tcPr>
            <w:tcW w:w="0" w:type="auto"/>
            <w:tcBorders>
              <w:bottom w:val="single" w:sz="4" w:space="0" w:color="auto"/>
            </w:tcBorders>
            <w:shd w:val="clear" w:color="auto" w:fill="53284F"/>
          </w:tcPr>
          <w:p w14:paraId="11ADCF4F" w14:textId="77777777" w:rsidR="002839E4" w:rsidRPr="00CA558C" w:rsidRDefault="002839E4" w:rsidP="00377F3A">
            <w:pPr>
              <w:pStyle w:val="TableHead"/>
            </w:pPr>
            <w:bookmarkStart w:id="1970" w:name="_Hlk182555416"/>
            <w:r>
              <w:t>Use area</w:t>
            </w:r>
          </w:p>
        </w:tc>
        <w:tc>
          <w:tcPr>
            <w:tcW w:w="0" w:type="auto"/>
            <w:tcBorders>
              <w:bottom w:val="single" w:sz="4" w:space="0" w:color="auto"/>
            </w:tcBorders>
            <w:shd w:val="clear" w:color="auto" w:fill="53284F"/>
          </w:tcPr>
          <w:p w14:paraId="53F6D048" w14:textId="77777777" w:rsidR="002839E4" w:rsidRDefault="002839E4" w:rsidP="00377F3A">
            <w:pPr>
              <w:pStyle w:val="TableHead"/>
            </w:pPr>
            <w:r>
              <w:t>Exposure</w:t>
            </w:r>
          </w:p>
        </w:tc>
        <w:tc>
          <w:tcPr>
            <w:tcW w:w="0" w:type="auto"/>
            <w:tcBorders>
              <w:bottom w:val="single" w:sz="4" w:space="0" w:color="auto"/>
            </w:tcBorders>
            <w:shd w:val="clear" w:color="auto" w:fill="53284F"/>
          </w:tcPr>
          <w:p w14:paraId="3EA1380B" w14:textId="77777777" w:rsidR="002839E4" w:rsidRDefault="002839E4" w:rsidP="00377F3A">
            <w:pPr>
              <w:pStyle w:val="TableHead"/>
            </w:pPr>
            <w:r>
              <w:t>Effect</w:t>
            </w:r>
          </w:p>
        </w:tc>
        <w:tc>
          <w:tcPr>
            <w:tcW w:w="0" w:type="auto"/>
            <w:tcBorders>
              <w:bottom w:val="single" w:sz="4" w:space="0" w:color="auto"/>
            </w:tcBorders>
            <w:shd w:val="clear" w:color="auto" w:fill="53284F"/>
          </w:tcPr>
          <w:p w14:paraId="49EFC853" w14:textId="77777777" w:rsidR="002839E4" w:rsidRPr="00CA558C" w:rsidRDefault="002839E4" w:rsidP="00377F3A">
            <w:pPr>
              <w:pStyle w:val="TableHead"/>
            </w:pPr>
            <w:r>
              <w:t>Reference</w:t>
            </w:r>
          </w:p>
        </w:tc>
      </w:tr>
      <w:tr w:rsidR="002839E4" w:rsidRPr="003B601F" w14:paraId="55F23AEE" w14:textId="77777777" w:rsidTr="002839E4">
        <w:trPr>
          <w:cantSplit/>
        </w:trPr>
        <w:tc>
          <w:tcPr>
            <w:tcW w:w="0" w:type="auto"/>
            <w:tcBorders>
              <w:top w:val="single" w:sz="4" w:space="0" w:color="auto"/>
              <w:left w:val="nil"/>
              <w:bottom w:val="single" w:sz="4" w:space="0" w:color="auto"/>
            </w:tcBorders>
          </w:tcPr>
          <w:p w14:paraId="71ABE006" w14:textId="77777777" w:rsidR="002839E4" w:rsidRPr="003B601F" w:rsidRDefault="002839E4" w:rsidP="00377F3A">
            <w:pPr>
              <w:pStyle w:val="TableText"/>
            </w:pPr>
            <w:bookmarkStart w:id="1971" w:name="_Hlk182554802"/>
            <w:r w:rsidRPr="003B601F">
              <w:t>Qld sugarcane</w:t>
            </w:r>
          </w:p>
        </w:tc>
        <w:tc>
          <w:tcPr>
            <w:tcW w:w="0" w:type="auto"/>
            <w:tcBorders>
              <w:top w:val="single" w:sz="4" w:space="0" w:color="auto"/>
              <w:bottom w:val="single" w:sz="4" w:space="0" w:color="auto"/>
            </w:tcBorders>
          </w:tcPr>
          <w:p w14:paraId="69BE4841" w14:textId="429DF763" w:rsidR="002839E4" w:rsidRPr="003B601F" w:rsidRDefault="002839E4" w:rsidP="00377F3A">
            <w:pPr>
              <w:pStyle w:val="TableText"/>
            </w:pPr>
            <w:r w:rsidRPr="003B601F">
              <w:t>375 mg a</w:t>
            </w:r>
            <w:r w:rsidR="00C874AD">
              <w:t>.</w:t>
            </w:r>
            <w:r w:rsidRPr="003B601F">
              <w:t>c</w:t>
            </w:r>
            <w:r w:rsidR="00C874AD">
              <w:t>.</w:t>
            </w:r>
            <w:r w:rsidRPr="003B601F">
              <w:t>/kg bait</w:t>
            </w:r>
          </w:p>
          <w:p w14:paraId="43E6CC0A" w14:textId="7016D3DD" w:rsidR="002839E4" w:rsidRPr="003B601F" w:rsidRDefault="002839E4" w:rsidP="00377F3A">
            <w:pPr>
              <w:pStyle w:val="TableText"/>
            </w:pPr>
            <w:r w:rsidRPr="003B601F">
              <w:t>28.1 mg a</w:t>
            </w:r>
            <w:r w:rsidR="00C874AD">
              <w:t>.</w:t>
            </w:r>
            <w:r w:rsidRPr="003B601F">
              <w:t>c</w:t>
            </w:r>
            <w:r w:rsidR="00C874AD">
              <w:t>.</w:t>
            </w:r>
            <w:r w:rsidRPr="003B601F">
              <w:t>/location</w:t>
            </w:r>
          </w:p>
        </w:tc>
        <w:tc>
          <w:tcPr>
            <w:tcW w:w="0" w:type="auto"/>
            <w:tcBorders>
              <w:top w:val="single" w:sz="4" w:space="0" w:color="auto"/>
              <w:bottom w:val="single" w:sz="4" w:space="0" w:color="auto"/>
            </w:tcBorders>
          </w:tcPr>
          <w:p w14:paraId="082E8117" w14:textId="77777777" w:rsidR="002839E4" w:rsidRPr="003B601F" w:rsidRDefault="002839E4" w:rsidP="00377F3A">
            <w:pPr>
              <w:pStyle w:val="TableText"/>
            </w:pPr>
            <w:r w:rsidRPr="003B601F">
              <w:t>Mortality of northern brown bandicoot attributed to wax block treatment but not paste</w:t>
            </w:r>
          </w:p>
        </w:tc>
        <w:tc>
          <w:tcPr>
            <w:tcW w:w="0" w:type="auto"/>
            <w:tcBorders>
              <w:top w:val="single" w:sz="4" w:space="0" w:color="auto"/>
              <w:bottom w:val="single" w:sz="4" w:space="0" w:color="auto"/>
            </w:tcBorders>
          </w:tcPr>
          <w:p w14:paraId="7B1B0095" w14:textId="77777777" w:rsidR="002839E4" w:rsidRPr="003B601F" w:rsidRDefault="002839E4" w:rsidP="00377F3A">
            <w:pPr>
              <w:pStyle w:val="TableText"/>
            </w:pPr>
            <w:r w:rsidRPr="003B601F">
              <w:t>Brodie &amp; Dyer 2002a, 2002b</w:t>
            </w:r>
          </w:p>
        </w:tc>
      </w:tr>
      <w:bookmarkEnd w:id="1971"/>
      <w:tr w:rsidR="002839E4" w:rsidRPr="003B601F" w14:paraId="04B0E030" w14:textId="77777777" w:rsidTr="002839E4">
        <w:trPr>
          <w:cantSplit/>
        </w:trPr>
        <w:tc>
          <w:tcPr>
            <w:tcW w:w="0" w:type="auto"/>
            <w:tcBorders>
              <w:top w:val="single" w:sz="4" w:space="0" w:color="auto"/>
              <w:left w:val="nil"/>
              <w:bottom w:val="single" w:sz="4" w:space="0" w:color="auto"/>
            </w:tcBorders>
          </w:tcPr>
          <w:p w14:paraId="46884BAD" w14:textId="77777777" w:rsidR="002839E4" w:rsidRPr="003B601F" w:rsidRDefault="002839E4" w:rsidP="00377F3A">
            <w:pPr>
              <w:pStyle w:val="TableText"/>
            </w:pPr>
            <w:r w:rsidRPr="003B601F">
              <w:t>Grampian UK</w:t>
            </w:r>
          </w:p>
        </w:tc>
        <w:tc>
          <w:tcPr>
            <w:tcW w:w="0" w:type="auto"/>
            <w:tcBorders>
              <w:top w:val="single" w:sz="4" w:space="0" w:color="auto"/>
              <w:bottom w:val="single" w:sz="4" w:space="0" w:color="auto"/>
            </w:tcBorders>
          </w:tcPr>
          <w:p w14:paraId="75CC1485" w14:textId="77777777" w:rsidR="002839E4" w:rsidRPr="003B601F" w:rsidRDefault="002839E4" w:rsidP="00377F3A">
            <w:pPr>
              <w:pStyle w:val="TableText"/>
            </w:pPr>
            <w:r w:rsidRPr="003B601F">
              <w:t>Approved tracking powder use in piggery</w:t>
            </w:r>
          </w:p>
        </w:tc>
        <w:tc>
          <w:tcPr>
            <w:tcW w:w="0" w:type="auto"/>
            <w:tcBorders>
              <w:top w:val="single" w:sz="4" w:space="0" w:color="auto"/>
              <w:bottom w:val="single" w:sz="4" w:space="0" w:color="auto"/>
            </w:tcBorders>
          </w:tcPr>
          <w:p w14:paraId="313C2901" w14:textId="77777777" w:rsidR="002839E4" w:rsidRPr="003B601F" w:rsidRDefault="002839E4" w:rsidP="00377F3A">
            <w:pPr>
              <w:pStyle w:val="TableText"/>
            </w:pPr>
            <w:r w:rsidRPr="003B601F">
              <w:t>2 fox poisonings adjacent to treated farm</w:t>
            </w:r>
          </w:p>
        </w:tc>
        <w:tc>
          <w:tcPr>
            <w:tcW w:w="0" w:type="auto"/>
            <w:tcBorders>
              <w:top w:val="single" w:sz="4" w:space="0" w:color="auto"/>
              <w:bottom w:val="single" w:sz="4" w:space="0" w:color="auto"/>
            </w:tcBorders>
          </w:tcPr>
          <w:p w14:paraId="6BFDDA69" w14:textId="15DE9B0D" w:rsidR="002839E4" w:rsidRPr="003B601F" w:rsidRDefault="002839E4" w:rsidP="00377F3A">
            <w:pPr>
              <w:pStyle w:val="TableText"/>
            </w:pPr>
            <w:r w:rsidRPr="003B601F">
              <w:t xml:space="preserve">Fletcher </w:t>
            </w:r>
            <w:r w:rsidR="00B7183A" w:rsidRPr="00B7183A">
              <w:rPr>
                <w:i/>
                <w:iCs/>
              </w:rPr>
              <w:t>et al</w:t>
            </w:r>
            <w:r w:rsidRPr="003B601F">
              <w:t>. 2000</w:t>
            </w:r>
          </w:p>
        </w:tc>
      </w:tr>
      <w:tr w:rsidR="002839E4" w:rsidRPr="003B601F" w14:paraId="557A478E" w14:textId="77777777" w:rsidTr="002839E4">
        <w:trPr>
          <w:cantSplit/>
        </w:trPr>
        <w:tc>
          <w:tcPr>
            <w:tcW w:w="0" w:type="auto"/>
            <w:vMerge w:val="restart"/>
            <w:tcBorders>
              <w:top w:val="single" w:sz="4" w:space="0" w:color="auto"/>
              <w:left w:val="nil"/>
              <w:bottom w:val="single" w:sz="4" w:space="0" w:color="auto"/>
            </w:tcBorders>
          </w:tcPr>
          <w:p w14:paraId="4C27F829" w14:textId="77777777" w:rsidR="002839E4" w:rsidRPr="003B601F" w:rsidRDefault="002839E4" w:rsidP="00377F3A">
            <w:pPr>
              <w:pStyle w:val="TableText"/>
            </w:pPr>
            <w:r w:rsidRPr="003B601F">
              <w:t>Various counties across UK</w:t>
            </w:r>
          </w:p>
        </w:tc>
        <w:tc>
          <w:tcPr>
            <w:tcW w:w="0" w:type="auto"/>
            <w:tcBorders>
              <w:top w:val="single" w:sz="4" w:space="0" w:color="auto"/>
              <w:bottom w:val="nil"/>
            </w:tcBorders>
          </w:tcPr>
          <w:p w14:paraId="346808CC" w14:textId="77777777" w:rsidR="002839E4" w:rsidRPr="003B601F" w:rsidRDefault="002839E4" w:rsidP="00377F3A">
            <w:pPr>
              <w:pStyle w:val="TableText"/>
            </w:pPr>
            <w:r w:rsidRPr="003B601F">
              <w:t>Unspecified</w:t>
            </w:r>
          </w:p>
        </w:tc>
        <w:tc>
          <w:tcPr>
            <w:tcW w:w="0" w:type="auto"/>
            <w:tcBorders>
              <w:top w:val="single" w:sz="4" w:space="0" w:color="auto"/>
              <w:bottom w:val="nil"/>
            </w:tcBorders>
          </w:tcPr>
          <w:p w14:paraId="16265407" w14:textId="77777777" w:rsidR="002839E4" w:rsidRPr="003B601F" w:rsidRDefault="002839E4" w:rsidP="00377F3A">
            <w:pPr>
              <w:pStyle w:val="TableText"/>
            </w:pPr>
            <w:r w:rsidRPr="003B601F">
              <w:t>1 fox poisoning in 1998</w:t>
            </w:r>
          </w:p>
        </w:tc>
        <w:tc>
          <w:tcPr>
            <w:tcW w:w="0" w:type="auto"/>
            <w:tcBorders>
              <w:top w:val="single" w:sz="4" w:space="0" w:color="auto"/>
              <w:bottom w:val="nil"/>
            </w:tcBorders>
          </w:tcPr>
          <w:p w14:paraId="577242D2" w14:textId="17EF0A8E" w:rsidR="002839E4" w:rsidRPr="003B601F" w:rsidRDefault="002839E4" w:rsidP="00377F3A">
            <w:pPr>
              <w:pStyle w:val="TableText"/>
            </w:pPr>
            <w:r w:rsidRPr="003B601F">
              <w:t xml:space="preserve">Fletcher </w:t>
            </w:r>
            <w:r w:rsidR="00B7183A" w:rsidRPr="00B7183A">
              <w:rPr>
                <w:i/>
                <w:iCs/>
              </w:rPr>
              <w:t>et al</w:t>
            </w:r>
            <w:r w:rsidRPr="003B601F">
              <w:t>. 1999</w:t>
            </w:r>
          </w:p>
        </w:tc>
      </w:tr>
      <w:tr w:rsidR="002839E4" w:rsidRPr="003B601F" w14:paraId="67D27E0B" w14:textId="77777777" w:rsidTr="002839E4">
        <w:trPr>
          <w:cantSplit/>
        </w:trPr>
        <w:tc>
          <w:tcPr>
            <w:tcW w:w="0" w:type="auto"/>
            <w:vMerge/>
            <w:tcBorders>
              <w:top w:val="single" w:sz="4" w:space="0" w:color="auto"/>
              <w:left w:val="nil"/>
              <w:bottom w:val="single" w:sz="4" w:space="0" w:color="auto"/>
            </w:tcBorders>
          </w:tcPr>
          <w:p w14:paraId="67E67474" w14:textId="77777777" w:rsidR="002839E4" w:rsidRPr="003B601F" w:rsidRDefault="002839E4" w:rsidP="00377F3A">
            <w:pPr>
              <w:pStyle w:val="TableText"/>
            </w:pPr>
          </w:p>
        </w:tc>
        <w:tc>
          <w:tcPr>
            <w:tcW w:w="0" w:type="auto"/>
            <w:tcBorders>
              <w:top w:val="nil"/>
              <w:bottom w:val="single" w:sz="4" w:space="0" w:color="auto"/>
            </w:tcBorders>
          </w:tcPr>
          <w:p w14:paraId="0F0E63E1" w14:textId="77777777" w:rsidR="002839E4" w:rsidRPr="003B601F" w:rsidRDefault="002839E4" w:rsidP="00377F3A">
            <w:pPr>
              <w:pStyle w:val="TableText"/>
            </w:pPr>
          </w:p>
        </w:tc>
        <w:tc>
          <w:tcPr>
            <w:tcW w:w="0" w:type="auto"/>
            <w:tcBorders>
              <w:top w:val="nil"/>
              <w:bottom w:val="single" w:sz="4" w:space="0" w:color="auto"/>
            </w:tcBorders>
          </w:tcPr>
          <w:p w14:paraId="361A6B22" w14:textId="77777777" w:rsidR="002839E4" w:rsidRPr="003B601F" w:rsidRDefault="002839E4" w:rsidP="00377F3A">
            <w:pPr>
              <w:pStyle w:val="TableText"/>
            </w:pPr>
            <w:r w:rsidRPr="003B601F">
              <w:t>3 fox poisonings in 1999</w:t>
            </w:r>
          </w:p>
        </w:tc>
        <w:tc>
          <w:tcPr>
            <w:tcW w:w="0" w:type="auto"/>
            <w:tcBorders>
              <w:top w:val="nil"/>
              <w:bottom w:val="single" w:sz="4" w:space="0" w:color="auto"/>
            </w:tcBorders>
          </w:tcPr>
          <w:p w14:paraId="2E8CBA44" w14:textId="4874B257" w:rsidR="002839E4" w:rsidRPr="003B601F" w:rsidRDefault="002839E4" w:rsidP="00377F3A">
            <w:pPr>
              <w:pStyle w:val="TableText"/>
            </w:pPr>
            <w:r w:rsidRPr="003B601F">
              <w:t xml:space="preserve">Fletcher </w:t>
            </w:r>
            <w:r w:rsidR="00B7183A" w:rsidRPr="00B7183A">
              <w:rPr>
                <w:i/>
                <w:iCs/>
              </w:rPr>
              <w:t>et al</w:t>
            </w:r>
            <w:r w:rsidRPr="003B601F">
              <w:t>. 2000</w:t>
            </w:r>
          </w:p>
        </w:tc>
      </w:tr>
      <w:tr w:rsidR="002839E4" w:rsidRPr="003B601F" w14:paraId="58CEC308" w14:textId="77777777" w:rsidTr="002839E4">
        <w:trPr>
          <w:cantSplit/>
        </w:trPr>
        <w:tc>
          <w:tcPr>
            <w:tcW w:w="0" w:type="auto"/>
            <w:vMerge w:val="restart"/>
            <w:tcBorders>
              <w:top w:val="single" w:sz="4" w:space="0" w:color="auto"/>
              <w:left w:val="nil"/>
              <w:bottom w:val="nil"/>
            </w:tcBorders>
          </w:tcPr>
          <w:p w14:paraId="0886BB84" w14:textId="77777777" w:rsidR="002839E4" w:rsidRPr="003B601F" w:rsidRDefault="002839E4" w:rsidP="00377F3A">
            <w:pPr>
              <w:pStyle w:val="TableText"/>
            </w:pPr>
            <w:r w:rsidRPr="003B601F">
              <w:t>Various counties across UK</w:t>
            </w:r>
          </w:p>
        </w:tc>
        <w:tc>
          <w:tcPr>
            <w:tcW w:w="0" w:type="auto"/>
            <w:tcBorders>
              <w:top w:val="single" w:sz="4" w:space="0" w:color="auto"/>
              <w:bottom w:val="nil"/>
            </w:tcBorders>
          </w:tcPr>
          <w:p w14:paraId="33D45FCA" w14:textId="77777777" w:rsidR="002839E4" w:rsidRPr="003B601F" w:rsidRDefault="002839E4" w:rsidP="00377F3A">
            <w:pPr>
              <w:pStyle w:val="TableText"/>
            </w:pPr>
            <w:r w:rsidRPr="003B601F">
              <w:t>Unspecified</w:t>
            </w:r>
          </w:p>
        </w:tc>
        <w:tc>
          <w:tcPr>
            <w:tcW w:w="0" w:type="auto"/>
            <w:tcBorders>
              <w:top w:val="single" w:sz="4" w:space="0" w:color="auto"/>
              <w:bottom w:val="nil"/>
            </w:tcBorders>
          </w:tcPr>
          <w:p w14:paraId="756BA1FE" w14:textId="77777777" w:rsidR="002839E4" w:rsidRPr="003B601F" w:rsidRDefault="002839E4" w:rsidP="00377F3A">
            <w:pPr>
              <w:pStyle w:val="TableText"/>
            </w:pPr>
            <w:r w:rsidRPr="003B601F">
              <w:t>1 fox poisoning in 2000</w:t>
            </w:r>
          </w:p>
        </w:tc>
        <w:tc>
          <w:tcPr>
            <w:tcW w:w="0" w:type="auto"/>
            <w:tcBorders>
              <w:top w:val="single" w:sz="4" w:space="0" w:color="auto"/>
              <w:bottom w:val="nil"/>
            </w:tcBorders>
          </w:tcPr>
          <w:p w14:paraId="3D3296C4" w14:textId="3FEA9BC2" w:rsidR="002839E4" w:rsidRPr="003B601F" w:rsidRDefault="002839E4" w:rsidP="00377F3A">
            <w:pPr>
              <w:pStyle w:val="TableText"/>
            </w:pPr>
            <w:r w:rsidRPr="003B601F">
              <w:t xml:space="preserve">Barnett </w:t>
            </w:r>
            <w:r w:rsidR="00B7183A" w:rsidRPr="00B7183A">
              <w:rPr>
                <w:i/>
                <w:iCs/>
              </w:rPr>
              <w:t>et al</w:t>
            </w:r>
            <w:r w:rsidRPr="003B601F">
              <w:t>. 2002a</w:t>
            </w:r>
          </w:p>
        </w:tc>
      </w:tr>
      <w:tr w:rsidR="002839E4" w:rsidRPr="003B601F" w14:paraId="166B080A" w14:textId="77777777" w:rsidTr="002839E4">
        <w:trPr>
          <w:cantSplit/>
        </w:trPr>
        <w:tc>
          <w:tcPr>
            <w:tcW w:w="0" w:type="auto"/>
            <w:vMerge/>
            <w:tcBorders>
              <w:top w:val="nil"/>
              <w:left w:val="nil"/>
              <w:bottom w:val="nil"/>
            </w:tcBorders>
          </w:tcPr>
          <w:p w14:paraId="617C9204" w14:textId="77777777" w:rsidR="002839E4" w:rsidRPr="003B601F" w:rsidRDefault="002839E4" w:rsidP="00377F3A">
            <w:pPr>
              <w:pStyle w:val="TableText"/>
            </w:pPr>
          </w:p>
        </w:tc>
        <w:tc>
          <w:tcPr>
            <w:tcW w:w="0" w:type="auto"/>
            <w:tcBorders>
              <w:top w:val="nil"/>
              <w:bottom w:val="nil"/>
            </w:tcBorders>
          </w:tcPr>
          <w:p w14:paraId="02FA8743" w14:textId="77777777" w:rsidR="002839E4" w:rsidRPr="003B601F" w:rsidRDefault="002839E4" w:rsidP="00377F3A">
            <w:pPr>
              <w:pStyle w:val="TableText"/>
            </w:pPr>
          </w:p>
        </w:tc>
        <w:tc>
          <w:tcPr>
            <w:tcW w:w="0" w:type="auto"/>
            <w:tcBorders>
              <w:top w:val="nil"/>
              <w:bottom w:val="nil"/>
            </w:tcBorders>
          </w:tcPr>
          <w:p w14:paraId="6023C6B7" w14:textId="77777777" w:rsidR="002839E4" w:rsidRPr="003B601F" w:rsidRDefault="002839E4" w:rsidP="00377F3A">
            <w:pPr>
              <w:pStyle w:val="TableText"/>
            </w:pPr>
            <w:r w:rsidRPr="003B601F">
              <w:t>1 fox poisoning, in very thin condition and signs of bacterial septicaemia in 2003</w:t>
            </w:r>
          </w:p>
        </w:tc>
        <w:tc>
          <w:tcPr>
            <w:tcW w:w="0" w:type="auto"/>
            <w:tcBorders>
              <w:top w:val="nil"/>
              <w:bottom w:val="nil"/>
            </w:tcBorders>
          </w:tcPr>
          <w:p w14:paraId="578B4F38" w14:textId="26662763" w:rsidR="002839E4" w:rsidRPr="003B601F" w:rsidRDefault="002839E4" w:rsidP="00377F3A">
            <w:pPr>
              <w:pStyle w:val="TableText"/>
            </w:pPr>
            <w:r w:rsidRPr="003B601F">
              <w:t xml:space="preserve">Barnett </w:t>
            </w:r>
            <w:r w:rsidR="00B7183A" w:rsidRPr="00B7183A">
              <w:rPr>
                <w:i/>
                <w:iCs/>
              </w:rPr>
              <w:t>et al</w:t>
            </w:r>
            <w:r w:rsidRPr="003B601F">
              <w:t>. 2004</w:t>
            </w:r>
          </w:p>
        </w:tc>
      </w:tr>
      <w:tr w:rsidR="002839E4" w:rsidRPr="003B601F" w14:paraId="255EB506" w14:textId="77777777" w:rsidTr="002839E4">
        <w:trPr>
          <w:cantSplit/>
        </w:trPr>
        <w:tc>
          <w:tcPr>
            <w:tcW w:w="0" w:type="auto"/>
            <w:tcBorders>
              <w:top w:val="nil"/>
              <w:left w:val="nil"/>
              <w:bottom w:val="nil"/>
            </w:tcBorders>
          </w:tcPr>
          <w:p w14:paraId="22D0C66E" w14:textId="77777777" w:rsidR="002839E4" w:rsidRPr="003B601F" w:rsidRDefault="002839E4" w:rsidP="00377F3A">
            <w:pPr>
              <w:pStyle w:val="TableText"/>
            </w:pPr>
          </w:p>
        </w:tc>
        <w:tc>
          <w:tcPr>
            <w:tcW w:w="0" w:type="auto"/>
            <w:tcBorders>
              <w:top w:val="nil"/>
              <w:bottom w:val="nil"/>
            </w:tcBorders>
          </w:tcPr>
          <w:p w14:paraId="3E59375D" w14:textId="77777777" w:rsidR="002839E4" w:rsidRPr="003B601F" w:rsidRDefault="002839E4" w:rsidP="00377F3A">
            <w:pPr>
              <w:pStyle w:val="TableText"/>
            </w:pPr>
          </w:p>
        </w:tc>
        <w:tc>
          <w:tcPr>
            <w:tcW w:w="0" w:type="auto"/>
            <w:tcBorders>
              <w:top w:val="nil"/>
              <w:bottom w:val="nil"/>
            </w:tcBorders>
          </w:tcPr>
          <w:p w14:paraId="7FADB69C" w14:textId="77777777" w:rsidR="002839E4" w:rsidRPr="003B601F" w:rsidRDefault="002839E4" w:rsidP="00377F3A">
            <w:pPr>
              <w:pStyle w:val="TableText"/>
            </w:pPr>
            <w:r w:rsidRPr="003B601F">
              <w:t>1 fox found ill in garden and died in 2005</w:t>
            </w:r>
          </w:p>
        </w:tc>
        <w:tc>
          <w:tcPr>
            <w:tcW w:w="0" w:type="auto"/>
            <w:tcBorders>
              <w:top w:val="nil"/>
              <w:bottom w:val="nil"/>
            </w:tcBorders>
          </w:tcPr>
          <w:p w14:paraId="464377FB" w14:textId="3801C680" w:rsidR="002839E4" w:rsidRPr="003B601F" w:rsidRDefault="002839E4" w:rsidP="00377F3A">
            <w:pPr>
              <w:pStyle w:val="TableText"/>
            </w:pPr>
            <w:r w:rsidRPr="003B601F">
              <w:t xml:space="preserve">Barnett </w:t>
            </w:r>
            <w:r w:rsidR="00B7183A" w:rsidRPr="00B7183A">
              <w:rPr>
                <w:i/>
                <w:iCs/>
              </w:rPr>
              <w:t>et al</w:t>
            </w:r>
            <w:r w:rsidRPr="003B601F">
              <w:t>. 2006</w:t>
            </w:r>
          </w:p>
        </w:tc>
      </w:tr>
      <w:tr w:rsidR="002839E4" w:rsidRPr="003B601F" w14:paraId="43135103" w14:textId="77777777" w:rsidTr="002839E4">
        <w:trPr>
          <w:cantSplit/>
        </w:trPr>
        <w:tc>
          <w:tcPr>
            <w:tcW w:w="0" w:type="auto"/>
            <w:tcBorders>
              <w:top w:val="nil"/>
              <w:left w:val="nil"/>
              <w:bottom w:val="single" w:sz="4" w:space="0" w:color="auto"/>
            </w:tcBorders>
          </w:tcPr>
          <w:p w14:paraId="42174D36" w14:textId="77777777" w:rsidR="002839E4" w:rsidRPr="003B601F" w:rsidRDefault="002839E4" w:rsidP="00377F3A">
            <w:pPr>
              <w:pStyle w:val="TableText"/>
            </w:pPr>
          </w:p>
        </w:tc>
        <w:tc>
          <w:tcPr>
            <w:tcW w:w="0" w:type="auto"/>
            <w:tcBorders>
              <w:top w:val="nil"/>
              <w:bottom w:val="single" w:sz="4" w:space="0" w:color="auto"/>
            </w:tcBorders>
          </w:tcPr>
          <w:p w14:paraId="12F9EDD5" w14:textId="77777777" w:rsidR="002839E4" w:rsidRPr="003B601F" w:rsidRDefault="002839E4" w:rsidP="00377F3A">
            <w:pPr>
              <w:pStyle w:val="TableText"/>
            </w:pPr>
          </w:p>
        </w:tc>
        <w:tc>
          <w:tcPr>
            <w:tcW w:w="0" w:type="auto"/>
            <w:tcBorders>
              <w:top w:val="nil"/>
              <w:bottom w:val="single" w:sz="4" w:space="0" w:color="auto"/>
            </w:tcBorders>
          </w:tcPr>
          <w:p w14:paraId="1925B65C" w14:textId="77777777" w:rsidR="002839E4" w:rsidRPr="003B601F" w:rsidRDefault="002839E4" w:rsidP="00377F3A">
            <w:pPr>
              <w:pStyle w:val="TableText"/>
            </w:pPr>
            <w:r w:rsidRPr="003B601F">
              <w:t>No wildlife incidents that involved approved uses or unspecified exposure in 2001, 2002, 2004, and 2006</w:t>
            </w:r>
          </w:p>
        </w:tc>
        <w:tc>
          <w:tcPr>
            <w:tcW w:w="0" w:type="auto"/>
            <w:tcBorders>
              <w:top w:val="nil"/>
              <w:bottom w:val="single" w:sz="4" w:space="0" w:color="auto"/>
            </w:tcBorders>
          </w:tcPr>
          <w:p w14:paraId="56D1A0D1" w14:textId="3728E58E" w:rsidR="002839E4" w:rsidRPr="003B601F" w:rsidRDefault="002839E4" w:rsidP="00377F3A">
            <w:pPr>
              <w:pStyle w:val="TableText"/>
            </w:pPr>
            <w:r w:rsidRPr="003B601F">
              <w:t xml:space="preserve">Barnett </w:t>
            </w:r>
            <w:r w:rsidR="00B7183A" w:rsidRPr="00B7183A">
              <w:rPr>
                <w:i/>
                <w:iCs/>
              </w:rPr>
              <w:t>et al</w:t>
            </w:r>
            <w:r w:rsidRPr="003B601F">
              <w:t>. 2002b, 2003, 2005, 2007</w:t>
            </w:r>
          </w:p>
        </w:tc>
      </w:tr>
      <w:tr w:rsidR="002839E4" w:rsidRPr="003B601F" w14:paraId="1AC53933" w14:textId="77777777" w:rsidTr="00F24F3B">
        <w:trPr>
          <w:cantSplit/>
        </w:trPr>
        <w:tc>
          <w:tcPr>
            <w:tcW w:w="0" w:type="auto"/>
            <w:vMerge w:val="restart"/>
            <w:tcBorders>
              <w:top w:val="single" w:sz="4" w:space="0" w:color="auto"/>
              <w:left w:val="nil"/>
            </w:tcBorders>
          </w:tcPr>
          <w:p w14:paraId="4167B21C" w14:textId="77777777" w:rsidR="002839E4" w:rsidRPr="003B601F" w:rsidRDefault="002839E4" w:rsidP="00377F3A">
            <w:pPr>
              <w:pStyle w:val="TableText"/>
            </w:pPr>
            <w:r w:rsidRPr="003B601F">
              <w:t>New York, USA &amp; adjoining states</w:t>
            </w:r>
          </w:p>
        </w:tc>
        <w:tc>
          <w:tcPr>
            <w:tcW w:w="0" w:type="auto"/>
            <w:tcBorders>
              <w:top w:val="single" w:sz="4" w:space="0" w:color="auto"/>
              <w:bottom w:val="nil"/>
            </w:tcBorders>
          </w:tcPr>
          <w:p w14:paraId="4228C49F" w14:textId="77777777" w:rsidR="002839E4" w:rsidRPr="003B601F" w:rsidRDefault="002839E4" w:rsidP="00377F3A">
            <w:pPr>
              <w:pStyle w:val="TableText"/>
            </w:pPr>
            <w:r w:rsidRPr="003B601F">
              <w:t>Unspecified</w:t>
            </w:r>
          </w:p>
        </w:tc>
        <w:tc>
          <w:tcPr>
            <w:tcW w:w="0" w:type="auto"/>
            <w:tcBorders>
              <w:top w:val="single" w:sz="4" w:space="0" w:color="auto"/>
              <w:bottom w:val="nil"/>
            </w:tcBorders>
          </w:tcPr>
          <w:p w14:paraId="310BE98B" w14:textId="77777777" w:rsidR="002839E4" w:rsidRPr="003B601F" w:rsidRDefault="002839E4" w:rsidP="00377F3A">
            <w:pPr>
              <w:pStyle w:val="TableText"/>
            </w:pPr>
            <w:r w:rsidRPr="003B601F">
              <w:t>1 white-tailed deer poisoning in 1971-1997</w:t>
            </w:r>
          </w:p>
        </w:tc>
        <w:tc>
          <w:tcPr>
            <w:tcW w:w="0" w:type="auto"/>
            <w:tcBorders>
              <w:top w:val="single" w:sz="4" w:space="0" w:color="auto"/>
              <w:bottom w:val="nil"/>
            </w:tcBorders>
          </w:tcPr>
          <w:p w14:paraId="310B54E9" w14:textId="36FB563F" w:rsidR="002839E4" w:rsidRPr="003B601F" w:rsidRDefault="002839E4" w:rsidP="00377F3A">
            <w:pPr>
              <w:pStyle w:val="TableText"/>
            </w:pPr>
            <w:r w:rsidRPr="003B601F">
              <w:t xml:space="preserve">Stone </w:t>
            </w:r>
            <w:r w:rsidR="00B7183A" w:rsidRPr="00B7183A">
              <w:rPr>
                <w:i/>
                <w:iCs/>
              </w:rPr>
              <w:t>et al</w:t>
            </w:r>
            <w:r w:rsidRPr="003B601F">
              <w:t>. 1999</w:t>
            </w:r>
          </w:p>
        </w:tc>
      </w:tr>
      <w:tr w:rsidR="002839E4" w:rsidRPr="003B601F" w14:paraId="141AC00F" w14:textId="77777777" w:rsidTr="00F24F3B">
        <w:trPr>
          <w:cantSplit/>
        </w:trPr>
        <w:tc>
          <w:tcPr>
            <w:tcW w:w="0" w:type="auto"/>
            <w:vMerge/>
            <w:tcBorders>
              <w:left w:val="nil"/>
              <w:bottom w:val="nil"/>
            </w:tcBorders>
          </w:tcPr>
          <w:p w14:paraId="2DA2B585" w14:textId="77777777" w:rsidR="002839E4" w:rsidRPr="003B601F" w:rsidRDefault="002839E4" w:rsidP="00377F3A">
            <w:pPr>
              <w:pStyle w:val="TableText"/>
            </w:pPr>
          </w:p>
        </w:tc>
        <w:tc>
          <w:tcPr>
            <w:tcW w:w="0" w:type="auto"/>
            <w:tcBorders>
              <w:top w:val="nil"/>
              <w:bottom w:val="nil"/>
            </w:tcBorders>
          </w:tcPr>
          <w:p w14:paraId="561A85B5" w14:textId="77777777" w:rsidR="002839E4" w:rsidRPr="003B601F" w:rsidRDefault="002839E4" w:rsidP="00377F3A">
            <w:pPr>
              <w:pStyle w:val="TableText"/>
            </w:pPr>
          </w:p>
        </w:tc>
        <w:tc>
          <w:tcPr>
            <w:tcW w:w="0" w:type="auto"/>
            <w:tcBorders>
              <w:top w:val="nil"/>
              <w:bottom w:val="nil"/>
            </w:tcBorders>
          </w:tcPr>
          <w:p w14:paraId="52885B27" w14:textId="77777777" w:rsidR="002839E4" w:rsidRPr="003B601F" w:rsidRDefault="002839E4" w:rsidP="00377F3A">
            <w:pPr>
              <w:pStyle w:val="TableText"/>
            </w:pPr>
            <w:r w:rsidRPr="003B601F">
              <w:t>No wildlife incidents that involved approved uses or unspecified exposure in 1999-2001, 2003, 2005-2006</w:t>
            </w:r>
          </w:p>
        </w:tc>
        <w:tc>
          <w:tcPr>
            <w:tcW w:w="0" w:type="auto"/>
            <w:tcBorders>
              <w:top w:val="nil"/>
              <w:bottom w:val="nil"/>
            </w:tcBorders>
          </w:tcPr>
          <w:p w14:paraId="541DBE4F" w14:textId="255CD5E2" w:rsidR="002839E4" w:rsidRPr="003B601F" w:rsidRDefault="002839E4" w:rsidP="00377F3A">
            <w:pPr>
              <w:pStyle w:val="TableText"/>
            </w:pPr>
            <w:r w:rsidRPr="003B601F">
              <w:t xml:space="preserve">Barnett </w:t>
            </w:r>
            <w:r w:rsidR="00B7183A" w:rsidRPr="00B7183A">
              <w:rPr>
                <w:i/>
                <w:iCs/>
              </w:rPr>
              <w:t>et al</w:t>
            </w:r>
            <w:r w:rsidRPr="003B601F">
              <w:t xml:space="preserve">. 2002a, 2002b, 2004, 2006, 2007, Fletcher </w:t>
            </w:r>
            <w:r w:rsidR="00B7183A" w:rsidRPr="00B7183A">
              <w:rPr>
                <w:i/>
                <w:iCs/>
              </w:rPr>
              <w:t>et al</w:t>
            </w:r>
            <w:r w:rsidRPr="003B601F">
              <w:t>. 2000</w:t>
            </w:r>
          </w:p>
        </w:tc>
      </w:tr>
      <w:tr w:rsidR="002839E4" w:rsidRPr="003B601F" w14:paraId="7EEA82E4" w14:textId="77777777" w:rsidTr="002839E4">
        <w:trPr>
          <w:cantSplit/>
        </w:trPr>
        <w:tc>
          <w:tcPr>
            <w:tcW w:w="0" w:type="auto"/>
            <w:tcBorders>
              <w:top w:val="nil"/>
              <w:left w:val="nil"/>
              <w:bottom w:val="single" w:sz="4" w:space="0" w:color="auto"/>
            </w:tcBorders>
          </w:tcPr>
          <w:p w14:paraId="72C6279C" w14:textId="77777777" w:rsidR="002839E4" w:rsidRPr="003B601F" w:rsidRDefault="002839E4" w:rsidP="00377F3A">
            <w:pPr>
              <w:pStyle w:val="TableText"/>
            </w:pPr>
          </w:p>
        </w:tc>
        <w:tc>
          <w:tcPr>
            <w:tcW w:w="0" w:type="auto"/>
            <w:tcBorders>
              <w:top w:val="nil"/>
              <w:bottom w:val="single" w:sz="4" w:space="0" w:color="auto"/>
            </w:tcBorders>
          </w:tcPr>
          <w:p w14:paraId="36EA8CA0" w14:textId="77777777" w:rsidR="002839E4" w:rsidRPr="003B601F" w:rsidRDefault="002839E4" w:rsidP="00377F3A">
            <w:pPr>
              <w:pStyle w:val="TableText"/>
            </w:pPr>
          </w:p>
        </w:tc>
        <w:tc>
          <w:tcPr>
            <w:tcW w:w="0" w:type="auto"/>
            <w:tcBorders>
              <w:top w:val="nil"/>
              <w:bottom w:val="single" w:sz="4" w:space="0" w:color="auto"/>
            </w:tcBorders>
          </w:tcPr>
          <w:p w14:paraId="5F21A0D4" w14:textId="1D1071B7" w:rsidR="002839E4" w:rsidRPr="003B601F" w:rsidRDefault="002839E4" w:rsidP="00377F3A">
            <w:pPr>
              <w:pStyle w:val="TableText"/>
            </w:pPr>
            <w:r w:rsidRPr="003B601F">
              <w:t>4 crows poisoned (accessed protected bait points) in 2004</w:t>
            </w:r>
          </w:p>
        </w:tc>
        <w:tc>
          <w:tcPr>
            <w:tcW w:w="0" w:type="auto"/>
            <w:tcBorders>
              <w:top w:val="nil"/>
              <w:bottom w:val="single" w:sz="4" w:space="0" w:color="auto"/>
            </w:tcBorders>
          </w:tcPr>
          <w:p w14:paraId="2823C287" w14:textId="7585FA11" w:rsidR="002839E4" w:rsidRPr="003B601F" w:rsidRDefault="002839E4" w:rsidP="00377F3A">
            <w:pPr>
              <w:pStyle w:val="TableText"/>
            </w:pPr>
            <w:r w:rsidRPr="003B601F">
              <w:t xml:space="preserve">Barnett </w:t>
            </w:r>
            <w:r w:rsidR="00B7183A" w:rsidRPr="00B7183A">
              <w:rPr>
                <w:i/>
                <w:iCs/>
              </w:rPr>
              <w:t>et al</w:t>
            </w:r>
            <w:r w:rsidRPr="003B601F">
              <w:t>. 2005</w:t>
            </w:r>
          </w:p>
        </w:tc>
      </w:tr>
    </w:tbl>
    <w:p w14:paraId="55A2CE43" w14:textId="3B2192C9" w:rsidR="000D594D" w:rsidRPr="00861CA0" w:rsidRDefault="00850971" w:rsidP="00377F3A">
      <w:pPr>
        <w:pStyle w:val="Caption"/>
      </w:pPr>
      <w:bookmarkStart w:id="1972" w:name="_Toc213946062"/>
      <w:bookmarkStart w:id="1973" w:name="_Hlk156288364"/>
      <w:bookmarkStart w:id="1974" w:name="_Toc216695753"/>
      <w:bookmarkEnd w:id="1964"/>
      <w:bookmarkEnd w:id="1969"/>
      <w:bookmarkEnd w:id="1970"/>
      <w:r>
        <w:lastRenderedPageBreak/>
        <w:t xml:space="preserve">Table </w:t>
      </w:r>
      <w:r>
        <w:fldChar w:fldCharType="begin"/>
      </w:r>
      <w:r>
        <w:instrText xml:space="preserve"> SEQ Table \* ARABIC </w:instrText>
      </w:r>
      <w:r>
        <w:fldChar w:fldCharType="separate"/>
      </w:r>
      <w:r w:rsidR="003861AC">
        <w:rPr>
          <w:noProof/>
        </w:rPr>
        <w:t>91</w:t>
      </w:r>
      <w:r>
        <w:fldChar w:fldCharType="end"/>
      </w:r>
      <w:r>
        <w:t xml:space="preserve">: </w:t>
      </w:r>
      <w:bookmarkStart w:id="1975" w:name="_Hlk157518595"/>
      <w:r w:rsidR="00C75073">
        <w:t xml:space="preserve">Coumatetralyl – </w:t>
      </w:r>
      <w:r w:rsidR="000D594D">
        <w:t>Effects on aquatic species</w:t>
      </w:r>
      <w:bookmarkEnd w:id="1972"/>
      <w:bookmarkEnd w:id="1974"/>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02"/>
        <w:gridCol w:w="1021"/>
        <w:gridCol w:w="2689"/>
        <w:gridCol w:w="2002"/>
        <w:gridCol w:w="2514"/>
      </w:tblGrid>
      <w:tr w:rsidR="00C75073" w:rsidRPr="000B2FA7" w14:paraId="65E672FC" w14:textId="77777777" w:rsidTr="0017134F">
        <w:trPr>
          <w:tblHeader/>
        </w:trPr>
        <w:tc>
          <w:tcPr>
            <w:tcW w:w="0" w:type="auto"/>
            <w:tcBorders>
              <w:bottom w:val="single" w:sz="4" w:space="0" w:color="auto"/>
            </w:tcBorders>
            <w:shd w:val="clear" w:color="auto" w:fill="53284F"/>
          </w:tcPr>
          <w:p w14:paraId="7A067E4B" w14:textId="77777777" w:rsidR="00C75073" w:rsidRDefault="00C75073" w:rsidP="00377F3A">
            <w:pPr>
              <w:pStyle w:val="TableHead"/>
            </w:pPr>
            <w:r>
              <w:t>Group</w:t>
            </w:r>
          </w:p>
        </w:tc>
        <w:tc>
          <w:tcPr>
            <w:tcW w:w="0" w:type="auto"/>
            <w:tcBorders>
              <w:bottom w:val="single" w:sz="4" w:space="0" w:color="auto"/>
            </w:tcBorders>
            <w:shd w:val="clear" w:color="auto" w:fill="53284F"/>
          </w:tcPr>
          <w:p w14:paraId="6627F476" w14:textId="77777777" w:rsidR="00C75073" w:rsidRDefault="00C75073" w:rsidP="00377F3A">
            <w:pPr>
              <w:pStyle w:val="TableHead"/>
            </w:pPr>
            <w:r>
              <w:t>Exposure</w:t>
            </w:r>
          </w:p>
        </w:tc>
        <w:tc>
          <w:tcPr>
            <w:tcW w:w="0" w:type="auto"/>
            <w:tcBorders>
              <w:bottom w:val="single" w:sz="4" w:space="0" w:color="auto"/>
            </w:tcBorders>
            <w:shd w:val="clear" w:color="auto" w:fill="53284F"/>
          </w:tcPr>
          <w:p w14:paraId="25DA3E64" w14:textId="77777777" w:rsidR="00C75073" w:rsidRPr="00CA558C" w:rsidRDefault="00C75073" w:rsidP="00377F3A">
            <w:pPr>
              <w:pStyle w:val="TableHead"/>
            </w:pPr>
            <w:r>
              <w:t>Species</w:t>
            </w:r>
          </w:p>
        </w:tc>
        <w:tc>
          <w:tcPr>
            <w:tcW w:w="0" w:type="auto"/>
            <w:tcBorders>
              <w:bottom w:val="single" w:sz="4" w:space="0" w:color="auto"/>
            </w:tcBorders>
            <w:shd w:val="clear" w:color="auto" w:fill="53284F"/>
          </w:tcPr>
          <w:p w14:paraId="40984EE8" w14:textId="77777777" w:rsidR="00C75073" w:rsidRPr="00CA558C" w:rsidRDefault="00C75073" w:rsidP="00377F3A">
            <w:pPr>
              <w:pStyle w:val="TableHead"/>
            </w:pPr>
            <w:r>
              <w:t>Toxicity v</w:t>
            </w:r>
            <w:r w:rsidRPr="00CA558C">
              <w:t>alue</w:t>
            </w:r>
          </w:p>
        </w:tc>
        <w:tc>
          <w:tcPr>
            <w:tcW w:w="0" w:type="auto"/>
            <w:tcBorders>
              <w:bottom w:val="single" w:sz="4" w:space="0" w:color="auto"/>
            </w:tcBorders>
            <w:shd w:val="clear" w:color="auto" w:fill="53284F"/>
          </w:tcPr>
          <w:p w14:paraId="2E17E62F" w14:textId="77777777" w:rsidR="00C75073" w:rsidRPr="00CA558C" w:rsidRDefault="00C75073" w:rsidP="00377F3A">
            <w:pPr>
              <w:pStyle w:val="TableHead"/>
            </w:pPr>
            <w:r>
              <w:t>Reference</w:t>
            </w:r>
          </w:p>
        </w:tc>
      </w:tr>
      <w:tr w:rsidR="00C75073" w14:paraId="21492D69" w14:textId="77777777" w:rsidTr="00C75073">
        <w:tc>
          <w:tcPr>
            <w:tcW w:w="0" w:type="auto"/>
            <w:tcBorders>
              <w:top w:val="single" w:sz="4" w:space="0" w:color="auto"/>
              <w:left w:val="nil"/>
              <w:bottom w:val="nil"/>
              <w:right w:val="nil"/>
            </w:tcBorders>
          </w:tcPr>
          <w:p w14:paraId="52951D1B" w14:textId="77777777" w:rsidR="00C75073" w:rsidRPr="00CA558C" w:rsidRDefault="00C75073" w:rsidP="00377F3A">
            <w:pPr>
              <w:pStyle w:val="TableText"/>
            </w:pPr>
            <w:r>
              <w:t>Fish</w:t>
            </w:r>
          </w:p>
        </w:tc>
        <w:tc>
          <w:tcPr>
            <w:tcW w:w="0" w:type="auto"/>
            <w:tcBorders>
              <w:top w:val="single" w:sz="4" w:space="0" w:color="auto"/>
              <w:left w:val="nil"/>
              <w:bottom w:val="nil"/>
              <w:right w:val="nil"/>
            </w:tcBorders>
          </w:tcPr>
          <w:p w14:paraId="3D8A728B" w14:textId="77777777" w:rsidR="00C75073" w:rsidRPr="00CA558C" w:rsidRDefault="00C75073" w:rsidP="00377F3A">
            <w:pPr>
              <w:pStyle w:val="TableText"/>
            </w:pPr>
            <w:r>
              <w:t>Acute</w:t>
            </w:r>
          </w:p>
        </w:tc>
        <w:tc>
          <w:tcPr>
            <w:tcW w:w="0" w:type="auto"/>
            <w:tcBorders>
              <w:top w:val="single" w:sz="4" w:space="0" w:color="auto"/>
              <w:left w:val="nil"/>
              <w:bottom w:val="nil"/>
              <w:right w:val="nil"/>
            </w:tcBorders>
          </w:tcPr>
          <w:p w14:paraId="03592141" w14:textId="77777777" w:rsidR="00C75073" w:rsidRPr="00E70A94" w:rsidRDefault="00C75073" w:rsidP="00377F3A">
            <w:pPr>
              <w:pStyle w:val="TableText"/>
            </w:pPr>
            <w:r>
              <w:t>Oncorhynchus mykiss</w:t>
            </w:r>
          </w:p>
        </w:tc>
        <w:tc>
          <w:tcPr>
            <w:tcW w:w="0" w:type="auto"/>
            <w:tcBorders>
              <w:top w:val="single" w:sz="4" w:space="0" w:color="auto"/>
              <w:left w:val="nil"/>
              <w:bottom w:val="nil"/>
              <w:right w:val="nil"/>
            </w:tcBorders>
          </w:tcPr>
          <w:p w14:paraId="0D5D7D87" w14:textId="77777777" w:rsidR="00C75073" w:rsidRPr="007528B2" w:rsidRDefault="00C75073" w:rsidP="00377F3A">
            <w:pPr>
              <w:pStyle w:val="TableText"/>
            </w:pPr>
            <w:r>
              <w:t>LC</w:t>
            </w:r>
            <w:r w:rsidRPr="000A551F">
              <w:rPr>
                <w:vertAlign w:val="subscript"/>
              </w:rPr>
              <w:t>50</w:t>
            </w:r>
            <w:r>
              <w:t xml:space="preserve"> 53 mg/L</w:t>
            </w:r>
          </w:p>
        </w:tc>
        <w:tc>
          <w:tcPr>
            <w:tcW w:w="0" w:type="auto"/>
            <w:tcBorders>
              <w:top w:val="single" w:sz="4" w:space="0" w:color="auto"/>
              <w:left w:val="nil"/>
              <w:bottom w:val="nil"/>
              <w:right w:val="nil"/>
            </w:tcBorders>
          </w:tcPr>
          <w:p w14:paraId="56A55F63" w14:textId="77777777" w:rsidR="00C75073" w:rsidRDefault="00C75073" w:rsidP="00377F3A">
            <w:pPr>
              <w:pStyle w:val="TableText"/>
            </w:pPr>
            <w:r>
              <w:t>Sewell &amp; McKenzie 2003</w:t>
            </w:r>
          </w:p>
        </w:tc>
      </w:tr>
      <w:tr w:rsidR="00C75073" w:rsidRPr="000B2FA7" w14:paraId="743C0794" w14:textId="77777777" w:rsidTr="00C75073">
        <w:tc>
          <w:tcPr>
            <w:tcW w:w="0" w:type="auto"/>
            <w:tcBorders>
              <w:top w:val="nil"/>
              <w:left w:val="nil"/>
              <w:bottom w:val="single" w:sz="4" w:space="0" w:color="auto"/>
              <w:right w:val="nil"/>
            </w:tcBorders>
          </w:tcPr>
          <w:p w14:paraId="6CB3BE7C" w14:textId="77777777" w:rsidR="00C75073" w:rsidRDefault="00C75073" w:rsidP="00377F3A">
            <w:pPr>
              <w:pStyle w:val="TableText"/>
            </w:pPr>
          </w:p>
        </w:tc>
        <w:tc>
          <w:tcPr>
            <w:tcW w:w="0" w:type="auto"/>
            <w:tcBorders>
              <w:top w:val="nil"/>
              <w:left w:val="nil"/>
              <w:bottom w:val="single" w:sz="4" w:space="0" w:color="auto"/>
              <w:right w:val="nil"/>
            </w:tcBorders>
          </w:tcPr>
          <w:p w14:paraId="469F9B06" w14:textId="77777777" w:rsidR="00C75073" w:rsidRDefault="00C75073" w:rsidP="00377F3A">
            <w:pPr>
              <w:pStyle w:val="TableText"/>
            </w:pPr>
            <w:r>
              <w:t>Chronic</w:t>
            </w:r>
          </w:p>
        </w:tc>
        <w:tc>
          <w:tcPr>
            <w:tcW w:w="0" w:type="auto"/>
            <w:tcBorders>
              <w:top w:val="nil"/>
              <w:left w:val="nil"/>
              <w:bottom w:val="single" w:sz="4" w:space="0" w:color="auto"/>
              <w:right w:val="nil"/>
            </w:tcBorders>
          </w:tcPr>
          <w:p w14:paraId="740B184F" w14:textId="77777777" w:rsidR="00C75073" w:rsidRDefault="00C75073" w:rsidP="00377F3A">
            <w:pPr>
              <w:pStyle w:val="TableText"/>
            </w:pPr>
            <w:r>
              <w:t>Oncorhynchus mykiss</w:t>
            </w:r>
          </w:p>
        </w:tc>
        <w:tc>
          <w:tcPr>
            <w:tcW w:w="0" w:type="auto"/>
            <w:tcBorders>
              <w:top w:val="nil"/>
              <w:left w:val="nil"/>
              <w:bottom w:val="single" w:sz="4" w:space="0" w:color="auto"/>
              <w:right w:val="nil"/>
            </w:tcBorders>
          </w:tcPr>
          <w:p w14:paraId="68B07473" w14:textId="77777777" w:rsidR="00C75073" w:rsidRDefault="00C75073" w:rsidP="00377F3A">
            <w:pPr>
              <w:pStyle w:val="TableText"/>
            </w:pPr>
            <w:r>
              <w:t>NOEC 0.0050 mg/L</w:t>
            </w:r>
          </w:p>
        </w:tc>
        <w:tc>
          <w:tcPr>
            <w:tcW w:w="0" w:type="auto"/>
            <w:tcBorders>
              <w:top w:val="nil"/>
              <w:left w:val="nil"/>
              <w:bottom w:val="single" w:sz="4" w:space="0" w:color="auto"/>
              <w:right w:val="nil"/>
            </w:tcBorders>
          </w:tcPr>
          <w:p w14:paraId="54705364" w14:textId="77777777" w:rsidR="00C75073" w:rsidRDefault="00C75073" w:rsidP="00377F3A">
            <w:pPr>
              <w:pStyle w:val="TableText"/>
            </w:pPr>
            <w:r>
              <w:t>Grau 1992d</w:t>
            </w:r>
          </w:p>
        </w:tc>
      </w:tr>
      <w:tr w:rsidR="00C75073" w:rsidRPr="000B2FA7" w14:paraId="56AEA7E9" w14:textId="77777777" w:rsidTr="00C75073">
        <w:tc>
          <w:tcPr>
            <w:tcW w:w="0" w:type="auto"/>
            <w:tcBorders>
              <w:top w:val="single" w:sz="4" w:space="0" w:color="auto"/>
              <w:left w:val="nil"/>
              <w:bottom w:val="nil"/>
              <w:right w:val="nil"/>
            </w:tcBorders>
          </w:tcPr>
          <w:p w14:paraId="7D279182" w14:textId="77777777" w:rsidR="00C75073" w:rsidRDefault="00C75073" w:rsidP="00377F3A">
            <w:pPr>
              <w:pStyle w:val="TableText"/>
            </w:pPr>
            <w:r>
              <w:t>Invertebrates</w:t>
            </w:r>
          </w:p>
        </w:tc>
        <w:tc>
          <w:tcPr>
            <w:tcW w:w="0" w:type="auto"/>
            <w:tcBorders>
              <w:top w:val="single" w:sz="4" w:space="0" w:color="auto"/>
              <w:left w:val="nil"/>
              <w:bottom w:val="nil"/>
              <w:right w:val="nil"/>
            </w:tcBorders>
          </w:tcPr>
          <w:p w14:paraId="7206317E"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72A5A5FB" w14:textId="77777777" w:rsidR="00C75073" w:rsidRPr="007528B2" w:rsidRDefault="00C75073" w:rsidP="00377F3A">
            <w:pPr>
              <w:pStyle w:val="TableText"/>
            </w:pPr>
            <w:r>
              <w:t>Daphnia magna</w:t>
            </w:r>
          </w:p>
        </w:tc>
        <w:tc>
          <w:tcPr>
            <w:tcW w:w="0" w:type="auto"/>
            <w:tcBorders>
              <w:top w:val="single" w:sz="4" w:space="0" w:color="auto"/>
              <w:left w:val="nil"/>
              <w:bottom w:val="nil"/>
              <w:right w:val="nil"/>
            </w:tcBorders>
          </w:tcPr>
          <w:p w14:paraId="57DD8E16" w14:textId="77777777" w:rsidR="00C75073" w:rsidRPr="007528B2" w:rsidRDefault="00C75073" w:rsidP="00377F3A">
            <w:pPr>
              <w:pStyle w:val="TableText"/>
            </w:pPr>
            <w:r>
              <w:t>EC</w:t>
            </w:r>
            <w:r w:rsidRPr="00E0767A">
              <w:rPr>
                <w:vertAlign w:val="subscript"/>
              </w:rPr>
              <w:t>50</w:t>
            </w:r>
            <w:r>
              <w:t xml:space="preserve"> &gt;14 mg/L</w:t>
            </w:r>
          </w:p>
        </w:tc>
        <w:tc>
          <w:tcPr>
            <w:tcW w:w="0" w:type="auto"/>
            <w:tcBorders>
              <w:top w:val="single" w:sz="4" w:space="0" w:color="auto"/>
              <w:left w:val="nil"/>
              <w:bottom w:val="nil"/>
              <w:right w:val="nil"/>
            </w:tcBorders>
          </w:tcPr>
          <w:p w14:paraId="69A0BE3A" w14:textId="77777777" w:rsidR="00C75073" w:rsidRPr="007528B2" w:rsidRDefault="00C75073" w:rsidP="00377F3A">
            <w:pPr>
              <w:pStyle w:val="TableText"/>
            </w:pPr>
            <w:r>
              <w:t>Heimbach 1991a</w:t>
            </w:r>
          </w:p>
        </w:tc>
      </w:tr>
      <w:tr w:rsidR="00C75073" w:rsidRPr="000B2FA7" w14:paraId="078BEE7F" w14:textId="77777777" w:rsidTr="00C75073">
        <w:tc>
          <w:tcPr>
            <w:tcW w:w="0" w:type="auto"/>
            <w:tcBorders>
              <w:top w:val="nil"/>
              <w:left w:val="nil"/>
              <w:bottom w:val="nil"/>
              <w:right w:val="nil"/>
            </w:tcBorders>
          </w:tcPr>
          <w:p w14:paraId="2F285540" w14:textId="77777777" w:rsidR="00C75073" w:rsidRDefault="00C75073" w:rsidP="00377F3A">
            <w:pPr>
              <w:pStyle w:val="TableText"/>
            </w:pPr>
          </w:p>
        </w:tc>
        <w:tc>
          <w:tcPr>
            <w:tcW w:w="0" w:type="auto"/>
            <w:tcBorders>
              <w:top w:val="nil"/>
              <w:left w:val="nil"/>
              <w:bottom w:val="nil"/>
              <w:right w:val="nil"/>
            </w:tcBorders>
          </w:tcPr>
          <w:p w14:paraId="395B4667" w14:textId="77777777" w:rsidR="00C75073" w:rsidRDefault="00C75073" w:rsidP="00377F3A">
            <w:pPr>
              <w:pStyle w:val="TableText"/>
            </w:pPr>
          </w:p>
        </w:tc>
        <w:tc>
          <w:tcPr>
            <w:tcW w:w="0" w:type="auto"/>
            <w:gridSpan w:val="2"/>
            <w:tcBorders>
              <w:top w:val="nil"/>
              <w:left w:val="nil"/>
              <w:bottom w:val="nil"/>
              <w:right w:val="nil"/>
            </w:tcBorders>
          </w:tcPr>
          <w:p w14:paraId="7DA8A233" w14:textId="77777777" w:rsidR="00C75073" w:rsidRPr="00310BEE" w:rsidRDefault="00C75073" w:rsidP="00377F3A">
            <w:pPr>
              <w:pStyle w:val="TableText"/>
            </w:pPr>
            <w:r w:rsidRPr="00310BEE">
              <w:t>0.75 g/kg pow</w:t>
            </w:r>
            <w:r>
              <w:t>der</w:t>
            </w:r>
            <w:r w:rsidRPr="00310BEE">
              <w:t>: EC</w:t>
            </w:r>
            <w:r w:rsidRPr="00310BEE">
              <w:rPr>
                <w:vertAlign w:val="subscript"/>
              </w:rPr>
              <w:t>50</w:t>
            </w:r>
            <w:r w:rsidRPr="00310BEE">
              <w:t xml:space="preserve"> &gt;10 mg/L</w:t>
            </w:r>
          </w:p>
        </w:tc>
        <w:tc>
          <w:tcPr>
            <w:tcW w:w="0" w:type="auto"/>
            <w:tcBorders>
              <w:top w:val="nil"/>
              <w:left w:val="nil"/>
              <w:bottom w:val="nil"/>
              <w:right w:val="nil"/>
            </w:tcBorders>
          </w:tcPr>
          <w:p w14:paraId="496374FD" w14:textId="77777777" w:rsidR="00C75073" w:rsidRDefault="00C75073" w:rsidP="00377F3A">
            <w:pPr>
              <w:pStyle w:val="TableText"/>
            </w:pPr>
            <w:r>
              <w:t>Heimbach 1991b</w:t>
            </w:r>
          </w:p>
        </w:tc>
      </w:tr>
      <w:tr w:rsidR="00C75073" w:rsidRPr="000B2FA7" w14:paraId="1D504589" w14:textId="77777777" w:rsidTr="00C75073">
        <w:tc>
          <w:tcPr>
            <w:tcW w:w="0" w:type="auto"/>
            <w:tcBorders>
              <w:top w:val="nil"/>
              <w:left w:val="nil"/>
              <w:bottom w:val="single" w:sz="4" w:space="0" w:color="auto"/>
              <w:right w:val="nil"/>
            </w:tcBorders>
          </w:tcPr>
          <w:p w14:paraId="79C77CC8" w14:textId="77777777" w:rsidR="00C75073" w:rsidRDefault="00C75073" w:rsidP="00377F3A">
            <w:pPr>
              <w:pStyle w:val="TableText"/>
            </w:pPr>
          </w:p>
        </w:tc>
        <w:tc>
          <w:tcPr>
            <w:tcW w:w="0" w:type="auto"/>
            <w:tcBorders>
              <w:top w:val="nil"/>
              <w:left w:val="nil"/>
              <w:bottom w:val="single" w:sz="4" w:space="0" w:color="auto"/>
              <w:right w:val="nil"/>
            </w:tcBorders>
          </w:tcPr>
          <w:p w14:paraId="750AF499" w14:textId="77777777" w:rsidR="00C75073" w:rsidRDefault="00C75073" w:rsidP="00377F3A">
            <w:pPr>
              <w:pStyle w:val="TableText"/>
            </w:pPr>
            <w:r>
              <w:t>Chronic</w:t>
            </w:r>
          </w:p>
        </w:tc>
        <w:tc>
          <w:tcPr>
            <w:tcW w:w="0" w:type="auto"/>
            <w:tcBorders>
              <w:top w:val="nil"/>
              <w:left w:val="nil"/>
              <w:bottom w:val="single" w:sz="4" w:space="0" w:color="auto"/>
              <w:right w:val="nil"/>
            </w:tcBorders>
          </w:tcPr>
          <w:p w14:paraId="405679CF" w14:textId="77777777" w:rsidR="00C75073" w:rsidRDefault="00C75073" w:rsidP="00377F3A">
            <w:pPr>
              <w:pStyle w:val="TableText"/>
            </w:pPr>
            <w:r>
              <w:t>Daphnia magna</w:t>
            </w:r>
          </w:p>
        </w:tc>
        <w:tc>
          <w:tcPr>
            <w:tcW w:w="0" w:type="auto"/>
            <w:tcBorders>
              <w:top w:val="nil"/>
              <w:left w:val="nil"/>
              <w:bottom w:val="single" w:sz="4" w:space="0" w:color="auto"/>
              <w:right w:val="nil"/>
            </w:tcBorders>
          </w:tcPr>
          <w:p w14:paraId="508BC726" w14:textId="77777777" w:rsidR="00C75073" w:rsidRDefault="00C75073" w:rsidP="00377F3A">
            <w:pPr>
              <w:pStyle w:val="TableText"/>
            </w:pPr>
            <w:r>
              <w:t>NOEC 0.10 mg/L</w:t>
            </w:r>
          </w:p>
        </w:tc>
        <w:tc>
          <w:tcPr>
            <w:tcW w:w="0" w:type="auto"/>
            <w:tcBorders>
              <w:top w:val="nil"/>
              <w:left w:val="nil"/>
              <w:bottom w:val="single" w:sz="4" w:space="0" w:color="auto"/>
              <w:right w:val="nil"/>
            </w:tcBorders>
          </w:tcPr>
          <w:p w14:paraId="1D63EB8D" w14:textId="77777777" w:rsidR="00C75073" w:rsidRDefault="00C75073" w:rsidP="00377F3A">
            <w:pPr>
              <w:pStyle w:val="TableText"/>
            </w:pPr>
            <w:r>
              <w:t>Heimbach 1992</w:t>
            </w:r>
          </w:p>
        </w:tc>
      </w:tr>
      <w:tr w:rsidR="00C75073" w:rsidRPr="000B2FA7" w14:paraId="4E8B6BCA" w14:textId="77777777" w:rsidTr="00C75073">
        <w:tc>
          <w:tcPr>
            <w:tcW w:w="0" w:type="auto"/>
            <w:tcBorders>
              <w:top w:val="single" w:sz="4" w:space="0" w:color="auto"/>
              <w:left w:val="nil"/>
              <w:bottom w:val="single" w:sz="4" w:space="0" w:color="auto"/>
              <w:right w:val="nil"/>
            </w:tcBorders>
          </w:tcPr>
          <w:p w14:paraId="26FBBD65" w14:textId="77777777" w:rsidR="00C75073" w:rsidRDefault="00C75073" w:rsidP="00377F3A">
            <w:pPr>
              <w:pStyle w:val="TableText"/>
            </w:pPr>
            <w:r>
              <w:t>Algae</w:t>
            </w:r>
          </w:p>
        </w:tc>
        <w:tc>
          <w:tcPr>
            <w:tcW w:w="0" w:type="auto"/>
            <w:tcBorders>
              <w:top w:val="single" w:sz="4" w:space="0" w:color="auto"/>
              <w:left w:val="nil"/>
              <w:bottom w:val="single" w:sz="4" w:space="0" w:color="auto"/>
              <w:right w:val="nil"/>
            </w:tcBorders>
          </w:tcPr>
          <w:p w14:paraId="229DA65B" w14:textId="77777777" w:rsidR="00C75073" w:rsidRDefault="00C75073" w:rsidP="00377F3A">
            <w:pPr>
              <w:pStyle w:val="TableText"/>
            </w:pPr>
            <w:r>
              <w:t>Chronic</w:t>
            </w:r>
          </w:p>
        </w:tc>
        <w:tc>
          <w:tcPr>
            <w:tcW w:w="0" w:type="auto"/>
            <w:tcBorders>
              <w:top w:val="single" w:sz="4" w:space="0" w:color="auto"/>
              <w:left w:val="nil"/>
              <w:bottom w:val="single" w:sz="4" w:space="0" w:color="auto"/>
              <w:right w:val="nil"/>
            </w:tcBorders>
          </w:tcPr>
          <w:p w14:paraId="1503C2A9" w14:textId="77777777" w:rsidR="00C75073" w:rsidRPr="007528B2" w:rsidRDefault="00C75073" w:rsidP="00377F3A">
            <w:pPr>
              <w:pStyle w:val="TableText"/>
            </w:pPr>
            <w:r>
              <w:t>Scenedesmus subspicatus</w:t>
            </w:r>
          </w:p>
        </w:tc>
        <w:tc>
          <w:tcPr>
            <w:tcW w:w="0" w:type="auto"/>
            <w:tcBorders>
              <w:top w:val="single" w:sz="4" w:space="0" w:color="auto"/>
              <w:left w:val="nil"/>
              <w:bottom w:val="single" w:sz="4" w:space="0" w:color="auto"/>
              <w:right w:val="nil"/>
            </w:tcBorders>
          </w:tcPr>
          <w:p w14:paraId="4C4F7974" w14:textId="77777777" w:rsidR="00C75073" w:rsidRPr="007528B2" w:rsidRDefault="00C75073" w:rsidP="00377F3A">
            <w:pPr>
              <w:pStyle w:val="TableText"/>
            </w:pPr>
            <w:r>
              <w:t>E</w:t>
            </w:r>
            <w:r w:rsidRPr="00E0767A">
              <w:rPr>
                <w:vertAlign w:val="subscript"/>
              </w:rPr>
              <w:t>r</w:t>
            </w:r>
            <w:r>
              <w:t>C</w:t>
            </w:r>
            <w:r w:rsidRPr="00E0767A">
              <w:rPr>
                <w:vertAlign w:val="subscript"/>
              </w:rPr>
              <w:t>50</w:t>
            </w:r>
            <w:r>
              <w:t xml:space="preserve"> &gt;18 mg/L</w:t>
            </w:r>
          </w:p>
        </w:tc>
        <w:tc>
          <w:tcPr>
            <w:tcW w:w="0" w:type="auto"/>
            <w:tcBorders>
              <w:top w:val="single" w:sz="4" w:space="0" w:color="auto"/>
              <w:left w:val="nil"/>
              <w:bottom w:val="single" w:sz="4" w:space="0" w:color="auto"/>
              <w:right w:val="nil"/>
            </w:tcBorders>
          </w:tcPr>
          <w:p w14:paraId="1FF3297D" w14:textId="77777777" w:rsidR="00C75073" w:rsidRPr="007528B2" w:rsidRDefault="00C75073" w:rsidP="00377F3A">
            <w:pPr>
              <w:pStyle w:val="TableText"/>
            </w:pPr>
            <w:r>
              <w:t>Heimbach 1991c</w:t>
            </w:r>
          </w:p>
        </w:tc>
      </w:tr>
    </w:tbl>
    <w:p w14:paraId="28C79783" w14:textId="20329679" w:rsidR="008D0410" w:rsidRPr="00861CA0" w:rsidRDefault="00850971" w:rsidP="00377F3A">
      <w:pPr>
        <w:pStyle w:val="Caption"/>
      </w:pPr>
      <w:bookmarkStart w:id="1976" w:name="_Toc213946063"/>
      <w:bookmarkStart w:id="1977" w:name="_Toc216695754"/>
      <w:bookmarkEnd w:id="1973"/>
      <w:bookmarkEnd w:id="1975"/>
      <w:r>
        <w:t xml:space="preserve">Table </w:t>
      </w:r>
      <w:r>
        <w:fldChar w:fldCharType="begin"/>
      </w:r>
      <w:r>
        <w:instrText xml:space="preserve"> SEQ Table \* ARABIC </w:instrText>
      </w:r>
      <w:r>
        <w:fldChar w:fldCharType="separate"/>
      </w:r>
      <w:r w:rsidR="003861AC">
        <w:rPr>
          <w:noProof/>
        </w:rPr>
        <w:t>92</w:t>
      </w:r>
      <w:r>
        <w:fldChar w:fldCharType="end"/>
      </w:r>
      <w:r>
        <w:t xml:space="preserve">: </w:t>
      </w:r>
      <w:bookmarkStart w:id="1978" w:name="_Hlk157518632"/>
      <w:r w:rsidR="007F0040">
        <w:t xml:space="preserve">Coumatetralyl – </w:t>
      </w:r>
      <w:r w:rsidR="008D0410">
        <w:t>Effects on bees</w:t>
      </w:r>
      <w:bookmarkEnd w:id="1976"/>
      <w:bookmarkEnd w:id="1977"/>
      <w:r w:rsidR="008D041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85"/>
        <w:gridCol w:w="1436"/>
        <w:gridCol w:w="1336"/>
        <w:gridCol w:w="2318"/>
        <w:gridCol w:w="2653"/>
      </w:tblGrid>
      <w:tr w:rsidR="008D0410" w:rsidRPr="000B2FA7" w14:paraId="1552C7B1" w14:textId="77777777" w:rsidTr="0017134F">
        <w:trPr>
          <w:tblHeader/>
        </w:trPr>
        <w:tc>
          <w:tcPr>
            <w:tcW w:w="0" w:type="auto"/>
            <w:tcBorders>
              <w:bottom w:val="single" w:sz="4" w:space="0" w:color="auto"/>
            </w:tcBorders>
            <w:shd w:val="clear" w:color="auto" w:fill="53284F"/>
          </w:tcPr>
          <w:p w14:paraId="4F1A9A1E" w14:textId="77777777" w:rsidR="008D0410" w:rsidRDefault="008D0410" w:rsidP="00377F3A">
            <w:pPr>
              <w:pStyle w:val="TableHead"/>
            </w:pPr>
            <w:r>
              <w:t>Species</w:t>
            </w:r>
          </w:p>
        </w:tc>
        <w:tc>
          <w:tcPr>
            <w:tcW w:w="0" w:type="auto"/>
            <w:tcBorders>
              <w:bottom w:val="single" w:sz="4" w:space="0" w:color="auto"/>
            </w:tcBorders>
            <w:shd w:val="clear" w:color="auto" w:fill="53284F"/>
          </w:tcPr>
          <w:p w14:paraId="4A974B7D" w14:textId="77777777" w:rsidR="008D0410" w:rsidRDefault="008D0410" w:rsidP="00377F3A">
            <w:pPr>
              <w:pStyle w:val="TableHead"/>
            </w:pPr>
            <w:r>
              <w:t>Life stage</w:t>
            </w:r>
          </w:p>
        </w:tc>
        <w:tc>
          <w:tcPr>
            <w:tcW w:w="0" w:type="auto"/>
            <w:tcBorders>
              <w:bottom w:val="single" w:sz="4" w:space="0" w:color="auto"/>
            </w:tcBorders>
            <w:shd w:val="clear" w:color="auto" w:fill="53284F"/>
          </w:tcPr>
          <w:p w14:paraId="2937C50A" w14:textId="77777777" w:rsidR="008D0410" w:rsidRDefault="008D0410" w:rsidP="00377F3A">
            <w:pPr>
              <w:pStyle w:val="TableHead"/>
            </w:pPr>
            <w:r>
              <w:t>Exposure</w:t>
            </w:r>
          </w:p>
        </w:tc>
        <w:tc>
          <w:tcPr>
            <w:tcW w:w="0" w:type="auto"/>
            <w:tcBorders>
              <w:bottom w:val="single" w:sz="4" w:space="0" w:color="auto"/>
            </w:tcBorders>
            <w:shd w:val="clear" w:color="auto" w:fill="53284F"/>
          </w:tcPr>
          <w:p w14:paraId="5B8EE72C" w14:textId="77777777" w:rsidR="008D0410" w:rsidRPr="00CA558C" w:rsidRDefault="008D0410" w:rsidP="00377F3A">
            <w:pPr>
              <w:pStyle w:val="TableHead"/>
            </w:pPr>
            <w:r>
              <w:t>Toxicity v</w:t>
            </w:r>
            <w:r w:rsidRPr="00CA558C">
              <w:t>alue</w:t>
            </w:r>
          </w:p>
        </w:tc>
        <w:tc>
          <w:tcPr>
            <w:tcW w:w="0" w:type="auto"/>
            <w:tcBorders>
              <w:bottom w:val="single" w:sz="4" w:space="0" w:color="auto"/>
            </w:tcBorders>
            <w:shd w:val="clear" w:color="auto" w:fill="53284F"/>
          </w:tcPr>
          <w:p w14:paraId="14477B52" w14:textId="77777777" w:rsidR="008D0410" w:rsidRPr="00CA558C" w:rsidRDefault="008D0410" w:rsidP="00377F3A">
            <w:pPr>
              <w:pStyle w:val="TableHead"/>
            </w:pPr>
            <w:r>
              <w:t>Reference</w:t>
            </w:r>
          </w:p>
        </w:tc>
      </w:tr>
      <w:tr w:rsidR="008D0410" w:rsidRPr="000B2FA7" w14:paraId="2FEF27F5" w14:textId="77777777" w:rsidTr="007F0040">
        <w:tc>
          <w:tcPr>
            <w:tcW w:w="0" w:type="auto"/>
            <w:tcBorders>
              <w:top w:val="single" w:sz="4" w:space="0" w:color="auto"/>
              <w:left w:val="nil"/>
              <w:bottom w:val="single" w:sz="4" w:space="0" w:color="auto"/>
              <w:right w:val="nil"/>
            </w:tcBorders>
          </w:tcPr>
          <w:p w14:paraId="50963744" w14:textId="77777777" w:rsidR="008D0410" w:rsidRPr="00EB0265" w:rsidRDefault="008D0410" w:rsidP="00377F3A">
            <w:pPr>
              <w:pStyle w:val="TableText"/>
            </w:pPr>
            <w:r w:rsidRPr="00EB0265">
              <w:t>Apis mellifera</w:t>
            </w:r>
          </w:p>
        </w:tc>
        <w:tc>
          <w:tcPr>
            <w:tcW w:w="0" w:type="auto"/>
            <w:tcBorders>
              <w:top w:val="single" w:sz="4" w:space="0" w:color="auto"/>
              <w:left w:val="nil"/>
              <w:bottom w:val="single" w:sz="4" w:space="0" w:color="auto"/>
              <w:right w:val="nil"/>
            </w:tcBorders>
          </w:tcPr>
          <w:p w14:paraId="2DD307B7" w14:textId="77777777" w:rsidR="008D0410" w:rsidRDefault="008D0410" w:rsidP="00377F3A">
            <w:pPr>
              <w:pStyle w:val="TableText"/>
            </w:pPr>
            <w:r>
              <w:t>adult</w:t>
            </w:r>
          </w:p>
        </w:tc>
        <w:tc>
          <w:tcPr>
            <w:tcW w:w="0" w:type="auto"/>
            <w:tcBorders>
              <w:top w:val="single" w:sz="4" w:space="0" w:color="auto"/>
              <w:left w:val="nil"/>
              <w:bottom w:val="single" w:sz="4" w:space="0" w:color="auto"/>
              <w:right w:val="nil"/>
            </w:tcBorders>
          </w:tcPr>
          <w:p w14:paraId="13DBD36C" w14:textId="77777777" w:rsidR="008D0410" w:rsidRPr="00CA558C" w:rsidRDefault="008D0410" w:rsidP="00377F3A">
            <w:pPr>
              <w:pStyle w:val="TableText"/>
            </w:pPr>
            <w:r>
              <w:t>Contact</w:t>
            </w:r>
          </w:p>
        </w:tc>
        <w:tc>
          <w:tcPr>
            <w:tcW w:w="0" w:type="auto"/>
            <w:tcBorders>
              <w:top w:val="single" w:sz="4" w:space="0" w:color="auto"/>
              <w:left w:val="nil"/>
              <w:bottom w:val="single" w:sz="4" w:space="0" w:color="auto"/>
              <w:right w:val="nil"/>
            </w:tcBorders>
          </w:tcPr>
          <w:p w14:paraId="734A84D6" w14:textId="77777777" w:rsidR="008D0410" w:rsidRPr="00CA558C" w:rsidRDefault="008D0410" w:rsidP="00377F3A">
            <w:pPr>
              <w:pStyle w:val="TableText"/>
            </w:pPr>
            <w:r>
              <w:t>LD</w:t>
            </w:r>
            <w:r w:rsidRPr="00F71352">
              <w:rPr>
                <w:vertAlign w:val="subscript"/>
              </w:rPr>
              <w:t>50</w:t>
            </w:r>
            <w:r>
              <w:t xml:space="preserve"> 0.63 µg/bee</w:t>
            </w:r>
          </w:p>
        </w:tc>
        <w:tc>
          <w:tcPr>
            <w:tcW w:w="0" w:type="auto"/>
            <w:tcBorders>
              <w:top w:val="single" w:sz="4" w:space="0" w:color="auto"/>
              <w:left w:val="nil"/>
              <w:bottom w:val="single" w:sz="4" w:space="0" w:color="auto"/>
              <w:right w:val="nil"/>
            </w:tcBorders>
          </w:tcPr>
          <w:p w14:paraId="0CD70533" w14:textId="77777777" w:rsidR="008D0410" w:rsidRPr="00CA558C" w:rsidRDefault="008D0410" w:rsidP="00377F3A">
            <w:pPr>
              <w:pStyle w:val="TableText"/>
            </w:pPr>
            <w:r>
              <w:t>Bhide &amp; Naik 1989c</w:t>
            </w:r>
          </w:p>
        </w:tc>
      </w:tr>
    </w:tbl>
    <w:p w14:paraId="2BBDE8C4" w14:textId="7065A779" w:rsidR="007F0040" w:rsidRPr="00861CA0" w:rsidRDefault="00850971" w:rsidP="00377F3A">
      <w:pPr>
        <w:pStyle w:val="Caption"/>
      </w:pPr>
      <w:bookmarkStart w:id="1979" w:name="_Ref213315852"/>
      <w:bookmarkStart w:id="1980" w:name="_Toc213946064"/>
      <w:bookmarkStart w:id="1981" w:name="_Hlk182402403"/>
      <w:bookmarkStart w:id="1982" w:name="_Toc216695755"/>
      <w:bookmarkEnd w:id="1978"/>
      <w:r>
        <w:t xml:space="preserve">Table </w:t>
      </w:r>
      <w:r>
        <w:fldChar w:fldCharType="begin"/>
      </w:r>
      <w:r>
        <w:instrText xml:space="preserve"> SEQ Table \* ARABIC </w:instrText>
      </w:r>
      <w:r>
        <w:fldChar w:fldCharType="separate"/>
      </w:r>
      <w:r w:rsidR="003861AC">
        <w:rPr>
          <w:noProof/>
        </w:rPr>
        <w:t>93</w:t>
      </w:r>
      <w:r>
        <w:fldChar w:fldCharType="end"/>
      </w:r>
      <w:bookmarkEnd w:id="1979"/>
      <w:r>
        <w:t xml:space="preserve">: </w:t>
      </w:r>
      <w:bookmarkStart w:id="1983" w:name="_Hlk157518683"/>
      <w:r w:rsidR="007F0040">
        <w:t>Coumatetralyl – Effects on soil organisms</w:t>
      </w:r>
      <w:bookmarkEnd w:id="1980"/>
      <w:bookmarkEnd w:id="19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64"/>
        <w:gridCol w:w="1175"/>
        <w:gridCol w:w="2015"/>
        <w:gridCol w:w="2745"/>
        <w:gridCol w:w="1629"/>
      </w:tblGrid>
      <w:tr w:rsidR="007F0040" w:rsidRPr="000B2FA7" w14:paraId="6A9618CE" w14:textId="77777777" w:rsidTr="0017134F">
        <w:trPr>
          <w:tblHeader/>
        </w:trPr>
        <w:tc>
          <w:tcPr>
            <w:tcW w:w="0" w:type="auto"/>
            <w:tcBorders>
              <w:bottom w:val="single" w:sz="4" w:space="0" w:color="auto"/>
            </w:tcBorders>
            <w:shd w:val="clear" w:color="auto" w:fill="53284F"/>
          </w:tcPr>
          <w:p w14:paraId="62B70F3C" w14:textId="77777777" w:rsidR="007F0040" w:rsidRDefault="007F0040" w:rsidP="00377F3A">
            <w:pPr>
              <w:pStyle w:val="TableHead"/>
            </w:pPr>
            <w:r>
              <w:t>Group</w:t>
            </w:r>
          </w:p>
        </w:tc>
        <w:tc>
          <w:tcPr>
            <w:tcW w:w="0" w:type="auto"/>
            <w:tcBorders>
              <w:bottom w:val="single" w:sz="4" w:space="0" w:color="auto"/>
            </w:tcBorders>
            <w:shd w:val="clear" w:color="auto" w:fill="53284F"/>
          </w:tcPr>
          <w:p w14:paraId="23D05CEC" w14:textId="77777777" w:rsidR="007F0040" w:rsidRDefault="007F0040" w:rsidP="00377F3A">
            <w:pPr>
              <w:pStyle w:val="TableHead"/>
            </w:pPr>
            <w:r>
              <w:t>Exposure</w:t>
            </w:r>
          </w:p>
        </w:tc>
        <w:tc>
          <w:tcPr>
            <w:tcW w:w="0" w:type="auto"/>
            <w:tcBorders>
              <w:bottom w:val="single" w:sz="4" w:space="0" w:color="auto"/>
            </w:tcBorders>
            <w:shd w:val="clear" w:color="auto" w:fill="53284F"/>
          </w:tcPr>
          <w:p w14:paraId="0B898156"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35336B2D"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10A37A43" w14:textId="77777777" w:rsidR="007F0040" w:rsidRPr="00CA558C" w:rsidRDefault="007F0040" w:rsidP="00377F3A">
            <w:pPr>
              <w:pStyle w:val="TableHead"/>
            </w:pPr>
            <w:r>
              <w:t>Reference</w:t>
            </w:r>
          </w:p>
        </w:tc>
      </w:tr>
      <w:tr w:rsidR="007F0040" w:rsidRPr="000B2FA7" w14:paraId="23D4489D" w14:textId="77777777" w:rsidTr="007F0040">
        <w:tc>
          <w:tcPr>
            <w:tcW w:w="0" w:type="auto"/>
            <w:tcBorders>
              <w:top w:val="single" w:sz="4" w:space="0" w:color="auto"/>
              <w:left w:val="nil"/>
              <w:bottom w:val="single" w:sz="4" w:space="0" w:color="auto"/>
              <w:right w:val="nil"/>
            </w:tcBorders>
          </w:tcPr>
          <w:p w14:paraId="1B39439C" w14:textId="77777777" w:rsidR="007F0040" w:rsidRDefault="007F0040" w:rsidP="00377F3A">
            <w:pPr>
              <w:pStyle w:val="TableText"/>
            </w:pPr>
            <w:r>
              <w:t>Macro-organisms</w:t>
            </w:r>
          </w:p>
        </w:tc>
        <w:tc>
          <w:tcPr>
            <w:tcW w:w="0" w:type="auto"/>
            <w:tcBorders>
              <w:top w:val="single" w:sz="4" w:space="0" w:color="auto"/>
              <w:left w:val="nil"/>
              <w:bottom w:val="single" w:sz="4" w:space="0" w:color="auto"/>
              <w:right w:val="nil"/>
            </w:tcBorders>
          </w:tcPr>
          <w:p w14:paraId="7EE37243" w14:textId="77777777" w:rsidR="007F0040" w:rsidRPr="00CA558C" w:rsidRDefault="007F0040" w:rsidP="00377F3A">
            <w:pPr>
              <w:pStyle w:val="TableText"/>
            </w:pPr>
            <w:r>
              <w:t>Acute</w:t>
            </w:r>
          </w:p>
        </w:tc>
        <w:tc>
          <w:tcPr>
            <w:tcW w:w="0" w:type="auto"/>
            <w:tcBorders>
              <w:top w:val="single" w:sz="4" w:space="0" w:color="auto"/>
              <w:left w:val="nil"/>
              <w:bottom w:val="single" w:sz="4" w:space="0" w:color="auto"/>
              <w:right w:val="nil"/>
            </w:tcBorders>
          </w:tcPr>
          <w:p w14:paraId="76A37630" w14:textId="77777777" w:rsidR="007F0040" w:rsidRPr="00C72A63" w:rsidRDefault="007F0040" w:rsidP="00377F3A">
            <w:pPr>
              <w:pStyle w:val="TableText"/>
            </w:pPr>
            <w:r w:rsidRPr="00C72A63">
              <w:t>Eisenia fetida</w:t>
            </w:r>
          </w:p>
        </w:tc>
        <w:tc>
          <w:tcPr>
            <w:tcW w:w="0" w:type="auto"/>
            <w:tcBorders>
              <w:top w:val="single" w:sz="4" w:space="0" w:color="auto"/>
              <w:left w:val="nil"/>
              <w:bottom w:val="single" w:sz="4" w:space="0" w:color="auto"/>
              <w:right w:val="nil"/>
            </w:tcBorders>
          </w:tcPr>
          <w:p w14:paraId="77FA0765" w14:textId="77777777" w:rsidR="007F0040" w:rsidRPr="00CA558C" w:rsidRDefault="007F0040" w:rsidP="00377F3A">
            <w:pPr>
              <w:pStyle w:val="TableText"/>
            </w:pPr>
            <w:r>
              <w:t>LC</w:t>
            </w:r>
            <w:r w:rsidRPr="00C72A63">
              <w:rPr>
                <w:vertAlign w:val="subscript"/>
              </w:rPr>
              <w:t>50</w:t>
            </w:r>
            <w:r>
              <w:t xml:space="preserve"> 225 mg/kg dry soil</w:t>
            </w:r>
          </w:p>
        </w:tc>
        <w:tc>
          <w:tcPr>
            <w:tcW w:w="0" w:type="auto"/>
            <w:tcBorders>
              <w:top w:val="single" w:sz="4" w:space="0" w:color="auto"/>
              <w:left w:val="nil"/>
              <w:bottom w:val="single" w:sz="4" w:space="0" w:color="auto"/>
              <w:right w:val="nil"/>
            </w:tcBorders>
          </w:tcPr>
          <w:p w14:paraId="4DFAA68D" w14:textId="77777777" w:rsidR="007F0040" w:rsidRPr="00CA558C" w:rsidRDefault="007F0040" w:rsidP="00377F3A">
            <w:pPr>
              <w:pStyle w:val="TableText"/>
            </w:pPr>
            <w:r>
              <w:t>van Erp 2001</w:t>
            </w:r>
          </w:p>
        </w:tc>
      </w:tr>
    </w:tbl>
    <w:p w14:paraId="0D4B3685" w14:textId="53A2925A" w:rsidR="007F0040" w:rsidRPr="007F0040" w:rsidRDefault="00850971" w:rsidP="00377F3A">
      <w:pPr>
        <w:pStyle w:val="Caption"/>
      </w:pPr>
      <w:bookmarkStart w:id="1984" w:name="_Toc213946065"/>
      <w:bookmarkStart w:id="1985" w:name="_Toc216695756"/>
      <w:bookmarkEnd w:id="1981"/>
      <w:bookmarkEnd w:id="1983"/>
      <w:r>
        <w:t xml:space="preserve">Table </w:t>
      </w:r>
      <w:r>
        <w:fldChar w:fldCharType="begin"/>
      </w:r>
      <w:r>
        <w:instrText xml:space="preserve"> SEQ Table \* ARABIC </w:instrText>
      </w:r>
      <w:r>
        <w:fldChar w:fldCharType="separate"/>
      </w:r>
      <w:r w:rsidR="003861AC">
        <w:rPr>
          <w:noProof/>
        </w:rPr>
        <w:t>94</w:t>
      </w:r>
      <w:r>
        <w:fldChar w:fldCharType="end"/>
      </w:r>
      <w:r>
        <w:t xml:space="preserve">: </w:t>
      </w:r>
      <w:r w:rsidR="00EC3910" w:rsidRPr="00EC3910">
        <w:t xml:space="preserve">Coumatetralyl – </w:t>
      </w:r>
      <w:r w:rsidR="007F0040" w:rsidRPr="007F0040">
        <w:t>Effects on biological methods of sewage treatment</w:t>
      </w:r>
      <w:bookmarkEnd w:id="1984"/>
      <w:bookmarkEnd w:id="19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33"/>
        <w:gridCol w:w="2736"/>
        <w:gridCol w:w="4059"/>
      </w:tblGrid>
      <w:tr w:rsidR="00EC3910" w:rsidRPr="007F0040" w14:paraId="0794CC5F" w14:textId="77777777" w:rsidTr="0017134F">
        <w:trPr>
          <w:cantSplit/>
          <w:tblHeader/>
        </w:trPr>
        <w:tc>
          <w:tcPr>
            <w:tcW w:w="0" w:type="auto"/>
            <w:tcBorders>
              <w:bottom w:val="single" w:sz="4" w:space="0" w:color="auto"/>
            </w:tcBorders>
            <w:shd w:val="clear" w:color="auto" w:fill="53284F"/>
          </w:tcPr>
          <w:p w14:paraId="11C27ECC" w14:textId="77777777" w:rsidR="00EC3910" w:rsidRPr="007F0040" w:rsidRDefault="00EC391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6D870DD5" w14:textId="77777777" w:rsidR="00EC3910" w:rsidRPr="007F0040" w:rsidRDefault="00EC391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712A8748" w14:textId="77777777" w:rsidR="00EC3910" w:rsidRPr="007F0040" w:rsidRDefault="00EC3910" w:rsidP="00377F3A">
            <w:pPr>
              <w:pStyle w:val="TableHead"/>
              <w:rPr>
                <w:lang w:eastAsia="en-AU"/>
              </w:rPr>
            </w:pPr>
            <w:r w:rsidRPr="007F0040">
              <w:rPr>
                <w:lang w:eastAsia="en-AU"/>
              </w:rPr>
              <w:t>Reference</w:t>
            </w:r>
          </w:p>
        </w:tc>
      </w:tr>
      <w:tr w:rsidR="00EC3910" w:rsidRPr="007F0040" w14:paraId="2D46C248" w14:textId="77777777" w:rsidTr="00EC3910">
        <w:trPr>
          <w:cantSplit/>
        </w:trPr>
        <w:tc>
          <w:tcPr>
            <w:tcW w:w="0" w:type="auto"/>
            <w:tcBorders>
              <w:top w:val="single" w:sz="4" w:space="0" w:color="auto"/>
              <w:left w:val="nil"/>
              <w:bottom w:val="single" w:sz="4" w:space="0" w:color="auto"/>
              <w:right w:val="nil"/>
            </w:tcBorders>
          </w:tcPr>
          <w:p w14:paraId="141B9E8D" w14:textId="77777777" w:rsidR="00EC3910" w:rsidRPr="007F0040" w:rsidRDefault="00EC3910" w:rsidP="00377F3A">
            <w:pPr>
              <w:pStyle w:val="TableText"/>
              <w:rPr>
                <w:lang w:eastAsia="en-AU"/>
              </w:rPr>
            </w:pPr>
            <w:r w:rsidRPr="007F0040">
              <w:rPr>
                <w:lang w:eastAsia="en-AU"/>
              </w:rPr>
              <w:t>Activated sludge</w:t>
            </w:r>
          </w:p>
        </w:tc>
        <w:tc>
          <w:tcPr>
            <w:tcW w:w="0" w:type="auto"/>
            <w:tcBorders>
              <w:left w:val="nil"/>
              <w:bottom w:val="single" w:sz="4" w:space="0" w:color="auto"/>
              <w:right w:val="nil"/>
            </w:tcBorders>
          </w:tcPr>
          <w:p w14:paraId="029E396E" w14:textId="77777777" w:rsidR="00EC3910" w:rsidRPr="007F0040" w:rsidRDefault="00EC3910" w:rsidP="00377F3A">
            <w:pPr>
              <w:pStyle w:val="TableText"/>
            </w:pPr>
            <w:r w:rsidRPr="007F0040">
              <w:t>EC</w:t>
            </w:r>
            <w:r w:rsidRPr="007F0040">
              <w:rPr>
                <w:vertAlign w:val="subscript"/>
              </w:rPr>
              <w:t>50</w:t>
            </w:r>
            <w:r w:rsidRPr="007F0040">
              <w:t xml:space="preserve"> 4210 mg/L</w:t>
            </w:r>
          </w:p>
        </w:tc>
        <w:tc>
          <w:tcPr>
            <w:tcW w:w="0" w:type="auto"/>
            <w:tcBorders>
              <w:left w:val="nil"/>
              <w:bottom w:val="single" w:sz="4" w:space="0" w:color="auto"/>
              <w:right w:val="nil"/>
            </w:tcBorders>
          </w:tcPr>
          <w:p w14:paraId="0B0DD8E7" w14:textId="77777777" w:rsidR="00EC3910" w:rsidRPr="007F0040" w:rsidRDefault="00EC3910" w:rsidP="00377F3A">
            <w:pPr>
              <w:pStyle w:val="TableText"/>
            </w:pPr>
            <w:r w:rsidRPr="007F0040">
              <w:t>Müller &amp; Hartmann 1991</w:t>
            </w:r>
          </w:p>
        </w:tc>
      </w:tr>
    </w:tbl>
    <w:p w14:paraId="55019969" w14:textId="1C1C892A" w:rsidR="000C65C6" w:rsidRDefault="000C65C6" w:rsidP="00377F3A">
      <w:pPr>
        <w:pStyle w:val="APVMAAppendixH2"/>
      </w:pPr>
      <w:bookmarkStart w:id="1986" w:name="_Toc214025610"/>
      <w:bookmarkStart w:id="1987" w:name="_Toc216695631"/>
      <w:r>
        <w:t>Diphacinone</w:t>
      </w:r>
      <w:bookmarkEnd w:id="1986"/>
      <w:bookmarkEnd w:id="1987"/>
    </w:p>
    <w:p w14:paraId="503CF3D0" w14:textId="77777777" w:rsidR="00EE24E4" w:rsidRDefault="00EE24E4" w:rsidP="00377F3A">
      <w:pPr>
        <w:pStyle w:val="APVMAAppendixH3"/>
      </w:pPr>
      <w:bookmarkStart w:id="1988" w:name="_Toc214025611"/>
      <w:bookmarkStart w:id="1989" w:name="_Toc216695632"/>
      <w:r>
        <w:t>Fate and behaviour in the environment</w:t>
      </w:r>
      <w:bookmarkEnd w:id="1988"/>
      <w:bookmarkEnd w:id="1989"/>
    </w:p>
    <w:p w14:paraId="3967383F" w14:textId="529BD8A3" w:rsidR="000C65C6" w:rsidRPr="00542311" w:rsidRDefault="00850971" w:rsidP="00377F3A">
      <w:pPr>
        <w:pStyle w:val="Caption"/>
        <w:rPr>
          <w:color w:val="auto"/>
        </w:rPr>
      </w:pPr>
      <w:bookmarkStart w:id="1990" w:name="_Toc213946066"/>
      <w:bookmarkStart w:id="1991" w:name="_Toc216695757"/>
      <w:r>
        <w:t xml:space="preserve">Table </w:t>
      </w:r>
      <w:r>
        <w:fldChar w:fldCharType="begin"/>
      </w:r>
      <w:r>
        <w:instrText xml:space="preserve"> SEQ Table \* ARABIC </w:instrText>
      </w:r>
      <w:r>
        <w:fldChar w:fldCharType="separate"/>
      </w:r>
      <w:r w:rsidR="003861AC">
        <w:rPr>
          <w:noProof/>
        </w:rPr>
        <w:t>95</w:t>
      </w:r>
      <w:r>
        <w:fldChar w:fldCharType="end"/>
      </w:r>
      <w:r>
        <w:t xml:space="preserve">: </w:t>
      </w:r>
      <w:r w:rsidR="00025A81">
        <w:t xml:space="preserve">Diphacinone – </w:t>
      </w:r>
      <w:r w:rsidR="000C65C6" w:rsidRPr="008B4AF6">
        <w:t>Physical</w:t>
      </w:r>
      <w:r w:rsidR="00025A81">
        <w:t xml:space="preserve"> </w:t>
      </w:r>
      <w:r w:rsidR="000C65C6" w:rsidRPr="008B4AF6">
        <w:t>and chemical properties</w:t>
      </w:r>
      <w:bookmarkEnd w:id="1990"/>
      <w:bookmarkEnd w:id="19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37"/>
        <w:gridCol w:w="4724"/>
        <w:gridCol w:w="1567"/>
      </w:tblGrid>
      <w:tr w:rsidR="00025A81" w:rsidRPr="00542311" w14:paraId="076C12BF" w14:textId="77777777" w:rsidTr="0017134F">
        <w:trPr>
          <w:cantSplit/>
          <w:tblHeader/>
        </w:trPr>
        <w:tc>
          <w:tcPr>
            <w:tcW w:w="0" w:type="auto"/>
            <w:tcBorders>
              <w:bottom w:val="single" w:sz="4" w:space="0" w:color="auto"/>
            </w:tcBorders>
            <w:shd w:val="clear" w:color="auto" w:fill="53284F"/>
          </w:tcPr>
          <w:p w14:paraId="4F448F61" w14:textId="77777777" w:rsidR="00025A81" w:rsidRPr="00542311" w:rsidRDefault="00025A81" w:rsidP="00377F3A">
            <w:pPr>
              <w:pStyle w:val="TableHead"/>
            </w:pPr>
            <w:r w:rsidRPr="00542311">
              <w:t>Study</w:t>
            </w:r>
          </w:p>
        </w:tc>
        <w:tc>
          <w:tcPr>
            <w:tcW w:w="0" w:type="auto"/>
            <w:tcBorders>
              <w:bottom w:val="single" w:sz="4" w:space="0" w:color="auto"/>
            </w:tcBorders>
            <w:shd w:val="clear" w:color="auto" w:fill="53284F"/>
          </w:tcPr>
          <w:p w14:paraId="143D666A" w14:textId="77777777" w:rsidR="00025A81" w:rsidRPr="00542311" w:rsidRDefault="00025A81" w:rsidP="00377F3A">
            <w:pPr>
              <w:pStyle w:val="TableHead"/>
            </w:pPr>
            <w:r w:rsidRPr="00542311">
              <w:t>Result</w:t>
            </w:r>
          </w:p>
        </w:tc>
        <w:tc>
          <w:tcPr>
            <w:tcW w:w="0" w:type="auto"/>
            <w:tcBorders>
              <w:bottom w:val="single" w:sz="4" w:space="0" w:color="auto"/>
            </w:tcBorders>
            <w:shd w:val="clear" w:color="auto" w:fill="53284F"/>
          </w:tcPr>
          <w:p w14:paraId="128EB2BF" w14:textId="77777777" w:rsidR="00025A81" w:rsidRPr="00542311" w:rsidRDefault="00025A81" w:rsidP="00377F3A">
            <w:pPr>
              <w:pStyle w:val="TableHead"/>
            </w:pPr>
            <w:r w:rsidRPr="00542311">
              <w:t>Reference</w:t>
            </w:r>
          </w:p>
        </w:tc>
      </w:tr>
      <w:tr w:rsidR="00025A81" w:rsidRPr="008B4AF6" w14:paraId="4AF6FA8D" w14:textId="77777777" w:rsidTr="00073396">
        <w:trPr>
          <w:cantSplit/>
        </w:trPr>
        <w:tc>
          <w:tcPr>
            <w:tcW w:w="0" w:type="auto"/>
            <w:tcBorders>
              <w:top w:val="single" w:sz="4" w:space="0" w:color="auto"/>
              <w:left w:val="nil"/>
              <w:bottom w:val="nil"/>
              <w:right w:val="nil"/>
            </w:tcBorders>
          </w:tcPr>
          <w:p w14:paraId="329C7F34" w14:textId="77777777" w:rsidR="00025A81" w:rsidRPr="008B4AF6" w:rsidRDefault="00025A81" w:rsidP="00377F3A">
            <w:pPr>
              <w:pStyle w:val="TableText"/>
            </w:pPr>
            <w:r w:rsidRPr="008B4AF6">
              <w:t>Vapour pressure</w:t>
            </w:r>
          </w:p>
        </w:tc>
        <w:tc>
          <w:tcPr>
            <w:tcW w:w="0" w:type="auto"/>
            <w:tcBorders>
              <w:top w:val="single" w:sz="4" w:space="0" w:color="auto"/>
              <w:left w:val="nil"/>
              <w:bottom w:val="nil"/>
              <w:right w:val="nil"/>
            </w:tcBorders>
          </w:tcPr>
          <w:p w14:paraId="38C8B812" w14:textId="77777777" w:rsidR="00025A81" w:rsidRPr="00700E9F" w:rsidRDefault="00025A81" w:rsidP="00377F3A">
            <w:pPr>
              <w:pStyle w:val="TableText"/>
              <w:rPr>
                <w:u w:val="single"/>
              </w:rPr>
            </w:pPr>
            <w:r w:rsidRPr="00C94AB5">
              <w:t xml:space="preserve">1.5 </w:t>
            </w:r>
            <w:r>
              <w:t>× 10</w:t>
            </w:r>
            <w:r w:rsidRPr="001B1C10">
              <w:rPr>
                <w:vertAlign w:val="superscript"/>
              </w:rPr>
              <w:t>-</w:t>
            </w:r>
            <w:r>
              <w:rPr>
                <w:vertAlign w:val="superscript"/>
              </w:rPr>
              <w:t>5</w:t>
            </w:r>
            <w:r>
              <w:t xml:space="preserve"> Pa at 25°C</w:t>
            </w:r>
          </w:p>
        </w:tc>
        <w:tc>
          <w:tcPr>
            <w:tcW w:w="0" w:type="auto"/>
            <w:tcBorders>
              <w:top w:val="single" w:sz="4" w:space="0" w:color="auto"/>
              <w:left w:val="nil"/>
              <w:bottom w:val="nil"/>
              <w:right w:val="nil"/>
            </w:tcBorders>
          </w:tcPr>
          <w:p w14:paraId="074A5DA3" w14:textId="77777777" w:rsidR="00025A81" w:rsidRDefault="00025A81" w:rsidP="00377F3A">
            <w:pPr>
              <w:pStyle w:val="TableText"/>
            </w:pPr>
            <w:r>
              <w:t>Flack 1999</w:t>
            </w:r>
          </w:p>
        </w:tc>
      </w:tr>
      <w:tr w:rsidR="00025A81" w:rsidRPr="008B4AF6" w14:paraId="5D4BEB99" w14:textId="77777777" w:rsidTr="00073396">
        <w:trPr>
          <w:cantSplit/>
        </w:trPr>
        <w:tc>
          <w:tcPr>
            <w:tcW w:w="0" w:type="auto"/>
            <w:tcBorders>
              <w:top w:val="nil"/>
              <w:left w:val="nil"/>
              <w:bottom w:val="nil"/>
              <w:right w:val="nil"/>
            </w:tcBorders>
          </w:tcPr>
          <w:p w14:paraId="382BC73F" w14:textId="77777777" w:rsidR="00025A81" w:rsidRPr="008B4AF6" w:rsidRDefault="00025A81" w:rsidP="00377F3A">
            <w:pPr>
              <w:pStyle w:val="TableText"/>
            </w:pPr>
            <w:r>
              <w:lastRenderedPageBreak/>
              <w:t>Henry’s law constant</w:t>
            </w:r>
          </w:p>
        </w:tc>
        <w:tc>
          <w:tcPr>
            <w:tcW w:w="0" w:type="auto"/>
            <w:tcBorders>
              <w:top w:val="nil"/>
              <w:left w:val="nil"/>
              <w:bottom w:val="nil"/>
              <w:right w:val="nil"/>
            </w:tcBorders>
          </w:tcPr>
          <w:p w14:paraId="028791D5" w14:textId="77777777" w:rsidR="00025A81" w:rsidRPr="00C94AB5" w:rsidRDefault="00025A81" w:rsidP="00377F3A">
            <w:pPr>
              <w:pStyle w:val="TableText"/>
            </w:pPr>
            <w:r>
              <w:t>2.6 × 10</w:t>
            </w:r>
            <w:r w:rsidRPr="001B1C10">
              <w:rPr>
                <w:vertAlign w:val="superscript"/>
              </w:rPr>
              <w:t>-</w:t>
            </w:r>
            <w:r>
              <w:rPr>
                <w:vertAlign w:val="superscript"/>
              </w:rPr>
              <w:t>9</w:t>
            </w:r>
            <w:r>
              <w:t xml:space="preserve"> Pa m</w:t>
            </w:r>
            <w:r w:rsidRPr="00005672">
              <w:rPr>
                <w:vertAlign w:val="superscript"/>
              </w:rPr>
              <w:t>3</w:t>
            </w:r>
            <w:r>
              <w:t xml:space="preserve"> mol</w:t>
            </w:r>
            <w:r w:rsidRPr="001B1C10">
              <w:rPr>
                <w:vertAlign w:val="superscript"/>
              </w:rPr>
              <w:t>-1</w:t>
            </w:r>
          </w:p>
        </w:tc>
        <w:tc>
          <w:tcPr>
            <w:tcW w:w="0" w:type="auto"/>
            <w:tcBorders>
              <w:top w:val="nil"/>
              <w:left w:val="nil"/>
              <w:bottom w:val="nil"/>
              <w:right w:val="nil"/>
            </w:tcBorders>
          </w:tcPr>
          <w:p w14:paraId="25F258F8" w14:textId="77777777" w:rsidR="00025A81" w:rsidRDefault="00025A81" w:rsidP="00377F3A">
            <w:pPr>
              <w:pStyle w:val="TableText"/>
            </w:pPr>
            <w:r>
              <w:t>Flack 1999</w:t>
            </w:r>
          </w:p>
        </w:tc>
      </w:tr>
      <w:tr w:rsidR="00025A81" w:rsidRPr="008B4AF6" w14:paraId="40F9E1D1" w14:textId="77777777" w:rsidTr="00073396">
        <w:trPr>
          <w:cantSplit/>
        </w:trPr>
        <w:tc>
          <w:tcPr>
            <w:tcW w:w="0" w:type="auto"/>
            <w:tcBorders>
              <w:top w:val="nil"/>
              <w:left w:val="nil"/>
              <w:bottom w:val="nil"/>
              <w:right w:val="nil"/>
            </w:tcBorders>
          </w:tcPr>
          <w:p w14:paraId="6D4A1AA8" w14:textId="77777777" w:rsidR="00025A81" w:rsidRDefault="00025A81" w:rsidP="00377F3A">
            <w:pPr>
              <w:pStyle w:val="TableText"/>
            </w:pPr>
            <w:r w:rsidRPr="008B4AF6">
              <w:t>Solubility in water</w:t>
            </w:r>
          </w:p>
        </w:tc>
        <w:tc>
          <w:tcPr>
            <w:tcW w:w="0" w:type="auto"/>
            <w:tcBorders>
              <w:top w:val="nil"/>
              <w:left w:val="nil"/>
              <w:bottom w:val="nil"/>
              <w:right w:val="nil"/>
            </w:tcBorders>
          </w:tcPr>
          <w:p w14:paraId="4EED8F7F" w14:textId="77777777" w:rsidR="00025A81" w:rsidRPr="00C94AB5" w:rsidRDefault="00025A81" w:rsidP="00377F3A">
            <w:pPr>
              <w:pStyle w:val="TableText"/>
            </w:pPr>
            <w:r>
              <w:t>9.7 mg/L at 20°C</w:t>
            </w:r>
          </w:p>
        </w:tc>
        <w:tc>
          <w:tcPr>
            <w:tcW w:w="0" w:type="auto"/>
            <w:tcBorders>
              <w:top w:val="nil"/>
              <w:left w:val="nil"/>
              <w:bottom w:val="nil"/>
              <w:right w:val="nil"/>
            </w:tcBorders>
          </w:tcPr>
          <w:p w14:paraId="0AA6EDB5" w14:textId="77777777" w:rsidR="00025A81" w:rsidRDefault="00025A81" w:rsidP="00377F3A">
            <w:pPr>
              <w:pStyle w:val="TableText"/>
            </w:pPr>
            <w:r>
              <w:t>Flack 1999</w:t>
            </w:r>
          </w:p>
        </w:tc>
      </w:tr>
      <w:tr w:rsidR="00025A81" w:rsidRPr="008B4AF6" w14:paraId="1D53DEF0" w14:textId="77777777" w:rsidTr="00073396">
        <w:trPr>
          <w:cantSplit/>
        </w:trPr>
        <w:tc>
          <w:tcPr>
            <w:tcW w:w="0" w:type="auto"/>
            <w:tcBorders>
              <w:top w:val="nil"/>
              <w:left w:val="nil"/>
              <w:bottom w:val="nil"/>
              <w:right w:val="nil"/>
            </w:tcBorders>
          </w:tcPr>
          <w:p w14:paraId="64401765" w14:textId="77777777" w:rsidR="00025A81" w:rsidRPr="008B4AF6" w:rsidRDefault="00025A81" w:rsidP="00377F3A">
            <w:pPr>
              <w:pStyle w:val="TableText"/>
            </w:pPr>
            <w:r w:rsidRPr="008B4AF6">
              <w:t>Partition coefficient</w:t>
            </w:r>
          </w:p>
        </w:tc>
        <w:tc>
          <w:tcPr>
            <w:tcW w:w="0" w:type="auto"/>
            <w:tcBorders>
              <w:top w:val="nil"/>
              <w:left w:val="nil"/>
              <w:bottom w:val="nil"/>
              <w:right w:val="nil"/>
            </w:tcBorders>
          </w:tcPr>
          <w:p w14:paraId="09CE6492" w14:textId="77777777" w:rsidR="00025A81" w:rsidRDefault="00025A81" w:rsidP="00377F3A">
            <w:pPr>
              <w:pStyle w:val="TableText"/>
            </w:pPr>
            <w:r>
              <w:t>pH 4: log P</w:t>
            </w:r>
            <w:r w:rsidRPr="00F81098">
              <w:rPr>
                <w:vertAlign w:val="subscript"/>
              </w:rPr>
              <w:t>OW</w:t>
            </w:r>
            <w:r>
              <w:t xml:space="preserve"> 3.6</w:t>
            </w:r>
          </w:p>
          <w:p w14:paraId="4DF4F793" w14:textId="77777777" w:rsidR="00025A81" w:rsidRDefault="00025A81" w:rsidP="00377F3A">
            <w:pPr>
              <w:pStyle w:val="TableText"/>
            </w:pPr>
            <w:r>
              <w:t>pH 7: log P</w:t>
            </w:r>
            <w:r w:rsidRPr="00F81098">
              <w:rPr>
                <w:vertAlign w:val="subscript"/>
              </w:rPr>
              <w:t>OW</w:t>
            </w:r>
            <w:r>
              <w:t xml:space="preserve"> 1.4</w:t>
            </w:r>
          </w:p>
          <w:p w14:paraId="49CAA7A1" w14:textId="77777777" w:rsidR="00025A81" w:rsidRPr="00C94AB5" w:rsidRDefault="00025A81" w:rsidP="00377F3A">
            <w:pPr>
              <w:pStyle w:val="TableText"/>
            </w:pPr>
            <w:r>
              <w:t>pH 10: log P</w:t>
            </w:r>
            <w:r w:rsidRPr="00F81098">
              <w:rPr>
                <w:vertAlign w:val="subscript"/>
              </w:rPr>
              <w:t>OW</w:t>
            </w:r>
            <w:r>
              <w:t xml:space="preserve"> 1.3</w:t>
            </w:r>
          </w:p>
        </w:tc>
        <w:tc>
          <w:tcPr>
            <w:tcW w:w="0" w:type="auto"/>
            <w:tcBorders>
              <w:top w:val="nil"/>
              <w:left w:val="nil"/>
              <w:bottom w:val="nil"/>
              <w:right w:val="nil"/>
            </w:tcBorders>
          </w:tcPr>
          <w:p w14:paraId="7E8DB489" w14:textId="77777777" w:rsidR="00025A81" w:rsidRDefault="00025A81" w:rsidP="00377F3A">
            <w:pPr>
              <w:pStyle w:val="TableText"/>
            </w:pPr>
            <w:r>
              <w:t>Flack 1999</w:t>
            </w:r>
          </w:p>
        </w:tc>
      </w:tr>
      <w:tr w:rsidR="00025A81" w:rsidRPr="008B4AF6" w14:paraId="12B5A42D" w14:textId="77777777" w:rsidTr="00073396">
        <w:trPr>
          <w:cantSplit/>
        </w:trPr>
        <w:tc>
          <w:tcPr>
            <w:tcW w:w="0" w:type="auto"/>
            <w:tcBorders>
              <w:top w:val="nil"/>
              <w:left w:val="nil"/>
              <w:bottom w:val="nil"/>
              <w:right w:val="nil"/>
            </w:tcBorders>
          </w:tcPr>
          <w:p w14:paraId="49DD8F46" w14:textId="77777777" w:rsidR="00025A81" w:rsidRPr="008B4AF6" w:rsidRDefault="00025A81" w:rsidP="00377F3A">
            <w:pPr>
              <w:pStyle w:val="TableText"/>
            </w:pPr>
            <w:r w:rsidRPr="008B4AF6">
              <w:t>Dissociation constant</w:t>
            </w:r>
          </w:p>
        </w:tc>
        <w:tc>
          <w:tcPr>
            <w:tcW w:w="0" w:type="auto"/>
            <w:tcBorders>
              <w:top w:val="nil"/>
              <w:left w:val="nil"/>
              <w:bottom w:val="nil"/>
              <w:right w:val="nil"/>
            </w:tcBorders>
          </w:tcPr>
          <w:p w14:paraId="53CE4612" w14:textId="77777777" w:rsidR="00025A81" w:rsidRPr="00C94AB5" w:rsidRDefault="00025A81" w:rsidP="00377F3A">
            <w:pPr>
              <w:pStyle w:val="TableText"/>
            </w:pPr>
            <w:r>
              <w:t>pKa 2.7</w:t>
            </w:r>
          </w:p>
        </w:tc>
        <w:tc>
          <w:tcPr>
            <w:tcW w:w="0" w:type="auto"/>
            <w:tcBorders>
              <w:top w:val="nil"/>
              <w:left w:val="nil"/>
              <w:bottom w:val="nil"/>
              <w:right w:val="nil"/>
            </w:tcBorders>
          </w:tcPr>
          <w:p w14:paraId="2B6311FB" w14:textId="77777777" w:rsidR="00025A81" w:rsidRDefault="00025A81" w:rsidP="00377F3A">
            <w:pPr>
              <w:pStyle w:val="TableText"/>
            </w:pPr>
            <w:r>
              <w:t>Flack 1999</w:t>
            </w:r>
          </w:p>
        </w:tc>
      </w:tr>
      <w:tr w:rsidR="00025A81" w:rsidRPr="008B4AF6" w14:paraId="14B3D671" w14:textId="77777777" w:rsidTr="00073396">
        <w:trPr>
          <w:cantSplit/>
        </w:trPr>
        <w:tc>
          <w:tcPr>
            <w:tcW w:w="0" w:type="auto"/>
            <w:tcBorders>
              <w:top w:val="nil"/>
              <w:left w:val="nil"/>
              <w:bottom w:val="single" w:sz="4" w:space="0" w:color="auto"/>
              <w:right w:val="nil"/>
            </w:tcBorders>
          </w:tcPr>
          <w:p w14:paraId="7B91975D" w14:textId="77777777" w:rsidR="00025A81" w:rsidRPr="008B4AF6" w:rsidRDefault="00025A81" w:rsidP="00377F3A">
            <w:pPr>
              <w:pStyle w:val="TableText"/>
            </w:pPr>
            <w:r w:rsidRPr="008B4AF6">
              <w:t>UV-VIS absorption (max)</w:t>
            </w:r>
          </w:p>
        </w:tc>
        <w:tc>
          <w:tcPr>
            <w:tcW w:w="0" w:type="auto"/>
            <w:tcBorders>
              <w:top w:val="nil"/>
              <w:left w:val="nil"/>
              <w:bottom w:val="single" w:sz="4" w:space="0" w:color="auto"/>
              <w:right w:val="nil"/>
            </w:tcBorders>
          </w:tcPr>
          <w:p w14:paraId="1B68C020" w14:textId="77777777" w:rsidR="00025A81" w:rsidRDefault="00025A81" w:rsidP="00377F3A">
            <w:pPr>
              <w:pStyle w:val="TableText"/>
            </w:pPr>
            <w:r>
              <w:t>solution</w:t>
            </w:r>
            <w:r w:rsidRPr="00C94AB5">
              <w:tab/>
            </w: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p w14:paraId="1C9F507D" w14:textId="77777777" w:rsidR="00025A81" w:rsidRDefault="00025A81" w:rsidP="00377F3A">
            <w:pPr>
              <w:pStyle w:val="TableText"/>
            </w:pPr>
            <w:r>
              <w:t>acidic</w:t>
            </w:r>
            <w:r>
              <w:tab/>
              <w:t>238 nm</w:t>
            </w:r>
            <w:r>
              <w:tab/>
              <w:t>27500</w:t>
            </w:r>
          </w:p>
          <w:p w14:paraId="26DF7C1E" w14:textId="77777777" w:rsidR="00025A81" w:rsidRDefault="00025A81" w:rsidP="00377F3A">
            <w:pPr>
              <w:pStyle w:val="TableText"/>
            </w:pPr>
            <w:r>
              <w:t>acidic</w:t>
            </w:r>
            <w:r>
              <w:tab/>
              <w:t>286 nm</w:t>
            </w:r>
            <w:r>
              <w:tab/>
              <w:t>30900</w:t>
            </w:r>
          </w:p>
          <w:p w14:paraId="66A940EB" w14:textId="77777777" w:rsidR="00025A81" w:rsidRDefault="00025A81" w:rsidP="00377F3A">
            <w:pPr>
              <w:pStyle w:val="TableText"/>
            </w:pPr>
            <w:r>
              <w:t>neutral</w:t>
            </w:r>
            <w:r>
              <w:tab/>
              <w:t>202 nm</w:t>
            </w:r>
            <w:r>
              <w:tab/>
              <w:t>38400</w:t>
            </w:r>
          </w:p>
          <w:p w14:paraId="062C7627" w14:textId="77777777" w:rsidR="00025A81" w:rsidRDefault="00025A81" w:rsidP="00377F3A">
            <w:pPr>
              <w:pStyle w:val="TableText"/>
            </w:pPr>
            <w:r>
              <w:t>neutral</w:t>
            </w:r>
            <w:r>
              <w:tab/>
              <w:t>284 nm</w:t>
            </w:r>
            <w:r>
              <w:tab/>
              <w:t>35100</w:t>
            </w:r>
          </w:p>
          <w:p w14:paraId="72BD7687" w14:textId="77777777" w:rsidR="00025A81" w:rsidRDefault="00025A81" w:rsidP="00377F3A">
            <w:pPr>
              <w:pStyle w:val="TableText"/>
            </w:pPr>
            <w:r>
              <w:t>basic</w:t>
            </w:r>
            <w:r>
              <w:tab/>
              <w:t>220 nm</w:t>
            </w:r>
            <w:r>
              <w:tab/>
              <w:t>36700</w:t>
            </w:r>
          </w:p>
          <w:p w14:paraId="69791A5E" w14:textId="77777777" w:rsidR="00025A81" w:rsidRPr="00C94AB5" w:rsidRDefault="00025A81" w:rsidP="00377F3A">
            <w:pPr>
              <w:pStyle w:val="TableText"/>
            </w:pPr>
            <w:r>
              <w:t>basic</w:t>
            </w:r>
            <w:r>
              <w:tab/>
              <w:t>283 nm</w:t>
            </w:r>
            <w:r>
              <w:tab/>
              <w:t>37300</w:t>
            </w:r>
          </w:p>
        </w:tc>
        <w:tc>
          <w:tcPr>
            <w:tcW w:w="0" w:type="auto"/>
            <w:tcBorders>
              <w:top w:val="nil"/>
              <w:left w:val="nil"/>
              <w:bottom w:val="single" w:sz="4" w:space="0" w:color="auto"/>
              <w:right w:val="nil"/>
            </w:tcBorders>
          </w:tcPr>
          <w:p w14:paraId="65F575C4" w14:textId="77777777" w:rsidR="00025A81" w:rsidRDefault="00025A81" w:rsidP="00377F3A">
            <w:pPr>
              <w:pStyle w:val="TableText"/>
            </w:pPr>
            <w:r>
              <w:t>Flack 1999</w:t>
            </w:r>
          </w:p>
        </w:tc>
      </w:tr>
    </w:tbl>
    <w:p w14:paraId="612D75E8" w14:textId="2D8BBBF2" w:rsidR="000C65C6" w:rsidRPr="00861CA0" w:rsidRDefault="00850971" w:rsidP="00377F3A">
      <w:pPr>
        <w:pStyle w:val="Caption"/>
      </w:pPr>
      <w:bookmarkStart w:id="1992" w:name="_Toc213946067"/>
      <w:bookmarkStart w:id="1993" w:name="_Toc216695758"/>
      <w:r>
        <w:t xml:space="preserve">Table </w:t>
      </w:r>
      <w:r>
        <w:fldChar w:fldCharType="begin"/>
      </w:r>
      <w:r>
        <w:instrText xml:space="preserve"> SEQ Table \* ARABIC </w:instrText>
      </w:r>
      <w:r>
        <w:fldChar w:fldCharType="separate"/>
      </w:r>
      <w:r w:rsidR="003861AC">
        <w:rPr>
          <w:noProof/>
        </w:rPr>
        <w:t>96</w:t>
      </w:r>
      <w:r>
        <w:fldChar w:fldCharType="end"/>
      </w:r>
      <w:r>
        <w:t xml:space="preserve">: </w:t>
      </w:r>
      <w:r w:rsidR="00025A81">
        <w:t xml:space="preserve">Diphacinone – </w:t>
      </w:r>
      <w:r w:rsidR="000C65C6">
        <w:t xml:space="preserve">Fate and behaviour in </w:t>
      </w:r>
      <w:r w:rsidR="00025A81">
        <w:t>environmental media</w:t>
      </w:r>
      <w:bookmarkEnd w:id="1992"/>
      <w:bookmarkEnd w:id="1993"/>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55"/>
        <w:gridCol w:w="1977"/>
        <w:gridCol w:w="4813"/>
        <w:gridCol w:w="1588"/>
      </w:tblGrid>
      <w:tr w:rsidR="000C65C6" w:rsidRPr="000B2FA7" w14:paraId="514C8DBA" w14:textId="77777777" w:rsidTr="0017134F">
        <w:trPr>
          <w:cantSplit/>
          <w:tblHeader/>
        </w:trPr>
        <w:tc>
          <w:tcPr>
            <w:tcW w:w="0" w:type="auto"/>
            <w:tcBorders>
              <w:bottom w:val="single" w:sz="4" w:space="0" w:color="auto"/>
            </w:tcBorders>
            <w:shd w:val="clear" w:color="auto" w:fill="53284F"/>
          </w:tcPr>
          <w:p w14:paraId="28112424" w14:textId="0F3AE2B5" w:rsidR="000C65C6" w:rsidRDefault="00EE415C" w:rsidP="00377F3A">
            <w:pPr>
              <w:pStyle w:val="TableHead"/>
            </w:pPr>
            <w:r>
              <w:t>Compartment</w:t>
            </w:r>
          </w:p>
        </w:tc>
        <w:tc>
          <w:tcPr>
            <w:tcW w:w="0" w:type="auto"/>
            <w:tcBorders>
              <w:bottom w:val="single" w:sz="4" w:space="0" w:color="auto"/>
            </w:tcBorders>
            <w:shd w:val="clear" w:color="auto" w:fill="53284F"/>
          </w:tcPr>
          <w:p w14:paraId="34A45145" w14:textId="77777777" w:rsidR="000C65C6" w:rsidRDefault="000C65C6" w:rsidP="00377F3A">
            <w:pPr>
              <w:pStyle w:val="TableHead"/>
            </w:pPr>
            <w:r>
              <w:t>Study</w:t>
            </w:r>
          </w:p>
        </w:tc>
        <w:tc>
          <w:tcPr>
            <w:tcW w:w="0" w:type="auto"/>
            <w:tcBorders>
              <w:bottom w:val="single" w:sz="4" w:space="0" w:color="auto"/>
            </w:tcBorders>
            <w:shd w:val="clear" w:color="auto" w:fill="53284F"/>
          </w:tcPr>
          <w:p w14:paraId="1ECE95E4" w14:textId="77777777" w:rsidR="000C65C6" w:rsidRPr="00CA558C" w:rsidRDefault="000C65C6" w:rsidP="00377F3A">
            <w:pPr>
              <w:pStyle w:val="TableHead"/>
            </w:pPr>
            <w:r>
              <w:t>Result</w:t>
            </w:r>
          </w:p>
        </w:tc>
        <w:tc>
          <w:tcPr>
            <w:tcW w:w="0" w:type="auto"/>
            <w:tcBorders>
              <w:bottom w:val="single" w:sz="4" w:space="0" w:color="auto"/>
            </w:tcBorders>
            <w:shd w:val="clear" w:color="auto" w:fill="53284F"/>
          </w:tcPr>
          <w:p w14:paraId="76590CCA" w14:textId="77777777" w:rsidR="000C65C6" w:rsidRPr="00CA558C" w:rsidRDefault="000C65C6" w:rsidP="00377F3A">
            <w:pPr>
              <w:pStyle w:val="TableHead"/>
            </w:pPr>
            <w:r>
              <w:t>Reference</w:t>
            </w:r>
          </w:p>
        </w:tc>
      </w:tr>
      <w:tr w:rsidR="000C65C6" w:rsidRPr="008B4AF6" w14:paraId="55111F89" w14:textId="77777777" w:rsidTr="004A0055">
        <w:trPr>
          <w:cantSplit/>
        </w:trPr>
        <w:tc>
          <w:tcPr>
            <w:tcW w:w="0" w:type="auto"/>
            <w:tcBorders>
              <w:top w:val="single" w:sz="4" w:space="0" w:color="auto"/>
              <w:left w:val="nil"/>
              <w:bottom w:val="nil"/>
            </w:tcBorders>
          </w:tcPr>
          <w:p w14:paraId="125B926F" w14:textId="07DD0866" w:rsidR="000C65C6" w:rsidRPr="008B4AF6" w:rsidRDefault="00EE415C" w:rsidP="00377F3A">
            <w:pPr>
              <w:pStyle w:val="TableText"/>
            </w:pPr>
            <w:r>
              <w:t>Soil</w:t>
            </w:r>
          </w:p>
        </w:tc>
        <w:tc>
          <w:tcPr>
            <w:tcW w:w="0" w:type="auto"/>
            <w:tcBorders>
              <w:top w:val="single" w:sz="4" w:space="0" w:color="auto"/>
              <w:left w:val="nil"/>
              <w:bottom w:val="nil"/>
            </w:tcBorders>
          </w:tcPr>
          <w:p w14:paraId="5E0D766D" w14:textId="77777777" w:rsidR="000C65C6" w:rsidRPr="008B4AF6" w:rsidRDefault="000C65C6" w:rsidP="00377F3A">
            <w:pPr>
              <w:pStyle w:val="TableText"/>
            </w:pPr>
            <w:r>
              <w:t>Aerobic soil metabolism</w:t>
            </w:r>
          </w:p>
        </w:tc>
        <w:tc>
          <w:tcPr>
            <w:tcW w:w="0" w:type="auto"/>
            <w:tcBorders>
              <w:bottom w:val="nil"/>
            </w:tcBorders>
          </w:tcPr>
          <w:p w14:paraId="45852617" w14:textId="77777777" w:rsidR="000C65C6" w:rsidRDefault="000C65C6" w:rsidP="00377F3A">
            <w:pPr>
              <w:pStyle w:val="TableText"/>
            </w:pPr>
            <w:r>
              <w:t>Sandy loam:</w:t>
            </w:r>
            <w:r>
              <w:tab/>
              <w:t>DT</w:t>
            </w:r>
            <w:r w:rsidRPr="008630BD">
              <w:rPr>
                <w:vertAlign w:val="subscript"/>
              </w:rPr>
              <w:t>50</w:t>
            </w:r>
            <w:r>
              <w:t xml:space="preserve"> 30 d</w:t>
            </w:r>
          </w:p>
          <w:p w14:paraId="201308D0" w14:textId="77777777" w:rsidR="000C65C6" w:rsidRDefault="000C65C6" w:rsidP="00377F3A">
            <w:pPr>
              <w:pStyle w:val="TableText"/>
            </w:pPr>
            <w:r>
              <w:t>34-40% mineralisation after 90d</w:t>
            </w:r>
          </w:p>
          <w:p w14:paraId="1545DFD8" w14:textId="77777777" w:rsidR="000C65C6" w:rsidRDefault="000C65C6" w:rsidP="00377F3A">
            <w:pPr>
              <w:pStyle w:val="TableText"/>
            </w:pPr>
            <w:r>
              <w:t>18-33% bound residues after 90d</w:t>
            </w:r>
          </w:p>
        </w:tc>
        <w:tc>
          <w:tcPr>
            <w:tcW w:w="0" w:type="auto"/>
            <w:tcBorders>
              <w:bottom w:val="nil"/>
            </w:tcBorders>
          </w:tcPr>
          <w:p w14:paraId="34A91180" w14:textId="77777777" w:rsidR="000C65C6" w:rsidRDefault="000C65C6" w:rsidP="00377F3A">
            <w:pPr>
              <w:pStyle w:val="TableText"/>
            </w:pPr>
            <w:r>
              <w:t>Yan &amp; Heim 1996</w:t>
            </w:r>
          </w:p>
        </w:tc>
      </w:tr>
      <w:tr w:rsidR="000C65C6" w:rsidRPr="008B4AF6" w14:paraId="6298387A" w14:textId="77777777" w:rsidTr="004A0055">
        <w:trPr>
          <w:cantSplit/>
        </w:trPr>
        <w:tc>
          <w:tcPr>
            <w:tcW w:w="0" w:type="auto"/>
            <w:tcBorders>
              <w:top w:val="nil"/>
              <w:left w:val="nil"/>
              <w:bottom w:val="nil"/>
            </w:tcBorders>
          </w:tcPr>
          <w:p w14:paraId="0CF3A1EA" w14:textId="77777777" w:rsidR="000C65C6" w:rsidRDefault="000C65C6" w:rsidP="00377F3A">
            <w:pPr>
              <w:pStyle w:val="TableText"/>
            </w:pPr>
          </w:p>
        </w:tc>
        <w:tc>
          <w:tcPr>
            <w:tcW w:w="0" w:type="auto"/>
            <w:tcBorders>
              <w:top w:val="nil"/>
              <w:left w:val="nil"/>
              <w:bottom w:val="nil"/>
            </w:tcBorders>
          </w:tcPr>
          <w:p w14:paraId="79974AFF" w14:textId="77777777" w:rsidR="000C65C6" w:rsidRDefault="000C65C6" w:rsidP="00377F3A">
            <w:pPr>
              <w:pStyle w:val="TableText"/>
            </w:pPr>
            <w:r>
              <w:t>Adsorption/</w:t>
            </w:r>
          </w:p>
          <w:p w14:paraId="3C25134B" w14:textId="77777777" w:rsidR="000C65C6" w:rsidRDefault="000C65C6" w:rsidP="00377F3A">
            <w:pPr>
              <w:pStyle w:val="TableText"/>
            </w:pPr>
            <w:r>
              <w:t>desorption</w:t>
            </w:r>
          </w:p>
        </w:tc>
        <w:tc>
          <w:tcPr>
            <w:tcW w:w="0" w:type="auto"/>
            <w:tcBorders>
              <w:top w:val="nil"/>
              <w:bottom w:val="nil"/>
            </w:tcBorders>
          </w:tcPr>
          <w:p w14:paraId="75620B6B" w14:textId="77777777" w:rsidR="000C65C6" w:rsidRDefault="000C65C6" w:rsidP="00377F3A">
            <w:pPr>
              <w:pStyle w:val="TableText"/>
            </w:pPr>
            <w:r w:rsidRPr="003B78E0">
              <w:t>Soil</w:t>
            </w:r>
            <w:r>
              <w:tab/>
            </w:r>
            <w:r w:rsidRPr="0086508E">
              <w:t>pH</w:t>
            </w:r>
            <w:r>
              <w:tab/>
            </w:r>
            <w:r w:rsidRPr="003B78E0">
              <w:t>%OC</w:t>
            </w:r>
            <w:r>
              <w:tab/>
            </w:r>
            <w:r w:rsidRPr="003B78E0">
              <w:t>K</w:t>
            </w:r>
            <w:r>
              <w:t>f</w:t>
            </w:r>
            <w:r>
              <w:tab/>
            </w:r>
            <w:r w:rsidRPr="003B78E0">
              <w:t>Koc</w:t>
            </w:r>
          </w:p>
          <w:p w14:paraId="4D5D0CA5" w14:textId="77777777" w:rsidR="000C65C6" w:rsidRDefault="000C65C6" w:rsidP="00377F3A">
            <w:pPr>
              <w:pStyle w:val="TableText"/>
            </w:pPr>
            <w:r>
              <w:t>Honouluili</w:t>
            </w:r>
            <w:r>
              <w:tab/>
              <w:t>6.9</w:t>
            </w:r>
            <w:r>
              <w:tab/>
              <w:t>1.2</w:t>
            </w:r>
            <w:r>
              <w:tab/>
              <w:t>26</w:t>
            </w:r>
            <w:r>
              <w:tab/>
              <w:t>2135</w:t>
            </w:r>
          </w:p>
          <w:p w14:paraId="05BAEAB0" w14:textId="77777777" w:rsidR="000C65C6" w:rsidRDefault="000C65C6" w:rsidP="00377F3A">
            <w:pPr>
              <w:pStyle w:val="TableText"/>
            </w:pPr>
            <w:r>
              <w:t>Molokai</w:t>
            </w:r>
            <w:r>
              <w:tab/>
              <w:t>7.0</w:t>
            </w:r>
            <w:r>
              <w:tab/>
              <w:t>1.8</w:t>
            </w:r>
            <w:r>
              <w:tab/>
              <w:t>17</w:t>
            </w:r>
            <w:r>
              <w:tab/>
              <w:t>945</w:t>
            </w:r>
          </w:p>
          <w:p w14:paraId="6ECA261F" w14:textId="77777777" w:rsidR="000C65C6" w:rsidRDefault="000C65C6" w:rsidP="00377F3A">
            <w:pPr>
              <w:pStyle w:val="TableText"/>
            </w:pPr>
            <w:r>
              <w:t>Kapaa</w:t>
            </w:r>
            <w:r>
              <w:tab/>
              <w:t>6.1</w:t>
            </w:r>
            <w:r>
              <w:tab/>
              <w:t>3.4</w:t>
            </w:r>
            <w:r>
              <w:tab/>
              <w:t>160</w:t>
            </w:r>
            <w:r>
              <w:tab/>
              <w:t>4692</w:t>
            </w:r>
          </w:p>
          <w:p w14:paraId="5C255857" w14:textId="77777777" w:rsidR="000C65C6" w:rsidRDefault="000C65C6" w:rsidP="00377F3A">
            <w:pPr>
              <w:pStyle w:val="TableText"/>
            </w:pPr>
            <w:r>
              <w:t>Hilo</w:t>
            </w:r>
            <w:r>
              <w:tab/>
              <w:t>5.7</w:t>
            </w:r>
            <w:r>
              <w:tab/>
              <w:t>5.5</w:t>
            </w:r>
            <w:r>
              <w:tab/>
              <w:t>176</w:t>
            </w:r>
            <w:r>
              <w:tab/>
              <w:t>3201</w:t>
            </w:r>
          </w:p>
          <w:p w14:paraId="1FBADCCC" w14:textId="77777777" w:rsidR="000C65C6" w:rsidRDefault="000C65C6" w:rsidP="00377F3A">
            <w:pPr>
              <w:pStyle w:val="TableText"/>
            </w:pPr>
            <w:r>
              <w:t>Kukaiau</w:t>
            </w:r>
            <w:r>
              <w:tab/>
              <w:t>5.5</w:t>
            </w:r>
            <w:r>
              <w:tab/>
              <w:t>5.6</w:t>
            </w:r>
            <w:r>
              <w:tab/>
              <w:t>214</w:t>
            </w:r>
            <w:r>
              <w:tab/>
              <w:t>3800</w:t>
            </w:r>
          </w:p>
          <w:p w14:paraId="5EB533C2" w14:textId="77777777" w:rsidR="000C65C6" w:rsidRPr="008B4AF6" w:rsidRDefault="000C65C6" w:rsidP="00377F3A">
            <w:pPr>
              <w:pStyle w:val="TableText"/>
            </w:pPr>
            <w:r>
              <w:t>Mean Kf 119 mL/g, Koc 2955 mL/g</w:t>
            </w:r>
          </w:p>
        </w:tc>
        <w:tc>
          <w:tcPr>
            <w:tcW w:w="0" w:type="auto"/>
            <w:tcBorders>
              <w:top w:val="nil"/>
              <w:bottom w:val="nil"/>
            </w:tcBorders>
          </w:tcPr>
          <w:p w14:paraId="688F7569" w14:textId="77777777" w:rsidR="000C65C6" w:rsidRDefault="000C65C6" w:rsidP="00377F3A">
            <w:pPr>
              <w:pStyle w:val="TableText"/>
            </w:pPr>
            <w:r>
              <w:t>Nomura 1978</w:t>
            </w:r>
          </w:p>
        </w:tc>
      </w:tr>
      <w:tr w:rsidR="000C65C6" w:rsidRPr="008B4AF6" w14:paraId="49E0C4B4" w14:textId="77777777" w:rsidTr="004A0055">
        <w:trPr>
          <w:cantSplit/>
        </w:trPr>
        <w:tc>
          <w:tcPr>
            <w:tcW w:w="0" w:type="auto"/>
            <w:tcBorders>
              <w:top w:val="nil"/>
              <w:left w:val="nil"/>
              <w:bottom w:val="nil"/>
            </w:tcBorders>
          </w:tcPr>
          <w:p w14:paraId="04BB796A" w14:textId="77777777" w:rsidR="000C65C6" w:rsidRDefault="000C65C6" w:rsidP="00377F3A">
            <w:pPr>
              <w:pStyle w:val="TableText"/>
            </w:pPr>
          </w:p>
        </w:tc>
        <w:tc>
          <w:tcPr>
            <w:tcW w:w="0" w:type="auto"/>
            <w:tcBorders>
              <w:top w:val="nil"/>
              <w:left w:val="nil"/>
              <w:bottom w:val="nil"/>
            </w:tcBorders>
          </w:tcPr>
          <w:p w14:paraId="272D89DD" w14:textId="77777777" w:rsidR="000C65C6" w:rsidRDefault="000C65C6" w:rsidP="00377F3A">
            <w:pPr>
              <w:pStyle w:val="TableText"/>
            </w:pPr>
            <w:r>
              <w:t>Column leaching</w:t>
            </w:r>
          </w:p>
        </w:tc>
        <w:tc>
          <w:tcPr>
            <w:tcW w:w="0" w:type="auto"/>
            <w:tcBorders>
              <w:top w:val="nil"/>
              <w:bottom w:val="nil"/>
            </w:tcBorders>
          </w:tcPr>
          <w:p w14:paraId="190E9929" w14:textId="77777777" w:rsidR="000C65C6" w:rsidRDefault="000C65C6" w:rsidP="00377F3A">
            <w:pPr>
              <w:pStyle w:val="TableText"/>
            </w:pPr>
            <w:r>
              <w:t>38100 mm elution over 30d, sand soil:</w:t>
            </w:r>
          </w:p>
          <w:p w14:paraId="6016845F" w14:textId="77777777" w:rsidR="000C65C6" w:rsidRDefault="000C65C6" w:rsidP="00377F3A">
            <w:pPr>
              <w:pStyle w:val="TableText"/>
            </w:pPr>
            <w:r>
              <w:t>&gt;98% in top 5 cm</w:t>
            </w:r>
          </w:p>
          <w:p w14:paraId="5AE11F7B" w14:textId="77777777" w:rsidR="000C65C6" w:rsidRDefault="000C65C6" w:rsidP="00377F3A">
            <w:pPr>
              <w:pStyle w:val="TableText"/>
            </w:pPr>
            <w:r>
              <w:t>0.12% in leachate</w:t>
            </w:r>
          </w:p>
        </w:tc>
        <w:tc>
          <w:tcPr>
            <w:tcW w:w="0" w:type="auto"/>
            <w:tcBorders>
              <w:top w:val="nil"/>
              <w:bottom w:val="nil"/>
            </w:tcBorders>
          </w:tcPr>
          <w:p w14:paraId="09818BE7" w14:textId="77777777" w:rsidR="000C65C6" w:rsidRDefault="000C65C6" w:rsidP="00377F3A">
            <w:pPr>
              <w:pStyle w:val="TableText"/>
            </w:pPr>
            <w:r>
              <w:t>Weber 1978</w:t>
            </w:r>
          </w:p>
        </w:tc>
      </w:tr>
      <w:tr w:rsidR="000C65C6" w:rsidRPr="008B4AF6" w14:paraId="6BA310AF" w14:textId="77777777" w:rsidTr="004A0055">
        <w:trPr>
          <w:cantSplit/>
        </w:trPr>
        <w:tc>
          <w:tcPr>
            <w:tcW w:w="0" w:type="auto"/>
            <w:tcBorders>
              <w:top w:val="nil"/>
              <w:left w:val="nil"/>
              <w:bottom w:val="single" w:sz="4" w:space="0" w:color="auto"/>
            </w:tcBorders>
          </w:tcPr>
          <w:p w14:paraId="4EE7188A" w14:textId="77777777" w:rsidR="000C65C6" w:rsidRDefault="000C65C6" w:rsidP="00377F3A">
            <w:pPr>
              <w:pStyle w:val="TableText"/>
            </w:pPr>
          </w:p>
        </w:tc>
        <w:tc>
          <w:tcPr>
            <w:tcW w:w="0" w:type="auto"/>
            <w:tcBorders>
              <w:top w:val="nil"/>
              <w:left w:val="nil"/>
              <w:bottom w:val="single" w:sz="4" w:space="0" w:color="auto"/>
            </w:tcBorders>
          </w:tcPr>
          <w:p w14:paraId="12A5363C" w14:textId="77777777" w:rsidR="000C65C6" w:rsidRPr="008B4AF6" w:rsidRDefault="000C65C6" w:rsidP="00377F3A">
            <w:pPr>
              <w:pStyle w:val="TableText"/>
            </w:pPr>
          </w:p>
        </w:tc>
        <w:tc>
          <w:tcPr>
            <w:tcW w:w="0" w:type="auto"/>
            <w:tcBorders>
              <w:top w:val="nil"/>
              <w:bottom w:val="single" w:sz="4" w:space="0" w:color="auto"/>
            </w:tcBorders>
          </w:tcPr>
          <w:p w14:paraId="671E55F0" w14:textId="77777777" w:rsidR="000C65C6" w:rsidRDefault="000C65C6" w:rsidP="00377F3A">
            <w:pPr>
              <w:pStyle w:val="TableText"/>
            </w:pPr>
            <w:r>
              <w:t>500 mm elution, four soils aged 30d:</w:t>
            </w:r>
          </w:p>
          <w:p w14:paraId="11D3D698" w14:textId="77777777" w:rsidR="000C65C6" w:rsidRDefault="000C65C6" w:rsidP="00377F3A">
            <w:pPr>
              <w:pStyle w:val="TableText"/>
            </w:pPr>
            <w:r>
              <w:t>76-117% in top 6 cm</w:t>
            </w:r>
          </w:p>
          <w:p w14:paraId="06DC491C" w14:textId="77777777" w:rsidR="000C65C6" w:rsidRPr="008B4AF6" w:rsidRDefault="000C65C6" w:rsidP="00377F3A">
            <w:pPr>
              <w:pStyle w:val="TableText"/>
            </w:pPr>
            <w:r>
              <w:t>Not detected in leachate</w:t>
            </w:r>
          </w:p>
        </w:tc>
        <w:tc>
          <w:tcPr>
            <w:tcW w:w="0" w:type="auto"/>
            <w:tcBorders>
              <w:top w:val="nil"/>
              <w:bottom w:val="single" w:sz="4" w:space="0" w:color="auto"/>
            </w:tcBorders>
          </w:tcPr>
          <w:p w14:paraId="4BED5A03" w14:textId="77777777" w:rsidR="000C65C6" w:rsidRPr="008B4AF6" w:rsidRDefault="000C65C6" w:rsidP="00377F3A">
            <w:pPr>
              <w:pStyle w:val="TableText"/>
            </w:pPr>
            <w:r>
              <w:t>Riekena 1995a</w:t>
            </w:r>
          </w:p>
        </w:tc>
      </w:tr>
      <w:tr w:rsidR="00025A81" w:rsidRPr="008B4AF6" w14:paraId="6A12F969" w14:textId="77777777" w:rsidTr="004A0055">
        <w:trPr>
          <w:cantSplit/>
        </w:trPr>
        <w:tc>
          <w:tcPr>
            <w:tcW w:w="0" w:type="auto"/>
            <w:tcBorders>
              <w:top w:val="single" w:sz="4" w:space="0" w:color="auto"/>
              <w:left w:val="nil"/>
              <w:bottom w:val="single" w:sz="4" w:space="0" w:color="auto"/>
            </w:tcBorders>
          </w:tcPr>
          <w:p w14:paraId="00FA9B22" w14:textId="3C90872F" w:rsidR="00025A81" w:rsidRDefault="00EE415C" w:rsidP="00377F3A">
            <w:pPr>
              <w:pStyle w:val="TableText"/>
            </w:pPr>
            <w:r>
              <w:t>Water</w:t>
            </w:r>
          </w:p>
        </w:tc>
        <w:tc>
          <w:tcPr>
            <w:tcW w:w="0" w:type="auto"/>
            <w:tcBorders>
              <w:top w:val="single" w:sz="4" w:space="0" w:color="auto"/>
              <w:left w:val="nil"/>
              <w:bottom w:val="single" w:sz="4" w:space="0" w:color="auto"/>
            </w:tcBorders>
          </w:tcPr>
          <w:p w14:paraId="291E1343" w14:textId="5073B25E" w:rsidR="00025A81" w:rsidRPr="008B4AF6" w:rsidRDefault="00025A81" w:rsidP="00377F3A">
            <w:pPr>
              <w:pStyle w:val="TableText"/>
            </w:pPr>
            <w:r>
              <w:t>Hydrolysis</w:t>
            </w:r>
          </w:p>
        </w:tc>
        <w:tc>
          <w:tcPr>
            <w:tcW w:w="0" w:type="auto"/>
            <w:tcBorders>
              <w:top w:val="single" w:sz="4" w:space="0" w:color="auto"/>
              <w:bottom w:val="single" w:sz="4" w:space="0" w:color="auto"/>
            </w:tcBorders>
          </w:tcPr>
          <w:p w14:paraId="018EB198" w14:textId="77777777" w:rsidR="00025A81" w:rsidRDefault="00025A81" w:rsidP="00377F3A">
            <w:pPr>
              <w:pStyle w:val="TableText"/>
            </w:pPr>
            <w:r>
              <w:t>pH 5, 24°C: DT</w:t>
            </w:r>
            <w:r w:rsidRPr="00047867">
              <w:rPr>
                <w:vertAlign w:val="subscript"/>
              </w:rPr>
              <w:t>50</w:t>
            </w:r>
            <w:r>
              <w:t xml:space="preserve"> 44 d</w:t>
            </w:r>
          </w:p>
          <w:p w14:paraId="5A3FC7D8" w14:textId="77777777" w:rsidR="00025A81" w:rsidRDefault="00025A81" w:rsidP="00377F3A">
            <w:pPr>
              <w:pStyle w:val="TableText"/>
            </w:pPr>
            <w:r>
              <w:t>pH 7, 24°C: stable</w:t>
            </w:r>
          </w:p>
          <w:p w14:paraId="01D5B5C1" w14:textId="5BE28914" w:rsidR="00025A81" w:rsidRDefault="00025A81" w:rsidP="00377F3A">
            <w:pPr>
              <w:pStyle w:val="TableText"/>
            </w:pPr>
            <w:r>
              <w:t>pH 9, 24°C: stable</w:t>
            </w:r>
          </w:p>
        </w:tc>
        <w:tc>
          <w:tcPr>
            <w:tcW w:w="0" w:type="auto"/>
            <w:tcBorders>
              <w:top w:val="single" w:sz="4" w:space="0" w:color="auto"/>
              <w:bottom w:val="single" w:sz="4" w:space="0" w:color="auto"/>
            </w:tcBorders>
          </w:tcPr>
          <w:p w14:paraId="7EAA65DE" w14:textId="1CB1A0E1" w:rsidR="00025A81" w:rsidRDefault="00025A81" w:rsidP="00377F3A">
            <w:pPr>
              <w:pStyle w:val="TableText"/>
            </w:pPr>
            <w:r>
              <w:t>Riekena 1995b</w:t>
            </w:r>
          </w:p>
        </w:tc>
      </w:tr>
      <w:tr w:rsidR="00EE415C" w:rsidRPr="008B4AF6" w14:paraId="6D524462" w14:textId="77777777" w:rsidTr="004A0055">
        <w:trPr>
          <w:cantSplit/>
        </w:trPr>
        <w:tc>
          <w:tcPr>
            <w:tcW w:w="0" w:type="auto"/>
            <w:tcBorders>
              <w:top w:val="single" w:sz="4" w:space="0" w:color="auto"/>
              <w:left w:val="nil"/>
              <w:bottom w:val="nil"/>
            </w:tcBorders>
          </w:tcPr>
          <w:p w14:paraId="289C3C3E" w14:textId="1C510D4B" w:rsidR="00EE415C" w:rsidRDefault="00EE415C" w:rsidP="00377F3A">
            <w:pPr>
              <w:pStyle w:val="TableText"/>
            </w:pPr>
            <w:r>
              <w:t>Biota</w:t>
            </w:r>
          </w:p>
        </w:tc>
        <w:tc>
          <w:tcPr>
            <w:tcW w:w="0" w:type="auto"/>
            <w:tcBorders>
              <w:top w:val="single" w:sz="4" w:space="0" w:color="auto"/>
              <w:left w:val="nil"/>
              <w:bottom w:val="nil"/>
            </w:tcBorders>
          </w:tcPr>
          <w:p w14:paraId="0CBFEA12" w14:textId="3C6784CD" w:rsidR="00EE415C" w:rsidRPr="00EE415C" w:rsidRDefault="00EE415C" w:rsidP="00377F3A">
            <w:pPr>
              <w:pStyle w:val="TableText"/>
            </w:pPr>
            <w:r w:rsidRPr="00EE415C">
              <w:t>Rat</w:t>
            </w:r>
          </w:p>
        </w:tc>
        <w:tc>
          <w:tcPr>
            <w:tcW w:w="0" w:type="auto"/>
            <w:tcBorders>
              <w:top w:val="single" w:sz="4" w:space="0" w:color="auto"/>
              <w:bottom w:val="nil"/>
            </w:tcBorders>
          </w:tcPr>
          <w:p w14:paraId="4D18D5B6" w14:textId="77777777" w:rsidR="00EE415C" w:rsidRDefault="00EE415C" w:rsidP="00377F3A">
            <w:pPr>
              <w:pStyle w:val="TableText"/>
            </w:pPr>
            <w:r>
              <w:t>15% oral absorption</w:t>
            </w:r>
          </w:p>
          <w:p w14:paraId="39837C52" w14:textId="4CCB8A79" w:rsidR="00EE415C" w:rsidRDefault="00EE415C" w:rsidP="00377F3A">
            <w:pPr>
              <w:pStyle w:val="TableText"/>
            </w:pPr>
            <w:r>
              <w:t>47-77% elimination after 8d</w:t>
            </w:r>
          </w:p>
        </w:tc>
        <w:tc>
          <w:tcPr>
            <w:tcW w:w="0" w:type="auto"/>
            <w:tcBorders>
              <w:top w:val="single" w:sz="4" w:space="0" w:color="auto"/>
              <w:bottom w:val="nil"/>
            </w:tcBorders>
          </w:tcPr>
          <w:p w14:paraId="04453015" w14:textId="378C1841" w:rsidR="00EE415C" w:rsidRDefault="00EE415C" w:rsidP="00377F3A">
            <w:pPr>
              <w:pStyle w:val="TableText"/>
            </w:pPr>
            <w:r>
              <w:t>Yu &amp; Atallah 1980</w:t>
            </w:r>
          </w:p>
        </w:tc>
      </w:tr>
      <w:tr w:rsidR="00EE415C" w:rsidRPr="008B4AF6" w14:paraId="2E74E61B" w14:textId="77777777" w:rsidTr="004A0055">
        <w:trPr>
          <w:cantSplit/>
        </w:trPr>
        <w:tc>
          <w:tcPr>
            <w:tcW w:w="0" w:type="auto"/>
            <w:tcBorders>
              <w:top w:val="nil"/>
              <w:left w:val="nil"/>
              <w:bottom w:val="nil"/>
            </w:tcBorders>
          </w:tcPr>
          <w:p w14:paraId="4F0E03C9" w14:textId="77777777" w:rsidR="00EE415C" w:rsidRDefault="00EE415C" w:rsidP="00377F3A">
            <w:pPr>
              <w:pStyle w:val="TableText"/>
            </w:pPr>
          </w:p>
        </w:tc>
        <w:tc>
          <w:tcPr>
            <w:tcW w:w="0" w:type="auto"/>
            <w:tcBorders>
              <w:top w:val="nil"/>
              <w:left w:val="nil"/>
              <w:bottom w:val="nil"/>
            </w:tcBorders>
          </w:tcPr>
          <w:p w14:paraId="67B425BC" w14:textId="77777777" w:rsidR="00EE415C" w:rsidRPr="00EE415C" w:rsidRDefault="00EE415C" w:rsidP="00377F3A">
            <w:pPr>
              <w:pStyle w:val="TableText"/>
            </w:pPr>
          </w:p>
        </w:tc>
        <w:tc>
          <w:tcPr>
            <w:tcW w:w="0" w:type="auto"/>
            <w:tcBorders>
              <w:top w:val="nil"/>
              <w:bottom w:val="nil"/>
            </w:tcBorders>
          </w:tcPr>
          <w:p w14:paraId="051896D6" w14:textId="55AC6D0E" w:rsidR="00EE415C" w:rsidRDefault="00EE415C" w:rsidP="00377F3A">
            <w:pPr>
              <w:pStyle w:val="TableText"/>
            </w:pPr>
            <w:r>
              <w:t>Liver DT</w:t>
            </w:r>
            <w:r w:rsidRPr="003D6D67">
              <w:rPr>
                <w:vertAlign w:val="subscript"/>
              </w:rPr>
              <w:t>50</w:t>
            </w:r>
            <w:r>
              <w:t xml:space="preserve"> 3.0 d</w:t>
            </w:r>
          </w:p>
        </w:tc>
        <w:tc>
          <w:tcPr>
            <w:tcW w:w="0" w:type="auto"/>
            <w:tcBorders>
              <w:top w:val="nil"/>
              <w:bottom w:val="nil"/>
            </w:tcBorders>
          </w:tcPr>
          <w:p w14:paraId="1B5F34AF" w14:textId="7FD7C578" w:rsidR="00EE415C" w:rsidRDefault="00EE415C" w:rsidP="00377F3A">
            <w:pPr>
              <w:pStyle w:val="TableText"/>
            </w:pPr>
            <w:r>
              <w:t xml:space="preserve">Fisher </w:t>
            </w:r>
            <w:r w:rsidR="00B7183A" w:rsidRPr="00B7183A">
              <w:rPr>
                <w:i/>
                <w:iCs/>
              </w:rPr>
              <w:t>et al</w:t>
            </w:r>
            <w:r>
              <w:t>. 2003</w:t>
            </w:r>
          </w:p>
        </w:tc>
      </w:tr>
      <w:tr w:rsidR="00EE415C" w:rsidRPr="008B4AF6" w14:paraId="0D0EB363" w14:textId="77777777" w:rsidTr="004A0055">
        <w:trPr>
          <w:cantSplit/>
        </w:trPr>
        <w:tc>
          <w:tcPr>
            <w:tcW w:w="0" w:type="auto"/>
            <w:tcBorders>
              <w:top w:val="nil"/>
              <w:left w:val="nil"/>
              <w:bottom w:val="nil"/>
            </w:tcBorders>
          </w:tcPr>
          <w:p w14:paraId="35BD25DD" w14:textId="77777777" w:rsidR="00EE415C" w:rsidRDefault="00EE415C" w:rsidP="00377F3A">
            <w:pPr>
              <w:pStyle w:val="TableText"/>
            </w:pPr>
          </w:p>
        </w:tc>
        <w:tc>
          <w:tcPr>
            <w:tcW w:w="0" w:type="auto"/>
            <w:tcBorders>
              <w:top w:val="nil"/>
              <w:left w:val="nil"/>
              <w:bottom w:val="nil"/>
            </w:tcBorders>
          </w:tcPr>
          <w:p w14:paraId="346272CA" w14:textId="5B994ABE" w:rsidR="00EE415C" w:rsidRPr="00EE415C" w:rsidRDefault="00EE415C" w:rsidP="00377F3A">
            <w:pPr>
              <w:pStyle w:val="TableText"/>
            </w:pPr>
            <w:r w:rsidRPr="00EE415C">
              <w:t>Mouse</w:t>
            </w:r>
          </w:p>
        </w:tc>
        <w:tc>
          <w:tcPr>
            <w:tcW w:w="0" w:type="auto"/>
            <w:tcBorders>
              <w:top w:val="nil"/>
              <w:bottom w:val="nil"/>
            </w:tcBorders>
          </w:tcPr>
          <w:p w14:paraId="30F27E90" w14:textId="77777777" w:rsidR="00EE415C" w:rsidRDefault="00EE415C" w:rsidP="00377F3A">
            <w:pPr>
              <w:pStyle w:val="TableText"/>
            </w:pPr>
            <w:r>
              <w:t>15% oral absorption</w:t>
            </w:r>
          </w:p>
          <w:p w14:paraId="3FDA919D" w14:textId="61EE204B" w:rsidR="00EE415C" w:rsidRDefault="00EE415C" w:rsidP="00377F3A">
            <w:pPr>
              <w:pStyle w:val="TableText"/>
            </w:pPr>
            <w:r>
              <w:t>73-80% elimination after 4d</w:t>
            </w:r>
          </w:p>
        </w:tc>
        <w:tc>
          <w:tcPr>
            <w:tcW w:w="0" w:type="auto"/>
            <w:tcBorders>
              <w:top w:val="nil"/>
              <w:bottom w:val="nil"/>
            </w:tcBorders>
          </w:tcPr>
          <w:p w14:paraId="3F1112E5" w14:textId="0759D01D" w:rsidR="00EE415C" w:rsidRDefault="00EE415C" w:rsidP="00377F3A">
            <w:pPr>
              <w:pStyle w:val="TableText"/>
            </w:pPr>
            <w:r>
              <w:t>Yu &amp; Atallah 1980</w:t>
            </w:r>
          </w:p>
        </w:tc>
      </w:tr>
      <w:tr w:rsidR="00EE415C" w:rsidRPr="008B4AF6" w14:paraId="66D89134" w14:textId="77777777" w:rsidTr="004A0055">
        <w:trPr>
          <w:cantSplit/>
        </w:trPr>
        <w:tc>
          <w:tcPr>
            <w:tcW w:w="0" w:type="auto"/>
            <w:tcBorders>
              <w:top w:val="nil"/>
              <w:left w:val="nil"/>
              <w:bottom w:val="nil"/>
            </w:tcBorders>
          </w:tcPr>
          <w:p w14:paraId="0A3DE720" w14:textId="77777777" w:rsidR="00EE415C" w:rsidRDefault="00EE415C" w:rsidP="00377F3A">
            <w:pPr>
              <w:pStyle w:val="TableText"/>
            </w:pPr>
          </w:p>
        </w:tc>
        <w:tc>
          <w:tcPr>
            <w:tcW w:w="0" w:type="auto"/>
            <w:tcBorders>
              <w:top w:val="nil"/>
              <w:left w:val="nil"/>
              <w:bottom w:val="nil"/>
            </w:tcBorders>
          </w:tcPr>
          <w:p w14:paraId="03D87CFD" w14:textId="47B35204" w:rsidR="00EE415C" w:rsidRPr="00EE415C" w:rsidRDefault="00EE415C" w:rsidP="00377F3A">
            <w:pPr>
              <w:pStyle w:val="TableText"/>
            </w:pPr>
            <w:r w:rsidRPr="00EE415C">
              <w:t>Cattle</w:t>
            </w:r>
          </w:p>
        </w:tc>
        <w:tc>
          <w:tcPr>
            <w:tcW w:w="0" w:type="auto"/>
            <w:tcBorders>
              <w:top w:val="nil"/>
              <w:bottom w:val="nil"/>
            </w:tcBorders>
          </w:tcPr>
          <w:p w14:paraId="233F9887" w14:textId="56F7237F" w:rsidR="00EE415C" w:rsidRDefault="00EE415C" w:rsidP="00377F3A">
            <w:pPr>
              <w:pStyle w:val="TableText"/>
            </w:pPr>
            <w:r>
              <w:t>Liver DT</w:t>
            </w:r>
            <w:r w:rsidRPr="003D6D67">
              <w:rPr>
                <w:vertAlign w:val="subscript"/>
              </w:rPr>
              <w:t>50</w:t>
            </w:r>
            <w:r>
              <w:t xml:space="preserve"> &gt;90 d</w:t>
            </w:r>
          </w:p>
        </w:tc>
        <w:tc>
          <w:tcPr>
            <w:tcW w:w="0" w:type="auto"/>
            <w:tcBorders>
              <w:top w:val="nil"/>
              <w:bottom w:val="nil"/>
            </w:tcBorders>
          </w:tcPr>
          <w:p w14:paraId="59CB49BC" w14:textId="13BF87B4" w:rsidR="00EE415C" w:rsidRDefault="00EE415C" w:rsidP="00377F3A">
            <w:pPr>
              <w:pStyle w:val="TableText"/>
            </w:pPr>
            <w:r>
              <w:t xml:space="preserve">Bullard </w:t>
            </w:r>
            <w:r w:rsidR="00B7183A" w:rsidRPr="00B7183A">
              <w:rPr>
                <w:i/>
                <w:iCs/>
              </w:rPr>
              <w:t>et al</w:t>
            </w:r>
            <w:r>
              <w:t>. 1976</w:t>
            </w:r>
          </w:p>
        </w:tc>
      </w:tr>
      <w:tr w:rsidR="00EE415C" w:rsidRPr="008B4AF6" w14:paraId="5522AB69" w14:textId="77777777" w:rsidTr="004A0055">
        <w:trPr>
          <w:cantSplit/>
        </w:trPr>
        <w:tc>
          <w:tcPr>
            <w:tcW w:w="0" w:type="auto"/>
            <w:tcBorders>
              <w:top w:val="nil"/>
              <w:left w:val="nil"/>
              <w:bottom w:val="nil"/>
            </w:tcBorders>
          </w:tcPr>
          <w:p w14:paraId="233542CE" w14:textId="6C77BA34" w:rsidR="00EE415C" w:rsidRDefault="00EE415C" w:rsidP="00377F3A">
            <w:pPr>
              <w:pStyle w:val="TableText"/>
            </w:pPr>
          </w:p>
        </w:tc>
        <w:tc>
          <w:tcPr>
            <w:tcW w:w="0" w:type="auto"/>
            <w:tcBorders>
              <w:top w:val="nil"/>
              <w:left w:val="nil"/>
              <w:bottom w:val="nil"/>
            </w:tcBorders>
          </w:tcPr>
          <w:p w14:paraId="4D50930E" w14:textId="545FD579" w:rsidR="00EE415C" w:rsidRPr="00EE415C" w:rsidRDefault="00EE415C" w:rsidP="00377F3A">
            <w:pPr>
              <w:pStyle w:val="TableText"/>
            </w:pPr>
            <w:r w:rsidRPr="00EE415C">
              <w:t>Pig</w:t>
            </w:r>
          </w:p>
        </w:tc>
        <w:tc>
          <w:tcPr>
            <w:tcW w:w="0" w:type="auto"/>
            <w:tcBorders>
              <w:top w:val="nil"/>
              <w:bottom w:val="nil"/>
            </w:tcBorders>
          </w:tcPr>
          <w:p w14:paraId="27265F19" w14:textId="158D49F6" w:rsidR="00EE415C" w:rsidRDefault="00EE415C" w:rsidP="00377F3A">
            <w:pPr>
              <w:pStyle w:val="TableText"/>
            </w:pPr>
            <w:r>
              <w:t>Liver DT</w:t>
            </w:r>
            <w:r w:rsidRPr="00F855FB">
              <w:rPr>
                <w:vertAlign w:val="subscript"/>
              </w:rPr>
              <w:t>50</w:t>
            </w:r>
            <w:r>
              <w:t xml:space="preserve"> 12 d</w:t>
            </w:r>
          </w:p>
        </w:tc>
        <w:tc>
          <w:tcPr>
            <w:tcW w:w="0" w:type="auto"/>
            <w:tcBorders>
              <w:top w:val="nil"/>
              <w:bottom w:val="nil"/>
            </w:tcBorders>
          </w:tcPr>
          <w:p w14:paraId="061B01DA" w14:textId="35C5C8A7" w:rsidR="00EE415C" w:rsidRDefault="00EE415C" w:rsidP="00377F3A">
            <w:pPr>
              <w:pStyle w:val="TableText"/>
            </w:pPr>
            <w:r>
              <w:t xml:space="preserve">Crowell </w:t>
            </w:r>
            <w:r w:rsidR="00B7183A" w:rsidRPr="00B7183A">
              <w:rPr>
                <w:i/>
                <w:iCs/>
              </w:rPr>
              <w:t>et al</w:t>
            </w:r>
            <w:r>
              <w:t>. 2013</w:t>
            </w:r>
          </w:p>
        </w:tc>
      </w:tr>
      <w:tr w:rsidR="00EE415C" w:rsidRPr="008B4AF6" w14:paraId="0E398C98" w14:textId="77777777" w:rsidTr="004A0055">
        <w:trPr>
          <w:cantSplit/>
        </w:trPr>
        <w:tc>
          <w:tcPr>
            <w:tcW w:w="0" w:type="auto"/>
            <w:tcBorders>
              <w:top w:val="nil"/>
              <w:left w:val="nil"/>
              <w:bottom w:val="nil"/>
            </w:tcBorders>
          </w:tcPr>
          <w:p w14:paraId="1798A45F" w14:textId="77777777" w:rsidR="00EE415C" w:rsidRDefault="00EE415C" w:rsidP="00377F3A">
            <w:pPr>
              <w:pStyle w:val="TableText"/>
            </w:pPr>
          </w:p>
        </w:tc>
        <w:tc>
          <w:tcPr>
            <w:tcW w:w="0" w:type="auto"/>
            <w:tcBorders>
              <w:top w:val="nil"/>
              <w:left w:val="nil"/>
              <w:bottom w:val="nil"/>
            </w:tcBorders>
          </w:tcPr>
          <w:p w14:paraId="55E67FF1" w14:textId="0621C04D" w:rsidR="00EE415C" w:rsidRPr="00EE415C" w:rsidRDefault="00EE415C" w:rsidP="00377F3A">
            <w:pPr>
              <w:pStyle w:val="TableText"/>
            </w:pPr>
            <w:r w:rsidRPr="00EE415C">
              <w:t>Red deer</w:t>
            </w:r>
          </w:p>
        </w:tc>
        <w:tc>
          <w:tcPr>
            <w:tcW w:w="0" w:type="auto"/>
            <w:tcBorders>
              <w:top w:val="nil"/>
              <w:bottom w:val="nil"/>
            </w:tcBorders>
          </w:tcPr>
          <w:p w14:paraId="06C71992" w14:textId="5A15D547" w:rsidR="00EE415C" w:rsidRDefault="00EE415C" w:rsidP="00377F3A">
            <w:pPr>
              <w:pStyle w:val="TableText"/>
            </w:pPr>
            <w:r>
              <w:t>Liver DT</w:t>
            </w:r>
            <w:r w:rsidRPr="00F855FB">
              <w:rPr>
                <w:vertAlign w:val="subscript"/>
              </w:rPr>
              <w:t>50</w:t>
            </w:r>
            <w:r>
              <w:t xml:space="preserve"> 6.0 d</w:t>
            </w:r>
          </w:p>
        </w:tc>
        <w:tc>
          <w:tcPr>
            <w:tcW w:w="0" w:type="auto"/>
            <w:tcBorders>
              <w:top w:val="nil"/>
              <w:bottom w:val="nil"/>
            </w:tcBorders>
          </w:tcPr>
          <w:p w14:paraId="1F2CA16D" w14:textId="7FAF7459" w:rsidR="00EE415C" w:rsidRDefault="00EE415C" w:rsidP="00377F3A">
            <w:pPr>
              <w:pStyle w:val="TableText"/>
            </w:pPr>
            <w:r>
              <w:t xml:space="preserve">Crowell </w:t>
            </w:r>
            <w:r w:rsidR="00B7183A" w:rsidRPr="00B7183A">
              <w:rPr>
                <w:i/>
                <w:iCs/>
              </w:rPr>
              <w:t>et al</w:t>
            </w:r>
            <w:r>
              <w:t>. 2013</w:t>
            </w:r>
          </w:p>
        </w:tc>
      </w:tr>
      <w:tr w:rsidR="00EE415C" w:rsidRPr="008B4AF6" w14:paraId="6FD0B642" w14:textId="77777777" w:rsidTr="004A0055">
        <w:trPr>
          <w:cantSplit/>
        </w:trPr>
        <w:tc>
          <w:tcPr>
            <w:tcW w:w="0" w:type="auto"/>
            <w:tcBorders>
              <w:top w:val="nil"/>
              <w:left w:val="nil"/>
              <w:bottom w:val="nil"/>
            </w:tcBorders>
          </w:tcPr>
          <w:p w14:paraId="1A8536DD" w14:textId="482F536D" w:rsidR="00EE415C" w:rsidRDefault="00EE415C" w:rsidP="00377F3A">
            <w:pPr>
              <w:pStyle w:val="TableText"/>
            </w:pPr>
          </w:p>
        </w:tc>
        <w:tc>
          <w:tcPr>
            <w:tcW w:w="0" w:type="auto"/>
            <w:tcBorders>
              <w:top w:val="nil"/>
              <w:left w:val="nil"/>
              <w:bottom w:val="nil"/>
            </w:tcBorders>
          </w:tcPr>
          <w:p w14:paraId="03967130" w14:textId="31BCC931" w:rsidR="00EE415C" w:rsidRPr="00EE415C" w:rsidRDefault="00EE415C" w:rsidP="00377F3A">
            <w:pPr>
              <w:pStyle w:val="TableText"/>
            </w:pPr>
            <w:r w:rsidRPr="00EE415C">
              <w:t>American kestrel</w:t>
            </w:r>
          </w:p>
        </w:tc>
        <w:tc>
          <w:tcPr>
            <w:tcW w:w="0" w:type="auto"/>
            <w:tcBorders>
              <w:top w:val="nil"/>
              <w:bottom w:val="nil"/>
            </w:tcBorders>
          </w:tcPr>
          <w:p w14:paraId="3D80FB0E" w14:textId="573164F7" w:rsidR="00EE415C" w:rsidRDefault="00EE415C" w:rsidP="00377F3A">
            <w:pPr>
              <w:pStyle w:val="TableText"/>
            </w:pPr>
            <w:r>
              <w:t>Liver DT</w:t>
            </w:r>
            <w:r w:rsidRPr="003D6D67">
              <w:rPr>
                <w:vertAlign w:val="subscript"/>
              </w:rPr>
              <w:t>50</w:t>
            </w:r>
            <w:r>
              <w:t xml:space="preserve"> 2.5 d</w:t>
            </w:r>
          </w:p>
        </w:tc>
        <w:tc>
          <w:tcPr>
            <w:tcW w:w="0" w:type="auto"/>
            <w:tcBorders>
              <w:top w:val="nil"/>
              <w:bottom w:val="nil"/>
            </w:tcBorders>
          </w:tcPr>
          <w:p w14:paraId="182C1FE8" w14:textId="090F77B1" w:rsidR="00EE415C" w:rsidRDefault="00EE415C" w:rsidP="00377F3A">
            <w:pPr>
              <w:pStyle w:val="TableText"/>
            </w:pPr>
            <w:r>
              <w:t xml:space="preserve">Rattner </w:t>
            </w:r>
            <w:r w:rsidR="00B7183A" w:rsidRPr="00B7183A">
              <w:rPr>
                <w:i/>
                <w:iCs/>
              </w:rPr>
              <w:t>et al</w:t>
            </w:r>
            <w:r>
              <w:t>. 2011</w:t>
            </w:r>
          </w:p>
        </w:tc>
      </w:tr>
      <w:tr w:rsidR="00EE415C" w:rsidRPr="008B4AF6" w14:paraId="177DAD3D" w14:textId="77777777" w:rsidTr="004A0055">
        <w:trPr>
          <w:cantSplit/>
        </w:trPr>
        <w:tc>
          <w:tcPr>
            <w:tcW w:w="0" w:type="auto"/>
            <w:tcBorders>
              <w:top w:val="nil"/>
              <w:left w:val="nil"/>
              <w:bottom w:val="nil"/>
            </w:tcBorders>
          </w:tcPr>
          <w:p w14:paraId="7DCD3CC9" w14:textId="77777777" w:rsidR="00EE415C" w:rsidRDefault="00EE415C" w:rsidP="00377F3A">
            <w:pPr>
              <w:pStyle w:val="TableText"/>
            </w:pPr>
          </w:p>
        </w:tc>
        <w:tc>
          <w:tcPr>
            <w:tcW w:w="0" w:type="auto"/>
            <w:tcBorders>
              <w:top w:val="nil"/>
              <w:left w:val="nil"/>
              <w:bottom w:val="nil"/>
            </w:tcBorders>
          </w:tcPr>
          <w:p w14:paraId="45A1D664" w14:textId="559E0E43" w:rsidR="00EE415C" w:rsidRPr="00EE415C" w:rsidRDefault="00EE415C" w:rsidP="00377F3A">
            <w:pPr>
              <w:pStyle w:val="TableText"/>
            </w:pPr>
            <w:r w:rsidRPr="00EE415C">
              <w:t>Easter</w:t>
            </w:r>
            <w:r w:rsidR="004A0055">
              <w:t>n</w:t>
            </w:r>
            <w:r w:rsidRPr="00EE415C">
              <w:t xml:space="preserve"> screech owl</w:t>
            </w:r>
          </w:p>
        </w:tc>
        <w:tc>
          <w:tcPr>
            <w:tcW w:w="0" w:type="auto"/>
            <w:tcBorders>
              <w:top w:val="nil"/>
              <w:bottom w:val="nil"/>
            </w:tcBorders>
          </w:tcPr>
          <w:p w14:paraId="6CAA9F67" w14:textId="7E52C426" w:rsidR="00EE415C" w:rsidRDefault="00EE415C" w:rsidP="00377F3A">
            <w:pPr>
              <w:pStyle w:val="TableText"/>
            </w:pPr>
            <w:r>
              <w:t>Liver DT</w:t>
            </w:r>
            <w:r w:rsidRPr="003D6D67">
              <w:rPr>
                <w:vertAlign w:val="subscript"/>
              </w:rPr>
              <w:t>50</w:t>
            </w:r>
            <w:r>
              <w:t xml:space="preserve"> 29 d</w:t>
            </w:r>
          </w:p>
        </w:tc>
        <w:tc>
          <w:tcPr>
            <w:tcW w:w="0" w:type="auto"/>
            <w:tcBorders>
              <w:top w:val="nil"/>
              <w:bottom w:val="nil"/>
            </w:tcBorders>
          </w:tcPr>
          <w:p w14:paraId="68B233E4" w14:textId="316F706F" w:rsidR="00EE415C" w:rsidRDefault="00EE415C" w:rsidP="00377F3A">
            <w:pPr>
              <w:pStyle w:val="TableText"/>
            </w:pPr>
            <w:r>
              <w:t xml:space="preserve">Rattner </w:t>
            </w:r>
            <w:r w:rsidR="00B7183A" w:rsidRPr="00B7183A">
              <w:rPr>
                <w:i/>
                <w:iCs/>
              </w:rPr>
              <w:t>et al</w:t>
            </w:r>
            <w:r>
              <w:t>. 2014</w:t>
            </w:r>
          </w:p>
        </w:tc>
      </w:tr>
      <w:tr w:rsidR="004A0055" w:rsidRPr="008B4AF6" w14:paraId="592AAF90" w14:textId="77777777" w:rsidTr="004A0055">
        <w:trPr>
          <w:cantSplit/>
        </w:trPr>
        <w:tc>
          <w:tcPr>
            <w:tcW w:w="0" w:type="auto"/>
            <w:tcBorders>
              <w:top w:val="nil"/>
              <w:left w:val="nil"/>
              <w:bottom w:val="single" w:sz="4" w:space="0" w:color="auto"/>
            </w:tcBorders>
          </w:tcPr>
          <w:p w14:paraId="2BE04F35" w14:textId="77777777" w:rsidR="004A0055" w:rsidRDefault="004A0055" w:rsidP="00377F3A">
            <w:pPr>
              <w:pStyle w:val="TableText"/>
            </w:pPr>
          </w:p>
        </w:tc>
        <w:tc>
          <w:tcPr>
            <w:tcW w:w="0" w:type="auto"/>
            <w:tcBorders>
              <w:top w:val="nil"/>
              <w:left w:val="nil"/>
              <w:bottom w:val="single" w:sz="4" w:space="0" w:color="auto"/>
            </w:tcBorders>
          </w:tcPr>
          <w:p w14:paraId="574B6584" w14:textId="011D2A1E" w:rsidR="004A0055" w:rsidRPr="00EE415C" w:rsidRDefault="004A0055" w:rsidP="00377F3A">
            <w:pPr>
              <w:pStyle w:val="TableText"/>
            </w:pPr>
            <w:r>
              <w:t>Fish</w:t>
            </w:r>
          </w:p>
        </w:tc>
        <w:tc>
          <w:tcPr>
            <w:tcW w:w="0" w:type="auto"/>
            <w:tcBorders>
              <w:top w:val="nil"/>
              <w:bottom w:val="single" w:sz="4" w:space="0" w:color="auto"/>
            </w:tcBorders>
          </w:tcPr>
          <w:p w14:paraId="6C43BA03" w14:textId="77777777" w:rsidR="004A0055" w:rsidRDefault="004A0055" w:rsidP="00377F3A">
            <w:pPr>
              <w:pStyle w:val="TableText"/>
            </w:pPr>
            <w:r>
              <w:t>BCF 10 (muscle), 80 (viscera)</w:t>
            </w:r>
          </w:p>
          <w:p w14:paraId="02825AD0" w14:textId="7600705C" w:rsidR="004A0055" w:rsidRDefault="004A0055" w:rsidP="00377F3A">
            <w:pPr>
              <w:pStyle w:val="TableText"/>
            </w:pPr>
            <w:r>
              <w:t>70% (muscle), 80% (viscera) eliminated after 14 d depuration</w:t>
            </w:r>
          </w:p>
        </w:tc>
        <w:tc>
          <w:tcPr>
            <w:tcW w:w="0" w:type="auto"/>
            <w:tcBorders>
              <w:top w:val="nil"/>
              <w:bottom w:val="single" w:sz="4" w:space="0" w:color="auto"/>
            </w:tcBorders>
          </w:tcPr>
          <w:p w14:paraId="5DE29994" w14:textId="01FC01BA" w:rsidR="004A0055" w:rsidRDefault="004A0055" w:rsidP="00377F3A">
            <w:pPr>
              <w:pStyle w:val="TableText"/>
            </w:pPr>
            <w:r>
              <w:t>Ells 1976</w:t>
            </w:r>
          </w:p>
        </w:tc>
      </w:tr>
    </w:tbl>
    <w:p w14:paraId="34CF7EC2" w14:textId="38B70EA2" w:rsidR="00A12A97" w:rsidRPr="00122CA9" w:rsidRDefault="00850971" w:rsidP="00377F3A">
      <w:pPr>
        <w:pStyle w:val="Caption"/>
      </w:pPr>
      <w:bookmarkStart w:id="1994" w:name="_Toc213946068"/>
      <w:bookmarkStart w:id="1995" w:name="_Toc216695759"/>
      <w:r>
        <w:t xml:space="preserve">Table </w:t>
      </w:r>
      <w:r>
        <w:fldChar w:fldCharType="begin"/>
      </w:r>
      <w:r>
        <w:instrText xml:space="preserve"> SEQ Table \* ARABIC </w:instrText>
      </w:r>
      <w:r>
        <w:fldChar w:fldCharType="separate"/>
      </w:r>
      <w:r w:rsidR="003861AC">
        <w:rPr>
          <w:noProof/>
        </w:rPr>
        <w:t>97</w:t>
      </w:r>
      <w:r>
        <w:fldChar w:fldCharType="end"/>
      </w:r>
      <w:r>
        <w:t xml:space="preserve">: </w:t>
      </w:r>
      <w:r w:rsidR="00025A81">
        <w:t xml:space="preserve">Diphacinone – </w:t>
      </w:r>
      <w:r w:rsidR="006A5695">
        <w:t>Residues m</w:t>
      </w:r>
      <w:r w:rsidR="00A12A97">
        <w:t>onitoring data</w:t>
      </w:r>
      <w:bookmarkEnd w:id="1994"/>
      <w:bookmarkEnd w:id="1995"/>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8"/>
        <w:gridCol w:w="904"/>
        <w:gridCol w:w="6158"/>
        <w:gridCol w:w="1230"/>
      </w:tblGrid>
      <w:tr w:rsidR="0071004A" w:rsidRPr="003B5A86" w14:paraId="7A42E929" w14:textId="77777777" w:rsidTr="0017134F">
        <w:trPr>
          <w:cantSplit/>
          <w:tblHeader/>
        </w:trPr>
        <w:tc>
          <w:tcPr>
            <w:tcW w:w="0" w:type="auto"/>
            <w:tcBorders>
              <w:bottom w:val="single" w:sz="4" w:space="0" w:color="auto"/>
            </w:tcBorders>
            <w:shd w:val="clear" w:color="auto" w:fill="53284F"/>
          </w:tcPr>
          <w:p w14:paraId="5A31EBC5" w14:textId="77777777" w:rsidR="0071004A" w:rsidRPr="0071004A" w:rsidRDefault="0071004A"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482ED230" w14:textId="77777777" w:rsidR="0071004A" w:rsidRPr="0071004A" w:rsidRDefault="0071004A"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47424B50" w14:textId="6D9BA803" w:rsidR="0071004A" w:rsidRPr="0071004A" w:rsidRDefault="004A0055" w:rsidP="00377F3A">
            <w:pPr>
              <w:pStyle w:val="TableHead"/>
              <w:rPr>
                <w:lang w:eastAsia="en-AU"/>
              </w:rPr>
            </w:pPr>
            <w:r>
              <w:rPr>
                <w:lang w:eastAsia="en-AU"/>
              </w:rPr>
              <w:t>Result</w:t>
            </w:r>
          </w:p>
        </w:tc>
        <w:tc>
          <w:tcPr>
            <w:tcW w:w="0" w:type="auto"/>
            <w:tcBorders>
              <w:bottom w:val="single" w:sz="4" w:space="0" w:color="auto"/>
            </w:tcBorders>
            <w:shd w:val="clear" w:color="auto" w:fill="53284F"/>
          </w:tcPr>
          <w:p w14:paraId="555007AA" w14:textId="77777777" w:rsidR="0071004A" w:rsidRPr="0071004A" w:rsidRDefault="0071004A" w:rsidP="00377F3A">
            <w:pPr>
              <w:pStyle w:val="TableHead"/>
              <w:rPr>
                <w:lang w:eastAsia="en-AU"/>
              </w:rPr>
            </w:pPr>
            <w:r w:rsidRPr="0071004A">
              <w:rPr>
                <w:lang w:eastAsia="en-AU"/>
              </w:rPr>
              <w:t>Reference</w:t>
            </w:r>
          </w:p>
        </w:tc>
      </w:tr>
      <w:tr w:rsidR="0071004A" w:rsidRPr="003B5A86" w14:paraId="68CC2594" w14:textId="77777777" w:rsidTr="004A0055">
        <w:trPr>
          <w:cantSplit/>
          <w:trHeight w:val="13"/>
        </w:trPr>
        <w:tc>
          <w:tcPr>
            <w:tcW w:w="0" w:type="auto"/>
            <w:tcBorders>
              <w:top w:val="single" w:sz="4" w:space="0" w:color="auto"/>
              <w:left w:val="nil"/>
              <w:bottom w:val="single" w:sz="4" w:space="0" w:color="auto"/>
              <w:right w:val="nil"/>
            </w:tcBorders>
          </w:tcPr>
          <w:p w14:paraId="2DD98824" w14:textId="77777777" w:rsidR="0071004A" w:rsidRPr="00E673EB" w:rsidRDefault="0071004A" w:rsidP="00377F3A">
            <w:pPr>
              <w:pStyle w:val="TableText"/>
              <w:rPr>
                <w:lang w:eastAsia="en-AU"/>
              </w:rPr>
            </w:pPr>
            <w:r w:rsidRPr="00E673EB">
              <w:rPr>
                <w:lang w:eastAsia="en-AU"/>
              </w:rPr>
              <w:t>Terrestrial invertebrates</w:t>
            </w:r>
          </w:p>
        </w:tc>
        <w:tc>
          <w:tcPr>
            <w:tcW w:w="0" w:type="auto"/>
            <w:tcBorders>
              <w:top w:val="single" w:sz="4" w:space="0" w:color="auto"/>
              <w:left w:val="nil"/>
              <w:bottom w:val="single" w:sz="4" w:space="0" w:color="auto"/>
              <w:right w:val="nil"/>
            </w:tcBorders>
          </w:tcPr>
          <w:p w14:paraId="0D48A6B2" w14:textId="77777777" w:rsidR="0071004A" w:rsidRPr="00E673EB" w:rsidRDefault="0071004A" w:rsidP="00377F3A">
            <w:pPr>
              <w:pStyle w:val="TableText"/>
            </w:pPr>
            <w:r>
              <w:t>North America</w:t>
            </w:r>
          </w:p>
        </w:tc>
        <w:tc>
          <w:tcPr>
            <w:tcW w:w="0" w:type="auto"/>
            <w:tcBorders>
              <w:top w:val="single" w:sz="4" w:space="0" w:color="auto"/>
              <w:left w:val="nil"/>
              <w:bottom w:val="single" w:sz="4" w:space="0" w:color="auto"/>
              <w:right w:val="nil"/>
            </w:tcBorders>
          </w:tcPr>
          <w:p w14:paraId="372FB76F" w14:textId="77777777" w:rsidR="0071004A" w:rsidRPr="00E673EB" w:rsidRDefault="0071004A" w:rsidP="00377F3A">
            <w:pPr>
              <w:pStyle w:val="TableText"/>
            </w:pPr>
            <w:r w:rsidRPr="00E673EB">
              <w:t>390 µg/kg in carrion beetles; not detected in carabid beetles, wasps, snails, slugs, worms, or maggots in bromadialone or brodifacoum baited farms or farms in area of intensive poultry farming in Canada</w:t>
            </w:r>
          </w:p>
        </w:tc>
        <w:tc>
          <w:tcPr>
            <w:tcW w:w="0" w:type="auto"/>
            <w:tcBorders>
              <w:top w:val="single" w:sz="4" w:space="0" w:color="auto"/>
              <w:left w:val="nil"/>
              <w:bottom w:val="single" w:sz="4" w:space="0" w:color="auto"/>
              <w:right w:val="nil"/>
            </w:tcBorders>
          </w:tcPr>
          <w:p w14:paraId="3C9CDCB7" w14:textId="1B390F78"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14C54834" w14:textId="77777777" w:rsidTr="004A0055">
        <w:trPr>
          <w:cantSplit/>
          <w:trHeight w:val="13"/>
        </w:trPr>
        <w:tc>
          <w:tcPr>
            <w:tcW w:w="0" w:type="auto"/>
            <w:tcBorders>
              <w:top w:val="single" w:sz="4" w:space="0" w:color="auto"/>
              <w:left w:val="nil"/>
              <w:bottom w:val="single" w:sz="4" w:space="0" w:color="auto"/>
              <w:right w:val="nil"/>
            </w:tcBorders>
          </w:tcPr>
          <w:p w14:paraId="49BA47D8" w14:textId="77777777" w:rsidR="0071004A" w:rsidRPr="00E673EB" w:rsidRDefault="0071004A" w:rsidP="00377F3A">
            <w:pPr>
              <w:pStyle w:val="TableText"/>
              <w:rPr>
                <w:lang w:eastAsia="en-AU"/>
              </w:rPr>
            </w:pPr>
            <w:r w:rsidRPr="00E673EB">
              <w:rPr>
                <w:lang w:eastAsia="en-AU"/>
              </w:rPr>
              <w:lastRenderedPageBreak/>
              <w:t>Target rodents</w:t>
            </w:r>
          </w:p>
        </w:tc>
        <w:tc>
          <w:tcPr>
            <w:tcW w:w="0" w:type="auto"/>
            <w:tcBorders>
              <w:top w:val="single" w:sz="4" w:space="0" w:color="auto"/>
              <w:left w:val="nil"/>
              <w:bottom w:val="single" w:sz="4" w:space="0" w:color="auto"/>
              <w:right w:val="nil"/>
            </w:tcBorders>
          </w:tcPr>
          <w:p w14:paraId="0A6304CF" w14:textId="77777777" w:rsidR="0071004A" w:rsidRPr="00E673EB" w:rsidRDefault="0071004A" w:rsidP="00377F3A">
            <w:pPr>
              <w:pStyle w:val="TableText"/>
            </w:pPr>
            <w:r>
              <w:t>North America</w:t>
            </w:r>
          </w:p>
        </w:tc>
        <w:tc>
          <w:tcPr>
            <w:tcW w:w="0" w:type="auto"/>
            <w:tcBorders>
              <w:top w:val="single" w:sz="4" w:space="0" w:color="auto"/>
              <w:left w:val="nil"/>
              <w:bottom w:val="single" w:sz="4" w:space="0" w:color="auto"/>
              <w:right w:val="nil"/>
            </w:tcBorders>
          </w:tcPr>
          <w:p w14:paraId="13BC3CCA" w14:textId="77777777" w:rsidR="0071004A" w:rsidRPr="00E673EB" w:rsidRDefault="0071004A" w:rsidP="00377F3A">
            <w:pPr>
              <w:pStyle w:val="TableText"/>
            </w:pPr>
            <w:r w:rsidRPr="00E673EB">
              <w:t>Liver residue 640 µg/kg in 1/2 rats in two farms in area of intensive poultry farming; not detected in 5 rats in bromadialone baited farm in Canada</w:t>
            </w:r>
          </w:p>
        </w:tc>
        <w:tc>
          <w:tcPr>
            <w:tcW w:w="0" w:type="auto"/>
            <w:tcBorders>
              <w:top w:val="single" w:sz="4" w:space="0" w:color="auto"/>
              <w:left w:val="nil"/>
              <w:bottom w:val="single" w:sz="4" w:space="0" w:color="auto"/>
              <w:right w:val="nil"/>
            </w:tcBorders>
          </w:tcPr>
          <w:p w14:paraId="3774BEB7" w14:textId="77132A75"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14DD33FC" w14:textId="77777777" w:rsidTr="004A0055">
        <w:trPr>
          <w:cantSplit/>
          <w:trHeight w:val="13"/>
        </w:trPr>
        <w:tc>
          <w:tcPr>
            <w:tcW w:w="0" w:type="auto"/>
            <w:tcBorders>
              <w:top w:val="single" w:sz="4" w:space="0" w:color="auto"/>
              <w:left w:val="nil"/>
              <w:bottom w:val="nil"/>
              <w:right w:val="nil"/>
            </w:tcBorders>
          </w:tcPr>
          <w:p w14:paraId="28234346" w14:textId="77777777" w:rsidR="0071004A" w:rsidRPr="00E673EB" w:rsidRDefault="0071004A"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6BD88E32" w14:textId="77777777" w:rsidR="0071004A" w:rsidRPr="00E673EB" w:rsidRDefault="0071004A" w:rsidP="00377F3A">
            <w:pPr>
              <w:pStyle w:val="TableText"/>
            </w:pPr>
            <w:r>
              <w:t>North America</w:t>
            </w:r>
          </w:p>
        </w:tc>
        <w:tc>
          <w:tcPr>
            <w:tcW w:w="0" w:type="auto"/>
            <w:tcBorders>
              <w:top w:val="single" w:sz="4" w:space="0" w:color="auto"/>
              <w:left w:val="nil"/>
              <w:bottom w:val="nil"/>
              <w:right w:val="nil"/>
            </w:tcBorders>
          </w:tcPr>
          <w:p w14:paraId="6DD41616" w14:textId="77777777" w:rsidR="0071004A" w:rsidRPr="00E673EB" w:rsidRDefault="0071004A" w:rsidP="00377F3A">
            <w:pPr>
              <w:pStyle w:val="TableText"/>
            </w:pPr>
            <w:r w:rsidRPr="00E673EB">
              <w:t>Not detected in 23 voles, 6 shrews, 3 deer mice in bromadialone or brodifacoum baited farms or farms in area of intensive poultry farming in Canada</w:t>
            </w:r>
          </w:p>
        </w:tc>
        <w:tc>
          <w:tcPr>
            <w:tcW w:w="0" w:type="auto"/>
            <w:tcBorders>
              <w:top w:val="single" w:sz="4" w:space="0" w:color="auto"/>
              <w:left w:val="nil"/>
              <w:bottom w:val="nil"/>
              <w:right w:val="nil"/>
            </w:tcBorders>
          </w:tcPr>
          <w:p w14:paraId="7C6048FE" w14:textId="3550CFBA"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14:paraId="723BE5CC" w14:textId="77777777" w:rsidTr="004A0055">
        <w:trPr>
          <w:cantSplit/>
          <w:trHeight w:val="13"/>
        </w:trPr>
        <w:tc>
          <w:tcPr>
            <w:tcW w:w="0" w:type="auto"/>
            <w:tcBorders>
              <w:top w:val="nil"/>
              <w:left w:val="nil"/>
              <w:bottom w:val="nil"/>
              <w:right w:val="nil"/>
            </w:tcBorders>
          </w:tcPr>
          <w:p w14:paraId="36C0051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F9043B4" w14:textId="77777777" w:rsidR="0071004A" w:rsidRPr="00E673EB" w:rsidRDefault="0071004A" w:rsidP="00377F3A">
            <w:pPr>
              <w:pStyle w:val="TableText"/>
            </w:pPr>
            <w:r>
              <w:t>Europe</w:t>
            </w:r>
          </w:p>
        </w:tc>
        <w:tc>
          <w:tcPr>
            <w:tcW w:w="0" w:type="auto"/>
            <w:tcBorders>
              <w:top w:val="nil"/>
              <w:left w:val="nil"/>
              <w:bottom w:val="nil"/>
              <w:right w:val="nil"/>
            </w:tcBorders>
          </w:tcPr>
          <w:p w14:paraId="5C82565C" w14:textId="77777777" w:rsidR="0071004A" w:rsidRPr="00E673EB" w:rsidRDefault="0071004A" w:rsidP="00377F3A">
            <w:pPr>
              <w:pStyle w:val="TableText"/>
            </w:pPr>
            <w:r w:rsidRPr="00E673EB">
              <w:t>Not detected in 29 herbivores, 3 insectivores, 96 carnivores in Spain between 2005 and 2010</w:t>
            </w:r>
          </w:p>
        </w:tc>
        <w:tc>
          <w:tcPr>
            <w:tcW w:w="0" w:type="auto"/>
            <w:tcBorders>
              <w:top w:val="nil"/>
              <w:left w:val="nil"/>
              <w:bottom w:val="nil"/>
              <w:right w:val="nil"/>
            </w:tcBorders>
          </w:tcPr>
          <w:p w14:paraId="0F37FEF0" w14:textId="783DEAE8"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5AB5FA05" w14:textId="77777777" w:rsidTr="004A0055">
        <w:trPr>
          <w:cantSplit/>
          <w:trHeight w:val="13"/>
        </w:trPr>
        <w:tc>
          <w:tcPr>
            <w:tcW w:w="0" w:type="auto"/>
            <w:tcBorders>
              <w:top w:val="nil"/>
              <w:left w:val="nil"/>
              <w:bottom w:val="single" w:sz="4" w:space="0" w:color="auto"/>
              <w:right w:val="nil"/>
            </w:tcBorders>
          </w:tcPr>
          <w:p w14:paraId="32860A48"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B453177" w14:textId="77777777" w:rsidR="0071004A" w:rsidRPr="00E673EB" w:rsidRDefault="0071004A" w:rsidP="00377F3A">
            <w:pPr>
              <w:pStyle w:val="TableText"/>
            </w:pPr>
            <w:r w:rsidRPr="00E673EB">
              <w:t>South Africa</w:t>
            </w:r>
          </w:p>
        </w:tc>
        <w:tc>
          <w:tcPr>
            <w:tcW w:w="0" w:type="auto"/>
            <w:tcBorders>
              <w:top w:val="nil"/>
              <w:left w:val="nil"/>
              <w:bottom w:val="single" w:sz="4" w:space="0" w:color="auto"/>
              <w:right w:val="nil"/>
            </w:tcBorders>
          </w:tcPr>
          <w:p w14:paraId="08877CBF" w14:textId="77777777" w:rsidR="0071004A" w:rsidRPr="00E673EB" w:rsidRDefault="0071004A" w:rsidP="00377F3A">
            <w:pPr>
              <w:pStyle w:val="TableText"/>
            </w:pPr>
            <w:r w:rsidRPr="00E673EB">
              <w:t>Detected but not quantifiable in 8/24 caracals in Greater Cape Town, South Africa between 2014 and 2017</w:t>
            </w:r>
          </w:p>
        </w:tc>
        <w:tc>
          <w:tcPr>
            <w:tcW w:w="0" w:type="auto"/>
            <w:tcBorders>
              <w:top w:val="nil"/>
              <w:left w:val="nil"/>
              <w:bottom w:val="single" w:sz="4" w:space="0" w:color="auto"/>
              <w:right w:val="nil"/>
            </w:tcBorders>
          </w:tcPr>
          <w:p w14:paraId="50C96F0C" w14:textId="7A69CC66" w:rsidR="0071004A" w:rsidRPr="00E673EB" w:rsidRDefault="0071004A" w:rsidP="00377F3A">
            <w:pPr>
              <w:pStyle w:val="TableText"/>
            </w:pPr>
            <w:r w:rsidRPr="00E673EB">
              <w:t xml:space="preserve">Serieys </w:t>
            </w:r>
            <w:r w:rsidR="00B7183A" w:rsidRPr="00B7183A">
              <w:rPr>
                <w:i/>
                <w:iCs/>
              </w:rPr>
              <w:t>et al</w:t>
            </w:r>
            <w:r w:rsidRPr="00E673EB">
              <w:t>. 2019</w:t>
            </w:r>
          </w:p>
        </w:tc>
      </w:tr>
      <w:tr w:rsidR="0071004A" w:rsidRPr="003B5A86" w14:paraId="47750FED" w14:textId="77777777" w:rsidTr="004A0055">
        <w:trPr>
          <w:cantSplit/>
          <w:trHeight w:val="13"/>
        </w:trPr>
        <w:tc>
          <w:tcPr>
            <w:tcW w:w="0" w:type="auto"/>
            <w:tcBorders>
              <w:top w:val="single" w:sz="4" w:space="0" w:color="auto"/>
              <w:left w:val="nil"/>
              <w:bottom w:val="nil"/>
              <w:right w:val="nil"/>
            </w:tcBorders>
          </w:tcPr>
          <w:p w14:paraId="10C369B8"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33BB63D4" w14:textId="77777777" w:rsidR="0071004A" w:rsidRPr="00E673EB" w:rsidRDefault="0071004A" w:rsidP="00377F3A">
            <w:pPr>
              <w:pStyle w:val="TableText"/>
            </w:pPr>
            <w:r w:rsidRPr="00E673EB">
              <w:t>Tawain</w:t>
            </w:r>
          </w:p>
        </w:tc>
        <w:tc>
          <w:tcPr>
            <w:tcW w:w="0" w:type="auto"/>
            <w:tcBorders>
              <w:top w:val="single" w:sz="4" w:space="0" w:color="auto"/>
              <w:left w:val="nil"/>
              <w:bottom w:val="nil"/>
              <w:right w:val="nil"/>
            </w:tcBorders>
          </w:tcPr>
          <w:p w14:paraId="36F18765" w14:textId="77777777" w:rsidR="0071004A" w:rsidRPr="00E673EB" w:rsidRDefault="0071004A" w:rsidP="00377F3A">
            <w:pPr>
              <w:pStyle w:val="TableText"/>
            </w:pPr>
            <w:r w:rsidRPr="00E673EB">
              <w:t>Geomean liver residues 15 µg/kg in 7/46 crested goshawk, 10 µg/kg in 3/42 collared scops-owl, 9 µg/kg in 1/6 oriental honey-buzzard; not detected in 74 black-winged kite, 12 crested serpent-eagle, 8 black kite, 6 short-eared owl, 3 eastern grass-owl, 3 eurasian kestrel, 1 common buzzard or 11 other raptor species in Taiwan between 2010 and 2018</w:t>
            </w:r>
          </w:p>
        </w:tc>
        <w:tc>
          <w:tcPr>
            <w:tcW w:w="0" w:type="auto"/>
            <w:tcBorders>
              <w:top w:val="single" w:sz="4" w:space="0" w:color="auto"/>
              <w:left w:val="nil"/>
              <w:bottom w:val="nil"/>
              <w:right w:val="nil"/>
            </w:tcBorders>
          </w:tcPr>
          <w:p w14:paraId="6AE3FD30" w14:textId="47D36AA7" w:rsidR="0071004A" w:rsidRPr="00E673EB" w:rsidRDefault="0071004A" w:rsidP="00377F3A">
            <w:pPr>
              <w:pStyle w:val="TableText"/>
            </w:pPr>
            <w:r w:rsidRPr="00E673EB">
              <w:t xml:space="preserve">Hong </w:t>
            </w:r>
            <w:r w:rsidR="00B7183A" w:rsidRPr="00B7183A">
              <w:rPr>
                <w:i/>
                <w:iCs/>
              </w:rPr>
              <w:t>et al</w:t>
            </w:r>
            <w:r w:rsidRPr="00E673EB">
              <w:t>. 2019</w:t>
            </w:r>
          </w:p>
        </w:tc>
      </w:tr>
      <w:tr w:rsidR="0071004A" w:rsidRPr="003B5A86" w14:paraId="191D2C95" w14:textId="77777777" w:rsidTr="004A0055">
        <w:trPr>
          <w:cantSplit/>
          <w:trHeight w:val="13"/>
        </w:trPr>
        <w:tc>
          <w:tcPr>
            <w:tcW w:w="0" w:type="auto"/>
            <w:tcBorders>
              <w:top w:val="nil"/>
              <w:left w:val="nil"/>
              <w:bottom w:val="nil"/>
              <w:right w:val="nil"/>
            </w:tcBorders>
          </w:tcPr>
          <w:p w14:paraId="6078654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5D213F6" w14:textId="77777777" w:rsidR="0071004A" w:rsidRPr="00E673EB" w:rsidRDefault="0071004A" w:rsidP="00377F3A">
            <w:pPr>
              <w:pStyle w:val="TableText"/>
            </w:pPr>
          </w:p>
        </w:tc>
        <w:tc>
          <w:tcPr>
            <w:tcW w:w="0" w:type="auto"/>
            <w:tcBorders>
              <w:top w:val="nil"/>
              <w:left w:val="nil"/>
              <w:bottom w:val="nil"/>
              <w:right w:val="nil"/>
            </w:tcBorders>
          </w:tcPr>
          <w:p w14:paraId="67547C90" w14:textId="77777777" w:rsidR="0071004A" w:rsidRPr="00E673EB" w:rsidRDefault="0071004A" w:rsidP="00377F3A">
            <w:pPr>
              <w:pStyle w:val="TableText"/>
            </w:pPr>
            <w:r w:rsidRPr="00E673EB">
              <w:t>Detected in 2/112 black-winged kites from Taiwan airports between 2013 and 2016</w:t>
            </w:r>
          </w:p>
        </w:tc>
        <w:tc>
          <w:tcPr>
            <w:tcW w:w="0" w:type="auto"/>
            <w:tcBorders>
              <w:top w:val="nil"/>
              <w:left w:val="nil"/>
              <w:bottom w:val="nil"/>
              <w:right w:val="nil"/>
            </w:tcBorders>
          </w:tcPr>
          <w:p w14:paraId="2F3B82FF" w14:textId="14AF5D6A" w:rsidR="0071004A" w:rsidRPr="00E673EB" w:rsidRDefault="0071004A" w:rsidP="00377F3A">
            <w:pPr>
              <w:pStyle w:val="TableText"/>
            </w:pPr>
            <w:r w:rsidRPr="00E673EB">
              <w:t xml:space="preserve">Lin </w:t>
            </w:r>
            <w:r w:rsidR="00B7183A" w:rsidRPr="00B7183A">
              <w:rPr>
                <w:i/>
                <w:iCs/>
              </w:rPr>
              <w:t>et al</w:t>
            </w:r>
            <w:r w:rsidRPr="00E673EB">
              <w:t>. 2022</w:t>
            </w:r>
          </w:p>
        </w:tc>
      </w:tr>
      <w:tr w:rsidR="0071004A" w:rsidRPr="003B5A86" w14:paraId="003CF089" w14:textId="77777777" w:rsidTr="004A0055">
        <w:trPr>
          <w:cantSplit/>
          <w:trHeight w:val="13"/>
        </w:trPr>
        <w:tc>
          <w:tcPr>
            <w:tcW w:w="0" w:type="auto"/>
            <w:tcBorders>
              <w:top w:val="nil"/>
              <w:left w:val="nil"/>
              <w:bottom w:val="nil"/>
              <w:right w:val="nil"/>
            </w:tcBorders>
          </w:tcPr>
          <w:p w14:paraId="41170E4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C8BFF15" w14:textId="77777777" w:rsidR="0071004A" w:rsidRPr="00E673EB" w:rsidRDefault="0071004A" w:rsidP="00377F3A">
            <w:pPr>
              <w:pStyle w:val="TableText"/>
            </w:pPr>
            <w:r>
              <w:t>North America</w:t>
            </w:r>
          </w:p>
        </w:tc>
        <w:tc>
          <w:tcPr>
            <w:tcW w:w="0" w:type="auto"/>
            <w:tcBorders>
              <w:top w:val="nil"/>
              <w:left w:val="nil"/>
              <w:bottom w:val="nil"/>
              <w:right w:val="nil"/>
            </w:tcBorders>
          </w:tcPr>
          <w:p w14:paraId="11C58613" w14:textId="77777777" w:rsidR="0071004A" w:rsidRPr="00E673EB" w:rsidRDefault="0071004A" w:rsidP="00377F3A">
            <w:pPr>
              <w:pStyle w:val="TableText"/>
            </w:pPr>
            <w:r w:rsidRPr="00E673EB">
              <w:t xml:space="preserve">Detected in 2/20 in 2013, and 3/77 in 2015 red-tailed hawk blood samples from Marin Headland, California </w:t>
            </w:r>
          </w:p>
        </w:tc>
        <w:tc>
          <w:tcPr>
            <w:tcW w:w="0" w:type="auto"/>
            <w:tcBorders>
              <w:top w:val="nil"/>
              <w:left w:val="nil"/>
              <w:bottom w:val="nil"/>
              <w:right w:val="nil"/>
            </w:tcBorders>
          </w:tcPr>
          <w:p w14:paraId="61B53847" w14:textId="269F6FB2" w:rsidR="0071004A" w:rsidRPr="00E673EB" w:rsidRDefault="0071004A" w:rsidP="00377F3A">
            <w:pPr>
              <w:pStyle w:val="TableText"/>
            </w:pPr>
            <w:r w:rsidRPr="00E673EB">
              <w:t xml:space="preserve">Abernathy </w:t>
            </w:r>
            <w:r w:rsidR="00B7183A" w:rsidRPr="00B7183A">
              <w:rPr>
                <w:i/>
                <w:iCs/>
              </w:rPr>
              <w:t>et al</w:t>
            </w:r>
            <w:r w:rsidRPr="00E673EB">
              <w:t>. 2018</w:t>
            </w:r>
          </w:p>
        </w:tc>
      </w:tr>
      <w:tr w:rsidR="0071004A" w:rsidRPr="003B5A86" w14:paraId="47D72372" w14:textId="77777777" w:rsidTr="004A0055">
        <w:trPr>
          <w:cantSplit/>
          <w:trHeight w:val="13"/>
        </w:trPr>
        <w:tc>
          <w:tcPr>
            <w:tcW w:w="0" w:type="auto"/>
            <w:tcBorders>
              <w:top w:val="nil"/>
              <w:left w:val="nil"/>
              <w:bottom w:val="nil"/>
              <w:right w:val="nil"/>
            </w:tcBorders>
          </w:tcPr>
          <w:p w14:paraId="21ED61D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ACE7EF2" w14:textId="77777777" w:rsidR="0071004A" w:rsidRPr="00E673EB" w:rsidRDefault="0071004A" w:rsidP="00377F3A">
            <w:pPr>
              <w:pStyle w:val="TableText"/>
            </w:pPr>
          </w:p>
        </w:tc>
        <w:tc>
          <w:tcPr>
            <w:tcW w:w="0" w:type="auto"/>
            <w:tcBorders>
              <w:top w:val="nil"/>
              <w:left w:val="nil"/>
              <w:bottom w:val="nil"/>
              <w:right w:val="nil"/>
            </w:tcBorders>
          </w:tcPr>
          <w:p w14:paraId="4EE8D298" w14:textId="77777777" w:rsidR="0071004A" w:rsidRPr="00E673EB" w:rsidRDefault="0071004A" w:rsidP="00377F3A">
            <w:pPr>
              <w:pStyle w:val="TableText"/>
            </w:pPr>
            <w:r w:rsidRPr="00E673EB">
              <w:t>Not detected in 1 sparrow, 7 starlings in bromadialone or brodifacoum baited farms or farms in area of intensive poultry farming in Canada</w:t>
            </w:r>
          </w:p>
        </w:tc>
        <w:tc>
          <w:tcPr>
            <w:tcW w:w="0" w:type="auto"/>
            <w:tcBorders>
              <w:top w:val="nil"/>
              <w:left w:val="nil"/>
              <w:bottom w:val="nil"/>
              <w:right w:val="nil"/>
            </w:tcBorders>
          </w:tcPr>
          <w:p w14:paraId="54E3F266" w14:textId="4D8CBE61"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50AC491A" w14:textId="77777777" w:rsidTr="004A0055">
        <w:trPr>
          <w:cantSplit/>
          <w:trHeight w:val="13"/>
        </w:trPr>
        <w:tc>
          <w:tcPr>
            <w:tcW w:w="0" w:type="auto"/>
            <w:tcBorders>
              <w:top w:val="nil"/>
              <w:left w:val="nil"/>
              <w:bottom w:val="nil"/>
              <w:right w:val="nil"/>
            </w:tcBorders>
          </w:tcPr>
          <w:p w14:paraId="42D83EC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CECB11A" w14:textId="77777777" w:rsidR="0071004A" w:rsidRPr="00E673EB" w:rsidRDefault="0071004A" w:rsidP="00377F3A">
            <w:pPr>
              <w:pStyle w:val="TableText"/>
            </w:pPr>
          </w:p>
        </w:tc>
        <w:tc>
          <w:tcPr>
            <w:tcW w:w="0" w:type="auto"/>
            <w:tcBorders>
              <w:top w:val="nil"/>
              <w:left w:val="nil"/>
              <w:bottom w:val="nil"/>
              <w:right w:val="nil"/>
            </w:tcBorders>
          </w:tcPr>
          <w:p w14:paraId="1F5332BA" w14:textId="77777777" w:rsidR="0071004A" w:rsidRPr="00E673EB" w:rsidRDefault="0071004A" w:rsidP="00377F3A">
            <w:pPr>
              <w:pStyle w:val="TableText"/>
            </w:pPr>
            <w:r w:rsidRPr="00E673EB">
              <w:t>Max liver residues 12 µg/kg in 4/61 great horned owls, 12 µg/kg in 1/25 barred owls, 20 µg/kg in 3/78 barn owls in BC &amp; Yukon Territory of Canada between 1988 and 2003</w:t>
            </w:r>
          </w:p>
        </w:tc>
        <w:tc>
          <w:tcPr>
            <w:tcW w:w="0" w:type="auto"/>
            <w:tcBorders>
              <w:top w:val="nil"/>
              <w:left w:val="nil"/>
              <w:bottom w:val="nil"/>
              <w:right w:val="nil"/>
            </w:tcBorders>
          </w:tcPr>
          <w:p w14:paraId="55CDBBD9" w14:textId="2B706A5A" w:rsidR="0071004A" w:rsidRPr="00E673EB" w:rsidRDefault="0071004A" w:rsidP="00377F3A">
            <w:pPr>
              <w:pStyle w:val="TableText"/>
            </w:pPr>
            <w:r w:rsidRPr="00E673EB">
              <w:t xml:space="preserve">Albert </w:t>
            </w:r>
            <w:r w:rsidR="00B7183A" w:rsidRPr="00B7183A">
              <w:rPr>
                <w:i/>
                <w:iCs/>
              </w:rPr>
              <w:t>et al</w:t>
            </w:r>
            <w:r w:rsidRPr="00E673EB">
              <w:t>. 2010</w:t>
            </w:r>
          </w:p>
        </w:tc>
      </w:tr>
      <w:tr w:rsidR="0071004A" w14:paraId="1072FE84" w14:textId="77777777" w:rsidTr="004A0055">
        <w:trPr>
          <w:cantSplit/>
          <w:trHeight w:val="13"/>
        </w:trPr>
        <w:tc>
          <w:tcPr>
            <w:tcW w:w="0" w:type="auto"/>
            <w:tcBorders>
              <w:top w:val="nil"/>
              <w:left w:val="nil"/>
              <w:bottom w:val="nil"/>
              <w:right w:val="nil"/>
            </w:tcBorders>
          </w:tcPr>
          <w:p w14:paraId="6B02499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1CE0397" w14:textId="77777777" w:rsidR="0071004A" w:rsidRPr="00E673EB" w:rsidRDefault="0071004A" w:rsidP="00377F3A">
            <w:pPr>
              <w:pStyle w:val="TableText"/>
            </w:pPr>
          </w:p>
        </w:tc>
        <w:tc>
          <w:tcPr>
            <w:tcW w:w="0" w:type="auto"/>
            <w:tcBorders>
              <w:top w:val="nil"/>
              <w:left w:val="nil"/>
              <w:bottom w:val="nil"/>
              <w:right w:val="nil"/>
            </w:tcBorders>
          </w:tcPr>
          <w:p w14:paraId="676C9AAF" w14:textId="77777777" w:rsidR="0071004A" w:rsidRPr="00E673EB" w:rsidRDefault="0071004A" w:rsidP="00377F3A">
            <w:pPr>
              <w:pStyle w:val="TableText"/>
            </w:pPr>
            <w:r w:rsidRPr="00E673EB">
              <w:t>Not detected in 37 red-tailed hawks, 24 barred owls, 17 great horned owls, 16 eastern screech-owls in Massachusetts between 2012 and 2016</w:t>
            </w:r>
          </w:p>
        </w:tc>
        <w:tc>
          <w:tcPr>
            <w:tcW w:w="0" w:type="auto"/>
            <w:tcBorders>
              <w:top w:val="nil"/>
              <w:left w:val="nil"/>
              <w:bottom w:val="nil"/>
              <w:right w:val="nil"/>
            </w:tcBorders>
          </w:tcPr>
          <w:p w14:paraId="4C771BD1" w14:textId="77777777" w:rsidR="0071004A" w:rsidRPr="00E673EB" w:rsidRDefault="0071004A" w:rsidP="00377F3A">
            <w:pPr>
              <w:pStyle w:val="TableText"/>
            </w:pPr>
            <w:r w:rsidRPr="00E673EB">
              <w:t>Murray 2017</w:t>
            </w:r>
          </w:p>
        </w:tc>
      </w:tr>
      <w:tr w:rsidR="0071004A" w14:paraId="34AE5893" w14:textId="77777777" w:rsidTr="004A0055">
        <w:trPr>
          <w:cantSplit/>
          <w:trHeight w:val="13"/>
        </w:trPr>
        <w:tc>
          <w:tcPr>
            <w:tcW w:w="0" w:type="auto"/>
            <w:tcBorders>
              <w:top w:val="nil"/>
              <w:left w:val="nil"/>
              <w:bottom w:val="nil"/>
              <w:right w:val="nil"/>
            </w:tcBorders>
          </w:tcPr>
          <w:p w14:paraId="193AD34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0C8EB92" w14:textId="77777777" w:rsidR="0071004A" w:rsidRPr="00E673EB" w:rsidRDefault="0071004A" w:rsidP="00377F3A">
            <w:pPr>
              <w:pStyle w:val="TableText"/>
            </w:pPr>
          </w:p>
        </w:tc>
        <w:tc>
          <w:tcPr>
            <w:tcW w:w="0" w:type="auto"/>
            <w:tcBorders>
              <w:top w:val="nil"/>
              <w:left w:val="nil"/>
              <w:bottom w:val="nil"/>
              <w:right w:val="nil"/>
            </w:tcBorders>
          </w:tcPr>
          <w:p w14:paraId="3701F52A" w14:textId="77777777" w:rsidR="0071004A" w:rsidRPr="00E673EB" w:rsidRDefault="0071004A" w:rsidP="00377F3A">
            <w:pPr>
              <w:pStyle w:val="TableText"/>
            </w:pPr>
            <w:r w:rsidRPr="00E673EB">
              <w:t>Liver residues 100 µg/kg in 1/50 Cooper’s hawk, 340 µg/kg in 1/78 red-tailed hawk; not detected in 22 screech owls, 53 great horned owl in New York between 1998 and 2001</w:t>
            </w:r>
          </w:p>
        </w:tc>
        <w:tc>
          <w:tcPr>
            <w:tcW w:w="0" w:type="auto"/>
            <w:tcBorders>
              <w:top w:val="nil"/>
              <w:left w:val="nil"/>
              <w:bottom w:val="nil"/>
              <w:right w:val="nil"/>
            </w:tcBorders>
          </w:tcPr>
          <w:p w14:paraId="61271DC7" w14:textId="12ACD3BE"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14:paraId="7802E19F" w14:textId="77777777" w:rsidTr="004A0055">
        <w:trPr>
          <w:cantSplit/>
          <w:trHeight w:val="13"/>
        </w:trPr>
        <w:tc>
          <w:tcPr>
            <w:tcW w:w="0" w:type="auto"/>
            <w:tcBorders>
              <w:top w:val="nil"/>
              <w:left w:val="nil"/>
              <w:bottom w:val="nil"/>
              <w:right w:val="nil"/>
            </w:tcBorders>
          </w:tcPr>
          <w:p w14:paraId="5E4E04D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21D052C" w14:textId="77777777" w:rsidR="0071004A" w:rsidRPr="00E673EB" w:rsidRDefault="0071004A" w:rsidP="00377F3A">
            <w:pPr>
              <w:pStyle w:val="TableText"/>
            </w:pPr>
          </w:p>
        </w:tc>
        <w:tc>
          <w:tcPr>
            <w:tcW w:w="0" w:type="auto"/>
            <w:tcBorders>
              <w:top w:val="nil"/>
              <w:left w:val="nil"/>
              <w:bottom w:val="nil"/>
              <w:right w:val="nil"/>
            </w:tcBorders>
          </w:tcPr>
          <w:p w14:paraId="5E5C4AFD" w14:textId="77777777" w:rsidR="0071004A" w:rsidRPr="00E673EB" w:rsidRDefault="0071004A" w:rsidP="00377F3A">
            <w:pPr>
              <w:pStyle w:val="TableText"/>
            </w:pPr>
            <w:r w:rsidRPr="00E673EB">
              <w:t>&lt;LOQ (50 µg/kg) in 1/43 red-tailed hawks in Massachusetts between 2017 and 2019</w:t>
            </w:r>
          </w:p>
        </w:tc>
        <w:tc>
          <w:tcPr>
            <w:tcW w:w="0" w:type="auto"/>
            <w:tcBorders>
              <w:top w:val="nil"/>
              <w:left w:val="nil"/>
              <w:bottom w:val="nil"/>
              <w:right w:val="nil"/>
            </w:tcBorders>
          </w:tcPr>
          <w:p w14:paraId="15B5BC3B" w14:textId="77777777" w:rsidR="0071004A" w:rsidRPr="00E673EB" w:rsidRDefault="0071004A" w:rsidP="00377F3A">
            <w:pPr>
              <w:pStyle w:val="TableText"/>
            </w:pPr>
            <w:r w:rsidRPr="00E673EB">
              <w:t>Murray 2020</w:t>
            </w:r>
          </w:p>
        </w:tc>
      </w:tr>
      <w:tr w:rsidR="0071004A" w14:paraId="4CFC8275" w14:textId="77777777" w:rsidTr="004A0055">
        <w:trPr>
          <w:cantSplit/>
          <w:trHeight w:val="13"/>
        </w:trPr>
        <w:tc>
          <w:tcPr>
            <w:tcW w:w="0" w:type="auto"/>
            <w:tcBorders>
              <w:top w:val="nil"/>
              <w:left w:val="nil"/>
              <w:bottom w:val="single" w:sz="4" w:space="0" w:color="auto"/>
              <w:right w:val="nil"/>
            </w:tcBorders>
          </w:tcPr>
          <w:p w14:paraId="26E57542"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4BD02304" w14:textId="77777777" w:rsidR="0071004A" w:rsidRPr="00E673EB" w:rsidRDefault="0071004A" w:rsidP="00377F3A">
            <w:pPr>
              <w:pStyle w:val="TableText"/>
            </w:pPr>
            <w:r>
              <w:t>Europe</w:t>
            </w:r>
          </w:p>
        </w:tc>
        <w:tc>
          <w:tcPr>
            <w:tcW w:w="0" w:type="auto"/>
            <w:tcBorders>
              <w:top w:val="nil"/>
              <w:left w:val="nil"/>
              <w:bottom w:val="single" w:sz="4" w:space="0" w:color="auto"/>
              <w:right w:val="nil"/>
            </w:tcBorders>
          </w:tcPr>
          <w:p w14:paraId="0ADC3995" w14:textId="77777777" w:rsidR="0071004A" w:rsidRPr="00E673EB" w:rsidRDefault="0071004A" w:rsidP="00377F3A">
            <w:pPr>
              <w:pStyle w:val="TableText"/>
            </w:pPr>
            <w:r w:rsidRPr="00E673EB">
              <w:t>Not detected in 142 granivorous birds, 129 predatory birds in Spain between 2005 and 2010</w:t>
            </w:r>
          </w:p>
        </w:tc>
        <w:tc>
          <w:tcPr>
            <w:tcW w:w="0" w:type="auto"/>
            <w:tcBorders>
              <w:top w:val="nil"/>
              <w:left w:val="nil"/>
              <w:bottom w:val="single" w:sz="4" w:space="0" w:color="auto"/>
              <w:right w:val="nil"/>
            </w:tcBorders>
          </w:tcPr>
          <w:p w14:paraId="3D99B689" w14:textId="0B43D9B9"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94AC45A" w14:textId="77777777" w:rsidTr="004A0055">
        <w:trPr>
          <w:cantSplit/>
          <w:trHeight w:val="13"/>
        </w:trPr>
        <w:tc>
          <w:tcPr>
            <w:tcW w:w="0" w:type="auto"/>
            <w:tcBorders>
              <w:top w:val="single" w:sz="4" w:space="0" w:color="auto"/>
              <w:left w:val="nil"/>
              <w:bottom w:val="single" w:sz="4" w:space="0" w:color="auto"/>
              <w:right w:val="nil"/>
            </w:tcBorders>
          </w:tcPr>
          <w:p w14:paraId="5222A234" w14:textId="77777777" w:rsidR="0071004A" w:rsidRPr="00E673EB" w:rsidRDefault="0071004A" w:rsidP="00377F3A">
            <w:pPr>
              <w:pStyle w:val="TableText"/>
              <w:rPr>
                <w:lang w:eastAsia="en-AU"/>
              </w:rPr>
            </w:pPr>
            <w:r w:rsidRPr="00E673EB">
              <w:rPr>
                <w:lang w:eastAsia="en-AU"/>
              </w:rPr>
              <w:lastRenderedPageBreak/>
              <w:t>Reptiles</w:t>
            </w:r>
          </w:p>
        </w:tc>
        <w:tc>
          <w:tcPr>
            <w:tcW w:w="0" w:type="auto"/>
            <w:tcBorders>
              <w:top w:val="single" w:sz="4" w:space="0" w:color="auto"/>
              <w:left w:val="nil"/>
              <w:bottom w:val="single" w:sz="4" w:space="0" w:color="auto"/>
              <w:right w:val="nil"/>
            </w:tcBorders>
          </w:tcPr>
          <w:p w14:paraId="15B5815B"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6F303914"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single" w:sz="4" w:space="0" w:color="auto"/>
              <w:left w:val="nil"/>
              <w:bottom w:val="single" w:sz="4" w:space="0" w:color="auto"/>
              <w:right w:val="nil"/>
            </w:tcBorders>
          </w:tcPr>
          <w:p w14:paraId="280A96DF" w14:textId="45043C70" w:rsidR="0071004A" w:rsidRPr="00E673EB" w:rsidRDefault="0071004A" w:rsidP="00377F3A">
            <w:pPr>
              <w:pStyle w:val="TableText"/>
            </w:pPr>
            <w:r w:rsidRPr="00E673EB">
              <w:t xml:space="preserve">Sánchez-Barbudo </w:t>
            </w:r>
            <w:r w:rsidR="00B7183A" w:rsidRPr="00B7183A">
              <w:rPr>
                <w:i/>
                <w:iCs/>
              </w:rPr>
              <w:t>et al</w:t>
            </w:r>
            <w:r w:rsidRPr="00E673EB">
              <w:t>. 2012</w:t>
            </w:r>
          </w:p>
        </w:tc>
      </w:tr>
    </w:tbl>
    <w:p w14:paraId="4BB0E2DB" w14:textId="77777777" w:rsidR="00EE24E4" w:rsidRDefault="00EE24E4" w:rsidP="00377F3A">
      <w:pPr>
        <w:pStyle w:val="APVMAAppendixH3"/>
      </w:pPr>
      <w:bookmarkStart w:id="1996" w:name="_Toc214025612"/>
      <w:bookmarkStart w:id="1997" w:name="_Toc216695633"/>
      <w:r>
        <w:t>Effects on non-target species</w:t>
      </w:r>
      <w:bookmarkEnd w:id="1996"/>
      <w:bookmarkEnd w:id="1997"/>
    </w:p>
    <w:p w14:paraId="4351A6D6" w14:textId="2E8CCB4F" w:rsidR="00980B2F" w:rsidRPr="00861CA0" w:rsidRDefault="00850971" w:rsidP="00377F3A">
      <w:pPr>
        <w:pStyle w:val="Caption"/>
      </w:pPr>
      <w:bookmarkStart w:id="1998" w:name="_Toc213946069"/>
      <w:bookmarkStart w:id="1999" w:name="_Toc216695760"/>
      <w:r>
        <w:t xml:space="preserve">Table </w:t>
      </w:r>
      <w:r>
        <w:fldChar w:fldCharType="begin"/>
      </w:r>
      <w:r>
        <w:instrText xml:space="preserve"> SEQ Table \* ARABIC </w:instrText>
      </w:r>
      <w:r>
        <w:fldChar w:fldCharType="separate"/>
      </w:r>
      <w:r w:rsidR="003861AC">
        <w:rPr>
          <w:noProof/>
        </w:rPr>
        <w:t>98</w:t>
      </w:r>
      <w:r>
        <w:fldChar w:fldCharType="end"/>
      </w:r>
      <w:r>
        <w:t xml:space="preserve">: </w:t>
      </w:r>
      <w:r w:rsidR="006A5695">
        <w:t xml:space="preserve">Diphacinone – </w:t>
      </w:r>
      <w:r w:rsidR="00980B2F">
        <w:t>Primary poisoning studies on terrestrial vertebrates</w:t>
      </w:r>
      <w:bookmarkEnd w:id="1998"/>
      <w:bookmarkEnd w:id="1999"/>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8"/>
        <w:gridCol w:w="937"/>
        <w:gridCol w:w="2504"/>
        <w:gridCol w:w="2949"/>
        <w:gridCol w:w="2270"/>
      </w:tblGrid>
      <w:tr w:rsidR="00C75073" w:rsidRPr="000B2FA7" w14:paraId="30850FBD" w14:textId="77777777" w:rsidTr="0017134F">
        <w:trPr>
          <w:cantSplit/>
          <w:tblHeader/>
        </w:trPr>
        <w:tc>
          <w:tcPr>
            <w:tcW w:w="0" w:type="auto"/>
            <w:tcBorders>
              <w:bottom w:val="single" w:sz="4" w:space="0" w:color="auto"/>
            </w:tcBorders>
            <w:shd w:val="clear" w:color="auto" w:fill="53284F"/>
          </w:tcPr>
          <w:p w14:paraId="23BD66C2" w14:textId="77777777" w:rsidR="00C75073" w:rsidRDefault="00C75073" w:rsidP="00377F3A">
            <w:pPr>
              <w:pStyle w:val="TableHead"/>
            </w:pPr>
            <w:r>
              <w:t>Group</w:t>
            </w:r>
          </w:p>
        </w:tc>
        <w:tc>
          <w:tcPr>
            <w:tcW w:w="0" w:type="auto"/>
            <w:tcBorders>
              <w:bottom w:val="single" w:sz="4" w:space="0" w:color="auto"/>
            </w:tcBorders>
            <w:shd w:val="clear" w:color="auto" w:fill="53284F"/>
          </w:tcPr>
          <w:p w14:paraId="341BE0EA" w14:textId="77777777" w:rsidR="00C75073" w:rsidRDefault="00C75073" w:rsidP="00377F3A">
            <w:pPr>
              <w:pStyle w:val="TableHead"/>
            </w:pPr>
            <w:r>
              <w:t>Exposure</w:t>
            </w:r>
          </w:p>
        </w:tc>
        <w:tc>
          <w:tcPr>
            <w:tcW w:w="0" w:type="auto"/>
            <w:tcBorders>
              <w:bottom w:val="single" w:sz="4" w:space="0" w:color="auto"/>
            </w:tcBorders>
            <w:shd w:val="clear" w:color="auto" w:fill="53284F"/>
          </w:tcPr>
          <w:p w14:paraId="2C9052F1" w14:textId="77777777" w:rsidR="00C75073" w:rsidRPr="00CA558C" w:rsidRDefault="00C75073" w:rsidP="00377F3A">
            <w:pPr>
              <w:pStyle w:val="TableHead"/>
            </w:pPr>
            <w:r>
              <w:t>Species</w:t>
            </w:r>
          </w:p>
        </w:tc>
        <w:tc>
          <w:tcPr>
            <w:tcW w:w="0" w:type="auto"/>
            <w:tcBorders>
              <w:bottom w:val="single" w:sz="4" w:space="0" w:color="auto"/>
            </w:tcBorders>
            <w:shd w:val="clear" w:color="auto" w:fill="53284F"/>
          </w:tcPr>
          <w:p w14:paraId="37CAAA8A" w14:textId="77777777" w:rsidR="00C75073" w:rsidRPr="00CA558C" w:rsidRDefault="00C75073" w:rsidP="00377F3A">
            <w:pPr>
              <w:pStyle w:val="TableHead"/>
            </w:pPr>
            <w:r>
              <w:t>Toxicity v</w:t>
            </w:r>
            <w:r w:rsidRPr="00CA558C">
              <w:t>alue</w:t>
            </w:r>
            <w:r>
              <w:rPr>
                <w:rStyle w:val="FootnoteReference"/>
                <w:rFonts w:ascii="Arial" w:hAnsi="Arial"/>
                <w:b/>
                <w:sz w:val="17"/>
                <w:szCs w:val="17"/>
              </w:rPr>
              <w:footnoteReference w:id="27"/>
            </w:r>
          </w:p>
        </w:tc>
        <w:tc>
          <w:tcPr>
            <w:tcW w:w="0" w:type="auto"/>
            <w:tcBorders>
              <w:bottom w:val="single" w:sz="4" w:space="0" w:color="auto"/>
            </w:tcBorders>
            <w:shd w:val="clear" w:color="auto" w:fill="53284F"/>
          </w:tcPr>
          <w:p w14:paraId="74FD3271" w14:textId="77777777" w:rsidR="00C75073" w:rsidRPr="00CA558C" w:rsidRDefault="00C75073" w:rsidP="00377F3A">
            <w:pPr>
              <w:pStyle w:val="TableHead"/>
            </w:pPr>
            <w:r>
              <w:t>Reference</w:t>
            </w:r>
          </w:p>
        </w:tc>
      </w:tr>
      <w:tr w:rsidR="00C75073" w:rsidRPr="000B2FA7" w14:paraId="7F71377E" w14:textId="77777777" w:rsidTr="00C75073">
        <w:trPr>
          <w:cantSplit/>
        </w:trPr>
        <w:tc>
          <w:tcPr>
            <w:tcW w:w="0" w:type="auto"/>
            <w:tcBorders>
              <w:top w:val="single" w:sz="4" w:space="0" w:color="auto"/>
              <w:left w:val="nil"/>
              <w:bottom w:val="nil"/>
              <w:right w:val="nil"/>
            </w:tcBorders>
          </w:tcPr>
          <w:p w14:paraId="7B58738B" w14:textId="77777777" w:rsidR="00C75073" w:rsidRDefault="00C75073" w:rsidP="00377F3A">
            <w:pPr>
              <w:pStyle w:val="TableText"/>
            </w:pPr>
            <w:r>
              <w:t>Mammals</w:t>
            </w:r>
          </w:p>
        </w:tc>
        <w:tc>
          <w:tcPr>
            <w:tcW w:w="0" w:type="auto"/>
            <w:tcBorders>
              <w:top w:val="single" w:sz="4" w:space="0" w:color="auto"/>
              <w:left w:val="nil"/>
              <w:bottom w:val="nil"/>
              <w:right w:val="nil"/>
            </w:tcBorders>
          </w:tcPr>
          <w:p w14:paraId="0B559901"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6DDB786D" w14:textId="77777777" w:rsidR="00C75073" w:rsidRDefault="00C75073" w:rsidP="00377F3A">
            <w:pPr>
              <w:pStyle w:val="TableText"/>
            </w:pPr>
            <w:r>
              <w:t>Rattus norvegicus</w:t>
            </w:r>
          </w:p>
        </w:tc>
        <w:tc>
          <w:tcPr>
            <w:tcW w:w="0" w:type="auto"/>
            <w:tcBorders>
              <w:top w:val="single" w:sz="4" w:space="0" w:color="auto"/>
              <w:left w:val="nil"/>
              <w:bottom w:val="nil"/>
              <w:right w:val="nil"/>
            </w:tcBorders>
          </w:tcPr>
          <w:p w14:paraId="17A7EF3A" w14:textId="77777777" w:rsidR="00C75073" w:rsidRPr="00D36DCF" w:rsidRDefault="00C75073" w:rsidP="00377F3A">
            <w:pPr>
              <w:pStyle w:val="TableText"/>
            </w:pPr>
            <w:r>
              <w:t>LD</w:t>
            </w:r>
            <w:r w:rsidRPr="00976C64">
              <w:rPr>
                <w:vertAlign w:val="subscript"/>
              </w:rPr>
              <w:t>50</w:t>
            </w:r>
            <w:r>
              <w:t xml:space="preserve"> 1.9 mg/kg bw</w:t>
            </w:r>
          </w:p>
        </w:tc>
        <w:tc>
          <w:tcPr>
            <w:tcW w:w="0" w:type="auto"/>
            <w:tcBorders>
              <w:top w:val="single" w:sz="4" w:space="0" w:color="auto"/>
              <w:left w:val="nil"/>
              <w:bottom w:val="nil"/>
              <w:right w:val="nil"/>
            </w:tcBorders>
          </w:tcPr>
          <w:p w14:paraId="209140D7" w14:textId="77777777" w:rsidR="00C75073" w:rsidRDefault="00C75073" w:rsidP="00377F3A">
            <w:pPr>
              <w:pStyle w:val="TableText"/>
            </w:pPr>
            <w:r>
              <w:t>Gaines 1960</w:t>
            </w:r>
          </w:p>
        </w:tc>
      </w:tr>
      <w:tr w:rsidR="00C75073" w:rsidRPr="000B2FA7" w14:paraId="4954250D" w14:textId="77777777" w:rsidTr="00C75073">
        <w:trPr>
          <w:cantSplit/>
        </w:trPr>
        <w:tc>
          <w:tcPr>
            <w:tcW w:w="0" w:type="auto"/>
            <w:tcBorders>
              <w:top w:val="nil"/>
              <w:left w:val="nil"/>
              <w:bottom w:val="single" w:sz="4" w:space="0" w:color="auto"/>
              <w:right w:val="nil"/>
            </w:tcBorders>
          </w:tcPr>
          <w:p w14:paraId="5DC38A8D" w14:textId="77777777" w:rsidR="00C75073" w:rsidRDefault="00C75073" w:rsidP="00377F3A">
            <w:pPr>
              <w:pStyle w:val="TableText"/>
            </w:pPr>
          </w:p>
        </w:tc>
        <w:tc>
          <w:tcPr>
            <w:tcW w:w="0" w:type="auto"/>
            <w:tcBorders>
              <w:top w:val="nil"/>
              <w:left w:val="nil"/>
              <w:bottom w:val="single" w:sz="4" w:space="0" w:color="auto"/>
              <w:right w:val="nil"/>
            </w:tcBorders>
          </w:tcPr>
          <w:p w14:paraId="31A72D9F" w14:textId="77777777" w:rsidR="00C75073" w:rsidRDefault="00C75073" w:rsidP="00377F3A">
            <w:pPr>
              <w:pStyle w:val="TableText"/>
            </w:pPr>
          </w:p>
        </w:tc>
        <w:tc>
          <w:tcPr>
            <w:tcW w:w="0" w:type="auto"/>
            <w:tcBorders>
              <w:top w:val="nil"/>
              <w:left w:val="nil"/>
              <w:bottom w:val="single" w:sz="4" w:space="0" w:color="auto"/>
              <w:right w:val="nil"/>
            </w:tcBorders>
          </w:tcPr>
          <w:p w14:paraId="758E03E6" w14:textId="77777777" w:rsidR="00C75073" w:rsidRPr="00180A69" w:rsidRDefault="00C75073" w:rsidP="00377F3A">
            <w:pPr>
              <w:pStyle w:val="TableText"/>
            </w:pPr>
            <w:r>
              <w:t>Mustela furo</w:t>
            </w:r>
          </w:p>
        </w:tc>
        <w:tc>
          <w:tcPr>
            <w:tcW w:w="0" w:type="auto"/>
            <w:tcBorders>
              <w:top w:val="nil"/>
              <w:left w:val="nil"/>
              <w:bottom w:val="single" w:sz="4" w:space="0" w:color="auto"/>
              <w:right w:val="nil"/>
            </w:tcBorders>
          </w:tcPr>
          <w:p w14:paraId="64389845" w14:textId="77777777" w:rsidR="00C75073" w:rsidRPr="00F85D43" w:rsidRDefault="00C75073" w:rsidP="00377F3A">
            <w:pPr>
              <w:pStyle w:val="TableText"/>
              <w:rPr>
                <w:lang w:val="de-CH"/>
              </w:rPr>
            </w:pPr>
            <w:r w:rsidRPr="00F85D43">
              <w:rPr>
                <w:lang w:val="de-CH"/>
              </w:rPr>
              <w:t>0.06 g/kg gel: LD</w:t>
            </w:r>
            <w:r w:rsidRPr="00F85D43">
              <w:rPr>
                <w:vertAlign w:val="subscript"/>
                <w:lang w:val="de-CH"/>
              </w:rPr>
              <w:t>50</w:t>
            </w:r>
            <w:r w:rsidRPr="00F85D43">
              <w:rPr>
                <w:lang w:val="de-CH"/>
              </w:rPr>
              <w:t xml:space="preserve"> 11 mg/kg bw</w:t>
            </w:r>
          </w:p>
        </w:tc>
        <w:tc>
          <w:tcPr>
            <w:tcW w:w="0" w:type="auto"/>
            <w:tcBorders>
              <w:top w:val="nil"/>
              <w:left w:val="nil"/>
              <w:bottom w:val="single" w:sz="4" w:space="0" w:color="auto"/>
              <w:right w:val="nil"/>
            </w:tcBorders>
          </w:tcPr>
          <w:p w14:paraId="6A3689DF" w14:textId="77777777" w:rsidR="00C75073" w:rsidRDefault="00C75073" w:rsidP="00377F3A">
            <w:pPr>
              <w:pStyle w:val="TableText"/>
            </w:pPr>
            <w:r>
              <w:t>Ross &amp; Henderson 2003</w:t>
            </w:r>
          </w:p>
        </w:tc>
      </w:tr>
      <w:tr w:rsidR="00C75073" w:rsidRPr="000B2FA7" w14:paraId="04AC2F79" w14:textId="77777777" w:rsidTr="00C75073">
        <w:trPr>
          <w:cantSplit/>
        </w:trPr>
        <w:tc>
          <w:tcPr>
            <w:tcW w:w="0" w:type="auto"/>
            <w:tcBorders>
              <w:top w:val="single" w:sz="4" w:space="0" w:color="auto"/>
              <w:left w:val="nil"/>
              <w:bottom w:val="nil"/>
              <w:right w:val="nil"/>
            </w:tcBorders>
          </w:tcPr>
          <w:p w14:paraId="6D946159" w14:textId="77777777" w:rsidR="00C75073" w:rsidRDefault="00C75073" w:rsidP="00377F3A">
            <w:pPr>
              <w:pStyle w:val="TableText"/>
            </w:pPr>
            <w:r>
              <w:t>Birds</w:t>
            </w:r>
          </w:p>
        </w:tc>
        <w:tc>
          <w:tcPr>
            <w:tcW w:w="0" w:type="auto"/>
            <w:tcBorders>
              <w:top w:val="single" w:sz="4" w:space="0" w:color="auto"/>
              <w:left w:val="nil"/>
              <w:bottom w:val="nil"/>
              <w:right w:val="nil"/>
            </w:tcBorders>
          </w:tcPr>
          <w:p w14:paraId="70677676"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4C3872B2" w14:textId="77777777" w:rsidR="00C75073" w:rsidRPr="00180A69" w:rsidRDefault="00C75073" w:rsidP="00377F3A">
            <w:pPr>
              <w:pStyle w:val="TableText"/>
            </w:pPr>
            <w:r>
              <w:t>Colinus virginianus</w:t>
            </w:r>
          </w:p>
        </w:tc>
        <w:tc>
          <w:tcPr>
            <w:tcW w:w="0" w:type="auto"/>
            <w:tcBorders>
              <w:top w:val="single" w:sz="4" w:space="0" w:color="auto"/>
              <w:left w:val="nil"/>
              <w:bottom w:val="nil"/>
              <w:right w:val="nil"/>
            </w:tcBorders>
          </w:tcPr>
          <w:p w14:paraId="2C94EACF" w14:textId="77777777" w:rsidR="00C75073" w:rsidRPr="00CA558C" w:rsidRDefault="00C75073" w:rsidP="00377F3A">
            <w:pPr>
              <w:pStyle w:val="TableText"/>
            </w:pPr>
            <w:r>
              <w:t>LD</w:t>
            </w:r>
            <w:r w:rsidRPr="004959F4">
              <w:rPr>
                <w:vertAlign w:val="subscript"/>
              </w:rPr>
              <w:t>50</w:t>
            </w:r>
            <w:r>
              <w:t xml:space="preserve"> &gt;400 mg/kg bw</w:t>
            </w:r>
          </w:p>
        </w:tc>
        <w:tc>
          <w:tcPr>
            <w:tcW w:w="0" w:type="auto"/>
            <w:tcBorders>
              <w:top w:val="single" w:sz="4" w:space="0" w:color="auto"/>
              <w:left w:val="nil"/>
              <w:bottom w:val="nil"/>
              <w:right w:val="nil"/>
            </w:tcBorders>
          </w:tcPr>
          <w:p w14:paraId="6800E05D" w14:textId="4E8F714C" w:rsidR="00C75073" w:rsidRDefault="00C75073" w:rsidP="00377F3A">
            <w:pPr>
              <w:pStyle w:val="TableText"/>
            </w:pPr>
            <w:r>
              <w:t xml:space="preserve">Campbell </w:t>
            </w:r>
            <w:r w:rsidR="00B7183A" w:rsidRPr="00B7183A">
              <w:rPr>
                <w:i/>
                <w:iCs/>
              </w:rPr>
              <w:t>et al</w:t>
            </w:r>
            <w:r>
              <w:t>. 2001</w:t>
            </w:r>
          </w:p>
        </w:tc>
      </w:tr>
      <w:tr w:rsidR="00C75073" w:rsidRPr="000B2FA7" w14:paraId="2BAEA789" w14:textId="77777777" w:rsidTr="00C75073">
        <w:trPr>
          <w:cantSplit/>
        </w:trPr>
        <w:tc>
          <w:tcPr>
            <w:tcW w:w="0" w:type="auto"/>
            <w:tcBorders>
              <w:top w:val="nil"/>
              <w:left w:val="nil"/>
              <w:bottom w:val="nil"/>
              <w:right w:val="nil"/>
            </w:tcBorders>
          </w:tcPr>
          <w:p w14:paraId="63909EF8" w14:textId="77777777" w:rsidR="00C75073" w:rsidRDefault="00C75073" w:rsidP="00377F3A">
            <w:pPr>
              <w:pStyle w:val="TableText"/>
            </w:pPr>
          </w:p>
        </w:tc>
        <w:tc>
          <w:tcPr>
            <w:tcW w:w="0" w:type="auto"/>
            <w:tcBorders>
              <w:top w:val="nil"/>
              <w:left w:val="nil"/>
              <w:bottom w:val="nil"/>
              <w:right w:val="nil"/>
            </w:tcBorders>
          </w:tcPr>
          <w:p w14:paraId="3E2F7B8B" w14:textId="77777777" w:rsidR="00C75073" w:rsidRDefault="00C75073" w:rsidP="00377F3A">
            <w:pPr>
              <w:pStyle w:val="TableText"/>
            </w:pPr>
          </w:p>
        </w:tc>
        <w:tc>
          <w:tcPr>
            <w:tcW w:w="0" w:type="auto"/>
            <w:tcBorders>
              <w:top w:val="nil"/>
              <w:left w:val="nil"/>
              <w:bottom w:val="nil"/>
              <w:right w:val="nil"/>
            </w:tcBorders>
          </w:tcPr>
          <w:p w14:paraId="3EA3491B" w14:textId="77777777" w:rsidR="00C75073" w:rsidRDefault="00C75073" w:rsidP="00377F3A">
            <w:pPr>
              <w:pStyle w:val="TableText"/>
            </w:pPr>
            <w:r>
              <w:t>Anas platyrhynchos</w:t>
            </w:r>
          </w:p>
        </w:tc>
        <w:tc>
          <w:tcPr>
            <w:tcW w:w="0" w:type="auto"/>
            <w:tcBorders>
              <w:top w:val="nil"/>
              <w:left w:val="nil"/>
              <w:bottom w:val="nil"/>
              <w:right w:val="nil"/>
            </w:tcBorders>
          </w:tcPr>
          <w:p w14:paraId="193860D6" w14:textId="77777777" w:rsidR="00C75073" w:rsidRDefault="00C75073" w:rsidP="00377F3A">
            <w:pPr>
              <w:pStyle w:val="TableText"/>
            </w:pPr>
            <w:r>
              <w:t>LD</w:t>
            </w:r>
            <w:r w:rsidRPr="004959F4">
              <w:rPr>
                <w:vertAlign w:val="subscript"/>
              </w:rPr>
              <w:t>50</w:t>
            </w:r>
            <w:r>
              <w:t xml:space="preserve"> 3158 mg/kg bw</w:t>
            </w:r>
          </w:p>
        </w:tc>
        <w:tc>
          <w:tcPr>
            <w:tcW w:w="0" w:type="auto"/>
            <w:tcBorders>
              <w:top w:val="nil"/>
              <w:left w:val="nil"/>
              <w:bottom w:val="nil"/>
              <w:right w:val="nil"/>
            </w:tcBorders>
          </w:tcPr>
          <w:p w14:paraId="22E7A4EC" w14:textId="77777777" w:rsidR="00C75073" w:rsidRDefault="00C75073" w:rsidP="00377F3A">
            <w:pPr>
              <w:pStyle w:val="TableText"/>
            </w:pPr>
            <w:r>
              <w:t>Fink 1976a</w:t>
            </w:r>
          </w:p>
        </w:tc>
      </w:tr>
      <w:tr w:rsidR="00C75073" w:rsidRPr="000B2FA7" w14:paraId="2C255574" w14:textId="77777777" w:rsidTr="00C75073">
        <w:trPr>
          <w:cantSplit/>
        </w:trPr>
        <w:tc>
          <w:tcPr>
            <w:tcW w:w="0" w:type="auto"/>
            <w:tcBorders>
              <w:top w:val="nil"/>
              <w:left w:val="nil"/>
              <w:bottom w:val="nil"/>
              <w:right w:val="nil"/>
            </w:tcBorders>
          </w:tcPr>
          <w:p w14:paraId="3DBDF4E2" w14:textId="77777777" w:rsidR="00C75073" w:rsidRDefault="00C75073" w:rsidP="00377F3A">
            <w:pPr>
              <w:pStyle w:val="TableText"/>
            </w:pPr>
          </w:p>
        </w:tc>
        <w:tc>
          <w:tcPr>
            <w:tcW w:w="0" w:type="auto"/>
            <w:tcBorders>
              <w:top w:val="nil"/>
              <w:left w:val="nil"/>
              <w:bottom w:val="nil"/>
              <w:right w:val="nil"/>
            </w:tcBorders>
          </w:tcPr>
          <w:p w14:paraId="3B685BF1" w14:textId="77777777" w:rsidR="00C75073" w:rsidRDefault="00C75073" w:rsidP="00377F3A">
            <w:pPr>
              <w:pStyle w:val="TableText"/>
            </w:pPr>
            <w:r>
              <w:t>Dietary</w:t>
            </w:r>
          </w:p>
        </w:tc>
        <w:tc>
          <w:tcPr>
            <w:tcW w:w="0" w:type="auto"/>
            <w:tcBorders>
              <w:top w:val="nil"/>
              <w:left w:val="nil"/>
              <w:bottom w:val="nil"/>
              <w:right w:val="nil"/>
            </w:tcBorders>
          </w:tcPr>
          <w:p w14:paraId="2D9BFE39" w14:textId="77777777" w:rsidR="00C75073" w:rsidRDefault="00C75073" w:rsidP="00377F3A">
            <w:pPr>
              <w:pStyle w:val="TableText"/>
            </w:pPr>
            <w:r>
              <w:t>Colinus virginianus</w:t>
            </w:r>
          </w:p>
        </w:tc>
        <w:tc>
          <w:tcPr>
            <w:tcW w:w="0" w:type="auto"/>
            <w:tcBorders>
              <w:top w:val="nil"/>
              <w:left w:val="nil"/>
              <w:bottom w:val="nil"/>
              <w:right w:val="nil"/>
            </w:tcBorders>
          </w:tcPr>
          <w:p w14:paraId="5474AA18" w14:textId="77777777" w:rsidR="00C75073" w:rsidRDefault="00C75073" w:rsidP="00377F3A">
            <w:pPr>
              <w:pStyle w:val="TableText"/>
            </w:pPr>
            <w:r>
              <w:t>LC</w:t>
            </w:r>
            <w:r w:rsidRPr="00450E0A">
              <w:rPr>
                <w:vertAlign w:val="subscript"/>
              </w:rPr>
              <w:t>50</w:t>
            </w:r>
            <w:r>
              <w:t xml:space="preserve"> &gt;5000 mg/kg food</w:t>
            </w:r>
          </w:p>
        </w:tc>
        <w:tc>
          <w:tcPr>
            <w:tcW w:w="0" w:type="auto"/>
            <w:tcBorders>
              <w:top w:val="nil"/>
              <w:left w:val="nil"/>
              <w:bottom w:val="nil"/>
              <w:right w:val="nil"/>
            </w:tcBorders>
          </w:tcPr>
          <w:p w14:paraId="1AAE4F4F" w14:textId="6FFA5DED" w:rsidR="00C75073" w:rsidRDefault="00C75073" w:rsidP="00377F3A">
            <w:pPr>
              <w:pStyle w:val="TableText"/>
            </w:pPr>
            <w:r>
              <w:t xml:space="preserve">Long </w:t>
            </w:r>
            <w:r w:rsidR="00B7183A" w:rsidRPr="00B7183A">
              <w:rPr>
                <w:i/>
                <w:iCs/>
              </w:rPr>
              <w:t>et al</w:t>
            </w:r>
            <w:r>
              <w:t>. 1992a</w:t>
            </w:r>
          </w:p>
        </w:tc>
      </w:tr>
      <w:tr w:rsidR="00C75073" w:rsidRPr="000B2FA7" w14:paraId="307F39F2" w14:textId="77777777" w:rsidTr="00C75073">
        <w:trPr>
          <w:cantSplit/>
        </w:trPr>
        <w:tc>
          <w:tcPr>
            <w:tcW w:w="0" w:type="auto"/>
            <w:tcBorders>
              <w:top w:val="nil"/>
              <w:left w:val="nil"/>
              <w:bottom w:val="nil"/>
              <w:right w:val="nil"/>
            </w:tcBorders>
          </w:tcPr>
          <w:p w14:paraId="13ECD2C9" w14:textId="77777777" w:rsidR="00C75073" w:rsidRDefault="00C75073" w:rsidP="00377F3A">
            <w:pPr>
              <w:pStyle w:val="TableText"/>
            </w:pPr>
          </w:p>
        </w:tc>
        <w:tc>
          <w:tcPr>
            <w:tcW w:w="0" w:type="auto"/>
            <w:tcBorders>
              <w:top w:val="nil"/>
              <w:left w:val="nil"/>
              <w:bottom w:val="nil"/>
              <w:right w:val="nil"/>
            </w:tcBorders>
          </w:tcPr>
          <w:p w14:paraId="7F5F172C" w14:textId="77777777" w:rsidR="00C75073" w:rsidRDefault="00C75073" w:rsidP="00377F3A">
            <w:pPr>
              <w:pStyle w:val="TableText"/>
            </w:pPr>
          </w:p>
        </w:tc>
        <w:tc>
          <w:tcPr>
            <w:tcW w:w="0" w:type="auto"/>
            <w:tcBorders>
              <w:top w:val="nil"/>
              <w:left w:val="nil"/>
              <w:bottom w:val="nil"/>
              <w:right w:val="nil"/>
            </w:tcBorders>
          </w:tcPr>
          <w:p w14:paraId="7E08EEFD" w14:textId="77777777" w:rsidR="00C75073" w:rsidRDefault="00C75073" w:rsidP="00377F3A">
            <w:pPr>
              <w:pStyle w:val="TableText"/>
            </w:pPr>
          </w:p>
        </w:tc>
        <w:tc>
          <w:tcPr>
            <w:tcW w:w="0" w:type="auto"/>
            <w:tcBorders>
              <w:top w:val="nil"/>
              <w:left w:val="nil"/>
              <w:bottom w:val="nil"/>
              <w:right w:val="nil"/>
            </w:tcBorders>
          </w:tcPr>
          <w:p w14:paraId="37C5516D" w14:textId="77777777" w:rsidR="00C75073" w:rsidRDefault="00C75073" w:rsidP="00377F3A">
            <w:pPr>
              <w:pStyle w:val="TableText"/>
            </w:pPr>
            <w:r>
              <w:t>LC</w:t>
            </w:r>
            <w:r w:rsidRPr="00E62612">
              <w:rPr>
                <w:vertAlign w:val="subscript"/>
              </w:rPr>
              <w:t>50</w:t>
            </w:r>
            <w:r>
              <w:t xml:space="preserve"> 4485 mg/kg food</w:t>
            </w:r>
          </w:p>
        </w:tc>
        <w:tc>
          <w:tcPr>
            <w:tcW w:w="0" w:type="auto"/>
            <w:tcBorders>
              <w:top w:val="nil"/>
              <w:left w:val="nil"/>
              <w:bottom w:val="nil"/>
              <w:right w:val="nil"/>
            </w:tcBorders>
          </w:tcPr>
          <w:p w14:paraId="27D1A3A2" w14:textId="77777777" w:rsidR="00C75073" w:rsidRDefault="00C75073" w:rsidP="00377F3A">
            <w:pPr>
              <w:pStyle w:val="TableText"/>
            </w:pPr>
            <w:r>
              <w:t>Fink 1976b</w:t>
            </w:r>
          </w:p>
        </w:tc>
      </w:tr>
      <w:tr w:rsidR="00C75073" w:rsidRPr="000B2FA7" w14:paraId="1B496B37" w14:textId="77777777" w:rsidTr="00C75073">
        <w:trPr>
          <w:cantSplit/>
        </w:trPr>
        <w:tc>
          <w:tcPr>
            <w:tcW w:w="0" w:type="auto"/>
            <w:tcBorders>
              <w:top w:val="nil"/>
              <w:left w:val="nil"/>
              <w:bottom w:val="nil"/>
              <w:right w:val="nil"/>
            </w:tcBorders>
          </w:tcPr>
          <w:p w14:paraId="4C6ADD41" w14:textId="77777777" w:rsidR="00C75073" w:rsidRDefault="00C75073" w:rsidP="00377F3A">
            <w:pPr>
              <w:pStyle w:val="TableText"/>
            </w:pPr>
          </w:p>
        </w:tc>
        <w:tc>
          <w:tcPr>
            <w:tcW w:w="0" w:type="auto"/>
            <w:tcBorders>
              <w:top w:val="nil"/>
              <w:left w:val="nil"/>
              <w:bottom w:val="nil"/>
              <w:right w:val="nil"/>
            </w:tcBorders>
          </w:tcPr>
          <w:p w14:paraId="3AB6D98F" w14:textId="77777777" w:rsidR="00C75073" w:rsidRDefault="00C75073" w:rsidP="00377F3A">
            <w:pPr>
              <w:pStyle w:val="TableText"/>
            </w:pPr>
          </w:p>
        </w:tc>
        <w:tc>
          <w:tcPr>
            <w:tcW w:w="0" w:type="auto"/>
            <w:gridSpan w:val="2"/>
            <w:tcBorders>
              <w:top w:val="nil"/>
              <w:left w:val="nil"/>
              <w:bottom w:val="nil"/>
              <w:right w:val="nil"/>
            </w:tcBorders>
          </w:tcPr>
          <w:p w14:paraId="13C51FB7" w14:textId="77777777" w:rsidR="00C75073" w:rsidRPr="00E62612" w:rsidRDefault="00C75073" w:rsidP="00377F3A">
            <w:pPr>
              <w:pStyle w:val="TableText"/>
            </w:pPr>
            <w:r w:rsidRPr="00E62612">
              <w:t>0.05 g/kg pellet: LC</w:t>
            </w:r>
            <w:r w:rsidRPr="00E62612">
              <w:rPr>
                <w:vertAlign w:val="subscript"/>
              </w:rPr>
              <w:t>50</w:t>
            </w:r>
            <w:r w:rsidRPr="00E62612">
              <w:t xml:space="preserve"> &gt;10000 mg/kg </w:t>
            </w:r>
            <w:r>
              <w:t>food</w:t>
            </w:r>
          </w:p>
        </w:tc>
        <w:tc>
          <w:tcPr>
            <w:tcW w:w="0" w:type="auto"/>
            <w:tcBorders>
              <w:top w:val="nil"/>
              <w:left w:val="nil"/>
              <w:bottom w:val="nil"/>
              <w:right w:val="nil"/>
            </w:tcBorders>
          </w:tcPr>
          <w:p w14:paraId="0C5E5E04" w14:textId="77777777" w:rsidR="00C75073" w:rsidRDefault="00C75073" w:rsidP="00377F3A">
            <w:pPr>
              <w:pStyle w:val="TableText"/>
            </w:pPr>
            <w:r>
              <w:t>Fink 1975a</w:t>
            </w:r>
          </w:p>
        </w:tc>
      </w:tr>
      <w:tr w:rsidR="00C75073" w:rsidRPr="000B2FA7" w14:paraId="232259CC" w14:textId="77777777" w:rsidTr="00C75073">
        <w:trPr>
          <w:cantSplit/>
        </w:trPr>
        <w:tc>
          <w:tcPr>
            <w:tcW w:w="0" w:type="auto"/>
            <w:tcBorders>
              <w:top w:val="nil"/>
              <w:left w:val="nil"/>
              <w:bottom w:val="nil"/>
              <w:right w:val="nil"/>
            </w:tcBorders>
          </w:tcPr>
          <w:p w14:paraId="0396E502" w14:textId="77777777" w:rsidR="00C75073" w:rsidRDefault="00C75073" w:rsidP="00377F3A">
            <w:pPr>
              <w:pStyle w:val="TableText"/>
            </w:pPr>
          </w:p>
        </w:tc>
        <w:tc>
          <w:tcPr>
            <w:tcW w:w="0" w:type="auto"/>
            <w:tcBorders>
              <w:top w:val="nil"/>
              <w:left w:val="nil"/>
              <w:bottom w:val="nil"/>
              <w:right w:val="nil"/>
            </w:tcBorders>
          </w:tcPr>
          <w:p w14:paraId="4EDC255D" w14:textId="77777777" w:rsidR="00C75073" w:rsidRDefault="00C75073" w:rsidP="00377F3A">
            <w:pPr>
              <w:pStyle w:val="TableText"/>
            </w:pPr>
          </w:p>
        </w:tc>
        <w:tc>
          <w:tcPr>
            <w:tcW w:w="0" w:type="auto"/>
            <w:tcBorders>
              <w:top w:val="nil"/>
              <w:left w:val="nil"/>
              <w:bottom w:val="nil"/>
              <w:right w:val="nil"/>
            </w:tcBorders>
          </w:tcPr>
          <w:p w14:paraId="6E923DFE" w14:textId="77777777" w:rsidR="00C75073" w:rsidRDefault="00C75073" w:rsidP="00377F3A">
            <w:pPr>
              <w:pStyle w:val="TableText"/>
            </w:pPr>
            <w:r>
              <w:t>Anas platyrhynchos</w:t>
            </w:r>
          </w:p>
        </w:tc>
        <w:tc>
          <w:tcPr>
            <w:tcW w:w="0" w:type="auto"/>
            <w:tcBorders>
              <w:top w:val="nil"/>
              <w:left w:val="nil"/>
              <w:bottom w:val="nil"/>
              <w:right w:val="nil"/>
            </w:tcBorders>
          </w:tcPr>
          <w:p w14:paraId="7B6137F9" w14:textId="77777777" w:rsidR="00C75073" w:rsidRDefault="00C75073" w:rsidP="00377F3A">
            <w:pPr>
              <w:pStyle w:val="TableText"/>
            </w:pPr>
            <w:r>
              <w:t>LC</w:t>
            </w:r>
            <w:r w:rsidRPr="00450E0A">
              <w:rPr>
                <w:vertAlign w:val="subscript"/>
              </w:rPr>
              <w:t>50</w:t>
            </w:r>
            <w:r>
              <w:t xml:space="preserve"> 905 mg/kg food</w:t>
            </w:r>
          </w:p>
        </w:tc>
        <w:tc>
          <w:tcPr>
            <w:tcW w:w="0" w:type="auto"/>
            <w:tcBorders>
              <w:top w:val="nil"/>
              <w:left w:val="nil"/>
              <w:bottom w:val="nil"/>
              <w:right w:val="nil"/>
            </w:tcBorders>
          </w:tcPr>
          <w:p w14:paraId="5BAD51A7" w14:textId="72F24DD2" w:rsidR="00C75073" w:rsidRDefault="00C75073" w:rsidP="00377F3A">
            <w:pPr>
              <w:pStyle w:val="TableText"/>
            </w:pPr>
            <w:r>
              <w:t xml:space="preserve">Long </w:t>
            </w:r>
            <w:r w:rsidR="00B7183A" w:rsidRPr="00B7183A">
              <w:rPr>
                <w:i/>
                <w:iCs/>
              </w:rPr>
              <w:t>et al</w:t>
            </w:r>
            <w:r>
              <w:t>. 1992b</w:t>
            </w:r>
          </w:p>
        </w:tc>
      </w:tr>
      <w:tr w:rsidR="00C75073" w:rsidRPr="000B2FA7" w14:paraId="015A25B4" w14:textId="77777777" w:rsidTr="00C75073">
        <w:trPr>
          <w:cantSplit/>
        </w:trPr>
        <w:tc>
          <w:tcPr>
            <w:tcW w:w="0" w:type="auto"/>
            <w:tcBorders>
              <w:top w:val="nil"/>
              <w:left w:val="nil"/>
              <w:bottom w:val="nil"/>
              <w:right w:val="nil"/>
            </w:tcBorders>
          </w:tcPr>
          <w:p w14:paraId="42163803" w14:textId="77777777" w:rsidR="00C75073" w:rsidRDefault="00C75073" w:rsidP="00377F3A">
            <w:pPr>
              <w:pStyle w:val="TableText"/>
            </w:pPr>
          </w:p>
        </w:tc>
        <w:tc>
          <w:tcPr>
            <w:tcW w:w="0" w:type="auto"/>
            <w:tcBorders>
              <w:top w:val="nil"/>
              <w:left w:val="nil"/>
              <w:bottom w:val="nil"/>
              <w:right w:val="nil"/>
            </w:tcBorders>
          </w:tcPr>
          <w:p w14:paraId="696FB077" w14:textId="77777777" w:rsidR="00C75073" w:rsidRDefault="00C75073" w:rsidP="00377F3A">
            <w:pPr>
              <w:pStyle w:val="TableText"/>
            </w:pPr>
          </w:p>
        </w:tc>
        <w:tc>
          <w:tcPr>
            <w:tcW w:w="0" w:type="auto"/>
            <w:tcBorders>
              <w:top w:val="nil"/>
              <w:left w:val="nil"/>
              <w:bottom w:val="nil"/>
              <w:right w:val="nil"/>
            </w:tcBorders>
          </w:tcPr>
          <w:p w14:paraId="7CD1BC37" w14:textId="77777777" w:rsidR="00C75073" w:rsidRDefault="00C75073" w:rsidP="00377F3A">
            <w:pPr>
              <w:pStyle w:val="TableText"/>
            </w:pPr>
          </w:p>
        </w:tc>
        <w:tc>
          <w:tcPr>
            <w:tcW w:w="0" w:type="auto"/>
            <w:tcBorders>
              <w:top w:val="nil"/>
              <w:left w:val="nil"/>
              <w:bottom w:val="nil"/>
              <w:right w:val="nil"/>
            </w:tcBorders>
          </w:tcPr>
          <w:p w14:paraId="152E74E8" w14:textId="77777777" w:rsidR="00C75073" w:rsidRPr="00E62612" w:rsidRDefault="00C75073" w:rsidP="00377F3A">
            <w:pPr>
              <w:pStyle w:val="TableText"/>
            </w:pPr>
            <w:r>
              <w:t>LC</w:t>
            </w:r>
            <w:r w:rsidRPr="00376C05">
              <w:rPr>
                <w:vertAlign w:val="subscript"/>
              </w:rPr>
              <w:t>50</w:t>
            </w:r>
            <w:r>
              <w:t xml:space="preserve"> &gt;10000 mg/kg food</w:t>
            </w:r>
          </w:p>
        </w:tc>
        <w:tc>
          <w:tcPr>
            <w:tcW w:w="0" w:type="auto"/>
            <w:tcBorders>
              <w:top w:val="nil"/>
              <w:left w:val="nil"/>
              <w:bottom w:val="nil"/>
              <w:right w:val="nil"/>
            </w:tcBorders>
          </w:tcPr>
          <w:p w14:paraId="3247A38D" w14:textId="77777777" w:rsidR="00C75073" w:rsidRDefault="00C75073" w:rsidP="00377F3A">
            <w:pPr>
              <w:pStyle w:val="TableText"/>
            </w:pPr>
            <w:r>
              <w:t>Fink 1976c</w:t>
            </w:r>
          </w:p>
        </w:tc>
      </w:tr>
      <w:tr w:rsidR="00C75073" w:rsidRPr="000B2FA7" w14:paraId="0027518E" w14:textId="77777777" w:rsidTr="00C75073">
        <w:trPr>
          <w:cantSplit/>
        </w:trPr>
        <w:tc>
          <w:tcPr>
            <w:tcW w:w="0" w:type="auto"/>
            <w:tcBorders>
              <w:top w:val="nil"/>
              <w:left w:val="nil"/>
              <w:bottom w:val="single" w:sz="4" w:space="0" w:color="auto"/>
              <w:right w:val="nil"/>
            </w:tcBorders>
          </w:tcPr>
          <w:p w14:paraId="13296B7B" w14:textId="77777777" w:rsidR="00C75073" w:rsidRDefault="00C75073" w:rsidP="00377F3A">
            <w:pPr>
              <w:pStyle w:val="TableText"/>
            </w:pPr>
          </w:p>
        </w:tc>
        <w:tc>
          <w:tcPr>
            <w:tcW w:w="0" w:type="auto"/>
            <w:tcBorders>
              <w:top w:val="nil"/>
              <w:left w:val="nil"/>
              <w:bottom w:val="single" w:sz="4" w:space="0" w:color="auto"/>
              <w:right w:val="nil"/>
            </w:tcBorders>
          </w:tcPr>
          <w:p w14:paraId="370D0FFF" w14:textId="77777777" w:rsidR="00C75073" w:rsidRDefault="00C75073" w:rsidP="00377F3A">
            <w:pPr>
              <w:pStyle w:val="TableText"/>
            </w:pPr>
          </w:p>
        </w:tc>
        <w:tc>
          <w:tcPr>
            <w:tcW w:w="0" w:type="auto"/>
            <w:gridSpan w:val="2"/>
            <w:tcBorders>
              <w:top w:val="nil"/>
              <w:left w:val="nil"/>
              <w:bottom w:val="single" w:sz="4" w:space="0" w:color="auto"/>
              <w:right w:val="nil"/>
            </w:tcBorders>
          </w:tcPr>
          <w:p w14:paraId="0B2B79F7" w14:textId="77777777" w:rsidR="00C75073" w:rsidRDefault="00C75073" w:rsidP="00377F3A">
            <w:pPr>
              <w:pStyle w:val="TableText"/>
            </w:pPr>
            <w:r w:rsidRPr="00E62612">
              <w:t>0.05 g/kg pellet: LC</w:t>
            </w:r>
            <w:r w:rsidRPr="00E62612">
              <w:rPr>
                <w:vertAlign w:val="subscript"/>
              </w:rPr>
              <w:t>50</w:t>
            </w:r>
            <w:r w:rsidRPr="00E62612">
              <w:t xml:space="preserve"> &gt;10000 mg/kg </w:t>
            </w:r>
            <w:r>
              <w:t>food</w:t>
            </w:r>
          </w:p>
        </w:tc>
        <w:tc>
          <w:tcPr>
            <w:tcW w:w="0" w:type="auto"/>
            <w:tcBorders>
              <w:top w:val="nil"/>
              <w:left w:val="nil"/>
              <w:bottom w:val="single" w:sz="4" w:space="0" w:color="auto"/>
              <w:right w:val="nil"/>
            </w:tcBorders>
          </w:tcPr>
          <w:p w14:paraId="1DF2A16B" w14:textId="77777777" w:rsidR="00C75073" w:rsidRDefault="00C75073" w:rsidP="00377F3A">
            <w:pPr>
              <w:pStyle w:val="TableText"/>
            </w:pPr>
            <w:r>
              <w:t>Fink 1975b</w:t>
            </w:r>
          </w:p>
        </w:tc>
      </w:tr>
      <w:tr w:rsidR="00C75073" w14:paraId="12C30DB8" w14:textId="77777777" w:rsidTr="00C75073">
        <w:trPr>
          <w:cantSplit/>
        </w:trPr>
        <w:tc>
          <w:tcPr>
            <w:tcW w:w="0" w:type="auto"/>
            <w:tcBorders>
              <w:top w:val="single" w:sz="4" w:space="0" w:color="auto"/>
              <w:left w:val="nil"/>
              <w:bottom w:val="nil"/>
              <w:right w:val="nil"/>
            </w:tcBorders>
          </w:tcPr>
          <w:p w14:paraId="1335E371" w14:textId="77777777" w:rsidR="00C75073" w:rsidRDefault="00C75073" w:rsidP="00377F3A">
            <w:pPr>
              <w:pStyle w:val="TableText"/>
            </w:pPr>
            <w:r>
              <w:t>Reptiles</w:t>
            </w:r>
          </w:p>
        </w:tc>
        <w:tc>
          <w:tcPr>
            <w:tcW w:w="0" w:type="auto"/>
            <w:tcBorders>
              <w:top w:val="single" w:sz="4" w:space="0" w:color="auto"/>
              <w:left w:val="nil"/>
              <w:bottom w:val="nil"/>
              <w:right w:val="nil"/>
            </w:tcBorders>
          </w:tcPr>
          <w:p w14:paraId="15632239"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172492B7" w14:textId="77777777" w:rsidR="00C75073" w:rsidRDefault="00C75073" w:rsidP="00377F3A">
            <w:pPr>
              <w:pStyle w:val="TableText"/>
            </w:pPr>
            <w:r>
              <w:t>Boiga irregularis</w:t>
            </w:r>
          </w:p>
        </w:tc>
        <w:tc>
          <w:tcPr>
            <w:tcW w:w="0" w:type="auto"/>
            <w:tcBorders>
              <w:top w:val="single" w:sz="4" w:space="0" w:color="auto"/>
              <w:left w:val="nil"/>
              <w:bottom w:val="nil"/>
              <w:right w:val="nil"/>
            </w:tcBorders>
          </w:tcPr>
          <w:p w14:paraId="711D3E2F" w14:textId="77777777" w:rsidR="00C75073" w:rsidRPr="00CA558C" w:rsidRDefault="00C75073" w:rsidP="00377F3A">
            <w:pPr>
              <w:pStyle w:val="TableText"/>
            </w:pPr>
            <w:r>
              <w:t>LLD 10 mg/kg bw</w:t>
            </w:r>
          </w:p>
        </w:tc>
        <w:tc>
          <w:tcPr>
            <w:tcW w:w="0" w:type="auto"/>
            <w:tcBorders>
              <w:top w:val="single" w:sz="4" w:space="0" w:color="auto"/>
              <w:left w:val="nil"/>
              <w:bottom w:val="nil"/>
              <w:right w:val="nil"/>
            </w:tcBorders>
          </w:tcPr>
          <w:p w14:paraId="09E78AC3" w14:textId="54A073E3" w:rsidR="00C75073" w:rsidRDefault="00C75073" w:rsidP="00377F3A">
            <w:pPr>
              <w:pStyle w:val="TableText"/>
            </w:pPr>
            <w:r>
              <w:t xml:space="preserve">Brooks </w:t>
            </w:r>
            <w:r w:rsidR="00B7183A" w:rsidRPr="00B7183A">
              <w:rPr>
                <w:i/>
                <w:iCs/>
              </w:rPr>
              <w:t>et al</w:t>
            </w:r>
            <w:r>
              <w:t>. 1998</w:t>
            </w:r>
          </w:p>
        </w:tc>
      </w:tr>
      <w:tr w:rsidR="00C75073" w14:paraId="2F8AA8F7" w14:textId="77777777" w:rsidTr="00C75073">
        <w:trPr>
          <w:cantSplit/>
        </w:trPr>
        <w:tc>
          <w:tcPr>
            <w:tcW w:w="0" w:type="auto"/>
            <w:tcBorders>
              <w:top w:val="nil"/>
              <w:left w:val="nil"/>
              <w:bottom w:val="nil"/>
              <w:right w:val="nil"/>
            </w:tcBorders>
          </w:tcPr>
          <w:p w14:paraId="63C84858" w14:textId="77777777" w:rsidR="00C75073" w:rsidRDefault="00C75073" w:rsidP="00377F3A">
            <w:pPr>
              <w:pStyle w:val="TableText"/>
            </w:pPr>
          </w:p>
        </w:tc>
        <w:tc>
          <w:tcPr>
            <w:tcW w:w="0" w:type="auto"/>
            <w:tcBorders>
              <w:top w:val="nil"/>
              <w:left w:val="nil"/>
              <w:bottom w:val="nil"/>
              <w:right w:val="nil"/>
            </w:tcBorders>
          </w:tcPr>
          <w:p w14:paraId="158C4990" w14:textId="77777777" w:rsidR="00C75073" w:rsidRDefault="00C75073" w:rsidP="00377F3A">
            <w:pPr>
              <w:pStyle w:val="TableText"/>
            </w:pPr>
          </w:p>
        </w:tc>
        <w:tc>
          <w:tcPr>
            <w:tcW w:w="0" w:type="auto"/>
            <w:tcBorders>
              <w:top w:val="nil"/>
              <w:left w:val="nil"/>
              <w:bottom w:val="nil"/>
              <w:right w:val="nil"/>
            </w:tcBorders>
          </w:tcPr>
          <w:p w14:paraId="41EEDAE0" w14:textId="77777777" w:rsidR="00C75073" w:rsidRDefault="00C75073" w:rsidP="00377F3A">
            <w:pPr>
              <w:pStyle w:val="TableText"/>
            </w:pPr>
            <w:r>
              <w:t>Ameiva ameiva</w:t>
            </w:r>
          </w:p>
          <w:p w14:paraId="034F9ABF" w14:textId="77777777" w:rsidR="00C75073" w:rsidRDefault="00C75073" w:rsidP="00377F3A">
            <w:pPr>
              <w:pStyle w:val="TableText"/>
            </w:pPr>
            <w:r>
              <w:t>Boa constrictor</w:t>
            </w:r>
          </w:p>
          <w:p w14:paraId="1FF03CEC" w14:textId="77777777" w:rsidR="00C75073" w:rsidRPr="00D36DCF" w:rsidRDefault="00C75073" w:rsidP="00377F3A">
            <w:pPr>
              <w:pStyle w:val="TableText"/>
            </w:pPr>
            <w:r w:rsidRPr="00D36DCF">
              <w:t>Rhinoclemmys pulcherrima</w:t>
            </w:r>
          </w:p>
          <w:p w14:paraId="5E5DF1AB" w14:textId="77777777" w:rsidR="00C75073" w:rsidRDefault="00C75073" w:rsidP="00377F3A">
            <w:pPr>
              <w:pStyle w:val="TableText"/>
            </w:pPr>
            <w:r>
              <w:t>Iguana iguana</w:t>
            </w:r>
          </w:p>
        </w:tc>
        <w:tc>
          <w:tcPr>
            <w:tcW w:w="0" w:type="auto"/>
            <w:tcBorders>
              <w:top w:val="nil"/>
              <w:left w:val="nil"/>
              <w:bottom w:val="nil"/>
              <w:right w:val="nil"/>
            </w:tcBorders>
          </w:tcPr>
          <w:p w14:paraId="550D05FC" w14:textId="77777777" w:rsidR="00C75073" w:rsidRDefault="00C75073" w:rsidP="00377F3A">
            <w:pPr>
              <w:pStyle w:val="TableText"/>
            </w:pPr>
            <w:r>
              <w:t>LD</w:t>
            </w:r>
            <w:r w:rsidRPr="00D36DCF">
              <w:rPr>
                <w:vertAlign w:val="subscript"/>
              </w:rPr>
              <w:t>50</w:t>
            </w:r>
            <w:r>
              <w:t xml:space="preserve"> &gt;2.5 mg/kg bw</w:t>
            </w:r>
          </w:p>
          <w:p w14:paraId="6FAB7EB8" w14:textId="77777777" w:rsidR="00C75073" w:rsidRDefault="00C75073" w:rsidP="00377F3A">
            <w:pPr>
              <w:pStyle w:val="TableText"/>
            </w:pPr>
            <w:r>
              <w:t>LD</w:t>
            </w:r>
            <w:r w:rsidRPr="00D36DCF">
              <w:rPr>
                <w:vertAlign w:val="subscript"/>
              </w:rPr>
              <w:t>50</w:t>
            </w:r>
            <w:r>
              <w:t xml:space="preserve"> &gt;1.2 mg/kg bw</w:t>
            </w:r>
          </w:p>
          <w:p w14:paraId="21294172" w14:textId="77777777" w:rsidR="00C75073" w:rsidRDefault="00C75073" w:rsidP="00377F3A">
            <w:pPr>
              <w:pStyle w:val="TableText"/>
            </w:pPr>
            <w:r>
              <w:t>LD</w:t>
            </w:r>
            <w:r w:rsidRPr="00D36DCF">
              <w:rPr>
                <w:vertAlign w:val="subscript"/>
              </w:rPr>
              <w:t>50</w:t>
            </w:r>
            <w:r>
              <w:t xml:space="preserve"> &gt;1.8 mg/kg bw</w:t>
            </w:r>
          </w:p>
          <w:p w14:paraId="46C07BC5" w14:textId="77777777" w:rsidR="00C75073" w:rsidRDefault="00C75073" w:rsidP="00377F3A">
            <w:pPr>
              <w:pStyle w:val="TableText"/>
            </w:pPr>
            <w:r>
              <w:t>LD</w:t>
            </w:r>
            <w:r w:rsidRPr="00D36DCF">
              <w:rPr>
                <w:vertAlign w:val="subscript"/>
              </w:rPr>
              <w:t>50</w:t>
            </w:r>
            <w:r>
              <w:t xml:space="preserve"> &gt;4.0 mg/kg bw</w:t>
            </w:r>
          </w:p>
        </w:tc>
        <w:tc>
          <w:tcPr>
            <w:tcW w:w="0" w:type="auto"/>
            <w:tcBorders>
              <w:top w:val="nil"/>
              <w:left w:val="nil"/>
              <w:bottom w:val="nil"/>
              <w:right w:val="nil"/>
            </w:tcBorders>
          </w:tcPr>
          <w:p w14:paraId="615907BC" w14:textId="2A8ABC62" w:rsidR="00C75073" w:rsidRDefault="00C75073" w:rsidP="00377F3A">
            <w:pPr>
              <w:pStyle w:val="TableText"/>
            </w:pPr>
            <w:r>
              <w:t xml:space="preserve">Mauldin </w:t>
            </w:r>
            <w:r w:rsidR="00B7183A" w:rsidRPr="00B7183A">
              <w:rPr>
                <w:i/>
                <w:iCs/>
              </w:rPr>
              <w:t>et al</w:t>
            </w:r>
            <w:r>
              <w:t>. 2020</w:t>
            </w:r>
          </w:p>
        </w:tc>
      </w:tr>
      <w:tr w:rsidR="00C75073" w14:paraId="73B18731" w14:textId="77777777" w:rsidTr="00C75073">
        <w:trPr>
          <w:cantSplit/>
        </w:trPr>
        <w:tc>
          <w:tcPr>
            <w:tcW w:w="0" w:type="auto"/>
            <w:tcBorders>
              <w:top w:val="nil"/>
              <w:left w:val="nil"/>
              <w:bottom w:val="single" w:sz="4" w:space="0" w:color="auto"/>
              <w:right w:val="nil"/>
            </w:tcBorders>
          </w:tcPr>
          <w:p w14:paraId="6A5BE195" w14:textId="77777777" w:rsidR="00C75073" w:rsidRDefault="00C75073" w:rsidP="00377F3A">
            <w:pPr>
              <w:pStyle w:val="TableText"/>
            </w:pPr>
          </w:p>
        </w:tc>
        <w:tc>
          <w:tcPr>
            <w:tcW w:w="0" w:type="auto"/>
            <w:tcBorders>
              <w:top w:val="nil"/>
              <w:left w:val="nil"/>
              <w:bottom w:val="single" w:sz="4" w:space="0" w:color="auto"/>
              <w:right w:val="nil"/>
            </w:tcBorders>
          </w:tcPr>
          <w:p w14:paraId="61EA09D6" w14:textId="77777777" w:rsidR="00C75073" w:rsidRDefault="00C75073" w:rsidP="00377F3A">
            <w:pPr>
              <w:pStyle w:val="TableText"/>
            </w:pPr>
          </w:p>
        </w:tc>
        <w:tc>
          <w:tcPr>
            <w:tcW w:w="0" w:type="auto"/>
            <w:tcBorders>
              <w:top w:val="nil"/>
              <w:left w:val="nil"/>
              <w:bottom w:val="single" w:sz="4" w:space="0" w:color="auto"/>
              <w:right w:val="nil"/>
            </w:tcBorders>
          </w:tcPr>
          <w:p w14:paraId="6A88487B" w14:textId="77777777" w:rsidR="00C75073" w:rsidRDefault="00C75073" w:rsidP="00377F3A">
            <w:pPr>
              <w:pStyle w:val="TableText"/>
            </w:pPr>
            <w:r>
              <w:t>Sceloporus occidentalis</w:t>
            </w:r>
          </w:p>
        </w:tc>
        <w:tc>
          <w:tcPr>
            <w:tcW w:w="0" w:type="auto"/>
            <w:tcBorders>
              <w:top w:val="nil"/>
              <w:left w:val="nil"/>
              <w:bottom w:val="single" w:sz="4" w:space="0" w:color="auto"/>
              <w:right w:val="nil"/>
            </w:tcBorders>
          </w:tcPr>
          <w:p w14:paraId="09518C8D" w14:textId="77777777" w:rsidR="00C75073" w:rsidRDefault="00C75073" w:rsidP="00377F3A">
            <w:pPr>
              <w:pStyle w:val="TableText"/>
            </w:pPr>
            <w:r>
              <w:t>LD</w:t>
            </w:r>
            <w:r w:rsidRPr="00347AC9">
              <w:rPr>
                <w:vertAlign w:val="subscript"/>
              </w:rPr>
              <w:t>50</w:t>
            </w:r>
            <w:r>
              <w:t xml:space="preserve"> ~1750 mg/kg bw</w:t>
            </w:r>
          </w:p>
        </w:tc>
        <w:tc>
          <w:tcPr>
            <w:tcW w:w="0" w:type="auto"/>
            <w:tcBorders>
              <w:top w:val="nil"/>
              <w:left w:val="nil"/>
              <w:bottom w:val="single" w:sz="4" w:space="0" w:color="auto"/>
              <w:right w:val="nil"/>
            </w:tcBorders>
          </w:tcPr>
          <w:p w14:paraId="1889A5FD" w14:textId="2769CB2D" w:rsidR="00C75073" w:rsidRDefault="00C75073" w:rsidP="00377F3A">
            <w:pPr>
              <w:pStyle w:val="TableText"/>
            </w:pPr>
            <w:r>
              <w:t xml:space="preserve">Weir </w:t>
            </w:r>
            <w:r w:rsidR="00B7183A" w:rsidRPr="00B7183A">
              <w:rPr>
                <w:i/>
                <w:iCs/>
              </w:rPr>
              <w:t>et al</w:t>
            </w:r>
            <w:r>
              <w:t>. 2016</w:t>
            </w:r>
          </w:p>
        </w:tc>
      </w:tr>
    </w:tbl>
    <w:p w14:paraId="5BC4222E"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0E602F08" w14:textId="7ABB7FB0" w:rsidR="00980B2F" w:rsidRPr="00861CA0" w:rsidRDefault="00850971" w:rsidP="00377F3A">
      <w:pPr>
        <w:pStyle w:val="Caption"/>
      </w:pPr>
      <w:bookmarkStart w:id="2000" w:name="_Toc213946070"/>
      <w:bookmarkStart w:id="2001" w:name="_Toc216695761"/>
      <w:r>
        <w:lastRenderedPageBreak/>
        <w:t xml:space="preserve">Table </w:t>
      </w:r>
      <w:r>
        <w:fldChar w:fldCharType="begin"/>
      </w:r>
      <w:r>
        <w:instrText xml:space="preserve"> SEQ Table \* ARABIC </w:instrText>
      </w:r>
      <w:r>
        <w:fldChar w:fldCharType="separate"/>
      </w:r>
      <w:r w:rsidR="003861AC">
        <w:rPr>
          <w:noProof/>
        </w:rPr>
        <w:t>99</w:t>
      </w:r>
      <w:r>
        <w:fldChar w:fldCharType="end"/>
      </w:r>
      <w:r>
        <w:t xml:space="preserve">: </w:t>
      </w:r>
      <w:r w:rsidR="006A5695">
        <w:t xml:space="preserve">Diphacinone – </w:t>
      </w:r>
      <w:r w:rsidR="00980B2F">
        <w:t>Secondary poisoning studies on terrestrial vertebrates</w:t>
      </w:r>
      <w:bookmarkEnd w:id="2000"/>
      <w:bookmarkEnd w:id="20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9"/>
        <w:gridCol w:w="837"/>
        <w:gridCol w:w="1181"/>
        <w:gridCol w:w="5151"/>
        <w:gridCol w:w="1850"/>
      </w:tblGrid>
      <w:tr w:rsidR="00C75073" w:rsidRPr="000B2FA7" w14:paraId="014458E8" w14:textId="77777777" w:rsidTr="0017134F">
        <w:trPr>
          <w:cantSplit/>
          <w:tblHeader/>
        </w:trPr>
        <w:tc>
          <w:tcPr>
            <w:tcW w:w="0" w:type="auto"/>
            <w:tcBorders>
              <w:bottom w:val="single" w:sz="4" w:space="0" w:color="auto"/>
            </w:tcBorders>
            <w:shd w:val="clear" w:color="auto" w:fill="53284F"/>
          </w:tcPr>
          <w:p w14:paraId="5E1F03C7" w14:textId="77777777" w:rsidR="00C75073" w:rsidRDefault="00C75073" w:rsidP="00377F3A">
            <w:pPr>
              <w:pStyle w:val="TableHead"/>
            </w:pPr>
            <w:r>
              <w:t>Group</w:t>
            </w:r>
          </w:p>
        </w:tc>
        <w:tc>
          <w:tcPr>
            <w:tcW w:w="0" w:type="auto"/>
            <w:tcBorders>
              <w:bottom w:val="single" w:sz="4" w:space="0" w:color="auto"/>
            </w:tcBorders>
            <w:shd w:val="clear" w:color="auto" w:fill="53284F"/>
          </w:tcPr>
          <w:p w14:paraId="66E0DB2F" w14:textId="77777777" w:rsidR="00C75073" w:rsidRDefault="00C75073" w:rsidP="00377F3A">
            <w:pPr>
              <w:pStyle w:val="TableHead"/>
            </w:pPr>
            <w:r>
              <w:t>Species</w:t>
            </w:r>
          </w:p>
        </w:tc>
        <w:tc>
          <w:tcPr>
            <w:tcW w:w="0" w:type="auto"/>
            <w:tcBorders>
              <w:bottom w:val="single" w:sz="4" w:space="0" w:color="auto"/>
            </w:tcBorders>
            <w:shd w:val="clear" w:color="auto" w:fill="53284F"/>
          </w:tcPr>
          <w:p w14:paraId="5B457782" w14:textId="77777777" w:rsidR="00C75073" w:rsidRPr="00CA558C" w:rsidRDefault="00C75073" w:rsidP="00377F3A">
            <w:pPr>
              <w:pStyle w:val="TableHead"/>
            </w:pPr>
            <w:r>
              <w:t>Poisoned food</w:t>
            </w:r>
          </w:p>
        </w:tc>
        <w:tc>
          <w:tcPr>
            <w:tcW w:w="0" w:type="auto"/>
            <w:tcBorders>
              <w:bottom w:val="single" w:sz="4" w:space="0" w:color="auto"/>
            </w:tcBorders>
            <w:shd w:val="clear" w:color="auto" w:fill="53284F"/>
          </w:tcPr>
          <w:p w14:paraId="1306A37A" w14:textId="77777777" w:rsidR="00C75073" w:rsidRPr="00CA558C" w:rsidRDefault="00C75073" w:rsidP="00377F3A">
            <w:pPr>
              <w:pStyle w:val="TableHead"/>
            </w:pPr>
            <w:r>
              <w:t>Study details &amp; result</w:t>
            </w:r>
          </w:p>
        </w:tc>
        <w:tc>
          <w:tcPr>
            <w:tcW w:w="0" w:type="auto"/>
            <w:tcBorders>
              <w:bottom w:val="single" w:sz="4" w:space="0" w:color="auto"/>
            </w:tcBorders>
            <w:shd w:val="clear" w:color="auto" w:fill="53284F"/>
          </w:tcPr>
          <w:p w14:paraId="00BA2C5B" w14:textId="77777777" w:rsidR="00C75073" w:rsidRPr="00CA558C" w:rsidRDefault="00C75073" w:rsidP="00377F3A">
            <w:pPr>
              <w:pStyle w:val="TableHead"/>
            </w:pPr>
            <w:r>
              <w:t>Reference</w:t>
            </w:r>
          </w:p>
        </w:tc>
      </w:tr>
      <w:tr w:rsidR="00C75073" w14:paraId="3DA06107" w14:textId="77777777" w:rsidTr="00C75073">
        <w:trPr>
          <w:cantSplit/>
        </w:trPr>
        <w:tc>
          <w:tcPr>
            <w:tcW w:w="0" w:type="auto"/>
            <w:tcBorders>
              <w:top w:val="nil"/>
              <w:left w:val="nil"/>
              <w:bottom w:val="single" w:sz="4" w:space="0" w:color="auto"/>
              <w:right w:val="nil"/>
            </w:tcBorders>
          </w:tcPr>
          <w:p w14:paraId="0E9B9482" w14:textId="77777777" w:rsidR="00C75073" w:rsidRPr="00F85B76" w:rsidRDefault="00C75073" w:rsidP="00377F3A">
            <w:pPr>
              <w:pStyle w:val="TableText"/>
            </w:pPr>
            <w:r w:rsidRPr="00F85B76">
              <w:t>Birds</w:t>
            </w:r>
          </w:p>
        </w:tc>
        <w:tc>
          <w:tcPr>
            <w:tcW w:w="0" w:type="auto"/>
            <w:tcBorders>
              <w:top w:val="nil"/>
              <w:left w:val="nil"/>
              <w:bottom w:val="single" w:sz="4" w:space="0" w:color="auto"/>
              <w:right w:val="nil"/>
            </w:tcBorders>
          </w:tcPr>
          <w:p w14:paraId="019CF8DA" w14:textId="77777777" w:rsidR="00C75073" w:rsidRPr="00F85B76" w:rsidRDefault="00C75073" w:rsidP="00377F3A">
            <w:pPr>
              <w:pStyle w:val="TableText"/>
            </w:pPr>
            <w:r w:rsidRPr="00F85B76">
              <w:t>Tyto alba</w:t>
            </w:r>
          </w:p>
        </w:tc>
        <w:tc>
          <w:tcPr>
            <w:tcW w:w="0" w:type="auto"/>
            <w:tcBorders>
              <w:top w:val="nil"/>
              <w:left w:val="nil"/>
              <w:bottom w:val="single" w:sz="4" w:space="0" w:color="auto"/>
              <w:right w:val="nil"/>
            </w:tcBorders>
          </w:tcPr>
          <w:p w14:paraId="7E036A74" w14:textId="77777777" w:rsidR="00C75073" w:rsidRPr="00F85B76" w:rsidRDefault="00C75073" w:rsidP="00377F3A">
            <w:pPr>
              <w:pStyle w:val="TableText"/>
            </w:pPr>
            <w:r w:rsidRPr="00F85B76">
              <w:t>13 mg/kg rats</w:t>
            </w:r>
          </w:p>
          <w:p w14:paraId="6417EB3C" w14:textId="77777777" w:rsidR="00C75073" w:rsidRPr="00F85B76" w:rsidRDefault="00C75073" w:rsidP="00377F3A">
            <w:pPr>
              <w:pStyle w:val="TableText"/>
            </w:pPr>
            <w:r w:rsidRPr="00F85B76">
              <w:t>for 10 days</w:t>
            </w:r>
          </w:p>
        </w:tc>
        <w:tc>
          <w:tcPr>
            <w:tcW w:w="0" w:type="auto"/>
            <w:tcBorders>
              <w:top w:val="nil"/>
              <w:left w:val="nil"/>
              <w:bottom w:val="single" w:sz="4" w:space="0" w:color="auto"/>
              <w:right w:val="nil"/>
            </w:tcBorders>
          </w:tcPr>
          <w:p w14:paraId="04A8555C" w14:textId="77777777" w:rsidR="00C75073" w:rsidRPr="00F85B76" w:rsidRDefault="00C75073" w:rsidP="00377F3A">
            <w:pPr>
              <w:pStyle w:val="TableText"/>
            </w:pPr>
            <w:r w:rsidRPr="00F85B76">
              <w:t>No mortality or signs of toxicity in any treatment group after 20d (1.3-1.7 mg/kg/d)</w:t>
            </w:r>
          </w:p>
        </w:tc>
        <w:tc>
          <w:tcPr>
            <w:tcW w:w="0" w:type="auto"/>
            <w:tcBorders>
              <w:top w:val="nil"/>
              <w:left w:val="nil"/>
              <w:bottom w:val="single" w:sz="4" w:space="0" w:color="auto"/>
              <w:right w:val="nil"/>
            </w:tcBorders>
          </w:tcPr>
          <w:p w14:paraId="48DF67DD" w14:textId="77777777" w:rsidR="00C75073" w:rsidRPr="00F85B76" w:rsidRDefault="00C75073" w:rsidP="00377F3A">
            <w:pPr>
              <w:pStyle w:val="TableText"/>
            </w:pPr>
            <w:r w:rsidRPr="00F85B76">
              <w:t>Mendenhall &amp; Pank 1980</w:t>
            </w:r>
          </w:p>
        </w:tc>
      </w:tr>
    </w:tbl>
    <w:p w14:paraId="14AB98DC" w14:textId="0C86FFFD" w:rsidR="00980B2F" w:rsidRPr="00861CA0" w:rsidRDefault="00850971" w:rsidP="00377F3A">
      <w:pPr>
        <w:pStyle w:val="Caption"/>
      </w:pPr>
      <w:bookmarkStart w:id="2002" w:name="_Ref214822663"/>
      <w:bookmarkStart w:id="2003" w:name="_Toc213946071"/>
      <w:bookmarkStart w:id="2004" w:name="_Toc216695762"/>
      <w:r>
        <w:t xml:space="preserve">Table </w:t>
      </w:r>
      <w:r>
        <w:fldChar w:fldCharType="begin"/>
      </w:r>
      <w:r>
        <w:instrText xml:space="preserve"> SEQ Table \* ARABIC </w:instrText>
      </w:r>
      <w:r>
        <w:fldChar w:fldCharType="separate"/>
      </w:r>
      <w:r w:rsidR="003861AC">
        <w:rPr>
          <w:noProof/>
        </w:rPr>
        <w:t>100</w:t>
      </w:r>
      <w:r>
        <w:fldChar w:fldCharType="end"/>
      </w:r>
      <w:bookmarkEnd w:id="2002"/>
      <w:r>
        <w:t xml:space="preserve">: </w:t>
      </w:r>
      <w:r w:rsidR="006A5695">
        <w:t xml:space="preserve">Diphacinone – </w:t>
      </w:r>
      <w:r w:rsidR="00980B2F" w:rsidRPr="003B601F">
        <w:t>Field studies and adverse incidents</w:t>
      </w:r>
      <w:r w:rsidR="00980B2F">
        <w:t xml:space="preserve"> involving terrestrial vertebrates from approved or unspecified use</w:t>
      </w:r>
      <w:bookmarkEnd w:id="2003"/>
      <w:bookmarkEnd w:id="2004"/>
    </w:p>
    <w:tbl>
      <w:tblPr>
        <w:tblW w:w="0" w:type="auto"/>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2409"/>
        <w:gridCol w:w="1069"/>
        <w:gridCol w:w="4778"/>
        <w:gridCol w:w="1377"/>
      </w:tblGrid>
      <w:tr w:rsidR="00C75073" w:rsidRPr="000B2FA7" w14:paraId="19FE0ABC" w14:textId="77777777" w:rsidTr="0017134F">
        <w:trPr>
          <w:cantSplit/>
          <w:tblHeader/>
        </w:trPr>
        <w:tc>
          <w:tcPr>
            <w:tcW w:w="0" w:type="auto"/>
            <w:tcBorders>
              <w:bottom w:val="single" w:sz="4" w:space="0" w:color="auto"/>
            </w:tcBorders>
            <w:shd w:val="clear" w:color="auto" w:fill="53284F"/>
          </w:tcPr>
          <w:p w14:paraId="1629B928" w14:textId="77777777" w:rsidR="00C75073" w:rsidRPr="00CA558C" w:rsidRDefault="00C75073" w:rsidP="00377F3A">
            <w:pPr>
              <w:pStyle w:val="TableHead"/>
            </w:pPr>
            <w:r>
              <w:t>Use area</w:t>
            </w:r>
          </w:p>
        </w:tc>
        <w:tc>
          <w:tcPr>
            <w:tcW w:w="0" w:type="auto"/>
            <w:tcBorders>
              <w:bottom w:val="single" w:sz="4" w:space="0" w:color="auto"/>
            </w:tcBorders>
            <w:shd w:val="clear" w:color="auto" w:fill="53284F"/>
          </w:tcPr>
          <w:p w14:paraId="59B0FD2F" w14:textId="77777777" w:rsidR="00C75073" w:rsidRDefault="00C75073" w:rsidP="00377F3A">
            <w:pPr>
              <w:pStyle w:val="TableHead"/>
            </w:pPr>
            <w:r>
              <w:t>Exposure</w:t>
            </w:r>
          </w:p>
        </w:tc>
        <w:tc>
          <w:tcPr>
            <w:tcW w:w="0" w:type="auto"/>
            <w:tcBorders>
              <w:bottom w:val="single" w:sz="4" w:space="0" w:color="auto"/>
            </w:tcBorders>
            <w:shd w:val="clear" w:color="auto" w:fill="53284F"/>
          </w:tcPr>
          <w:p w14:paraId="75EDE31D" w14:textId="77777777" w:rsidR="00C75073" w:rsidRDefault="00C75073" w:rsidP="00377F3A">
            <w:pPr>
              <w:pStyle w:val="TableHead"/>
            </w:pPr>
            <w:r>
              <w:t>Effect</w:t>
            </w:r>
          </w:p>
        </w:tc>
        <w:tc>
          <w:tcPr>
            <w:tcW w:w="0" w:type="auto"/>
            <w:tcBorders>
              <w:bottom w:val="single" w:sz="4" w:space="0" w:color="auto"/>
            </w:tcBorders>
            <w:shd w:val="clear" w:color="auto" w:fill="53284F"/>
          </w:tcPr>
          <w:p w14:paraId="422ED715" w14:textId="77777777" w:rsidR="00C75073" w:rsidRPr="00CA558C" w:rsidRDefault="00C75073" w:rsidP="00377F3A">
            <w:pPr>
              <w:pStyle w:val="TableHead"/>
            </w:pPr>
            <w:r>
              <w:t>Reference</w:t>
            </w:r>
          </w:p>
        </w:tc>
      </w:tr>
      <w:tr w:rsidR="00C75073" w:rsidRPr="003B601F" w14:paraId="0E8FD0C0" w14:textId="77777777" w:rsidTr="00C75073">
        <w:trPr>
          <w:cantSplit/>
        </w:trPr>
        <w:tc>
          <w:tcPr>
            <w:tcW w:w="0" w:type="auto"/>
            <w:tcBorders>
              <w:top w:val="single" w:sz="4" w:space="0" w:color="auto"/>
              <w:left w:val="nil"/>
              <w:bottom w:val="single" w:sz="4" w:space="0" w:color="auto"/>
            </w:tcBorders>
          </w:tcPr>
          <w:p w14:paraId="4C8F7067" w14:textId="0170F022" w:rsidR="00C75073" w:rsidRPr="003B601F" w:rsidRDefault="00C75073" w:rsidP="00377F3A">
            <w:pPr>
              <w:pStyle w:val="TableText"/>
            </w:pPr>
            <w:r w:rsidRPr="003B601F">
              <w:t>New York, USA &amp; adjoining states</w:t>
            </w:r>
          </w:p>
        </w:tc>
        <w:tc>
          <w:tcPr>
            <w:tcW w:w="0" w:type="auto"/>
            <w:tcBorders>
              <w:top w:val="single" w:sz="4" w:space="0" w:color="auto"/>
              <w:bottom w:val="single" w:sz="4" w:space="0" w:color="auto"/>
            </w:tcBorders>
          </w:tcPr>
          <w:p w14:paraId="35D7EFF8" w14:textId="28E976F2" w:rsidR="00C75073" w:rsidRPr="003B601F" w:rsidRDefault="00C75073" w:rsidP="00377F3A">
            <w:pPr>
              <w:pStyle w:val="TableText"/>
            </w:pPr>
            <w:r w:rsidRPr="003B601F">
              <w:t>Unspecified</w:t>
            </w:r>
          </w:p>
        </w:tc>
        <w:tc>
          <w:tcPr>
            <w:tcW w:w="0" w:type="auto"/>
            <w:tcBorders>
              <w:top w:val="single" w:sz="4" w:space="0" w:color="auto"/>
              <w:bottom w:val="single" w:sz="4" w:space="0" w:color="auto"/>
            </w:tcBorders>
          </w:tcPr>
          <w:p w14:paraId="381DBAB0" w14:textId="4BF74A12" w:rsidR="00C75073" w:rsidRPr="003B601F" w:rsidRDefault="00C75073" w:rsidP="00377F3A">
            <w:pPr>
              <w:pStyle w:val="TableText"/>
            </w:pPr>
            <w:r w:rsidRPr="003B601F">
              <w:t>2 white-tailed deer, 1 gray squirrel, 1 snowy owl poisoning in 1971-1997</w:t>
            </w:r>
          </w:p>
        </w:tc>
        <w:tc>
          <w:tcPr>
            <w:tcW w:w="0" w:type="auto"/>
            <w:tcBorders>
              <w:top w:val="single" w:sz="4" w:space="0" w:color="auto"/>
              <w:bottom w:val="single" w:sz="4" w:space="0" w:color="auto"/>
            </w:tcBorders>
          </w:tcPr>
          <w:p w14:paraId="678FB140" w14:textId="20A45371" w:rsidR="00C75073" w:rsidRPr="003B601F" w:rsidRDefault="00C75073" w:rsidP="00377F3A">
            <w:pPr>
              <w:pStyle w:val="TableText"/>
            </w:pPr>
            <w:r w:rsidRPr="003B601F">
              <w:t xml:space="preserve">Stone </w:t>
            </w:r>
            <w:r w:rsidR="00B7183A" w:rsidRPr="00B7183A">
              <w:rPr>
                <w:i/>
                <w:iCs/>
              </w:rPr>
              <w:t>et al</w:t>
            </w:r>
            <w:r w:rsidRPr="003B601F">
              <w:t>. 1999</w:t>
            </w:r>
          </w:p>
        </w:tc>
      </w:tr>
    </w:tbl>
    <w:p w14:paraId="5021BC76" w14:textId="460AB6A4" w:rsidR="000D594D" w:rsidRPr="00861CA0" w:rsidRDefault="00850971" w:rsidP="00377F3A">
      <w:pPr>
        <w:pStyle w:val="Caption"/>
      </w:pPr>
      <w:bookmarkStart w:id="2005" w:name="_Toc213946072"/>
      <w:bookmarkStart w:id="2006" w:name="_Toc216695763"/>
      <w:r>
        <w:t xml:space="preserve">Table </w:t>
      </w:r>
      <w:r>
        <w:fldChar w:fldCharType="begin"/>
      </w:r>
      <w:r>
        <w:instrText xml:space="preserve"> SEQ Table \* ARABIC </w:instrText>
      </w:r>
      <w:r>
        <w:fldChar w:fldCharType="separate"/>
      </w:r>
      <w:r w:rsidR="003861AC">
        <w:rPr>
          <w:noProof/>
        </w:rPr>
        <w:t>101</w:t>
      </w:r>
      <w:r>
        <w:fldChar w:fldCharType="end"/>
      </w:r>
      <w:r>
        <w:t xml:space="preserve">: </w:t>
      </w:r>
      <w:r w:rsidR="00C75073">
        <w:t xml:space="preserve">Diphacinone – </w:t>
      </w:r>
      <w:r w:rsidR="000D594D">
        <w:t>Effects on aquatic species</w:t>
      </w:r>
      <w:bookmarkEnd w:id="2005"/>
      <w:bookmarkEnd w:id="2006"/>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5"/>
        <w:gridCol w:w="1285"/>
        <w:gridCol w:w="2812"/>
        <w:gridCol w:w="1845"/>
        <w:gridCol w:w="2781"/>
      </w:tblGrid>
      <w:tr w:rsidR="00C75073" w:rsidRPr="000B2FA7" w14:paraId="3834FF49" w14:textId="77777777" w:rsidTr="0017134F">
        <w:trPr>
          <w:tblHeader/>
        </w:trPr>
        <w:tc>
          <w:tcPr>
            <w:tcW w:w="0" w:type="auto"/>
            <w:tcBorders>
              <w:bottom w:val="single" w:sz="4" w:space="0" w:color="auto"/>
            </w:tcBorders>
            <w:shd w:val="clear" w:color="auto" w:fill="53284F"/>
          </w:tcPr>
          <w:p w14:paraId="1624D97F" w14:textId="77777777" w:rsidR="00C75073" w:rsidRDefault="00C75073" w:rsidP="00377F3A">
            <w:pPr>
              <w:pStyle w:val="TableHead"/>
            </w:pPr>
            <w:r>
              <w:t>Group</w:t>
            </w:r>
          </w:p>
        </w:tc>
        <w:tc>
          <w:tcPr>
            <w:tcW w:w="0" w:type="auto"/>
            <w:tcBorders>
              <w:bottom w:val="single" w:sz="4" w:space="0" w:color="auto"/>
            </w:tcBorders>
            <w:shd w:val="clear" w:color="auto" w:fill="53284F"/>
          </w:tcPr>
          <w:p w14:paraId="1EB8885F" w14:textId="77777777" w:rsidR="00C75073" w:rsidRDefault="00C75073" w:rsidP="00377F3A">
            <w:pPr>
              <w:pStyle w:val="TableHead"/>
            </w:pPr>
            <w:r>
              <w:t>Exposure</w:t>
            </w:r>
          </w:p>
        </w:tc>
        <w:tc>
          <w:tcPr>
            <w:tcW w:w="0" w:type="auto"/>
            <w:tcBorders>
              <w:bottom w:val="single" w:sz="4" w:space="0" w:color="auto"/>
            </w:tcBorders>
            <w:shd w:val="clear" w:color="auto" w:fill="53284F"/>
          </w:tcPr>
          <w:p w14:paraId="285476EF" w14:textId="77777777" w:rsidR="00C75073" w:rsidRPr="00CA558C" w:rsidRDefault="00C75073" w:rsidP="00377F3A">
            <w:pPr>
              <w:pStyle w:val="TableHead"/>
            </w:pPr>
            <w:r>
              <w:t>Species</w:t>
            </w:r>
          </w:p>
        </w:tc>
        <w:tc>
          <w:tcPr>
            <w:tcW w:w="0" w:type="auto"/>
            <w:tcBorders>
              <w:bottom w:val="single" w:sz="4" w:space="0" w:color="auto"/>
            </w:tcBorders>
            <w:shd w:val="clear" w:color="auto" w:fill="53284F"/>
          </w:tcPr>
          <w:p w14:paraId="4B63812C" w14:textId="77777777" w:rsidR="00C75073" w:rsidRPr="00CA558C" w:rsidRDefault="00C75073" w:rsidP="00377F3A">
            <w:pPr>
              <w:pStyle w:val="TableHead"/>
            </w:pPr>
            <w:r>
              <w:t>Toxicity v</w:t>
            </w:r>
            <w:r w:rsidRPr="00CA558C">
              <w:t>alue</w:t>
            </w:r>
          </w:p>
        </w:tc>
        <w:tc>
          <w:tcPr>
            <w:tcW w:w="0" w:type="auto"/>
            <w:tcBorders>
              <w:bottom w:val="single" w:sz="4" w:space="0" w:color="auto"/>
            </w:tcBorders>
            <w:shd w:val="clear" w:color="auto" w:fill="53284F"/>
          </w:tcPr>
          <w:p w14:paraId="435F405D" w14:textId="77777777" w:rsidR="00C75073" w:rsidRPr="00CA558C" w:rsidRDefault="00C75073" w:rsidP="00377F3A">
            <w:pPr>
              <w:pStyle w:val="TableHead"/>
            </w:pPr>
            <w:r>
              <w:t>Reference</w:t>
            </w:r>
          </w:p>
        </w:tc>
      </w:tr>
      <w:tr w:rsidR="00C75073" w:rsidRPr="000B2FA7" w14:paraId="5487CE89" w14:textId="77777777" w:rsidTr="00C75073">
        <w:tc>
          <w:tcPr>
            <w:tcW w:w="0" w:type="auto"/>
            <w:tcBorders>
              <w:top w:val="single" w:sz="4" w:space="0" w:color="auto"/>
              <w:left w:val="nil"/>
              <w:bottom w:val="nil"/>
              <w:right w:val="nil"/>
            </w:tcBorders>
          </w:tcPr>
          <w:p w14:paraId="057CDBE1" w14:textId="77777777" w:rsidR="00C75073" w:rsidRDefault="00C75073" w:rsidP="00377F3A">
            <w:pPr>
              <w:pStyle w:val="TableText"/>
            </w:pPr>
            <w:r>
              <w:t>Fish</w:t>
            </w:r>
          </w:p>
        </w:tc>
        <w:tc>
          <w:tcPr>
            <w:tcW w:w="0" w:type="auto"/>
            <w:tcBorders>
              <w:top w:val="single" w:sz="4" w:space="0" w:color="auto"/>
              <w:left w:val="nil"/>
              <w:bottom w:val="nil"/>
              <w:right w:val="nil"/>
            </w:tcBorders>
          </w:tcPr>
          <w:p w14:paraId="220BF1AD"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3F433065" w14:textId="77777777" w:rsidR="00C75073" w:rsidRPr="007528B2" w:rsidRDefault="00C75073" w:rsidP="00377F3A">
            <w:pPr>
              <w:pStyle w:val="TableText"/>
            </w:pPr>
            <w:r>
              <w:t>Ictalurus punctatus</w:t>
            </w:r>
          </w:p>
        </w:tc>
        <w:tc>
          <w:tcPr>
            <w:tcW w:w="0" w:type="auto"/>
            <w:tcBorders>
              <w:top w:val="single" w:sz="4" w:space="0" w:color="auto"/>
              <w:left w:val="nil"/>
              <w:bottom w:val="nil"/>
              <w:right w:val="nil"/>
            </w:tcBorders>
          </w:tcPr>
          <w:p w14:paraId="0FA47586" w14:textId="77777777" w:rsidR="00C75073" w:rsidRPr="007528B2" w:rsidRDefault="00C75073" w:rsidP="00377F3A">
            <w:pPr>
              <w:pStyle w:val="TableText"/>
            </w:pPr>
            <w:r>
              <w:t>LC</w:t>
            </w:r>
            <w:r w:rsidRPr="00BE6969">
              <w:rPr>
                <w:vertAlign w:val="subscript"/>
              </w:rPr>
              <w:t>50</w:t>
            </w:r>
            <w:r>
              <w:t xml:space="preserve"> 2.1 mg/L</w:t>
            </w:r>
          </w:p>
        </w:tc>
        <w:tc>
          <w:tcPr>
            <w:tcW w:w="0" w:type="auto"/>
            <w:tcBorders>
              <w:top w:val="single" w:sz="4" w:space="0" w:color="auto"/>
              <w:left w:val="nil"/>
              <w:bottom w:val="nil"/>
              <w:right w:val="nil"/>
            </w:tcBorders>
          </w:tcPr>
          <w:p w14:paraId="333D5F8F" w14:textId="77777777" w:rsidR="00C75073" w:rsidRPr="007528B2" w:rsidRDefault="00C75073" w:rsidP="00377F3A">
            <w:pPr>
              <w:pStyle w:val="TableText"/>
            </w:pPr>
            <w:r>
              <w:t>Bentley 1975</w:t>
            </w:r>
          </w:p>
        </w:tc>
      </w:tr>
      <w:tr w:rsidR="00C75073" w:rsidRPr="000B2FA7" w14:paraId="1F58C381" w14:textId="77777777" w:rsidTr="00C75073">
        <w:tc>
          <w:tcPr>
            <w:tcW w:w="0" w:type="auto"/>
            <w:tcBorders>
              <w:top w:val="nil"/>
              <w:left w:val="nil"/>
              <w:bottom w:val="nil"/>
              <w:right w:val="nil"/>
            </w:tcBorders>
          </w:tcPr>
          <w:p w14:paraId="3DA09602" w14:textId="77777777" w:rsidR="00C75073" w:rsidRDefault="00C75073" w:rsidP="00377F3A">
            <w:pPr>
              <w:pStyle w:val="TableText"/>
            </w:pPr>
          </w:p>
        </w:tc>
        <w:tc>
          <w:tcPr>
            <w:tcW w:w="0" w:type="auto"/>
            <w:tcBorders>
              <w:top w:val="nil"/>
              <w:left w:val="nil"/>
              <w:bottom w:val="nil"/>
              <w:right w:val="nil"/>
            </w:tcBorders>
          </w:tcPr>
          <w:p w14:paraId="54A7ABC2" w14:textId="77777777" w:rsidR="00C75073" w:rsidRDefault="00C75073" w:rsidP="00377F3A">
            <w:pPr>
              <w:pStyle w:val="TableText"/>
            </w:pPr>
          </w:p>
        </w:tc>
        <w:tc>
          <w:tcPr>
            <w:tcW w:w="0" w:type="auto"/>
            <w:tcBorders>
              <w:top w:val="nil"/>
              <w:left w:val="nil"/>
              <w:bottom w:val="nil"/>
              <w:right w:val="nil"/>
            </w:tcBorders>
          </w:tcPr>
          <w:p w14:paraId="3F7513EF" w14:textId="77777777" w:rsidR="00C75073" w:rsidRPr="007528B2" w:rsidRDefault="00C75073" w:rsidP="00377F3A">
            <w:pPr>
              <w:pStyle w:val="TableText"/>
            </w:pPr>
            <w:r>
              <w:t>Oncorhynchus mykiss</w:t>
            </w:r>
          </w:p>
        </w:tc>
        <w:tc>
          <w:tcPr>
            <w:tcW w:w="0" w:type="auto"/>
            <w:tcBorders>
              <w:top w:val="nil"/>
              <w:left w:val="nil"/>
              <w:bottom w:val="nil"/>
              <w:right w:val="nil"/>
            </w:tcBorders>
          </w:tcPr>
          <w:p w14:paraId="098A853B" w14:textId="77777777" w:rsidR="00C75073" w:rsidRPr="007528B2" w:rsidRDefault="00C75073" w:rsidP="00377F3A">
            <w:pPr>
              <w:pStyle w:val="TableText"/>
            </w:pPr>
            <w:r>
              <w:t>LC</w:t>
            </w:r>
            <w:r w:rsidRPr="00BE6969">
              <w:rPr>
                <w:vertAlign w:val="subscript"/>
              </w:rPr>
              <w:t>50</w:t>
            </w:r>
            <w:r>
              <w:t xml:space="preserve"> 2.6 mg/L</w:t>
            </w:r>
          </w:p>
        </w:tc>
        <w:tc>
          <w:tcPr>
            <w:tcW w:w="0" w:type="auto"/>
            <w:tcBorders>
              <w:top w:val="nil"/>
              <w:left w:val="nil"/>
              <w:bottom w:val="nil"/>
              <w:right w:val="nil"/>
            </w:tcBorders>
          </w:tcPr>
          <w:p w14:paraId="2225CDE6" w14:textId="5B21E493" w:rsidR="00C75073" w:rsidRPr="007528B2" w:rsidRDefault="00C75073" w:rsidP="00377F3A">
            <w:pPr>
              <w:pStyle w:val="TableText"/>
            </w:pPr>
            <w:r>
              <w:t xml:space="preserve">Machado </w:t>
            </w:r>
            <w:r w:rsidR="00B7183A" w:rsidRPr="00B7183A">
              <w:rPr>
                <w:i/>
                <w:iCs/>
              </w:rPr>
              <w:t>et al</w:t>
            </w:r>
            <w:r>
              <w:t>. 1994a</w:t>
            </w:r>
          </w:p>
        </w:tc>
      </w:tr>
      <w:tr w:rsidR="00C75073" w:rsidRPr="000B2FA7" w14:paraId="388BCDC4" w14:textId="77777777" w:rsidTr="00C75073">
        <w:tc>
          <w:tcPr>
            <w:tcW w:w="0" w:type="auto"/>
            <w:tcBorders>
              <w:top w:val="nil"/>
              <w:left w:val="nil"/>
              <w:bottom w:val="nil"/>
              <w:right w:val="nil"/>
            </w:tcBorders>
          </w:tcPr>
          <w:p w14:paraId="5904F93B" w14:textId="77777777" w:rsidR="00C75073" w:rsidRDefault="00C75073" w:rsidP="00377F3A">
            <w:pPr>
              <w:pStyle w:val="TableText"/>
            </w:pPr>
          </w:p>
        </w:tc>
        <w:tc>
          <w:tcPr>
            <w:tcW w:w="0" w:type="auto"/>
            <w:tcBorders>
              <w:top w:val="nil"/>
              <w:left w:val="nil"/>
              <w:bottom w:val="nil"/>
              <w:right w:val="nil"/>
            </w:tcBorders>
          </w:tcPr>
          <w:p w14:paraId="2EDA44EB" w14:textId="77777777" w:rsidR="00C75073" w:rsidRDefault="00C75073" w:rsidP="00377F3A">
            <w:pPr>
              <w:pStyle w:val="TableText"/>
            </w:pPr>
          </w:p>
        </w:tc>
        <w:tc>
          <w:tcPr>
            <w:tcW w:w="0" w:type="auto"/>
            <w:tcBorders>
              <w:top w:val="nil"/>
              <w:left w:val="nil"/>
              <w:bottom w:val="nil"/>
              <w:right w:val="nil"/>
            </w:tcBorders>
          </w:tcPr>
          <w:p w14:paraId="0692C836" w14:textId="77777777" w:rsidR="00C75073" w:rsidRPr="007528B2" w:rsidRDefault="00C75073" w:rsidP="00377F3A">
            <w:pPr>
              <w:pStyle w:val="TableText"/>
            </w:pPr>
          </w:p>
        </w:tc>
        <w:tc>
          <w:tcPr>
            <w:tcW w:w="0" w:type="auto"/>
            <w:tcBorders>
              <w:top w:val="nil"/>
              <w:left w:val="nil"/>
              <w:bottom w:val="nil"/>
              <w:right w:val="nil"/>
            </w:tcBorders>
          </w:tcPr>
          <w:p w14:paraId="4817751E" w14:textId="77777777" w:rsidR="00C75073" w:rsidRPr="007528B2" w:rsidRDefault="00C75073" w:rsidP="00377F3A">
            <w:pPr>
              <w:pStyle w:val="TableText"/>
            </w:pPr>
            <w:r>
              <w:t>LC</w:t>
            </w:r>
            <w:r w:rsidRPr="00BE6969">
              <w:rPr>
                <w:vertAlign w:val="subscript"/>
              </w:rPr>
              <w:t>50</w:t>
            </w:r>
            <w:r>
              <w:t xml:space="preserve"> 2.8 mg/L </w:t>
            </w:r>
          </w:p>
        </w:tc>
        <w:tc>
          <w:tcPr>
            <w:tcW w:w="0" w:type="auto"/>
            <w:tcBorders>
              <w:top w:val="nil"/>
              <w:left w:val="nil"/>
              <w:bottom w:val="nil"/>
              <w:right w:val="nil"/>
            </w:tcBorders>
          </w:tcPr>
          <w:p w14:paraId="46F4CDE6" w14:textId="77777777" w:rsidR="00C75073" w:rsidRPr="007528B2" w:rsidRDefault="00C75073" w:rsidP="00377F3A">
            <w:pPr>
              <w:pStyle w:val="TableText"/>
            </w:pPr>
            <w:r>
              <w:t>Bentley 1975</w:t>
            </w:r>
          </w:p>
        </w:tc>
      </w:tr>
      <w:tr w:rsidR="00C75073" w:rsidRPr="000B2FA7" w14:paraId="321E583B" w14:textId="77777777" w:rsidTr="00C75073">
        <w:tc>
          <w:tcPr>
            <w:tcW w:w="0" w:type="auto"/>
            <w:tcBorders>
              <w:top w:val="nil"/>
              <w:left w:val="nil"/>
              <w:bottom w:val="nil"/>
              <w:right w:val="nil"/>
            </w:tcBorders>
          </w:tcPr>
          <w:p w14:paraId="4CBEA441" w14:textId="77777777" w:rsidR="00C75073" w:rsidRDefault="00C75073" w:rsidP="00377F3A">
            <w:pPr>
              <w:pStyle w:val="TableText"/>
            </w:pPr>
          </w:p>
        </w:tc>
        <w:tc>
          <w:tcPr>
            <w:tcW w:w="0" w:type="auto"/>
            <w:tcBorders>
              <w:top w:val="nil"/>
              <w:left w:val="nil"/>
              <w:bottom w:val="nil"/>
              <w:right w:val="nil"/>
            </w:tcBorders>
          </w:tcPr>
          <w:p w14:paraId="48B030B2" w14:textId="77777777" w:rsidR="00C75073" w:rsidRDefault="00C75073" w:rsidP="00377F3A">
            <w:pPr>
              <w:pStyle w:val="TableText"/>
            </w:pPr>
          </w:p>
        </w:tc>
        <w:tc>
          <w:tcPr>
            <w:tcW w:w="0" w:type="auto"/>
            <w:tcBorders>
              <w:top w:val="nil"/>
              <w:left w:val="nil"/>
              <w:bottom w:val="nil"/>
              <w:right w:val="nil"/>
            </w:tcBorders>
          </w:tcPr>
          <w:p w14:paraId="2A4909C3" w14:textId="77777777" w:rsidR="00C75073" w:rsidRPr="007528B2" w:rsidRDefault="00C75073" w:rsidP="00377F3A">
            <w:pPr>
              <w:pStyle w:val="TableText"/>
            </w:pPr>
            <w:r>
              <w:t>Lepomis macrochirus</w:t>
            </w:r>
          </w:p>
        </w:tc>
        <w:tc>
          <w:tcPr>
            <w:tcW w:w="0" w:type="auto"/>
            <w:tcBorders>
              <w:top w:val="nil"/>
              <w:left w:val="nil"/>
              <w:bottom w:val="nil"/>
              <w:right w:val="nil"/>
            </w:tcBorders>
          </w:tcPr>
          <w:p w14:paraId="4F08434C" w14:textId="77777777" w:rsidR="00C75073" w:rsidRPr="007528B2" w:rsidRDefault="00C75073" w:rsidP="00377F3A">
            <w:pPr>
              <w:pStyle w:val="TableText"/>
            </w:pPr>
            <w:r>
              <w:t>LC</w:t>
            </w:r>
            <w:r w:rsidRPr="00BE6969">
              <w:rPr>
                <w:vertAlign w:val="subscript"/>
              </w:rPr>
              <w:t>50</w:t>
            </w:r>
            <w:r>
              <w:t xml:space="preserve"> 7.5 mg/L</w:t>
            </w:r>
          </w:p>
        </w:tc>
        <w:tc>
          <w:tcPr>
            <w:tcW w:w="0" w:type="auto"/>
            <w:tcBorders>
              <w:top w:val="nil"/>
              <w:left w:val="nil"/>
              <w:bottom w:val="nil"/>
              <w:right w:val="nil"/>
            </w:tcBorders>
          </w:tcPr>
          <w:p w14:paraId="0B0AA310" w14:textId="3E4AC307" w:rsidR="00C75073" w:rsidRPr="007528B2" w:rsidRDefault="00C75073" w:rsidP="00377F3A">
            <w:pPr>
              <w:pStyle w:val="TableText"/>
            </w:pPr>
            <w:r>
              <w:t xml:space="preserve">Machado </w:t>
            </w:r>
            <w:r w:rsidR="00B7183A" w:rsidRPr="00B7183A">
              <w:rPr>
                <w:i/>
                <w:iCs/>
              </w:rPr>
              <w:t>et al</w:t>
            </w:r>
            <w:r>
              <w:t>. 1994b</w:t>
            </w:r>
          </w:p>
        </w:tc>
      </w:tr>
      <w:tr w:rsidR="00C75073" w:rsidRPr="000B2FA7" w14:paraId="6823AB9F" w14:textId="77777777" w:rsidTr="00C75073">
        <w:tc>
          <w:tcPr>
            <w:tcW w:w="0" w:type="auto"/>
            <w:tcBorders>
              <w:top w:val="nil"/>
              <w:left w:val="nil"/>
              <w:bottom w:val="single" w:sz="4" w:space="0" w:color="auto"/>
              <w:right w:val="nil"/>
            </w:tcBorders>
          </w:tcPr>
          <w:p w14:paraId="13461164" w14:textId="77777777" w:rsidR="00C75073" w:rsidRDefault="00C75073" w:rsidP="00377F3A">
            <w:pPr>
              <w:pStyle w:val="TableText"/>
            </w:pPr>
          </w:p>
        </w:tc>
        <w:tc>
          <w:tcPr>
            <w:tcW w:w="0" w:type="auto"/>
            <w:tcBorders>
              <w:top w:val="nil"/>
              <w:left w:val="nil"/>
              <w:bottom w:val="single" w:sz="4" w:space="0" w:color="auto"/>
              <w:right w:val="nil"/>
            </w:tcBorders>
          </w:tcPr>
          <w:p w14:paraId="0215D28B" w14:textId="77777777" w:rsidR="00C75073" w:rsidRDefault="00C75073" w:rsidP="00377F3A">
            <w:pPr>
              <w:pStyle w:val="TableText"/>
            </w:pPr>
          </w:p>
        </w:tc>
        <w:tc>
          <w:tcPr>
            <w:tcW w:w="0" w:type="auto"/>
            <w:tcBorders>
              <w:top w:val="nil"/>
              <w:left w:val="nil"/>
              <w:bottom w:val="single" w:sz="4" w:space="0" w:color="auto"/>
              <w:right w:val="nil"/>
            </w:tcBorders>
          </w:tcPr>
          <w:p w14:paraId="1A3ACE3A" w14:textId="77777777" w:rsidR="00C75073" w:rsidRPr="007528B2" w:rsidRDefault="00C75073" w:rsidP="00377F3A">
            <w:pPr>
              <w:pStyle w:val="TableText"/>
            </w:pPr>
          </w:p>
        </w:tc>
        <w:tc>
          <w:tcPr>
            <w:tcW w:w="0" w:type="auto"/>
            <w:tcBorders>
              <w:top w:val="nil"/>
              <w:left w:val="nil"/>
              <w:bottom w:val="single" w:sz="4" w:space="0" w:color="auto"/>
              <w:right w:val="nil"/>
            </w:tcBorders>
          </w:tcPr>
          <w:p w14:paraId="5D065599" w14:textId="77777777" w:rsidR="00C75073" w:rsidRPr="007528B2" w:rsidRDefault="00C75073" w:rsidP="00377F3A">
            <w:pPr>
              <w:pStyle w:val="TableText"/>
            </w:pPr>
            <w:r>
              <w:t>LC</w:t>
            </w:r>
            <w:r w:rsidRPr="00BE6969">
              <w:rPr>
                <w:vertAlign w:val="subscript"/>
              </w:rPr>
              <w:t>50</w:t>
            </w:r>
            <w:r>
              <w:t xml:space="preserve"> 7.6 mg/L </w:t>
            </w:r>
          </w:p>
        </w:tc>
        <w:tc>
          <w:tcPr>
            <w:tcW w:w="0" w:type="auto"/>
            <w:tcBorders>
              <w:top w:val="nil"/>
              <w:left w:val="nil"/>
              <w:bottom w:val="single" w:sz="4" w:space="0" w:color="auto"/>
              <w:right w:val="nil"/>
            </w:tcBorders>
          </w:tcPr>
          <w:p w14:paraId="570EA6D9" w14:textId="77777777" w:rsidR="00C75073" w:rsidRPr="007528B2" w:rsidRDefault="00C75073" w:rsidP="00377F3A">
            <w:pPr>
              <w:pStyle w:val="TableText"/>
            </w:pPr>
            <w:r>
              <w:t>Bentley 1975</w:t>
            </w:r>
          </w:p>
        </w:tc>
      </w:tr>
    </w:tbl>
    <w:p w14:paraId="0DC6D9D7" w14:textId="16C8D852" w:rsidR="000C65C6" w:rsidRDefault="000C65C6" w:rsidP="00377F3A">
      <w:pPr>
        <w:pStyle w:val="APVMAAppendixH2"/>
      </w:pPr>
      <w:bookmarkStart w:id="2007" w:name="_Toc214025613"/>
      <w:bookmarkStart w:id="2008" w:name="_Toc216695634"/>
      <w:r>
        <w:t>Warfarin</w:t>
      </w:r>
      <w:bookmarkEnd w:id="2007"/>
      <w:bookmarkEnd w:id="2008"/>
    </w:p>
    <w:p w14:paraId="4D62497B" w14:textId="77777777" w:rsidR="00EE24E4" w:rsidRDefault="00EE24E4" w:rsidP="00377F3A">
      <w:pPr>
        <w:pStyle w:val="APVMAAppendixH3"/>
      </w:pPr>
      <w:bookmarkStart w:id="2009" w:name="_Toc214025614"/>
      <w:bookmarkStart w:id="2010" w:name="_Toc216695635"/>
      <w:r>
        <w:t>Fate and behaviour in the environment</w:t>
      </w:r>
      <w:bookmarkEnd w:id="2009"/>
      <w:bookmarkEnd w:id="2010"/>
    </w:p>
    <w:p w14:paraId="242ED787" w14:textId="5C808220" w:rsidR="000C65C6" w:rsidRPr="00861CA0" w:rsidRDefault="00850971" w:rsidP="00377F3A">
      <w:pPr>
        <w:pStyle w:val="Caption"/>
      </w:pPr>
      <w:bookmarkStart w:id="2011" w:name="_Toc213946073"/>
      <w:bookmarkStart w:id="2012" w:name="_Toc216695764"/>
      <w:r>
        <w:t xml:space="preserve">Table </w:t>
      </w:r>
      <w:r>
        <w:fldChar w:fldCharType="begin"/>
      </w:r>
      <w:r>
        <w:instrText xml:space="preserve"> SEQ Table \* ARABIC </w:instrText>
      </w:r>
      <w:r>
        <w:fldChar w:fldCharType="separate"/>
      </w:r>
      <w:r w:rsidR="003861AC">
        <w:rPr>
          <w:noProof/>
        </w:rPr>
        <w:t>102</w:t>
      </w:r>
      <w:r>
        <w:fldChar w:fldCharType="end"/>
      </w:r>
      <w:r>
        <w:t xml:space="preserve">: </w:t>
      </w:r>
      <w:r w:rsidR="004A0055">
        <w:t xml:space="preserve">Warfarin – </w:t>
      </w:r>
      <w:r w:rsidR="000C65C6">
        <w:t>Fate</w:t>
      </w:r>
      <w:r w:rsidR="004A0055">
        <w:t xml:space="preserve"> </w:t>
      </w:r>
      <w:r w:rsidR="000C65C6">
        <w:t xml:space="preserve">and behaviour in </w:t>
      </w:r>
      <w:r w:rsidR="004A0055">
        <w:t>environmental media</w:t>
      </w:r>
      <w:bookmarkEnd w:id="2011"/>
      <w:bookmarkEnd w:id="2012"/>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632"/>
        <w:gridCol w:w="1624"/>
        <w:gridCol w:w="4252"/>
        <w:gridCol w:w="2125"/>
      </w:tblGrid>
      <w:tr w:rsidR="000C65C6" w:rsidRPr="000B2FA7" w14:paraId="63ACD158" w14:textId="77777777" w:rsidTr="0017134F">
        <w:trPr>
          <w:cantSplit/>
          <w:tblHeader/>
        </w:trPr>
        <w:tc>
          <w:tcPr>
            <w:tcW w:w="847" w:type="pct"/>
            <w:tcBorders>
              <w:bottom w:val="single" w:sz="4" w:space="0" w:color="auto"/>
            </w:tcBorders>
            <w:shd w:val="clear" w:color="auto" w:fill="53284F"/>
          </w:tcPr>
          <w:p w14:paraId="340F2013" w14:textId="212A336F" w:rsidR="000C65C6" w:rsidRDefault="004A0055" w:rsidP="00377F3A">
            <w:pPr>
              <w:pStyle w:val="TableHead"/>
            </w:pPr>
            <w:r>
              <w:t>Compartment</w:t>
            </w:r>
          </w:p>
        </w:tc>
        <w:tc>
          <w:tcPr>
            <w:tcW w:w="843" w:type="pct"/>
            <w:tcBorders>
              <w:bottom w:val="single" w:sz="4" w:space="0" w:color="auto"/>
            </w:tcBorders>
            <w:shd w:val="clear" w:color="auto" w:fill="53284F"/>
          </w:tcPr>
          <w:p w14:paraId="434E3E10" w14:textId="77777777" w:rsidR="000C65C6" w:rsidRDefault="000C65C6" w:rsidP="00377F3A">
            <w:pPr>
              <w:pStyle w:val="TableHead"/>
            </w:pPr>
            <w:r>
              <w:t>Study</w:t>
            </w:r>
          </w:p>
        </w:tc>
        <w:tc>
          <w:tcPr>
            <w:tcW w:w="2207" w:type="pct"/>
            <w:tcBorders>
              <w:bottom w:val="single" w:sz="4" w:space="0" w:color="auto"/>
            </w:tcBorders>
            <w:shd w:val="clear" w:color="auto" w:fill="53284F"/>
          </w:tcPr>
          <w:p w14:paraId="2BAFB864" w14:textId="77777777" w:rsidR="000C65C6" w:rsidRPr="00CA558C" w:rsidRDefault="000C65C6" w:rsidP="00377F3A">
            <w:pPr>
              <w:pStyle w:val="TableHead"/>
            </w:pPr>
            <w:r>
              <w:t>Result</w:t>
            </w:r>
          </w:p>
        </w:tc>
        <w:tc>
          <w:tcPr>
            <w:tcW w:w="1103" w:type="pct"/>
            <w:tcBorders>
              <w:bottom w:val="single" w:sz="4" w:space="0" w:color="auto"/>
            </w:tcBorders>
            <w:shd w:val="clear" w:color="auto" w:fill="53284F"/>
          </w:tcPr>
          <w:p w14:paraId="0F41A03C" w14:textId="77777777" w:rsidR="000C65C6" w:rsidRPr="00CA558C" w:rsidRDefault="000C65C6" w:rsidP="00377F3A">
            <w:pPr>
              <w:pStyle w:val="TableHead"/>
            </w:pPr>
            <w:r>
              <w:t>Reference</w:t>
            </w:r>
          </w:p>
        </w:tc>
      </w:tr>
      <w:tr w:rsidR="000C65C6" w:rsidRPr="008B4AF6" w14:paraId="088FED74" w14:textId="77777777" w:rsidTr="004A0055">
        <w:trPr>
          <w:cantSplit/>
        </w:trPr>
        <w:tc>
          <w:tcPr>
            <w:tcW w:w="847" w:type="pct"/>
            <w:tcBorders>
              <w:top w:val="single" w:sz="4" w:space="0" w:color="auto"/>
              <w:left w:val="nil"/>
              <w:bottom w:val="single" w:sz="4" w:space="0" w:color="auto"/>
            </w:tcBorders>
          </w:tcPr>
          <w:p w14:paraId="3DDDF2E7" w14:textId="6129638B" w:rsidR="000C65C6" w:rsidRPr="008B4AF6" w:rsidRDefault="004A0055" w:rsidP="00377F3A">
            <w:pPr>
              <w:pStyle w:val="TableText"/>
            </w:pPr>
            <w:r>
              <w:t>Soil</w:t>
            </w:r>
          </w:p>
        </w:tc>
        <w:tc>
          <w:tcPr>
            <w:tcW w:w="843" w:type="pct"/>
            <w:tcBorders>
              <w:top w:val="single" w:sz="4" w:space="0" w:color="auto"/>
              <w:left w:val="nil"/>
              <w:bottom w:val="single" w:sz="4" w:space="0" w:color="auto"/>
            </w:tcBorders>
          </w:tcPr>
          <w:p w14:paraId="06BC685B" w14:textId="77777777" w:rsidR="000C65C6" w:rsidRPr="008B4AF6" w:rsidRDefault="000C65C6" w:rsidP="00377F3A">
            <w:pPr>
              <w:pStyle w:val="TableText"/>
            </w:pPr>
            <w:r>
              <w:t>Aerobic soil metabolism</w:t>
            </w:r>
          </w:p>
        </w:tc>
        <w:tc>
          <w:tcPr>
            <w:tcW w:w="2207" w:type="pct"/>
            <w:tcBorders>
              <w:top w:val="single" w:sz="4" w:space="0" w:color="auto"/>
              <w:bottom w:val="single" w:sz="4" w:space="0" w:color="auto"/>
            </w:tcBorders>
          </w:tcPr>
          <w:p w14:paraId="04FC15C6" w14:textId="77777777" w:rsidR="000C65C6" w:rsidRDefault="000C65C6" w:rsidP="00377F3A">
            <w:pPr>
              <w:pStyle w:val="TableText"/>
            </w:pPr>
            <w:r>
              <w:t>Turfgrass:</w:t>
            </w:r>
            <w:r>
              <w:tab/>
              <w:t>DT</w:t>
            </w:r>
            <w:r w:rsidRPr="00544CC1">
              <w:rPr>
                <w:vertAlign w:val="subscript"/>
              </w:rPr>
              <w:t>50</w:t>
            </w:r>
            <w:r>
              <w:t xml:space="preserve"> 5.5 d</w:t>
            </w:r>
          </w:p>
          <w:p w14:paraId="55DBEE92" w14:textId="77777777" w:rsidR="000C65C6" w:rsidRDefault="000C65C6" w:rsidP="00377F3A">
            <w:pPr>
              <w:pStyle w:val="TableText"/>
            </w:pPr>
            <w:r>
              <w:t>Groundcover:</w:t>
            </w:r>
            <w:r>
              <w:tab/>
              <w:t>DT</w:t>
            </w:r>
            <w:r w:rsidRPr="00544CC1">
              <w:rPr>
                <w:vertAlign w:val="subscript"/>
              </w:rPr>
              <w:t>50</w:t>
            </w:r>
            <w:r>
              <w:t xml:space="preserve"> 4.3 d</w:t>
            </w:r>
          </w:p>
          <w:p w14:paraId="715C463B" w14:textId="77777777" w:rsidR="000C65C6" w:rsidRPr="008B4AF6" w:rsidRDefault="000C65C6" w:rsidP="00377F3A">
            <w:pPr>
              <w:pStyle w:val="TableText"/>
            </w:pPr>
            <w:r>
              <w:t>Geomean DT</w:t>
            </w:r>
            <w:r w:rsidRPr="004E516E">
              <w:rPr>
                <w:vertAlign w:val="subscript"/>
              </w:rPr>
              <w:t>50</w:t>
            </w:r>
            <w:r>
              <w:t xml:space="preserve"> 4.9 d</w:t>
            </w:r>
          </w:p>
        </w:tc>
        <w:tc>
          <w:tcPr>
            <w:tcW w:w="1103" w:type="pct"/>
            <w:tcBorders>
              <w:top w:val="single" w:sz="4" w:space="0" w:color="auto"/>
              <w:bottom w:val="single" w:sz="4" w:space="0" w:color="auto"/>
            </w:tcBorders>
          </w:tcPr>
          <w:p w14:paraId="7BFF348D" w14:textId="77777777" w:rsidR="000C65C6" w:rsidRPr="008B4AF6" w:rsidRDefault="000C65C6" w:rsidP="00377F3A">
            <w:pPr>
              <w:pStyle w:val="TableText"/>
            </w:pPr>
            <w:r>
              <w:t>Lao &amp; Gan 2012</w:t>
            </w:r>
          </w:p>
        </w:tc>
      </w:tr>
      <w:tr w:rsidR="004A0055" w:rsidRPr="008B4AF6" w14:paraId="3A618CF1" w14:textId="77777777" w:rsidTr="004A0055">
        <w:trPr>
          <w:cantSplit/>
        </w:trPr>
        <w:tc>
          <w:tcPr>
            <w:tcW w:w="847" w:type="pct"/>
            <w:tcBorders>
              <w:top w:val="single" w:sz="4" w:space="0" w:color="auto"/>
              <w:left w:val="nil"/>
              <w:bottom w:val="nil"/>
            </w:tcBorders>
          </w:tcPr>
          <w:p w14:paraId="54F25611" w14:textId="77777777" w:rsidR="004A0055" w:rsidRDefault="004A0055" w:rsidP="00377F3A">
            <w:pPr>
              <w:pStyle w:val="TableText"/>
            </w:pPr>
            <w:r>
              <w:lastRenderedPageBreak/>
              <w:t>Water and</w:t>
            </w:r>
          </w:p>
          <w:p w14:paraId="775FC8AF" w14:textId="2877AC27" w:rsidR="004A0055" w:rsidRDefault="004A0055" w:rsidP="00377F3A">
            <w:pPr>
              <w:pStyle w:val="TableText"/>
            </w:pPr>
            <w:r>
              <w:t>sediment</w:t>
            </w:r>
          </w:p>
        </w:tc>
        <w:tc>
          <w:tcPr>
            <w:tcW w:w="843" w:type="pct"/>
            <w:tcBorders>
              <w:top w:val="single" w:sz="4" w:space="0" w:color="auto"/>
              <w:left w:val="nil"/>
              <w:bottom w:val="nil"/>
            </w:tcBorders>
          </w:tcPr>
          <w:p w14:paraId="30A2CC80" w14:textId="77EE3308" w:rsidR="004A0055" w:rsidRDefault="004A0055" w:rsidP="00377F3A">
            <w:pPr>
              <w:pStyle w:val="TableText"/>
            </w:pPr>
            <w:r>
              <w:t>Readily biodegradable</w:t>
            </w:r>
          </w:p>
        </w:tc>
        <w:tc>
          <w:tcPr>
            <w:tcW w:w="2207" w:type="pct"/>
            <w:tcBorders>
              <w:top w:val="single" w:sz="4" w:space="0" w:color="auto"/>
              <w:bottom w:val="nil"/>
            </w:tcBorders>
          </w:tcPr>
          <w:p w14:paraId="708C05C4" w14:textId="0828B89D" w:rsidR="004A0055" w:rsidRDefault="004A0055" w:rsidP="00377F3A">
            <w:pPr>
              <w:pStyle w:val="TableText"/>
            </w:pPr>
            <w:r>
              <w:t>No</w:t>
            </w:r>
          </w:p>
        </w:tc>
        <w:tc>
          <w:tcPr>
            <w:tcW w:w="1103" w:type="pct"/>
            <w:tcBorders>
              <w:top w:val="single" w:sz="4" w:space="0" w:color="auto"/>
              <w:bottom w:val="nil"/>
            </w:tcBorders>
          </w:tcPr>
          <w:p w14:paraId="46C6240B" w14:textId="5528C566" w:rsidR="004A0055" w:rsidRDefault="004A0055" w:rsidP="00377F3A">
            <w:pPr>
              <w:pStyle w:val="TableText"/>
            </w:pPr>
            <w:r>
              <w:t xml:space="preserve">Brorson </w:t>
            </w:r>
            <w:r w:rsidR="00B7183A" w:rsidRPr="00B7183A">
              <w:rPr>
                <w:i/>
                <w:iCs/>
              </w:rPr>
              <w:t>et al</w:t>
            </w:r>
            <w:r>
              <w:t>. 1994</w:t>
            </w:r>
          </w:p>
        </w:tc>
      </w:tr>
      <w:tr w:rsidR="004A0055" w:rsidRPr="008B4AF6" w14:paraId="76790CAC" w14:textId="77777777" w:rsidTr="004A0055">
        <w:trPr>
          <w:cantSplit/>
        </w:trPr>
        <w:tc>
          <w:tcPr>
            <w:tcW w:w="847" w:type="pct"/>
            <w:tcBorders>
              <w:top w:val="nil"/>
              <w:left w:val="nil"/>
              <w:bottom w:val="single" w:sz="4" w:space="0" w:color="auto"/>
            </w:tcBorders>
          </w:tcPr>
          <w:p w14:paraId="3A5734CC" w14:textId="77777777" w:rsidR="004A0055" w:rsidRDefault="004A0055" w:rsidP="00377F3A">
            <w:pPr>
              <w:pStyle w:val="TableText"/>
            </w:pPr>
          </w:p>
        </w:tc>
        <w:tc>
          <w:tcPr>
            <w:tcW w:w="843" w:type="pct"/>
            <w:tcBorders>
              <w:top w:val="nil"/>
              <w:left w:val="nil"/>
              <w:bottom w:val="single" w:sz="4" w:space="0" w:color="auto"/>
            </w:tcBorders>
          </w:tcPr>
          <w:p w14:paraId="3E915365" w14:textId="77777777" w:rsidR="004A0055" w:rsidRDefault="004A0055" w:rsidP="00377F3A">
            <w:pPr>
              <w:pStyle w:val="TableText"/>
            </w:pPr>
          </w:p>
        </w:tc>
        <w:tc>
          <w:tcPr>
            <w:tcW w:w="2207" w:type="pct"/>
            <w:tcBorders>
              <w:top w:val="nil"/>
              <w:bottom w:val="single" w:sz="4" w:space="0" w:color="auto"/>
            </w:tcBorders>
          </w:tcPr>
          <w:p w14:paraId="68392900" w14:textId="1CE80C36" w:rsidR="004A0055" w:rsidRDefault="004A0055" w:rsidP="00377F3A">
            <w:pPr>
              <w:pStyle w:val="TableText"/>
            </w:pPr>
            <w:r>
              <w:t xml:space="preserve">Reduced by </w:t>
            </w:r>
            <w:r w:rsidRPr="00AD7590">
              <w:rPr>
                <w:i/>
                <w:iCs/>
              </w:rPr>
              <w:t>Nocardia</w:t>
            </w:r>
            <w:r>
              <w:t xml:space="preserve"> and </w:t>
            </w:r>
            <w:r w:rsidRPr="00AD7590">
              <w:rPr>
                <w:i/>
                <w:iCs/>
              </w:rPr>
              <w:t>Arthrobacter</w:t>
            </w:r>
            <w:r>
              <w:t xml:space="preserve"> spp. to the alcohol</w:t>
            </w:r>
          </w:p>
        </w:tc>
        <w:tc>
          <w:tcPr>
            <w:tcW w:w="1103" w:type="pct"/>
            <w:tcBorders>
              <w:top w:val="nil"/>
              <w:bottom w:val="single" w:sz="4" w:space="0" w:color="auto"/>
            </w:tcBorders>
          </w:tcPr>
          <w:p w14:paraId="73E6C0A2" w14:textId="0D29327C" w:rsidR="004A0055" w:rsidRDefault="004A0055" w:rsidP="00377F3A">
            <w:pPr>
              <w:pStyle w:val="TableText"/>
            </w:pPr>
            <w:r>
              <w:t>Davis &amp; Rizzo 1982</w:t>
            </w:r>
          </w:p>
        </w:tc>
      </w:tr>
      <w:tr w:rsidR="004A0055" w:rsidRPr="008B4AF6" w14:paraId="3BB0D0A2" w14:textId="77777777" w:rsidTr="004A0055">
        <w:trPr>
          <w:cantSplit/>
        </w:trPr>
        <w:tc>
          <w:tcPr>
            <w:tcW w:w="847" w:type="pct"/>
            <w:tcBorders>
              <w:top w:val="single" w:sz="4" w:space="0" w:color="auto"/>
              <w:left w:val="nil"/>
              <w:bottom w:val="nil"/>
            </w:tcBorders>
          </w:tcPr>
          <w:p w14:paraId="6DEBBC26" w14:textId="3826AC37" w:rsidR="004A0055" w:rsidRDefault="004A0055" w:rsidP="00377F3A">
            <w:pPr>
              <w:pStyle w:val="TableText"/>
            </w:pPr>
            <w:r>
              <w:t>Biota</w:t>
            </w:r>
          </w:p>
        </w:tc>
        <w:tc>
          <w:tcPr>
            <w:tcW w:w="843" w:type="pct"/>
            <w:tcBorders>
              <w:top w:val="single" w:sz="4" w:space="0" w:color="auto"/>
              <w:left w:val="nil"/>
              <w:bottom w:val="nil"/>
            </w:tcBorders>
          </w:tcPr>
          <w:p w14:paraId="079DEF4A" w14:textId="694771ED" w:rsidR="004A0055" w:rsidRPr="00CF78CB" w:rsidRDefault="004A0055" w:rsidP="00377F3A">
            <w:pPr>
              <w:pStyle w:val="TableText"/>
            </w:pPr>
            <w:r w:rsidRPr="00CF78CB">
              <w:t>Rat</w:t>
            </w:r>
          </w:p>
        </w:tc>
        <w:tc>
          <w:tcPr>
            <w:tcW w:w="2207" w:type="pct"/>
            <w:tcBorders>
              <w:top w:val="single" w:sz="4" w:space="0" w:color="auto"/>
              <w:bottom w:val="nil"/>
            </w:tcBorders>
          </w:tcPr>
          <w:p w14:paraId="50F18DEC" w14:textId="1C011D59" w:rsidR="004A0055" w:rsidRDefault="004A0055" w:rsidP="00377F3A">
            <w:pPr>
              <w:pStyle w:val="TableText"/>
            </w:pPr>
            <w:r>
              <w:t>Liver DT</w:t>
            </w:r>
            <w:r w:rsidRPr="003D6D67">
              <w:rPr>
                <w:vertAlign w:val="subscript"/>
              </w:rPr>
              <w:t>50</w:t>
            </w:r>
            <w:r>
              <w:t xml:space="preserve"> 26 d</w:t>
            </w:r>
          </w:p>
        </w:tc>
        <w:tc>
          <w:tcPr>
            <w:tcW w:w="1103" w:type="pct"/>
            <w:tcBorders>
              <w:top w:val="single" w:sz="4" w:space="0" w:color="auto"/>
              <w:bottom w:val="nil"/>
            </w:tcBorders>
          </w:tcPr>
          <w:p w14:paraId="5DDE7EBC" w14:textId="1829BC70" w:rsidR="004A0055" w:rsidRDefault="004A0055" w:rsidP="00377F3A">
            <w:pPr>
              <w:pStyle w:val="TableText"/>
            </w:pPr>
            <w:r>
              <w:t xml:space="preserve">Fisher </w:t>
            </w:r>
            <w:r w:rsidR="00B7183A" w:rsidRPr="00B7183A">
              <w:rPr>
                <w:i/>
                <w:iCs/>
              </w:rPr>
              <w:t>et al</w:t>
            </w:r>
            <w:r>
              <w:t>. 2003</w:t>
            </w:r>
          </w:p>
        </w:tc>
      </w:tr>
      <w:tr w:rsidR="004A0055" w:rsidRPr="008B4AF6" w14:paraId="1D3908F8" w14:textId="77777777" w:rsidTr="004A0055">
        <w:trPr>
          <w:cantSplit/>
        </w:trPr>
        <w:tc>
          <w:tcPr>
            <w:tcW w:w="847" w:type="pct"/>
            <w:tcBorders>
              <w:top w:val="nil"/>
              <w:left w:val="nil"/>
              <w:bottom w:val="single" w:sz="4" w:space="0" w:color="auto"/>
            </w:tcBorders>
          </w:tcPr>
          <w:p w14:paraId="4F333AEC" w14:textId="77777777" w:rsidR="004A0055" w:rsidRDefault="004A0055" w:rsidP="00377F3A">
            <w:pPr>
              <w:pStyle w:val="TableText"/>
            </w:pPr>
          </w:p>
        </w:tc>
        <w:tc>
          <w:tcPr>
            <w:tcW w:w="843" w:type="pct"/>
            <w:tcBorders>
              <w:top w:val="nil"/>
              <w:left w:val="nil"/>
              <w:bottom w:val="single" w:sz="4" w:space="0" w:color="auto"/>
            </w:tcBorders>
          </w:tcPr>
          <w:p w14:paraId="7B684BAB" w14:textId="6585232B" w:rsidR="004A0055" w:rsidRPr="00CF78CB" w:rsidRDefault="004A0055" w:rsidP="00377F3A">
            <w:pPr>
              <w:pStyle w:val="TableText"/>
            </w:pPr>
            <w:r w:rsidRPr="00CF78CB">
              <w:t>Mouse</w:t>
            </w:r>
          </w:p>
        </w:tc>
        <w:tc>
          <w:tcPr>
            <w:tcW w:w="2207" w:type="pct"/>
            <w:tcBorders>
              <w:top w:val="nil"/>
              <w:bottom w:val="single" w:sz="4" w:space="0" w:color="auto"/>
            </w:tcBorders>
          </w:tcPr>
          <w:p w14:paraId="6B2BDA73" w14:textId="67E861C5" w:rsidR="004A0055" w:rsidRDefault="004A0055" w:rsidP="00377F3A">
            <w:pPr>
              <w:pStyle w:val="TableText"/>
            </w:pPr>
            <w:r>
              <w:t>Liver DT</w:t>
            </w:r>
            <w:r w:rsidRPr="00F855FB">
              <w:rPr>
                <w:vertAlign w:val="subscript"/>
              </w:rPr>
              <w:t>50</w:t>
            </w:r>
            <w:r>
              <w:t xml:space="preserve"> 67 d</w:t>
            </w:r>
          </w:p>
        </w:tc>
        <w:tc>
          <w:tcPr>
            <w:tcW w:w="1103" w:type="pct"/>
            <w:tcBorders>
              <w:top w:val="nil"/>
              <w:bottom w:val="single" w:sz="4" w:space="0" w:color="auto"/>
            </w:tcBorders>
          </w:tcPr>
          <w:p w14:paraId="0C686D62" w14:textId="142EDB20" w:rsidR="004A0055" w:rsidRDefault="004A0055" w:rsidP="00377F3A">
            <w:pPr>
              <w:pStyle w:val="TableText"/>
            </w:pPr>
            <w:r>
              <w:t xml:space="preserve">Vandenbroucke </w:t>
            </w:r>
            <w:r w:rsidR="00B7183A" w:rsidRPr="00B7183A">
              <w:rPr>
                <w:i/>
                <w:iCs/>
              </w:rPr>
              <w:t>et al</w:t>
            </w:r>
            <w:r>
              <w:t>. 2008</w:t>
            </w:r>
          </w:p>
        </w:tc>
      </w:tr>
    </w:tbl>
    <w:p w14:paraId="36F0A556" w14:textId="6C8D2541" w:rsidR="00A12A97" w:rsidRPr="00122CA9" w:rsidRDefault="00850971" w:rsidP="00377F3A">
      <w:pPr>
        <w:pStyle w:val="Caption"/>
      </w:pPr>
      <w:bookmarkStart w:id="2013" w:name="_Toc213946074"/>
      <w:bookmarkStart w:id="2014" w:name="_Toc216695765"/>
      <w:r>
        <w:t xml:space="preserve">Table </w:t>
      </w:r>
      <w:r>
        <w:fldChar w:fldCharType="begin"/>
      </w:r>
      <w:r>
        <w:instrText xml:space="preserve"> SEQ Table \* ARABIC </w:instrText>
      </w:r>
      <w:r>
        <w:fldChar w:fldCharType="separate"/>
      </w:r>
      <w:r w:rsidR="003861AC">
        <w:rPr>
          <w:noProof/>
        </w:rPr>
        <w:t>103</w:t>
      </w:r>
      <w:r>
        <w:fldChar w:fldCharType="end"/>
      </w:r>
      <w:r>
        <w:t xml:space="preserve">: </w:t>
      </w:r>
      <w:r w:rsidR="004A0055">
        <w:t xml:space="preserve">Warfarin – </w:t>
      </w:r>
      <w:r w:rsidR="006A5695">
        <w:t>Residues m</w:t>
      </w:r>
      <w:r w:rsidR="00A12A97">
        <w:t>onitoring data</w:t>
      </w:r>
      <w:bookmarkEnd w:id="2013"/>
      <w:bookmarkEnd w:id="2014"/>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81"/>
        <w:gridCol w:w="957"/>
        <w:gridCol w:w="5864"/>
        <w:gridCol w:w="1388"/>
      </w:tblGrid>
      <w:tr w:rsidR="002A32B9" w:rsidRPr="003B5A86" w14:paraId="58A219E3" w14:textId="77777777" w:rsidTr="0017134F">
        <w:trPr>
          <w:cantSplit/>
          <w:tblHeader/>
        </w:trPr>
        <w:tc>
          <w:tcPr>
            <w:tcW w:w="0" w:type="auto"/>
            <w:tcBorders>
              <w:bottom w:val="single" w:sz="4" w:space="0" w:color="auto"/>
            </w:tcBorders>
            <w:shd w:val="clear" w:color="auto" w:fill="53284F"/>
          </w:tcPr>
          <w:p w14:paraId="2A1271A5" w14:textId="77777777" w:rsidR="002A32B9" w:rsidRPr="0071004A" w:rsidRDefault="002A32B9"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209E8117" w14:textId="77777777" w:rsidR="002A32B9" w:rsidRPr="0071004A" w:rsidRDefault="002A32B9"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7BCB0108" w14:textId="77777777" w:rsidR="002A32B9" w:rsidRPr="0071004A" w:rsidRDefault="002A32B9" w:rsidP="00377F3A">
            <w:pPr>
              <w:pStyle w:val="TableHead"/>
              <w:rPr>
                <w:lang w:eastAsia="en-AU"/>
              </w:rPr>
            </w:pPr>
            <w:r w:rsidRPr="0071004A">
              <w:rPr>
                <w:lang w:eastAsia="en-AU"/>
              </w:rPr>
              <w:t>Value</w:t>
            </w:r>
          </w:p>
        </w:tc>
        <w:tc>
          <w:tcPr>
            <w:tcW w:w="0" w:type="auto"/>
            <w:tcBorders>
              <w:bottom w:val="single" w:sz="4" w:space="0" w:color="auto"/>
            </w:tcBorders>
            <w:shd w:val="clear" w:color="auto" w:fill="53284F"/>
          </w:tcPr>
          <w:p w14:paraId="35F37A28" w14:textId="77777777" w:rsidR="002A32B9" w:rsidRPr="0071004A" w:rsidRDefault="002A32B9" w:rsidP="00377F3A">
            <w:pPr>
              <w:pStyle w:val="TableHead"/>
              <w:rPr>
                <w:lang w:eastAsia="en-AU"/>
              </w:rPr>
            </w:pPr>
            <w:r w:rsidRPr="0071004A">
              <w:rPr>
                <w:lang w:eastAsia="en-AU"/>
              </w:rPr>
              <w:t>Reference</w:t>
            </w:r>
          </w:p>
        </w:tc>
      </w:tr>
      <w:tr w:rsidR="002A32B9" w:rsidRPr="003B5A86" w14:paraId="4AEAAB22" w14:textId="77777777" w:rsidTr="004A0055">
        <w:trPr>
          <w:cantSplit/>
          <w:trHeight w:val="13"/>
        </w:trPr>
        <w:tc>
          <w:tcPr>
            <w:tcW w:w="0" w:type="auto"/>
            <w:tcBorders>
              <w:top w:val="single" w:sz="4" w:space="0" w:color="auto"/>
              <w:left w:val="nil"/>
              <w:bottom w:val="nil"/>
              <w:right w:val="nil"/>
            </w:tcBorders>
          </w:tcPr>
          <w:p w14:paraId="07A48FBF" w14:textId="77777777" w:rsidR="002A32B9" w:rsidRPr="00E673EB" w:rsidRDefault="002A32B9" w:rsidP="00377F3A">
            <w:pPr>
              <w:pStyle w:val="TableText"/>
              <w:rPr>
                <w:lang w:eastAsia="en-AU"/>
              </w:rPr>
            </w:pPr>
            <w:r w:rsidRPr="00E673EB">
              <w:rPr>
                <w:lang w:eastAsia="en-AU"/>
              </w:rPr>
              <w:t>Water</w:t>
            </w:r>
          </w:p>
        </w:tc>
        <w:tc>
          <w:tcPr>
            <w:tcW w:w="0" w:type="auto"/>
            <w:tcBorders>
              <w:top w:val="single" w:sz="4" w:space="0" w:color="auto"/>
              <w:left w:val="nil"/>
              <w:bottom w:val="nil"/>
              <w:right w:val="nil"/>
            </w:tcBorders>
          </w:tcPr>
          <w:p w14:paraId="4F2B372B" w14:textId="77777777" w:rsidR="002A32B9" w:rsidRPr="00E673EB" w:rsidRDefault="002A32B9" w:rsidP="00377F3A">
            <w:pPr>
              <w:pStyle w:val="TableText"/>
            </w:pPr>
            <w:r>
              <w:t>North America</w:t>
            </w:r>
          </w:p>
        </w:tc>
        <w:tc>
          <w:tcPr>
            <w:tcW w:w="0" w:type="auto"/>
            <w:tcBorders>
              <w:top w:val="single" w:sz="4" w:space="0" w:color="auto"/>
              <w:left w:val="nil"/>
              <w:bottom w:val="nil"/>
              <w:right w:val="nil"/>
            </w:tcBorders>
          </w:tcPr>
          <w:p w14:paraId="47F03E52" w14:textId="77777777" w:rsidR="002A32B9" w:rsidRPr="00E673EB" w:rsidRDefault="002A32B9" w:rsidP="00377F3A">
            <w:pPr>
              <w:pStyle w:val="TableText"/>
            </w:pPr>
            <w:r w:rsidRPr="00E673EB">
              <w:t>Not detected in groundwater samples from 1231 sites in California collected 2004-2010 representing a range of hydrogeologic conditions and land use patterns</w:t>
            </w:r>
          </w:p>
        </w:tc>
        <w:tc>
          <w:tcPr>
            <w:tcW w:w="0" w:type="auto"/>
            <w:tcBorders>
              <w:top w:val="single" w:sz="4" w:space="0" w:color="auto"/>
              <w:left w:val="nil"/>
              <w:bottom w:val="nil"/>
              <w:right w:val="nil"/>
            </w:tcBorders>
          </w:tcPr>
          <w:p w14:paraId="6693B098" w14:textId="77777777" w:rsidR="002A32B9" w:rsidRPr="00E673EB" w:rsidRDefault="002A32B9" w:rsidP="00377F3A">
            <w:pPr>
              <w:pStyle w:val="TableText"/>
            </w:pPr>
            <w:r w:rsidRPr="00E673EB">
              <w:t>Fram &amp; Belitz 2011</w:t>
            </w:r>
          </w:p>
        </w:tc>
      </w:tr>
      <w:tr w:rsidR="002A32B9" w:rsidRPr="003B5A86" w14:paraId="33979876" w14:textId="77777777" w:rsidTr="004A0055">
        <w:trPr>
          <w:cantSplit/>
          <w:trHeight w:val="13"/>
        </w:trPr>
        <w:tc>
          <w:tcPr>
            <w:tcW w:w="0" w:type="auto"/>
            <w:tcBorders>
              <w:top w:val="nil"/>
              <w:left w:val="nil"/>
              <w:bottom w:val="nil"/>
              <w:right w:val="nil"/>
            </w:tcBorders>
          </w:tcPr>
          <w:p w14:paraId="4201769A"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4D2FCF75" w14:textId="77777777" w:rsidR="002A32B9" w:rsidRPr="00E673EB" w:rsidRDefault="002A32B9" w:rsidP="00377F3A">
            <w:pPr>
              <w:pStyle w:val="TableText"/>
            </w:pPr>
          </w:p>
        </w:tc>
        <w:tc>
          <w:tcPr>
            <w:tcW w:w="0" w:type="auto"/>
            <w:tcBorders>
              <w:top w:val="nil"/>
              <w:left w:val="nil"/>
              <w:bottom w:val="nil"/>
              <w:right w:val="nil"/>
            </w:tcBorders>
          </w:tcPr>
          <w:p w14:paraId="3E36895B" w14:textId="77777777" w:rsidR="002A32B9" w:rsidRPr="00E673EB" w:rsidRDefault="002A32B9" w:rsidP="00377F3A">
            <w:pPr>
              <w:pStyle w:val="TableText"/>
            </w:pPr>
            <w:r w:rsidRPr="00E673EB">
              <w:t xml:space="preserve">Not detected in 84 stream samples (from 1999-2000) representing a wide range of residential, industrial, and agricultural areas across the USA </w:t>
            </w:r>
          </w:p>
        </w:tc>
        <w:tc>
          <w:tcPr>
            <w:tcW w:w="0" w:type="auto"/>
            <w:tcBorders>
              <w:top w:val="nil"/>
              <w:left w:val="nil"/>
              <w:bottom w:val="nil"/>
              <w:right w:val="nil"/>
            </w:tcBorders>
          </w:tcPr>
          <w:p w14:paraId="4D403755" w14:textId="64990435" w:rsidR="002A32B9" w:rsidRPr="00E673EB" w:rsidRDefault="002A32B9" w:rsidP="00377F3A">
            <w:pPr>
              <w:pStyle w:val="TableText"/>
            </w:pPr>
            <w:r w:rsidRPr="00E673EB">
              <w:t xml:space="preserve">Kolpin </w:t>
            </w:r>
            <w:r w:rsidR="00B7183A" w:rsidRPr="00B7183A">
              <w:rPr>
                <w:i/>
                <w:iCs/>
              </w:rPr>
              <w:t>et al</w:t>
            </w:r>
            <w:r w:rsidRPr="00E673EB">
              <w:t>. 2002</w:t>
            </w:r>
          </w:p>
        </w:tc>
      </w:tr>
      <w:tr w:rsidR="002A32B9" w:rsidRPr="003B5A86" w14:paraId="75E9511D" w14:textId="77777777" w:rsidTr="004A0055">
        <w:trPr>
          <w:cantSplit/>
          <w:trHeight w:val="13"/>
        </w:trPr>
        <w:tc>
          <w:tcPr>
            <w:tcW w:w="0" w:type="auto"/>
            <w:tcBorders>
              <w:top w:val="nil"/>
              <w:left w:val="nil"/>
              <w:bottom w:val="single" w:sz="4" w:space="0" w:color="auto"/>
              <w:right w:val="nil"/>
            </w:tcBorders>
          </w:tcPr>
          <w:p w14:paraId="53740880" w14:textId="1AA3D6B4"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25770672" w14:textId="77777777" w:rsidR="002A32B9" w:rsidRPr="00E673EB" w:rsidRDefault="002A32B9" w:rsidP="00377F3A">
            <w:pPr>
              <w:pStyle w:val="TableText"/>
            </w:pPr>
            <w:r>
              <w:t>Europe</w:t>
            </w:r>
          </w:p>
        </w:tc>
        <w:tc>
          <w:tcPr>
            <w:tcW w:w="0" w:type="auto"/>
            <w:tcBorders>
              <w:top w:val="nil"/>
              <w:left w:val="nil"/>
              <w:bottom w:val="single" w:sz="4" w:space="0" w:color="auto"/>
              <w:right w:val="nil"/>
            </w:tcBorders>
          </w:tcPr>
          <w:p w14:paraId="623F0520" w14:textId="77777777" w:rsidR="002A32B9" w:rsidRPr="00E673EB" w:rsidRDefault="002A32B9" w:rsidP="00377F3A">
            <w:pPr>
              <w:pStyle w:val="TableText"/>
            </w:pPr>
            <w:r w:rsidRPr="00E673EB">
              <w:t>&lt;LOQ (0.2 µg/kg) in suspended particulate matter at 16 sampling locations in German rivers in 2015</w:t>
            </w:r>
          </w:p>
        </w:tc>
        <w:tc>
          <w:tcPr>
            <w:tcW w:w="0" w:type="auto"/>
            <w:tcBorders>
              <w:top w:val="nil"/>
              <w:left w:val="nil"/>
              <w:bottom w:val="single" w:sz="4" w:space="0" w:color="auto"/>
              <w:right w:val="nil"/>
            </w:tcBorders>
          </w:tcPr>
          <w:p w14:paraId="26B481EE" w14:textId="5D435E30" w:rsidR="002A32B9" w:rsidRPr="00E673EB" w:rsidRDefault="002A32B9" w:rsidP="00377F3A">
            <w:pPr>
              <w:pStyle w:val="TableText"/>
            </w:pPr>
            <w:r w:rsidRPr="00E673EB">
              <w:t xml:space="preserve">Kotthoff </w:t>
            </w:r>
            <w:r w:rsidR="00B7183A" w:rsidRPr="00B7183A">
              <w:rPr>
                <w:i/>
                <w:iCs/>
              </w:rPr>
              <w:t>et al</w:t>
            </w:r>
            <w:r w:rsidRPr="00E673EB">
              <w:t>. 2019</w:t>
            </w:r>
          </w:p>
        </w:tc>
      </w:tr>
      <w:tr w:rsidR="002A32B9" w:rsidRPr="003B5A86" w14:paraId="6B6F8602" w14:textId="77777777" w:rsidTr="004A0055">
        <w:trPr>
          <w:cantSplit/>
          <w:trHeight w:val="13"/>
        </w:trPr>
        <w:tc>
          <w:tcPr>
            <w:tcW w:w="0" w:type="auto"/>
            <w:tcBorders>
              <w:top w:val="single" w:sz="4" w:space="0" w:color="auto"/>
              <w:left w:val="nil"/>
              <w:bottom w:val="single" w:sz="4" w:space="0" w:color="auto"/>
              <w:right w:val="nil"/>
            </w:tcBorders>
          </w:tcPr>
          <w:p w14:paraId="44F17319" w14:textId="77777777" w:rsidR="002A32B9" w:rsidRPr="00E673EB" w:rsidRDefault="002A32B9" w:rsidP="00377F3A">
            <w:pPr>
              <w:pStyle w:val="TableText"/>
              <w:rPr>
                <w:lang w:eastAsia="en-AU"/>
              </w:rPr>
            </w:pPr>
            <w:r w:rsidRPr="00E673EB">
              <w:rPr>
                <w:lang w:eastAsia="en-AU"/>
              </w:rPr>
              <w:t>Terrestrial invertebrates</w:t>
            </w:r>
          </w:p>
        </w:tc>
        <w:tc>
          <w:tcPr>
            <w:tcW w:w="0" w:type="auto"/>
            <w:tcBorders>
              <w:top w:val="single" w:sz="4" w:space="0" w:color="auto"/>
              <w:left w:val="nil"/>
              <w:bottom w:val="single" w:sz="4" w:space="0" w:color="auto"/>
              <w:right w:val="nil"/>
            </w:tcBorders>
          </w:tcPr>
          <w:p w14:paraId="7DD95E0B" w14:textId="77777777" w:rsidR="002A32B9" w:rsidRPr="00E673EB" w:rsidRDefault="002A32B9" w:rsidP="00377F3A">
            <w:pPr>
              <w:pStyle w:val="TableText"/>
            </w:pPr>
            <w:r>
              <w:t>North America</w:t>
            </w:r>
          </w:p>
        </w:tc>
        <w:tc>
          <w:tcPr>
            <w:tcW w:w="0" w:type="auto"/>
            <w:tcBorders>
              <w:top w:val="single" w:sz="4" w:space="0" w:color="auto"/>
              <w:left w:val="nil"/>
              <w:bottom w:val="single" w:sz="4" w:space="0" w:color="auto"/>
              <w:right w:val="nil"/>
            </w:tcBorders>
          </w:tcPr>
          <w:p w14:paraId="16F9D5A4" w14:textId="77777777" w:rsidR="002A32B9" w:rsidRPr="00E673EB" w:rsidRDefault="002A32B9" w:rsidP="00377F3A">
            <w:pPr>
              <w:pStyle w:val="TableText"/>
            </w:pPr>
            <w:r w:rsidRPr="00E673EB">
              <w:t>Not detected in carrion beetles, carabid beetles, wasps, snails, slugs, worms, or maggots in bromadialone or brodifacoum baited farms or farms in area of intensive poultry farming in Canada</w:t>
            </w:r>
          </w:p>
        </w:tc>
        <w:tc>
          <w:tcPr>
            <w:tcW w:w="0" w:type="auto"/>
            <w:tcBorders>
              <w:top w:val="single" w:sz="4" w:space="0" w:color="auto"/>
              <w:left w:val="nil"/>
              <w:bottom w:val="single" w:sz="4" w:space="0" w:color="auto"/>
              <w:right w:val="nil"/>
            </w:tcBorders>
          </w:tcPr>
          <w:p w14:paraId="0985C1FC" w14:textId="7C8137B8" w:rsidR="002A32B9" w:rsidRPr="00E673EB" w:rsidRDefault="002A32B9" w:rsidP="00377F3A">
            <w:pPr>
              <w:pStyle w:val="TableText"/>
            </w:pPr>
            <w:r w:rsidRPr="00E673EB">
              <w:t xml:space="preserve">Elliott </w:t>
            </w:r>
            <w:r w:rsidR="00B7183A" w:rsidRPr="00B7183A">
              <w:rPr>
                <w:i/>
                <w:iCs/>
              </w:rPr>
              <w:t>et al</w:t>
            </w:r>
            <w:r w:rsidRPr="00E673EB">
              <w:t>. 2014</w:t>
            </w:r>
          </w:p>
        </w:tc>
      </w:tr>
      <w:tr w:rsidR="002A32B9" w:rsidRPr="003B5A86" w14:paraId="1F96B731" w14:textId="77777777" w:rsidTr="004A0055">
        <w:trPr>
          <w:cantSplit/>
          <w:trHeight w:val="13"/>
        </w:trPr>
        <w:tc>
          <w:tcPr>
            <w:tcW w:w="0" w:type="auto"/>
            <w:tcBorders>
              <w:top w:val="single" w:sz="4" w:space="0" w:color="auto"/>
              <w:left w:val="nil"/>
              <w:bottom w:val="nil"/>
              <w:right w:val="nil"/>
            </w:tcBorders>
          </w:tcPr>
          <w:p w14:paraId="11C2DA1C" w14:textId="77777777" w:rsidR="002A32B9" w:rsidRPr="00E673EB" w:rsidRDefault="002A32B9" w:rsidP="00377F3A">
            <w:pPr>
              <w:pStyle w:val="TableText"/>
              <w:rPr>
                <w:lang w:eastAsia="en-AU"/>
              </w:rPr>
            </w:pPr>
            <w:r w:rsidRPr="00E673EB">
              <w:rPr>
                <w:lang w:eastAsia="en-AU"/>
              </w:rPr>
              <w:t>Target rodents</w:t>
            </w:r>
          </w:p>
        </w:tc>
        <w:tc>
          <w:tcPr>
            <w:tcW w:w="0" w:type="auto"/>
            <w:tcBorders>
              <w:top w:val="single" w:sz="4" w:space="0" w:color="auto"/>
              <w:left w:val="nil"/>
              <w:bottom w:val="nil"/>
              <w:right w:val="nil"/>
            </w:tcBorders>
          </w:tcPr>
          <w:p w14:paraId="7B3619AB" w14:textId="77777777" w:rsidR="002A32B9" w:rsidRPr="00E673EB" w:rsidRDefault="002A32B9" w:rsidP="00377F3A">
            <w:pPr>
              <w:pStyle w:val="TableText"/>
            </w:pPr>
            <w:r>
              <w:t>North America</w:t>
            </w:r>
          </w:p>
        </w:tc>
        <w:tc>
          <w:tcPr>
            <w:tcW w:w="0" w:type="auto"/>
            <w:tcBorders>
              <w:top w:val="single" w:sz="4" w:space="0" w:color="auto"/>
              <w:left w:val="nil"/>
              <w:bottom w:val="nil"/>
              <w:right w:val="nil"/>
            </w:tcBorders>
          </w:tcPr>
          <w:p w14:paraId="6583A97C" w14:textId="77777777" w:rsidR="002A32B9" w:rsidRPr="00E673EB" w:rsidRDefault="002A32B9" w:rsidP="00377F3A">
            <w:pPr>
              <w:pStyle w:val="TableText"/>
            </w:pPr>
            <w:r w:rsidRPr="00E673EB">
              <w:t>Not detected 7 rats in bromadialone baited farm or two farms in area of intensive poultry farming in Canada</w:t>
            </w:r>
          </w:p>
        </w:tc>
        <w:tc>
          <w:tcPr>
            <w:tcW w:w="0" w:type="auto"/>
            <w:tcBorders>
              <w:top w:val="single" w:sz="4" w:space="0" w:color="auto"/>
              <w:left w:val="nil"/>
              <w:bottom w:val="nil"/>
              <w:right w:val="nil"/>
            </w:tcBorders>
          </w:tcPr>
          <w:p w14:paraId="0709D756" w14:textId="04437759" w:rsidR="002A32B9" w:rsidRPr="00E673EB" w:rsidRDefault="002A32B9" w:rsidP="00377F3A">
            <w:pPr>
              <w:pStyle w:val="TableText"/>
            </w:pPr>
            <w:r w:rsidRPr="00E673EB">
              <w:t xml:space="preserve">Elliott </w:t>
            </w:r>
            <w:r w:rsidR="00B7183A" w:rsidRPr="00B7183A">
              <w:rPr>
                <w:i/>
                <w:iCs/>
              </w:rPr>
              <w:t>et al</w:t>
            </w:r>
            <w:r w:rsidRPr="00E673EB">
              <w:t>. 2014</w:t>
            </w:r>
          </w:p>
        </w:tc>
      </w:tr>
      <w:tr w:rsidR="002A32B9" w:rsidRPr="003B5A86" w14:paraId="460B4EE5" w14:textId="77777777" w:rsidTr="004A0055">
        <w:trPr>
          <w:cantSplit/>
          <w:trHeight w:val="13"/>
        </w:trPr>
        <w:tc>
          <w:tcPr>
            <w:tcW w:w="0" w:type="auto"/>
            <w:tcBorders>
              <w:top w:val="nil"/>
              <w:left w:val="nil"/>
              <w:bottom w:val="single" w:sz="4" w:space="0" w:color="auto"/>
              <w:right w:val="nil"/>
            </w:tcBorders>
          </w:tcPr>
          <w:p w14:paraId="06B7205D" w14:textId="77777777"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3A615325" w14:textId="77777777" w:rsidR="002A32B9" w:rsidRPr="00E673EB" w:rsidRDefault="002A32B9" w:rsidP="00377F3A">
            <w:pPr>
              <w:pStyle w:val="TableText"/>
            </w:pPr>
            <w:r>
              <w:t>Europe</w:t>
            </w:r>
          </w:p>
        </w:tc>
        <w:tc>
          <w:tcPr>
            <w:tcW w:w="0" w:type="auto"/>
            <w:tcBorders>
              <w:top w:val="nil"/>
              <w:left w:val="nil"/>
              <w:bottom w:val="single" w:sz="4" w:space="0" w:color="auto"/>
              <w:right w:val="nil"/>
            </w:tcBorders>
          </w:tcPr>
          <w:p w14:paraId="42BF9798" w14:textId="77777777" w:rsidR="002A32B9" w:rsidRPr="00E673EB" w:rsidRDefault="002A32B9" w:rsidP="00377F3A">
            <w:pPr>
              <w:pStyle w:val="TableText"/>
            </w:pPr>
            <w:r w:rsidRPr="00E673EB">
              <w:t>Max liver residues 6 µg/kg in 1/12 house mice from farms in Northern Ireland within 30m from buildings (no warfarin usage)</w:t>
            </w:r>
          </w:p>
        </w:tc>
        <w:tc>
          <w:tcPr>
            <w:tcW w:w="0" w:type="auto"/>
            <w:tcBorders>
              <w:top w:val="nil"/>
              <w:left w:val="nil"/>
              <w:bottom w:val="single" w:sz="4" w:space="0" w:color="auto"/>
              <w:right w:val="nil"/>
            </w:tcBorders>
          </w:tcPr>
          <w:p w14:paraId="4B27844D" w14:textId="2B463B38" w:rsidR="002A32B9" w:rsidRPr="00E673EB" w:rsidRDefault="002A32B9" w:rsidP="00377F3A">
            <w:pPr>
              <w:pStyle w:val="TableText"/>
            </w:pPr>
            <w:r w:rsidRPr="00E673EB">
              <w:t xml:space="preserve">Tosh </w:t>
            </w:r>
            <w:r w:rsidR="00B7183A" w:rsidRPr="00B7183A">
              <w:rPr>
                <w:i/>
                <w:iCs/>
              </w:rPr>
              <w:t>et al</w:t>
            </w:r>
            <w:r w:rsidRPr="00E673EB">
              <w:t>. 2012</w:t>
            </w:r>
          </w:p>
        </w:tc>
      </w:tr>
      <w:tr w:rsidR="002A32B9" w:rsidRPr="003B5A86" w14:paraId="62B2492D" w14:textId="77777777" w:rsidTr="004A0055">
        <w:trPr>
          <w:cantSplit/>
          <w:trHeight w:val="13"/>
        </w:trPr>
        <w:tc>
          <w:tcPr>
            <w:tcW w:w="0" w:type="auto"/>
            <w:tcBorders>
              <w:top w:val="single" w:sz="4" w:space="0" w:color="auto"/>
              <w:left w:val="nil"/>
              <w:bottom w:val="nil"/>
              <w:right w:val="nil"/>
            </w:tcBorders>
          </w:tcPr>
          <w:p w14:paraId="0605D634" w14:textId="77777777" w:rsidR="002A32B9" w:rsidRPr="00E673EB" w:rsidRDefault="002A32B9"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28F72A89" w14:textId="77777777" w:rsidR="002A32B9" w:rsidRPr="00E673EB" w:rsidRDefault="002A32B9" w:rsidP="00377F3A">
            <w:pPr>
              <w:pStyle w:val="TableText"/>
            </w:pPr>
            <w:r w:rsidRPr="00E673EB">
              <w:t>Australia</w:t>
            </w:r>
          </w:p>
        </w:tc>
        <w:tc>
          <w:tcPr>
            <w:tcW w:w="0" w:type="auto"/>
            <w:tcBorders>
              <w:top w:val="single" w:sz="4" w:space="0" w:color="auto"/>
              <w:left w:val="nil"/>
              <w:bottom w:val="nil"/>
              <w:right w:val="nil"/>
            </w:tcBorders>
          </w:tcPr>
          <w:p w14:paraId="2D27929A" w14:textId="77777777" w:rsidR="002A32B9" w:rsidRPr="00E673EB" w:rsidRDefault="002A32B9" w:rsidP="00377F3A">
            <w:pPr>
              <w:pStyle w:val="TableText"/>
            </w:pPr>
            <w:r w:rsidRPr="00E673EB">
              <w:t>Mean liver residues 5 µg/kg in 1/9 western quolls and 41 µg/kg in 1/20 Tasmanian devils in Tasmania and Western Australia</w:t>
            </w:r>
          </w:p>
        </w:tc>
        <w:tc>
          <w:tcPr>
            <w:tcW w:w="0" w:type="auto"/>
            <w:tcBorders>
              <w:top w:val="single" w:sz="4" w:space="0" w:color="auto"/>
              <w:left w:val="nil"/>
              <w:bottom w:val="nil"/>
              <w:right w:val="nil"/>
            </w:tcBorders>
          </w:tcPr>
          <w:p w14:paraId="622FE6B3" w14:textId="77777777" w:rsidR="002A32B9" w:rsidRPr="00E673EB" w:rsidRDefault="002A32B9" w:rsidP="00377F3A">
            <w:pPr>
              <w:pStyle w:val="TableText"/>
            </w:pPr>
            <w:r w:rsidRPr="00E673EB">
              <w:t>Lohr 2022</w:t>
            </w:r>
          </w:p>
        </w:tc>
      </w:tr>
      <w:tr w:rsidR="002A32B9" w:rsidRPr="003B5A86" w14:paraId="5F26EF77" w14:textId="77777777" w:rsidTr="004A0055">
        <w:trPr>
          <w:cantSplit/>
          <w:trHeight w:val="13"/>
        </w:trPr>
        <w:tc>
          <w:tcPr>
            <w:tcW w:w="0" w:type="auto"/>
            <w:tcBorders>
              <w:top w:val="nil"/>
              <w:left w:val="nil"/>
              <w:bottom w:val="nil"/>
              <w:right w:val="nil"/>
            </w:tcBorders>
          </w:tcPr>
          <w:p w14:paraId="7165AC4B"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648FA8AA" w14:textId="77777777" w:rsidR="002A32B9" w:rsidRPr="00E673EB" w:rsidRDefault="002A32B9" w:rsidP="00377F3A">
            <w:pPr>
              <w:pStyle w:val="TableText"/>
            </w:pPr>
          </w:p>
        </w:tc>
        <w:tc>
          <w:tcPr>
            <w:tcW w:w="0" w:type="auto"/>
            <w:tcBorders>
              <w:top w:val="nil"/>
              <w:left w:val="nil"/>
              <w:bottom w:val="nil"/>
              <w:right w:val="nil"/>
            </w:tcBorders>
          </w:tcPr>
          <w:p w14:paraId="76465F7D" w14:textId="77777777" w:rsidR="002A32B9" w:rsidRPr="00E673EB" w:rsidRDefault="002A32B9" w:rsidP="00377F3A">
            <w:pPr>
              <w:pStyle w:val="TableText"/>
            </w:pPr>
            <w:r w:rsidRPr="00E673EB">
              <w:t>Not detected in brushtail possum in rural &amp; urban areas across Australia between 2006 and 2021</w:t>
            </w:r>
          </w:p>
        </w:tc>
        <w:tc>
          <w:tcPr>
            <w:tcW w:w="0" w:type="auto"/>
            <w:tcBorders>
              <w:top w:val="nil"/>
              <w:left w:val="nil"/>
              <w:bottom w:val="nil"/>
              <w:right w:val="nil"/>
            </w:tcBorders>
          </w:tcPr>
          <w:p w14:paraId="04CA4788" w14:textId="77777777" w:rsidR="002A32B9" w:rsidRPr="00E673EB" w:rsidRDefault="002A32B9" w:rsidP="00377F3A">
            <w:pPr>
              <w:pStyle w:val="TableText"/>
            </w:pPr>
            <w:r w:rsidRPr="00E673EB">
              <w:t>WHA 2022</w:t>
            </w:r>
          </w:p>
        </w:tc>
      </w:tr>
      <w:tr w:rsidR="002A32B9" w14:paraId="7918F5B8" w14:textId="77777777" w:rsidTr="004A0055">
        <w:trPr>
          <w:cantSplit/>
          <w:trHeight w:val="13"/>
        </w:trPr>
        <w:tc>
          <w:tcPr>
            <w:tcW w:w="0" w:type="auto"/>
            <w:tcBorders>
              <w:top w:val="nil"/>
              <w:left w:val="nil"/>
              <w:bottom w:val="nil"/>
              <w:right w:val="nil"/>
            </w:tcBorders>
          </w:tcPr>
          <w:p w14:paraId="4B783894"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E1F5543" w14:textId="77777777" w:rsidR="002A32B9" w:rsidRPr="00E673EB" w:rsidRDefault="002A32B9" w:rsidP="00377F3A">
            <w:pPr>
              <w:pStyle w:val="TableText"/>
            </w:pPr>
          </w:p>
        </w:tc>
        <w:tc>
          <w:tcPr>
            <w:tcW w:w="0" w:type="auto"/>
            <w:tcBorders>
              <w:top w:val="nil"/>
              <w:left w:val="nil"/>
              <w:bottom w:val="nil"/>
              <w:right w:val="nil"/>
            </w:tcBorders>
          </w:tcPr>
          <w:p w14:paraId="7316E0D3" w14:textId="77777777" w:rsidR="002A32B9" w:rsidRPr="00E673EB" w:rsidRDefault="002A32B9" w:rsidP="00377F3A">
            <w:pPr>
              <w:pStyle w:val="TableText"/>
            </w:pPr>
            <w:r w:rsidRPr="00E673EB">
              <w:t>Max liver residues 57 µg/kg in 3/53 (6%) brushtail possums; not detected in 82 ringtail possums in Victoria in 2022</w:t>
            </w:r>
          </w:p>
        </w:tc>
        <w:tc>
          <w:tcPr>
            <w:tcW w:w="0" w:type="auto"/>
            <w:tcBorders>
              <w:top w:val="nil"/>
              <w:left w:val="nil"/>
              <w:bottom w:val="nil"/>
              <w:right w:val="nil"/>
            </w:tcBorders>
          </w:tcPr>
          <w:p w14:paraId="4FBBF7A9" w14:textId="405A9B6D" w:rsidR="002A32B9" w:rsidRPr="00E673EB" w:rsidRDefault="002A32B9" w:rsidP="00377F3A">
            <w:pPr>
              <w:pStyle w:val="TableText"/>
            </w:pPr>
            <w:r w:rsidRPr="00E673EB">
              <w:t xml:space="preserve">Scammell </w:t>
            </w:r>
            <w:r w:rsidR="00B7183A" w:rsidRPr="00B7183A">
              <w:rPr>
                <w:i/>
                <w:iCs/>
              </w:rPr>
              <w:t>et al</w:t>
            </w:r>
            <w:r w:rsidRPr="00E673EB">
              <w:t>. 2024</w:t>
            </w:r>
          </w:p>
        </w:tc>
      </w:tr>
      <w:tr w:rsidR="002A32B9" w:rsidRPr="003B5A86" w14:paraId="4AF740A5" w14:textId="77777777" w:rsidTr="004A0055">
        <w:trPr>
          <w:cantSplit/>
          <w:trHeight w:val="13"/>
        </w:trPr>
        <w:tc>
          <w:tcPr>
            <w:tcW w:w="0" w:type="auto"/>
            <w:tcBorders>
              <w:top w:val="nil"/>
              <w:left w:val="nil"/>
              <w:bottom w:val="nil"/>
              <w:right w:val="nil"/>
            </w:tcBorders>
          </w:tcPr>
          <w:p w14:paraId="481DA474"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343AC903" w14:textId="77777777" w:rsidR="002A32B9" w:rsidRPr="00E673EB" w:rsidRDefault="002A32B9" w:rsidP="00377F3A">
            <w:pPr>
              <w:pStyle w:val="TableText"/>
            </w:pPr>
            <w:r>
              <w:t>North America</w:t>
            </w:r>
          </w:p>
        </w:tc>
        <w:tc>
          <w:tcPr>
            <w:tcW w:w="0" w:type="auto"/>
            <w:tcBorders>
              <w:top w:val="nil"/>
              <w:left w:val="nil"/>
              <w:bottom w:val="nil"/>
              <w:right w:val="nil"/>
            </w:tcBorders>
          </w:tcPr>
          <w:p w14:paraId="4E3E4DE2" w14:textId="77777777" w:rsidR="002A32B9" w:rsidRPr="00E673EB" w:rsidRDefault="002A32B9" w:rsidP="00377F3A">
            <w:pPr>
              <w:pStyle w:val="TableText"/>
            </w:pPr>
            <w:r w:rsidRPr="00E673EB">
              <w:t>Not detected in 23 voles, 6 shrews, 3 deer mice in bromadialone or brodifacoum baited farms or farms in area of intensive poultry farming in Canada</w:t>
            </w:r>
          </w:p>
        </w:tc>
        <w:tc>
          <w:tcPr>
            <w:tcW w:w="0" w:type="auto"/>
            <w:tcBorders>
              <w:top w:val="nil"/>
              <w:left w:val="nil"/>
              <w:bottom w:val="nil"/>
              <w:right w:val="nil"/>
            </w:tcBorders>
          </w:tcPr>
          <w:p w14:paraId="473EB01E" w14:textId="6F097465" w:rsidR="002A32B9" w:rsidRPr="00E673EB" w:rsidRDefault="002A32B9" w:rsidP="00377F3A">
            <w:pPr>
              <w:pStyle w:val="TableText"/>
            </w:pPr>
            <w:r w:rsidRPr="00E673EB">
              <w:t xml:space="preserve">Elliott </w:t>
            </w:r>
            <w:r w:rsidR="00B7183A" w:rsidRPr="00B7183A">
              <w:rPr>
                <w:i/>
                <w:iCs/>
              </w:rPr>
              <w:t>et al</w:t>
            </w:r>
            <w:r w:rsidRPr="00E673EB">
              <w:t>. 2014</w:t>
            </w:r>
          </w:p>
        </w:tc>
      </w:tr>
      <w:tr w:rsidR="002A32B9" w:rsidRPr="003B5A86" w14:paraId="6282A205" w14:textId="77777777" w:rsidTr="004A0055">
        <w:trPr>
          <w:cantSplit/>
          <w:trHeight w:val="13"/>
        </w:trPr>
        <w:tc>
          <w:tcPr>
            <w:tcW w:w="0" w:type="auto"/>
            <w:tcBorders>
              <w:top w:val="nil"/>
              <w:left w:val="nil"/>
              <w:bottom w:val="nil"/>
              <w:right w:val="nil"/>
            </w:tcBorders>
          </w:tcPr>
          <w:p w14:paraId="32FE8614"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696A7964" w14:textId="77777777" w:rsidR="002A32B9" w:rsidRPr="00E673EB" w:rsidRDefault="002A32B9" w:rsidP="00377F3A">
            <w:pPr>
              <w:pStyle w:val="TableText"/>
            </w:pPr>
            <w:r>
              <w:t>Europe</w:t>
            </w:r>
          </w:p>
        </w:tc>
        <w:tc>
          <w:tcPr>
            <w:tcW w:w="0" w:type="auto"/>
            <w:tcBorders>
              <w:top w:val="nil"/>
              <w:left w:val="nil"/>
              <w:bottom w:val="nil"/>
              <w:right w:val="nil"/>
            </w:tcBorders>
          </w:tcPr>
          <w:p w14:paraId="34BFE026" w14:textId="77777777" w:rsidR="002A32B9" w:rsidRPr="00E673EB" w:rsidRDefault="002A32B9" w:rsidP="00377F3A">
            <w:pPr>
              <w:pStyle w:val="TableText"/>
            </w:pPr>
            <w:r w:rsidRPr="00E673EB">
              <w:t>Not detected in liver or muscle of 51 wild boars in urban area, 20 wild boars in suburban area, or 13 wild boars in rural area of Spain</w:t>
            </w:r>
          </w:p>
        </w:tc>
        <w:tc>
          <w:tcPr>
            <w:tcW w:w="0" w:type="auto"/>
            <w:tcBorders>
              <w:top w:val="nil"/>
              <w:left w:val="nil"/>
              <w:bottom w:val="nil"/>
              <w:right w:val="nil"/>
            </w:tcBorders>
          </w:tcPr>
          <w:p w14:paraId="4006DE15" w14:textId="58C331B0" w:rsidR="002A32B9" w:rsidRPr="00E673EB" w:rsidRDefault="002A32B9" w:rsidP="00377F3A">
            <w:pPr>
              <w:pStyle w:val="TableText"/>
            </w:pPr>
            <w:r w:rsidRPr="00E673EB">
              <w:t xml:space="preserve">Alabau </w:t>
            </w:r>
            <w:r w:rsidR="00B7183A" w:rsidRPr="00B7183A">
              <w:rPr>
                <w:i/>
                <w:iCs/>
              </w:rPr>
              <w:t>et al</w:t>
            </w:r>
            <w:r w:rsidRPr="00E673EB">
              <w:t>. 2020</w:t>
            </w:r>
          </w:p>
        </w:tc>
      </w:tr>
      <w:tr w:rsidR="002A32B9" w:rsidRPr="003B5A86" w14:paraId="6AA429DB" w14:textId="77777777" w:rsidTr="004A0055">
        <w:trPr>
          <w:cantSplit/>
          <w:trHeight w:val="13"/>
        </w:trPr>
        <w:tc>
          <w:tcPr>
            <w:tcW w:w="0" w:type="auto"/>
            <w:tcBorders>
              <w:top w:val="nil"/>
              <w:left w:val="nil"/>
              <w:bottom w:val="nil"/>
              <w:right w:val="nil"/>
            </w:tcBorders>
          </w:tcPr>
          <w:p w14:paraId="1E730920"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3E31CD9E" w14:textId="77777777" w:rsidR="002A32B9" w:rsidRPr="00E673EB" w:rsidRDefault="002A32B9" w:rsidP="00377F3A">
            <w:pPr>
              <w:pStyle w:val="TableText"/>
            </w:pPr>
          </w:p>
        </w:tc>
        <w:tc>
          <w:tcPr>
            <w:tcW w:w="0" w:type="auto"/>
            <w:tcBorders>
              <w:top w:val="nil"/>
              <w:left w:val="nil"/>
              <w:bottom w:val="nil"/>
              <w:right w:val="nil"/>
            </w:tcBorders>
          </w:tcPr>
          <w:p w14:paraId="17A9FAB2" w14:textId="77777777" w:rsidR="002A32B9" w:rsidRPr="00E673EB" w:rsidRDefault="002A32B9" w:rsidP="00377F3A">
            <w:pPr>
              <w:pStyle w:val="TableText"/>
            </w:pPr>
            <w:r w:rsidRPr="00E673EB">
              <w:t>Liver residue 612 µg/kg in 1/106 Algerian hedgehogs; not detected in 48 European hedgehogs in Mediterranean region of Spain between 2011 and 2013</w:t>
            </w:r>
          </w:p>
        </w:tc>
        <w:tc>
          <w:tcPr>
            <w:tcW w:w="0" w:type="auto"/>
            <w:tcBorders>
              <w:top w:val="nil"/>
              <w:left w:val="nil"/>
              <w:bottom w:val="nil"/>
              <w:right w:val="nil"/>
            </w:tcBorders>
          </w:tcPr>
          <w:p w14:paraId="6F033F66" w14:textId="53561576" w:rsidR="002A32B9" w:rsidRPr="00E673EB" w:rsidRDefault="002A32B9" w:rsidP="00377F3A">
            <w:pPr>
              <w:pStyle w:val="TableText"/>
            </w:pPr>
            <w:r w:rsidRPr="00E673EB">
              <w:t xml:space="preserve">López-Perea </w:t>
            </w:r>
            <w:r w:rsidR="00B7183A" w:rsidRPr="00B7183A">
              <w:rPr>
                <w:i/>
                <w:iCs/>
              </w:rPr>
              <w:t>et al</w:t>
            </w:r>
            <w:r w:rsidRPr="00E673EB">
              <w:t>. 2015</w:t>
            </w:r>
          </w:p>
        </w:tc>
      </w:tr>
      <w:tr w:rsidR="002A32B9" w14:paraId="75E938A7" w14:textId="77777777" w:rsidTr="004A0055">
        <w:trPr>
          <w:cantSplit/>
          <w:trHeight w:val="13"/>
        </w:trPr>
        <w:tc>
          <w:tcPr>
            <w:tcW w:w="0" w:type="auto"/>
            <w:tcBorders>
              <w:top w:val="nil"/>
              <w:left w:val="nil"/>
              <w:bottom w:val="nil"/>
              <w:right w:val="nil"/>
            </w:tcBorders>
          </w:tcPr>
          <w:p w14:paraId="4BDBAA10"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45180C4B" w14:textId="77777777" w:rsidR="002A32B9" w:rsidRPr="00E673EB" w:rsidRDefault="002A32B9" w:rsidP="00377F3A">
            <w:pPr>
              <w:pStyle w:val="TableText"/>
            </w:pPr>
          </w:p>
        </w:tc>
        <w:tc>
          <w:tcPr>
            <w:tcW w:w="0" w:type="auto"/>
            <w:tcBorders>
              <w:top w:val="nil"/>
              <w:left w:val="nil"/>
              <w:bottom w:val="nil"/>
              <w:right w:val="nil"/>
            </w:tcBorders>
          </w:tcPr>
          <w:p w14:paraId="469C62FA" w14:textId="77777777" w:rsidR="002A32B9" w:rsidRPr="00E673EB" w:rsidRDefault="002A32B9" w:rsidP="00377F3A">
            <w:pPr>
              <w:pStyle w:val="TableText"/>
            </w:pPr>
            <w:r w:rsidRPr="00E673EB">
              <w:t>Not detected in 29 herbivores, 3 insectivores, 96 carnivores in Spain between 2005 and 2010</w:t>
            </w:r>
          </w:p>
        </w:tc>
        <w:tc>
          <w:tcPr>
            <w:tcW w:w="0" w:type="auto"/>
            <w:tcBorders>
              <w:top w:val="nil"/>
              <w:left w:val="nil"/>
              <w:bottom w:val="nil"/>
              <w:right w:val="nil"/>
            </w:tcBorders>
          </w:tcPr>
          <w:p w14:paraId="788DE077" w14:textId="2882389E" w:rsidR="002A32B9" w:rsidRPr="00E673EB" w:rsidRDefault="002A32B9" w:rsidP="00377F3A">
            <w:pPr>
              <w:pStyle w:val="TableText"/>
            </w:pPr>
            <w:r w:rsidRPr="00E673EB">
              <w:t xml:space="preserve">Sánchez-Barbudo </w:t>
            </w:r>
            <w:r w:rsidR="00B7183A" w:rsidRPr="00B7183A">
              <w:rPr>
                <w:i/>
                <w:iCs/>
              </w:rPr>
              <w:t>et al</w:t>
            </w:r>
            <w:r w:rsidRPr="00E673EB">
              <w:t>. 2012</w:t>
            </w:r>
          </w:p>
        </w:tc>
      </w:tr>
      <w:tr w:rsidR="002A32B9" w14:paraId="259AF3C8" w14:textId="77777777" w:rsidTr="004A0055">
        <w:trPr>
          <w:cantSplit/>
          <w:trHeight w:val="13"/>
        </w:trPr>
        <w:tc>
          <w:tcPr>
            <w:tcW w:w="0" w:type="auto"/>
            <w:tcBorders>
              <w:top w:val="nil"/>
              <w:left w:val="nil"/>
              <w:bottom w:val="single" w:sz="4" w:space="0" w:color="auto"/>
              <w:right w:val="nil"/>
            </w:tcBorders>
          </w:tcPr>
          <w:p w14:paraId="250CFD25" w14:textId="77777777"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7E582B23" w14:textId="77777777" w:rsidR="002A32B9" w:rsidRPr="00E673EB" w:rsidRDefault="002A32B9" w:rsidP="00377F3A">
            <w:pPr>
              <w:pStyle w:val="TableText"/>
            </w:pPr>
          </w:p>
        </w:tc>
        <w:tc>
          <w:tcPr>
            <w:tcW w:w="0" w:type="auto"/>
            <w:tcBorders>
              <w:top w:val="nil"/>
              <w:left w:val="nil"/>
              <w:bottom w:val="single" w:sz="4" w:space="0" w:color="auto"/>
              <w:right w:val="nil"/>
            </w:tcBorders>
          </w:tcPr>
          <w:p w14:paraId="177BCE7C" w14:textId="77777777" w:rsidR="002A32B9" w:rsidRPr="00E673EB" w:rsidRDefault="002A32B9" w:rsidP="00377F3A">
            <w:pPr>
              <w:pStyle w:val="TableText"/>
            </w:pPr>
            <w:r w:rsidRPr="00E673EB">
              <w:t>Max liver residues 9 µg/kg in 2/55 wood mice from farms in Northern Ireland more than 30m from buildings (no warfarin usage)</w:t>
            </w:r>
          </w:p>
        </w:tc>
        <w:tc>
          <w:tcPr>
            <w:tcW w:w="0" w:type="auto"/>
            <w:tcBorders>
              <w:top w:val="nil"/>
              <w:left w:val="nil"/>
              <w:bottom w:val="single" w:sz="4" w:space="0" w:color="auto"/>
              <w:right w:val="nil"/>
            </w:tcBorders>
          </w:tcPr>
          <w:p w14:paraId="03AD2CC3" w14:textId="26C2DCB1" w:rsidR="002A32B9" w:rsidRPr="00E673EB" w:rsidRDefault="002A32B9" w:rsidP="00377F3A">
            <w:pPr>
              <w:pStyle w:val="TableText"/>
            </w:pPr>
            <w:r w:rsidRPr="00E673EB">
              <w:t xml:space="preserve">Tosh </w:t>
            </w:r>
            <w:r w:rsidR="00B7183A" w:rsidRPr="00B7183A">
              <w:rPr>
                <w:i/>
                <w:iCs/>
              </w:rPr>
              <w:t>et al</w:t>
            </w:r>
            <w:r w:rsidRPr="00E673EB">
              <w:t>. 2012</w:t>
            </w:r>
          </w:p>
        </w:tc>
      </w:tr>
      <w:tr w:rsidR="002A32B9" w:rsidRPr="003B5A86" w14:paraId="02315FCB" w14:textId="77777777" w:rsidTr="004A0055">
        <w:trPr>
          <w:cantSplit/>
          <w:trHeight w:val="13"/>
        </w:trPr>
        <w:tc>
          <w:tcPr>
            <w:tcW w:w="0" w:type="auto"/>
            <w:tcBorders>
              <w:top w:val="single" w:sz="4" w:space="0" w:color="auto"/>
              <w:left w:val="nil"/>
              <w:bottom w:val="nil"/>
              <w:right w:val="nil"/>
            </w:tcBorders>
          </w:tcPr>
          <w:p w14:paraId="0B7D0ABF" w14:textId="77777777" w:rsidR="002A32B9" w:rsidRPr="00E673EB" w:rsidRDefault="002A32B9"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5711FC34" w14:textId="77777777" w:rsidR="002A32B9" w:rsidRPr="00E673EB" w:rsidRDefault="002A32B9" w:rsidP="00377F3A">
            <w:pPr>
              <w:pStyle w:val="TableText"/>
            </w:pPr>
            <w:r w:rsidRPr="00E673EB">
              <w:t>Australia</w:t>
            </w:r>
          </w:p>
        </w:tc>
        <w:tc>
          <w:tcPr>
            <w:tcW w:w="0" w:type="auto"/>
            <w:tcBorders>
              <w:top w:val="single" w:sz="4" w:space="0" w:color="auto"/>
              <w:left w:val="nil"/>
              <w:bottom w:val="nil"/>
              <w:right w:val="nil"/>
            </w:tcBorders>
          </w:tcPr>
          <w:p w14:paraId="68054748" w14:textId="77777777" w:rsidR="002A32B9" w:rsidRPr="00E673EB" w:rsidRDefault="002A32B9" w:rsidP="00377F3A">
            <w:pPr>
              <w:pStyle w:val="TableText"/>
            </w:pPr>
            <w:r w:rsidRPr="00E673EB">
              <w:t>Not detected in little ravens, Australian kestrels, whistling kites, barking owls, southern boobooks, powerful owls, tawny frogmouths, and barn owls in rural &amp; urban areas across Australia between 2006 and 2021</w:t>
            </w:r>
          </w:p>
        </w:tc>
        <w:tc>
          <w:tcPr>
            <w:tcW w:w="0" w:type="auto"/>
            <w:tcBorders>
              <w:top w:val="single" w:sz="4" w:space="0" w:color="auto"/>
              <w:left w:val="nil"/>
              <w:bottom w:val="nil"/>
              <w:right w:val="nil"/>
            </w:tcBorders>
          </w:tcPr>
          <w:p w14:paraId="2D8C80AE" w14:textId="77777777" w:rsidR="002A32B9" w:rsidRPr="00E673EB" w:rsidRDefault="002A32B9" w:rsidP="00377F3A">
            <w:pPr>
              <w:pStyle w:val="TableText"/>
            </w:pPr>
            <w:r w:rsidRPr="00E673EB">
              <w:t>WHA 2022</w:t>
            </w:r>
          </w:p>
        </w:tc>
      </w:tr>
      <w:tr w:rsidR="002A32B9" w:rsidRPr="003B5A86" w14:paraId="46BA6535" w14:textId="77777777" w:rsidTr="004A0055">
        <w:trPr>
          <w:cantSplit/>
          <w:trHeight w:val="13"/>
        </w:trPr>
        <w:tc>
          <w:tcPr>
            <w:tcW w:w="0" w:type="auto"/>
            <w:tcBorders>
              <w:top w:val="nil"/>
              <w:left w:val="nil"/>
              <w:bottom w:val="nil"/>
              <w:right w:val="nil"/>
            </w:tcBorders>
          </w:tcPr>
          <w:p w14:paraId="6B298E6F"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344A27F8" w14:textId="77777777" w:rsidR="002A32B9" w:rsidRPr="00E673EB" w:rsidRDefault="002A32B9" w:rsidP="00377F3A">
            <w:pPr>
              <w:pStyle w:val="TableText"/>
            </w:pPr>
          </w:p>
        </w:tc>
        <w:tc>
          <w:tcPr>
            <w:tcW w:w="0" w:type="auto"/>
            <w:tcBorders>
              <w:top w:val="nil"/>
              <w:left w:val="nil"/>
              <w:bottom w:val="nil"/>
              <w:right w:val="nil"/>
            </w:tcBorders>
          </w:tcPr>
          <w:p w14:paraId="1BEC2173" w14:textId="77777777" w:rsidR="002A32B9" w:rsidRPr="00E673EB" w:rsidRDefault="002A32B9" w:rsidP="00377F3A">
            <w:pPr>
              <w:pStyle w:val="TableText"/>
            </w:pPr>
            <w:r w:rsidRPr="00E673EB">
              <w:t>Max liver residues 5 µg/kg in 2/38 powerful owls in Sydney basin urban areas between 2015 and 2021</w:t>
            </w:r>
          </w:p>
        </w:tc>
        <w:tc>
          <w:tcPr>
            <w:tcW w:w="0" w:type="auto"/>
            <w:tcBorders>
              <w:top w:val="nil"/>
              <w:left w:val="nil"/>
              <w:bottom w:val="nil"/>
              <w:right w:val="nil"/>
            </w:tcBorders>
          </w:tcPr>
          <w:p w14:paraId="4CCBEFC6" w14:textId="77777777" w:rsidR="002A32B9" w:rsidRPr="00E673EB" w:rsidRDefault="002A32B9" w:rsidP="00377F3A">
            <w:pPr>
              <w:pStyle w:val="TableText"/>
            </w:pPr>
            <w:r w:rsidRPr="00E673EB">
              <w:t>Birdlife Australia 2022</w:t>
            </w:r>
          </w:p>
        </w:tc>
      </w:tr>
      <w:tr w:rsidR="002A32B9" w:rsidRPr="003B5A86" w14:paraId="693FAD53" w14:textId="77777777" w:rsidTr="004A0055">
        <w:trPr>
          <w:cantSplit/>
          <w:trHeight w:val="13"/>
        </w:trPr>
        <w:tc>
          <w:tcPr>
            <w:tcW w:w="0" w:type="auto"/>
            <w:tcBorders>
              <w:top w:val="nil"/>
              <w:left w:val="nil"/>
              <w:bottom w:val="nil"/>
              <w:right w:val="nil"/>
            </w:tcBorders>
          </w:tcPr>
          <w:p w14:paraId="07515A67"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705E12E" w14:textId="77777777" w:rsidR="002A32B9" w:rsidRPr="00E673EB" w:rsidRDefault="002A32B9" w:rsidP="00377F3A">
            <w:pPr>
              <w:pStyle w:val="TableText"/>
            </w:pPr>
          </w:p>
        </w:tc>
        <w:tc>
          <w:tcPr>
            <w:tcW w:w="0" w:type="auto"/>
            <w:tcBorders>
              <w:top w:val="nil"/>
              <w:left w:val="nil"/>
              <w:bottom w:val="nil"/>
              <w:right w:val="nil"/>
            </w:tcBorders>
          </w:tcPr>
          <w:p w14:paraId="179C91A8" w14:textId="77777777" w:rsidR="002A32B9" w:rsidRPr="00E673EB" w:rsidRDefault="002A32B9" w:rsidP="00377F3A">
            <w:pPr>
              <w:pStyle w:val="TableText"/>
            </w:pPr>
            <w:r w:rsidRPr="00E673EB">
              <w:t xml:space="preserve">Not detected in 5 eastern barn owls, 12 southern boobooks, 19 tawny frogmouths, 24 powerful owls in urban, forest, &amp; agricultural areas of Vic, SA &amp; NSW between 2003 and 2022 </w:t>
            </w:r>
          </w:p>
        </w:tc>
        <w:tc>
          <w:tcPr>
            <w:tcW w:w="0" w:type="auto"/>
            <w:tcBorders>
              <w:top w:val="nil"/>
              <w:left w:val="nil"/>
              <w:bottom w:val="nil"/>
              <w:right w:val="nil"/>
            </w:tcBorders>
          </w:tcPr>
          <w:p w14:paraId="6C8C9BBE" w14:textId="1C993D3B" w:rsidR="002A32B9" w:rsidRPr="00E673EB" w:rsidRDefault="002A32B9" w:rsidP="00377F3A">
            <w:pPr>
              <w:pStyle w:val="TableText"/>
            </w:pPr>
            <w:r w:rsidRPr="00E673EB">
              <w:t xml:space="preserve">Cooke </w:t>
            </w:r>
            <w:r w:rsidR="00B7183A" w:rsidRPr="00B7183A">
              <w:rPr>
                <w:i/>
                <w:iCs/>
              </w:rPr>
              <w:t>et al</w:t>
            </w:r>
            <w:r w:rsidRPr="00E673EB">
              <w:t>. 2023</w:t>
            </w:r>
          </w:p>
        </w:tc>
      </w:tr>
      <w:tr w:rsidR="002A32B9" w14:paraId="580BA859" w14:textId="77777777" w:rsidTr="004A0055">
        <w:trPr>
          <w:cantSplit/>
          <w:trHeight w:val="13"/>
        </w:trPr>
        <w:tc>
          <w:tcPr>
            <w:tcW w:w="0" w:type="auto"/>
            <w:tcBorders>
              <w:top w:val="nil"/>
              <w:left w:val="nil"/>
              <w:bottom w:val="nil"/>
              <w:right w:val="nil"/>
            </w:tcBorders>
          </w:tcPr>
          <w:p w14:paraId="704315AA"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8A2FBF0" w14:textId="77777777" w:rsidR="002A32B9" w:rsidRPr="00E673EB" w:rsidRDefault="002A32B9" w:rsidP="00377F3A">
            <w:pPr>
              <w:pStyle w:val="TableText"/>
            </w:pPr>
          </w:p>
        </w:tc>
        <w:tc>
          <w:tcPr>
            <w:tcW w:w="0" w:type="auto"/>
            <w:tcBorders>
              <w:top w:val="nil"/>
              <w:left w:val="nil"/>
              <w:bottom w:val="nil"/>
              <w:right w:val="nil"/>
            </w:tcBorders>
          </w:tcPr>
          <w:p w14:paraId="7FA816A7" w14:textId="77777777" w:rsidR="002A32B9" w:rsidRPr="00E673EB" w:rsidRDefault="002A32B9" w:rsidP="00377F3A">
            <w:pPr>
              <w:pStyle w:val="TableText"/>
            </w:pPr>
            <w:r w:rsidRPr="00E673EB">
              <w:t>Not detected in 5 Carnaby’s cockatoos from Kalamunda WA in 2024</w:t>
            </w:r>
          </w:p>
        </w:tc>
        <w:tc>
          <w:tcPr>
            <w:tcW w:w="0" w:type="auto"/>
            <w:tcBorders>
              <w:top w:val="nil"/>
              <w:left w:val="nil"/>
              <w:bottom w:val="nil"/>
              <w:right w:val="nil"/>
            </w:tcBorders>
          </w:tcPr>
          <w:p w14:paraId="6E79F728" w14:textId="3DCECC7C" w:rsidR="002A32B9" w:rsidRPr="00E673EB" w:rsidRDefault="002A32B9" w:rsidP="00377F3A">
            <w:pPr>
              <w:pStyle w:val="TableText"/>
            </w:pPr>
            <w:r w:rsidRPr="00E673EB">
              <w:t xml:space="preserve">Le Souëf </w:t>
            </w:r>
            <w:r w:rsidR="00B7183A" w:rsidRPr="00B7183A">
              <w:rPr>
                <w:i/>
                <w:iCs/>
              </w:rPr>
              <w:t>et al</w:t>
            </w:r>
            <w:r w:rsidRPr="00E673EB">
              <w:t>. 2024</w:t>
            </w:r>
          </w:p>
        </w:tc>
      </w:tr>
      <w:tr w:rsidR="002A32B9" w:rsidRPr="003B5A86" w14:paraId="466B7491" w14:textId="77777777" w:rsidTr="004A0055">
        <w:trPr>
          <w:cantSplit/>
          <w:trHeight w:val="13"/>
        </w:trPr>
        <w:tc>
          <w:tcPr>
            <w:tcW w:w="0" w:type="auto"/>
            <w:tcBorders>
              <w:top w:val="nil"/>
              <w:left w:val="nil"/>
              <w:bottom w:val="nil"/>
              <w:right w:val="nil"/>
            </w:tcBorders>
          </w:tcPr>
          <w:p w14:paraId="6EA016B8" w14:textId="1A706579" w:rsidR="002A32B9" w:rsidRPr="00E673EB" w:rsidRDefault="002A32B9" w:rsidP="00377F3A">
            <w:pPr>
              <w:pStyle w:val="TableText"/>
              <w:rPr>
                <w:lang w:eastAsia="en-AU"/>
              </w:rPr>
            </w:pPr>
          </w:p>
        </w:tc>
        <w:tc>
          <w:tcPr>
            <w:tcW w:w="0" w:type="auto"/>
            <w:tcBorders>
              <w:top w:val="nil"/>
              <w:left w:val="nil"/>
              <w:bottom w:val="nil"/>
              <w:right w:val="nil"/>
            </w:tcBorders>
          </w:tcPr>
          <w:p w14:paraId="0E947720" w14:textId="77777777" w:rsidR="002A32B9" w:rsidRPr="00E673EB" w:rsidRDefault="002A32B9" w:rsidP="00377F3A">
            <w:pPr>
              <w:pStyle w:val="TableText"/>
            </w:pPr>
            <w:r w:rsidRPr="00E673EB">
              <w:t>Australia</w:t>
            </w:r>
          </w:p>
        </w:tc>
        <w:tc>
          <w:tcPr>
            <w:tcW w:w="0" w:type="auto"/>
            <w:tcBorders>
              <w:top w:val="nil"/>
              <w:left w:val="nil"/>
              <w:bottom w:val="nil"/>
              <w:right w:val="nil"/>
            </w:tcBorders>
          </w:tcPr>
          <w:p w14:paraId="70AAB7DA" w14:textId="77777777" w:rsidR="002A32B9" w:rsidRPr="00E673EB" w:rsidRDefault="002A32B9" w:rsidP="00377F3A">
            <w:pPr>
              <w:pStyle w:val="TableText"/>
            </w:pPr>
            <w:r w:rsidRPr="00E673EB">
              <w:t>Max liver residues 2 µg/kg in 2/73 southern boobooks (2.7%) in urban &amp; peri-urban areas of WA</w:t>
            </w:r>
          </w:p>
        </w:tc>
        <w:tc>
          <w:tcPr>
            <w:tcW w:w="0" w:type="auto"/>
            <w:tcBorders>
              <w:top w:val="nil"/>
              <w:left w:val="nil"/>
              <w:bottom w:val="nil"/>
              <w:right w:val="nil"/>
            </w:tcBorders>
          </w:tcPr>
          <w:p w14:paraId="605C0CFF" w14:textId="77777777" w:rsidR="002A32B9" w:rsidRPr="00E673EB" w:rsidRDefault="002A32B9" w:rsidP="00377F3A">
            <w:pPr>
              <w:pStyle w:val="TableText"/>
            </w:pPr>
            <w:r w:rsidRPr="00E673EB">
              <w:t>Lohr 2018</w:t>
            </w:r>
          </w:p>
        </w:tc>
      </w:tr>
      <w:tr w:rsidR="002A32B9" w:rsidRPr="003B5A86" w14:paraId="5496D0D7" w14:textId="77777777" w:rsidTr="004A0055">
        <w:trPr>
          <w:cantSplit/>
          <w:trHeight w:val="13"/>
        </w:trPr>
        <w:tc>
          <w:tcPr>
            <w:tcW w:w="0" w:type="auto"/>
            <w:tcBorders>
              <w:top w:val="nil"/>
              <w:left w:val="nil"/>
              <w:bottom w:val="nil"/>
              <w:right w:val="nil"/>
            </w:tcBorders>
          </w:tcPr>
          <w:p w14:paraId="45FD76DB"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27C57FE2" w14:textId="77777777" w:rsidR="002A32B9" w:rsidRPr="00E673EB" w:rsidRDefault="002A32B9" w:rsidP="00377F3A">
            <w:pPr>
              <w:pStyle w:val="TableText"/>
            </w:pPr>
          </w:p>
        </w:tc>
        <w:tc>
          <w:tcPr>
            <w:tcW w:w="0" w:type="auto"/>
            <w:tcBorders>
              <w:top w:val="nil"/>
              <w:left w:val="nil"/>
              <w:bottom w:val="nil"/>
              <w:right w:val="nil"/>
            </w:tcBorders>
          </w:tcPr>
          <w:p w14:paraId="5EC7D026" w14:textId="77777777" w:rsidR="002A32B9" w:rsidRPr="00E673EB" w:rsidRDefault="002A32B9" w:rsidP="00377F3A">
            <w:pPr>
              <w:pStyle w:val="TableText"/>
            </w:pPr>
            <w:r w:rsidRPr="00E673EB">
              <w:t>Max liver residues 2 µg/kg in 2/50 (4%) wedge-tailed eagles across Tasmania between 1996 and 2018</w:t>
            </w:r>
          </w:p>
        </w:tc>
        <w:tc>
          <w:tcPr>
            <w:tcW w:w="0" w:type="auto"/>
            <w:tcBorders>
              <w:top w:val="nil"/>
              <w:left w:val="nil"/>
              <w:bottom w:val="nil"/>
              <w:right w:val="nil"/>
            </w:tcBorders>
          </w:tcPr>
          <w:p w14:paraId="328933D9" w14:textId="418798E6" w:rsidR="002A32B9" w:rsidRPr="00E673EB" w:rsidRDefault="002A32B9" w:rsidP="00377F3A">
            <w:pPr>
              <w:pStyle w:val="TableText"/>
            </w:pPr>
            <w:r w:rsidRPr="00E673EB">
              <w:t xml:space="preserve">Pay </w:t>
            </w:r>
            <w:r w:rsidR="00B7183A" w:rsidRPr="00B7183A">
              <w:rPr>
                <w:i/>
                <w:iCs/>
              </w:rPr>
              <w:t>et al</w:t>
            </w:r>
            <w:r w:rsidRPr="00E673EB">
              <w:t>. 2021</w:t>
            </w:r>
          </w:p>
        </w:tc>
      </w:tr>
      <w:tr w:rsidR="002A32B9" w:rsidRPr="003B5A86" w14:paraId="42FE8B1A" w14:textId="77777777" w:rsidTr="004A0055">
        <w:trPr>
          <w:cantSplit/>
          <w:trHeight w:val="13"/>
        </w:trPr>
        <w:tc>
          <w:tcPr>
            <w:tcW w:w="0" w:type="auto"/>
            <w:tcBorders>
              <w:top w:val="nil"/>
              <w:left w:val="nil"/>
              <w:bottom w:val="nil"/>
              <w:right w:val="nil"/>
            </w:tcBorders>
          </w:tcPr>
          <w:p w14:paraId="1EBBDF52"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2872FF98" w14:textId="77777777" w:rsidR="002A32B9" w:rsidRPr="00E673EB" w:rsidRDefault="002A32B9" w:rsidP="00377F3A">
            <w:pPr>
              <w:pStyle w:val="TableText"/>
            </w:pPr>
            <w:r>
              <w:t>North America</w:t>
            </w:r>
          </w:p>
        </w:tc>
        <w:tc>
          <w:tcPr>
            <w:tcW w:w="0" w:type="auto"/>
            <w:tcBorders>
              <w:top w:val="nil"/>
              <w:left w:val="nil"/>
              <w:bottom w:val="nil"/>
              <w:right w:val="nil"/>
            </w:tcBorders>
          </w:tcPr>
          <w:p w14:paraId="5EC4238A" w14:textId="77777777" w:rsidR="002A32B9" w:rsidRPr="00E673EB" w:rsidRDefault="002A32B9" w:rsidP="00377F3A">
            <w:pPr>
              <w:pStyle w:val="TableText"/>
            </w:pPr>
            <w:r w:rsidRPr="00E673EB">
              <w:t>Not detected in 1 sparrow, 7 starlings in bromadialone or brodifacoum baited farms or farms in area of intensive poultry farming in Canada</w:t>
            </w:r>
          </w:p>
        </w:tc>
        <w:tc>
          <w:tcPr>
            <w:tcW w:w="0" w:type="auto"/>
            <w:tcBorders>
              <w:top w:val="nil"/>
              <w:left w:val="nil"/>
              <w:bottom w:val="nil"/>
              <w:right w:val="nil"/>
            </w:tcBorders>
          </w:tcPr>
          <w:p w14:paraId="25943D40" w14:textId="0A017FF5" w:rsidR="002A32B9" w:rsidRPr="00E673EB" w:rsidRDefault="002A32B9" w:rsidP="00377F3A">
            <w:pPr>
              <w:pStyle w:val="TableText"/>
            </w:pPr>
            <w:r w:rsidRPr="00E673EB">
              <w:t xml:space="preserve">Elliott </w:t>
            </w:r>
            <w:r w:rsidR="00B7183A" w:rsidRPr="00B7183A">
              <w:rPr>
                <w:i/>
                <w:iCs/>
              </w:rPr>
              <w:t>et al</w:t>
            </w:r>
            <w:r w:rsidRPr="00E673EB">
              <w:t>. 2014</w:t>
            </w:r>
          </w:p>
        </w:tc>
      </w:tr>
      <w:tr w:rsidR="002A32B9" w:rsidRPr="003B5A86" w14:paraId="4D9FA59A" w14:textId="77777777" w:rsidTr="004A0055">
        <w:trPr>
          <w:cantSplit/>
          <w:trHeight w:val="13"/>
        </w:trPr>
        <w:tc>
          <w:tcPr>
            <w:tcW w:w="0" w:type="auto"/>
            <w:tcBorders>
              <w:top w:val="nil"/>
              <w:left w:val="nil"/>
              <w:bottom w:val="nil"/>
              <w:right w:val="nil"/>
            </w:tcBorders>
          </w:tcPr>
          <w:p w14:paraId="2AA4C9CD"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0EDE8D80" w14:textId="77777777" w:rsidR="002A32B9" w:rsidRPr="00E673EB" w:rsidRDefault="002A32B9" w:rsidP="00377F3A">
            <w:pPr>
              <w:pStyle w:val="TableText"/>
            </w:pPr>
          </w:p>
        </w:tc>
        <w:tc>
          <w:tcPr>
            <w:tcW w:w="0" w:type="auto"/>
            <w:tcBorders>
              <w:top w:val="nil"/>
              <w:left w:val="nil"/>
              <w:bottom w:val="nil"/>
              <w:right w:val="nil"/>
            </w:tcBorders>
          </w:tcPr>
          <w:p w14:paraId="0AE71AAE" w14:textId="77777777" w:rsidR="002A32B9" w:rsidRPr="00E673EB" w:rsidRDefault="002A32B9" w:rsidP="00377F3A">
            <w:pPr>
              <w:pStyle w:val="TableText"/>
            </w:pPr>
            <w:r w:rsidRPr="00E673EB">
              <w:t>Max liver residues 720 µg/kg in 3/61 great horned owls, 5 µg/kg in 1/25 barred owls, 8 µg/kg in 1/78 barn owls in BC &amp; Yukon Territory of Canada between 1988 and 2003</w:t>
            </w:r>
          </w:p>
        </w:tc>
        <w:tc>
          <w:tcPr>
            <w:tcW w:w="0" w:type="auto"/>
            <w:tcBorders>
              <w:top w:val="nil"/>
              <w:left w:val="nil"/>
              <w:bottom w:val="nil"/>
              <w:right w:val="nil"/>
            </w:tcBorders>
          </w:tcPr>
          <w:p w14:paraId="5EF73B02" w14:textId="769689A8" w:rsidR="002A32B9" w:rsidRPr="00E673EB" w:rsidRDefault="002A32B9" w:rsidP="00377F3A">
            <w:pPr>
              <w:pStyle w:val="TableText"/>
            </w:pPr>
            <w:r w:rsidRPr="00E673EB">
              <w:t xml:space="preserve">Albert </w:t>
            </w:r>
            <w:r w:rsidR="00B7183A" w:rsidRPr="00B7183A">
              <w:rPr>
                <w:i/>
                <w:iCs/>
              </w:rPr>
              <w:t>et al</w:t>
            </w:r>
            <w:r w:rsidRPr="00E673EB">
              <w:t>. 2010</w:t>
            </w:r>
          </w:p>
        </w:tc>
      </w:tr>
      <w:tr w:rsidR="002A32B9" w:rsidRPr="003B5A86" w14:paraId="2CD6029D" w14:textId="77777777" w:rsidTr="004A0055">
        <w:trPr>
          <w:cantSplit/>
          <w:trHeight w:val="13"/>
        </w:trPr>
        <w:tc>
          <w:tcPr>
            <w:tcW w:w="0" w:type="auto"/>
            <w:tcBorders>
              <w:top w:val="nil"/>
              <w:left w:val="nil"/>
              <w:bottom w:val="nil"/>
              <w:right w:val="nil"/>
            </w:tcBorders>
          </w:tcPr>
          <w:p w14:paraId="34988D53"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B727AD3" w14:textId="77777777" w:rsidR="002A32B9" w:rsidRPr="00E673EB" w:rsidRDefault="002A32B9" w:rsidP="00377F3A">
            <w:pPr>
              <w:pStyle w:val="TableText"/>
            </w:pPr>
          </w:p>
        </w:tc>
        <w:tc>
          <w:tcPr>
            <w:tcW w:w="0" w:type="auto"/>
            <w:tcBorders>
              <w:top w:val="nil"/>
              <w:left w:val="nil"/>
              <w:bottom w:val="nil"/>
              <w:right w:val="nil"/>
            </w:tcBorders>
          </w:tcPr>
          <w:p w14:paraId="51DED58B" w14:textId="77777777" w:rsidR="002A32B9" w:rsidRPr="00E673EB" w:rsidRDefault="002A32B9" w:rsidP="00377F3A">
            <w:pPr>
              <w:pStyle w:val="TableText"/>
            </w:pPr>
            <w:r w:rsidRPr="00E673EB">
              <w:t>Not detected in 37 red-tailed hawks, 24 barred owls, 17 great horned owls, 16 eastern screech-owls in Massachusetts between 2012 and 2016</w:t>
            </w:r>
          </w:p>
        </w:tc>
        <w:tc>
          <w:tcPr>
            <w:tcW w:w="0" w:type="auto"/>
            <w:tcBorders>
              <w:top w:val="nil"/>
              <w:left w:val="nil"/>
              <w:bottom w:val="nil"/>
              <w:right w:val="nil"/>
            </w:tcBorders>
          </w:tcPr>
          <w:p w14:paraId="6CB31268" w14:textId="77777777" w:rsidR="002A32B9" w:rsidRPr="00E673EB" w:rsidRDefault="002A32B9" w:rsidP="00377F3A">
            <w:pPr>
              <w:pStyle w:val="TableText"/>
            </w:pPr>
            <w:r w:rsidRPr="00E673EB">
              <w:t>Murray 2017</w:t>
            </w:r>
          </w:p>
        </w:tc>
      </w:tr>
      <w:tr w:rsidR="002A32B9" w:rsidRPr="003B5A86" w14:paraId="4544EE37" w14:textId="77777777" w:rsidTr="004A0055">
        <w:trPr>
          <w:cantSplit/>
          <w:trHeight w:val="13"/>
        </w:trPr>
        <w:tc>
          <w:tcPr>
            <w:tcW w:w="0" w:type="auto"/>
            <w:tcBorders>
              <w:top w:val="nil"/>
              <w:left w:val="nil"/>
              <w:bottom w:val="nil"/>
              <w:right w:val="nil"/>
            </w:tcBorders>
          </w:tcPr>
          <w:p w14:paraId="0CC57078"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0D7855EF" w14:textId="77777777" w:rsidR="002A32B9" w:rsidRPr="00E673EB" w:rsidRDefault="002A32B9" w:rsidP="00377F3A">
            <w:pPr>
              <w:pStyle w:val="TableText"/>
            </w:pPr>
          </w:p>
        </w:tc>
        <w:tc>
          <w:tcPr>
            <w:tcW w:w="0" w:type="auto"/>
            <w:tcBorders>
              <w:top w:val="nil"/>
              <w:left w:val="nil"/>
              <w:bottom w:val="nil"/>
              <w:right w:val="nil"/>
            </w:tcBorders>
          </w:tcPr>
          <w:p w14:paraId="5C8556FD" w14:textId="77777777" w:rsidR="002A32B9" w:rsidRPr="00E673EB" w:rsidDel="00BB6B95" w:rsidRDefault="002A32B9" w:rsidP="00377F3A">
            <w:pPr>
              <w:pStyle w:val="TableText"/>
            </w:pPr>
            <w:r w:rsidRPr="00E673EB">
              <w:t>No detected in 43 red-tailed hawks in Massachusetts between 2017 and 2019</w:t>
            </w:r>
          </w:p>
        </w:tc>
        <w:tc>
          <w:tcPr>
            <w:tcW w:w="0" w:type="auto"/>
            <w:tcBorders>
              <w:top w:val="nil"/>
              <w:left w:val="nil"/>
              <w:bottom w:val="nil"/>
              <w:right w:val="nil"/>
            </w:tcBorders>
          </w:tcPr>
          <w:p w14:paraId="0267055A" w14:textId="77777777" w:rsidR="002A32B9" w:rsidRPr="00E673EB" w:rsidDel="00BB6B95" w:rsidRDefault="002A32B9" w:rsidP="00377F3A">
            <w:pPr>
              <w:pStyle w:val="TableText"/>
            </w:pPr>
            <w:r w:rsidRPr="00E673EB">
              <w:t>Murray 2020</w:t>
            </w:r>
          </w:p>
        </w:tc>
      </w:tr>
      <w:tr w:rsidR="002A32B9" w:rsidRPr="003B5A86" w14:paraId="521BF80F" w14:textId="77777777" w:rsidTr="004A0055">
        <w:trPr>
          <w:cantSplit/>
          <w:trHeight w:val="13"/>
        </w:trPr>
        <w:tc>
          <w:tcPr>
            <w:tcW w:w="0" w:type="auto"/>
            <w:tcBorders>
              <w:top w:val="nil"/>
              <w:left w:val="nil"/>
              <w:bottom w:val="nil"/>
              <w:right w:val="nil"/>
            </w:tcBorders>
          </w:tcPr>
          <w:p w14:paraId="6B1D6515"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61BBD675" w14:textId="77777777" w:rsidR="002A32B9" w:rsidRPr="00E673EB" w:rsidRDefault="002A32B9" w:rsidP="00377F3A">
            <w:pPr>
              <w:pStyle w:val="TableText"/>
            </w:pPr>
          </w:p>
        </w:tc>
        <w:tc>
          <w:tcPr>
            <w:tcW w:w="0" w:type="auto"/>
            <w:tcBorders>
              <w:top w:val="nil"/>
              <w:left w:val="nil"/>
              <w:bottom w:val="nil"/>
              <w:right w:val="nil"/>
            </w:tcBorders>
          </w:tcPr>
          <w:p w14:paraId="7E1F273C" w14:textId="77777777" w:rsidR="002A32B9" w:rsidRPr="00E673EB" w:rsidDel="00BB6B95" w:rsidRDefault="002A32B9" w:rsidP="00377F3A">
            <w:pPr>
              <w:pStyle w:val="TableText"/>
            </w:pPr>
            <w:r w:rsidRPr="00E673EB">
              <w:t>Liver residues 100 µg/kg in 1/50 Cooper’s hawk, 730 µg/kg in 1/53 great horned owl; not detected in 78 red-tailed hawk, 22 screech owls in New York between 1998 and 2001</w:t>
            </w:r>
          </w:p>
        </w:tc>
        <w:tc>
          <w:tcPr>
            <w:tcW w:w="0" w:type="auto"/>
            <w:tcBorders>
              <w:top w:val="nil"/>
              <w:left w:val="nil"/>
              <w:bottom w:val="nil"/>
              <w:right w:val="nil"/>
            </w:tcBorders>
          </w:tcPr>
          <w:p w14:paraId="0C3115BF" w14:textId="082BDFF4" w:rsidR="002A32B9" w:rsidRPr="00E673EB" w:rsidDel="00BB6B95" w:rsidRDefault="002A32B9" w:rsidP="00377F3A">
            <w:pPr>
              <w:pStyle w:val="TableText"/>
            </w:pPr>
            <w:r w:rsidRPr="00E673EB">
              <w:t xml:space="preserve">Stone </w:t>
            </w:r>
            <w:r w:rsidR="00B7183A" w:rsidRPr="00B7183A">
              <w:rPr>
                <w:i/>
                <w:iCs/>
              </w:rPr>
              <w:t>et al</w:t>
            </w:r>
            <w:r w:rsidRPr="00E673EB">
              <w:t>. 2003</w:t>
            </w:r>
          </w:p>
        </w:tc>
      </w:tr>
      <w:tr w:rsidR="002A32B9" w:rsidRPr="003B5A86" w14:paraId="210C71A1" w14:textId="77777777" w:rsidTr="004A0055">
        <w:trPr>
          <w:cantSplit/>
          <w:trHeight w:val="13"/>
        </w:trPr>
        <w:tc>
          <w:tcPr>
            <w:tcW w:w="0" w:type="auto"/>
            <w:tcBorders>
              <w:top w:val="nil"/>
              <w:left w:val="nil"/>
              <w:bottom w:val="nil"/>
              <w:right w:val="nil"/>
            </w:tcBorders>
          </w:tcPr>
          <w:p w14:paraId="531B5845"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B163245" w14:textId="77777777" w:rsidR="002A32B9" w:rsidRPr="00E673EB" w:rsidRDefault="002A32B9" w:rsidP="00377F3A">
            <w:pPr>
              <w:pStyle w:val="TableText"/>
            </w:pPr>
            <w:r w:rsidRPr="00E673EB">
              <w:t>Tawain</w:t>
            </w:r>
          </w:p>
        </w:tc>
        <w:tc>
          <w:tcPr>
            <w:tcW w:w="0" w:type="auto"/>
            <w:tcBorders>
              <w:top w:val="nil"/>
              <w:left w:val="nil"/>
              <w:bottom w:val="nil"/>
              <w:right w:val="nil"/>
            </w:tcBorders>
          </w:tcPr>
          <w:p w14:paraId="7D936DC9" w14:textId="77777777" w:rsidR="002A32B9" w:rsidRPr="00E673EB" w:rsidRDefault="002A32B9" w:rsidP="00377F3A">
            <w:pPr>
              <w:pStyle w:val="TableText"/>
            </w:pPr>
            <w:r w:rsidRPr="00E673EB">
              <w:t>Not detected in 112 black-winged kites from Taiwan airports between 2013 and 2016</w:t>
            </w:r>
          </w:p>
        </w:tc>
        <w:tc>
          <w:tcPr>
            <w:tcW w:w="0" w:type="auto"/>
            <w:tcBorders>
              <w:top w:val="nil"/>
              <w:left w:val="nil"/>
              <w:bottom w:val="nil"/>
              <w:right w:val="nil"/>
            </w:tcBorders>
          </w:tcPr>
          <w:p w14:paraId="1BE7A75E" w14:textId="163B591A" w:rsidR="002A32B9" w:rsidRPr="00E673EB" w:rsidRDefault="002A32B9" w:rsidP="00377F3A">
            <w:pPr>
              <w:pStyle w:val="TableText"/>
            </w:pPr>
            <w:r w:rsidRPr="00E673EB">
              <w:t xml:space="preserve">Lin </w:t>
            </w:r>
            <w:r w:rsidR="00B7183A" w:rsidRPr="00B7183A">
              <w:rPr>
                <w:i/>
                <w:iCs/>
              </w:rPr>
              <w:t>et al</w:t>
            </w:r>
            <w:r w:rsidRPr="00E673EB">
              <w:t>. 2022</w:t>
            </w:r>
          </w:p>
        </w:tc>
      </w:tr>
      <w:tr w:rsidR="002A32B9" w:rsidRPr="003B5A86" w14:paraId="63FAB5F8" w14:textId="77777777" w:rsidTr="004A0055">
        <w:trPr>
          <w:cantSplit/>
          <w:trHeight w:val="13"/>
        </w:trPr>
        <w:tc>
          <w:tcPr>
            <w:tcW w:w="0" w:type="auto"/>
            <w:tcBorders>
              <w:top w:val="nil"/>
              <w:left w:val="nil"/>
              <w:bottom w:val="nil"/>
              <w:right w:val="nil"/>
            </w:tcBorders>
          </w:tcPr>
          <w:p w14:paraId="6315B2DF"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27BFAB0" w14:textId="77777777" w:rsidR="002A32B9" w:rsidRPr="00E673EB" w:rsidRDefault="002A32B9" w:rsidP="00377F3A">
            <w:pPr>
              <w:pStyle w:val="TableText"/>
            </w:pPr>
            <w:r>
              <w:t>Europe</w:t>
            </w:r>
          </w:p>
        </w:tc>
        <w:tc>
          <w:tcPr>
            <w:tcW w:w="0" w:type="auto"/>
            <w:tcBorders>
              <w:top w:val="nil"/>
              <w:left w:val="nil"/>
              <w:bottom w:val="nil"/>
              <w:right w:val="nil"/>
            </w:tcBorders>
          </w:tcPr>
          <w:p w14:paraId="794D1E6E" w14:textId="77777777" w:rsidR="002A32B9" w:rsidRPr="00E673EB" w:rsidRDefault="002A32B9" w:rsidP="00377F3A">
            <w:pPr>
              <w:pStyle w:val="TableText"/>
            </w:pPr>
            <w:r w:rsidRPr="00E673EB">
              <w:t>Not detected in liver of 48 northern goshawk, 41 red kite, 60 white-tailed eagle, 23 Eurasian sparrowhawk or 13 osprey in Germany between 1996 and 2018</w:t>
            </w:r>
          </w:p>
        </w:tc>
        <w:tc>
          <w:tcPr>
            <w:tcW w:w="0" w:type="auto"/>
            <w:tcBorders>
              <w:top w:val="nil"/>
              <w:left w:val="nil"/>
              <w:bottom w:val="nil"/>
              <w:right w:val="nil"/>
            </w:tcBorders>
          </w:tcPr>
          <w:p w14:paraId="1E9562C4" w14:textId="7DD5FC87" w:rsidR="002A32B9" w:rsidRPr="00E673EB" w:rsidRDefault="002A32B9" w:rsidP="00377F3A">
            <w:pPr>
              <w:pStyle w:val="TableText"/>
            </w:pPr>
            <w:r w:rsidRPr="00E673EB">
              <w:t xml:space="preserve">Badry </w:t>
            </w:r>
            <w:r w:rsidR="00B7183A" w:rsidRPr="00B7183A">
              <w:rPr>
                <w:i/>
                <w:iCs/>
              </w:rPr>
              <w:t>et al</w:t>
            </w:r>
            <w:r w:rsidRPr="00E673EB">
              <w:t>. 2021</w:t>
            </w:r>
          </w:p>
        </w:tc>
      </w:tr>
      <w:tr w:rsidR="002A32B9" w:rsidRPr="003B5A86" w14:paraId="180E5865" w14:textId="77777777" w:rsidTr="004A0055">
        <w:trPr>
          <w:cantSplit/>
          <w:trHeight w:val="13"/>
        </w:trPr>
        <w:tc>
          <w:tcPr>
            <w:tcW w:w="0" w:type="auto"/>
            <w:tcBorders>
              <w:top w:val="nil"/>
              <w:left w:val="nil"/>
              <w:bottom w:val="nil"/>
              <w:right w:val="nil"/>
            </w:tcBorders>
          </w:tcPr>
          <w:p w14:paraId="0D0FE1F0"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355B6425" w14:textId="77777777" w:rsidR="002A32B9" w:rsidRPr="00E673EB" w:rsidRDefault="002A32B9" w:rsidP="00377F3A">
            <w:pPr>
              <w:pStyle w:val="TableText"/>
            </w:pPr>
          </w:p>
        </w:tc>
        <w:tc>
          <w:tcPr>
            <w:tcW w:w="0" w:type="auto"/>
            <w:tcBorders>
              <w:top w:val="nil"/>
              <w:left w:val="nil"/>
              <w:bottom w:val="nil"/>
              <w:right w:val="nil"/>
            </w:tcBorders>
          </w:tcPr>
          <w:p w14:paraId="0E1D9C83" w14:textId="77777777" w:rsidR="002A32B9" w:rsidRPr="00E673EB" w:rsidRDefault="002A32B9" w:rsidP="00377F3A">
            <w:pPr>
              <w:pStyle w:val="TableText"/>
            </w:pPr>
            <w:r w:rsidRPr="00E673EB">
              <w:t>Not detected in 33 scops owls, 41 barn owls, 27 tawny owls, 14 eagle owls, 12 long-eared owls, 7 little owls, 56 common buzzards in Mediterranean region of Spain between 2011 and 2013</w:t>
            </w:r>
          </w:p>
        </w:tc>
        <w:tc>
          <w:tcPr>
            <w:tcW w:w="0" w:type="auto"/>
            <w:tcBorders>
              <w:top w:val="nil"/>
              <w:left w:val="nil"/>
              <w:bottom w:val="nil"/>
              <w:right w:val="nil"/>
            </w:tcBorders>
          </w:tcPr>
          <w:p w14:paraId="210A027E" w14:textId="1545CF31" w:rsidR="002A32B9" w:rsidRPr="00E673EB" w:rsidRDefault="002A32B9" w:rsidP="00377F3A">
            <w:pPr>
              <w:pStyle w:val="TableText"/>
            </w:pPr>
            <w:r w:rsidRPr="00E673EB">
              <w:t xml:space="preserve">López-Perea </w:t>
            </w:r>
            <w:r w:rsidR="00B7183A" w:rsidRPr="00B7183A">
              <w:rPr>
                <w:i/>
                <w:iCs/>
              </w:rPr>
              <w:t>et al</w:t>
            </w:r>
            <w:r w:rsidRPr="00E673EB">
              <w:t>. 2015</w:t>
            </w:r>
          </w:p>
        </w:tc>
      </w:tr>
      <w:tr w:rsidR="002A32B9" w14:paraId="7D0CA88A" w14:textId="77777777" w:rsidTr="004A0055">
        <w:trPr>
          <w:cantSplit/>
          <w:trHeight w:val="13"/>
        </w:trPr>
        <w:tc>
          <w:tcPr>
            <w:tcW w:w="0" w:type="auto"/>
            <w:tcBorders>
              <w:top w:val="nil"/>
              <w:left w:val="nil"/>
              <w:bottom w:val="single" w:sz="4" w:space="0" w:color="auto"/>
              <w:right w:val="nil"/>
            </w:tcBorders>
          </w:tcPr>
          <w:p w14:paraId="37E17CC9" w14:textId="77777777"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607D00A9" w14:textId="77777777" w:rsidR="002A32B9" w:rsidRPr="00E673EB" w:rsidRDefault="002A32B9" w:rsidP="00377F3A">
            <w:pPr>
              <w:pStyle w:val="TableText"/>
            </w:pPr>
          </w:p>
        </w:tc>
        <w:tc>
          <w:tcPr>
            <w:tcW w:w="0" w:type="auto"/>
            <w:tcBorders>
              <w:top w:val="nil"/>
              <w:left w:val="nil"/>
              <w:bottom w:val="single" w:sz="4" w:space="0" w:color="auto"/>
              <w:right w:val="nil"/>
            </w:tcBorders>
          </w:tcPr>
          <w:p w14:paraId="368F44D6" w14:textId="77777777" w:rsidR="002A32B9" w:rsidRPr="00E673EB" w:rsidRDefault="002A32B9" w:rsidP="00377F3A">
            <w:pPr>
              <w:pStyle w:val="TableText"/>
            </w:pPr>
            <w:r w:rsidRPr="00E673EB">
              <w:t>Not detected in 142 granivorous birds, 129 predatory birds in Spain between 2005 and 2010</w:t>
            </w:r>
          </w:p>
        </w:tc>
        <w:tc>
          <w:tcPr>
            <w:tcW w:w="0" w:type="auto"/>
            <w:tcBorders>
              <w:top w:val="nil"/>
              <w:left w:val="nil"/>
              <w:bottom w:val="single" w:sz="4" w:space="0" w:color="auto"/>
              <w:right w:val="nil"/>
            </w:tcBorders>
          </w:tcPr>
          <w:p w14:paraId="31509FBB" w14:textId="322A3FED" w:rsidR="002A32B9" w:rsidRPr="00E673EB" w:rsidRDefault="002A32B9" w:rsidP="00377F3A">
            <w:pPr>
              <w:pStyle w:val="TableText"/>
            </w:pPr>
            <w:r w:rsidRPr="00E673EB">
              <w:t xml:space="preserve">Sánchez-Barbudo </w:t>
            </w:r>
            <w:r w:rsidR="00B7183A" w:rsidRPr="00B7183A">
              <w:rPr>
                <w:i/>
                <w:iCs/>
              </w:rPr>
              <w:t>et al</w:t>
            </w:r>
            <w:r w:rsidRPr="00E673EB">
              <w:t>. 2012</w:t>
            </w:r>
          </w:p>
        </w:tc>
      </w:tr>
      <w:tr w:rsidR="002A32B9" w:rsidRPr="003B5A86" w14:paraId="0B0C70D9" w14:textId="77777777" w:rsidTr="004A0055">
        <w:trPr>
          <w:cantSplit/>
          <w:trHeight w:val="13"/>
        </w:trPr>
        <w:tc>
          <w:tcPr>
            <w:tcW w:w="0" w:type="auto"/>
            <w:tcBorders>
              <w:top w:val="single" w:sz="4" w:space="0" w:color="auto"/>
              <w:left w:val="nil"/>
              <w:bottom w:val="nil"/>
              <w:right w:val="nil"/>
            </w:tcBorders>
          </w:tcPr>
          <w:p w14:paraId="53D461FD" w14:textId="77777777" w:rsidR="002A32B9" w:rsidRPr="00E673EB" w:rsidRDefault="002A32B9" w:rsidP="00377F3A">
            <w:pPr>
              <w:pStyle w:val="TableText"/>
              <w:rPr>
                <w:lang w:eastAsia="en-AU"/>
              </w:rPr>
            </w:pPr>
            <w:r w:rsidRPr="00E673EB">
              <w:rPr>
                <w:lang w:eastAsia="en-AU"/>
              </w:rPr>
              <w:t>Reptiles</w:t>
            </w:r>
          </w:p>
        </w:tc>
        <w:tc>
          <w:tcPr>
            <w:tcW w:w="0" w:type="auto"/>
            <w:tcBorders>
              <w:top w:val="single" w:sz="4" w:space="0" w:color="auto"/>
              <w:left w:val="nil"/>
              <w:bottom w:val="nil"/>
              <w:right w:val="nil"/>
            </w:tcBorders>
          </w:tcPr>
          <w:p w14:paraId="15C018F4" w14:textId="77777777" w:rsidR="002A32B9" w:rsidRPr="00E673EB" w:rsidRDefault="002A32B9" w:rsidP="00377F3A">
            <w:pPr>
              <w:pStyle w:val="TableText"/>
            </w:pPr>
            <w:r w:rsidRPr="00E673EB">
              <w:t>Australia</w:t>
            </w:r>
          </w:p>
        </w:tc>
        <w:tc>
          <w:tcPr>
            <w:tcW w:w="0" w:type="auto"/>
            <w:tcBorders>
              <w:top w:val="single" w:sz="4" w:space="0" w:color="auto"/>
              <w:left w:val="nil"/>
              <w:bottom w:val="nil"/>
              <w:right w:val="nil"/>
            </w:tcBorders>
          </w:tcPr>
          <w:p w14:paraId="058A0DA7" w14:textId="77777777" w:rsidR="002A32B9" w:rsidRPr="00E673EB" w:rsidRDefault="002A32B9" w:rsidP="00377F3A">
            <w:pPr>
              <w:pStyle w:val="TableText"/>
            </w:pPr>
            <w:r w:rsidRPr="00E673EB">
              <w:t>Max liver residues 11 µg/kg in 4/11 dugites from 2014-18, not detected in 10 bobtails or 11 tiger snakes from 2018-19 in Greater Perth, WA</w:t>
            </w:r>
          </w:p>
        </w:tc>
        <w:tc>
          <w:tcPr>
            <w:tcW w:w="0" w:type="auto"/>
            <w:tcBorders>
              <w:top w:val="single" w:sz="4" w:space="0" w:color="auto"/>
              <w:left w:val="nil"/>
              <w:bottom w:val="nil"/>
              <w:right w:val="nil"/>
            </w:tcBorders>
          </w:tcPr>
          <w:p w14:paraId="1C3A7E4F" w14:textId="19E3389F" w:rsidR="002A32B9" w:rsidRPr="00E673EB" w:rsidRDefault="002A32B9" w:rsidP="00377F3A">
            <w:pPr>
              <w:pStyle w:val="TableText"/>
            </w:pPr>
            <w:r w:rsidRPr="00E673EB">
              <w:t xml:space="preserve">Lettoof </w:t>
            </w:r>
            <w:r w:rsidR="00B7183A" w:rsidRPr="00B7183A">
              <w:rPr>
                <w:i/>
                <w:iCs/>
              </w:rPr>
              <w:t>et al</w:t>
            </w:r>
            <w:r w:rsidRPr="00E673EB">
              <w:t>. 2020</w:t>
            </w:r>
          </w:p>
        </w:tc>
      </w:tr>
      <w:tr w:rsidR="002A32B9" w14:paraId="6730002F" w14:textId="77777777" w:rsidTr="004A0055">
        <w:trPr>
          <w:cantSplit/>
          <w:trHeight w:val="13"/>
        </w:trPr>
        <w:tc>
          <w:tcPr>
            <w:tcW w:w="0" w:type="auto"/>
            <w:tcBorders>
              <w:top w:val="nil"/>
              <w:left w:val="nil"/>
              <w:bottom w:val="single" w:sz="4" w:space="0" w:color="auto"/>
              <w:right w:val="nil"/>
            </w:tcBorders>
          </w:tcPr>
          <w:p w14:paraId="1C30118A" w14:textId="77777777"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7B1D8CF5" w14:textId="77777777" w:rsidR="002A32B9" w:rsidRPr="00E673EB" w:rsidRDefault="002A32B9" w:rsidP="00377F3A">
            <w:pPr>
              <w:pStyle w:val="TableText"/>
            </w:pPr>
            <w:r>
              <w:t>Europe</w:t>
            </w:r>
          </w:p>
        </w:tc>
        <w:tc>
          <w:tcPr>
            <w:tcW w:w="0" w:type="auto"/>
            <w:tcBorders>
              <w:top w:val="nil"/>
              <w:left w:val="nil"/>
              <w:bottom w:val="single" w:sz="4" w:space="0" w:color="auto"/>
              <w:right w:val="nil"/>
            </w:tcBorders>
          </w:tcPr>
          <w:p w14:paraId="37B58B31" w14:textId="77777777" w:rsidR="002A32B9" w:rsidRPr="00E673EB" w:rsidRDefault="002A32B9" w:rsidP="00377F3A">
            <w:pPr>
              <w:pStyle w:val="TableText"/>
            </w:pPr>
            <w:r w:rsidRPr="00E673EB">
              <w:t xml:space="preserve">Not detected in 2 reptile species in Spain between 2005 and 2010 </w:t>
            </w:r>
          </w:p>
        </w:tc>
        <w:tc>
          <w:tcPr>
            <w:tcW w:w="0" w:type="auto"/>
            <w:tcBorders>
              <w:top w:val="nil"/>
              <w:left w:val="nil"/>
              <w:bottom w:val="single" w:sz="4" w:space="0" w:color="auto"/>
              <w:right w:val="nil"/>
            </w:tcBorders>
          </w:tcPr>
          <w:p w14:paraId="4AA997C3" w14:textId="3CFFF737" w:rsidR="002A32B9" w:rsidRPr="00E673EB" w:rsidRDefault="002A32B9" w:rsidP="00377F3A">
            <w:pPr>
              <w:pStyle w:val="TableText"/>
            </w:pPr>
            <w:r w:rsidRPr="00E673EB">
              <w:t xml:space="preserve">Sánchez-Barbudo </w:t>
            </w:r>
            <w:r w:rsidR="00B7183A" w:rsidRPr="00B7183A">
              <w:rPr>
                <w:i/>
                <w:iCs/>
              </w:rPr>
              <w:t>et al</w:t>
            </w:r>
            <w:r w:rsidRPr="00E673EB">
              <w:t>. 2012</w:t>
            </w:r>
          </w:p>
        </w:tc>
      </w:tr>
      <w:tr w:rsidR="002A32B9" w14:paraId="150A0464" w14:textId="77777777" w:rsidTr="004A0055">
        <w:trPr>
          <w:cantSplit/>
          <w:trHeight w:val="13"/>
        </w:trPr>
        <w:tc>
          <w:tcPr>
            <w:tcW w:w="0" w:type="auto"/>
            <w:tcBorders>
              <w:top w:val="single" w:sz="4" w:space="0" w:color="auto"/>
              <w:left w:val="nil"/>
              <w:bottom w:val="nil"/>
              <w:right w:val="nil"/>
            </w:tcBorders>
          </w:tcPr>
          <w:p w14:paraId="5DB1CB7C" w14:textId="77777777" w:rsidR="002A32B9" w:rsidRPr="00E673EB" w:rsidRDefault="002A32B9"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08D83216" w14:textId="77777777" w:rsidR="002A32B9" w:rsidRPr="00E673EB" w:rsidRDefault="002A32B9" w:rsidP="00377F3A">
            <w:pPr>
              <w:pStyle w:val="TableText"/>
            </w:pPr>
            <w:r>
              <w:t>Europe</w:t>
            </w:r>
          </w:p>
        </w:tc>
        <w:tc>
          <w:tcPr>
            <w:tcW w:w="0" w:type="auto"/>
            <w:tcBorders>
              <w:top w:val="single" w:sz="4" w:space="0" w:color="auto"/>
              <w:left w:val="nil"/>
              <w:bottom w:val="nil"/>
              <w:right w:val="nil"/>
            </w:tcBorders>
          </w:tcPr>
          <w:p w14:paraId="690627E4" w14:textId="77777777" w:rsidR="002A32B9" w:rsidRPr="00E673EB" w:rsidRDefault="002A32B9" w:rsidP="00377F3A">
            <w:pPr>
              <w:pStyle w:val="TableText"/>
            </w:pPr>
            <w:r w:rsidRPr="00E673EB">
              <w:t>&lt;LOQ (0.2 µg/kg) in bream of two German rivers between 1992 and 2015</w:t>
            </w:r>
          </w:p>
        </w:tc>
        <w:tc>
          <w:tcPr>
            <w:tcW w:w="0" w:type="auto"/>
            <w:tcBorders>
              <w:top w:val="single" w:sz="4" w:space="0" w:color="auto"/>
              <w:left w:val="nil"/>
              <w:bottom w:val="nil"/>
              <w:right w:val="nil"/>
            </w:tcBorders>
          </w:tcPr>
          <w:p w14:paraId="2C3554FC" w14:textId="42BBCF73" w:rsidR="002A32B9" w:rsidRPr="00E673EB" w:rsidRDefault="002A32B9" w:rsidP="00377F3A">
            <w:pPr>
              <w:pStyle w:val="TableText"/>
            </w:pPr>
            <w:r w:rsidRPr="00E673EB">
              <w:t xml:space="preserve">Kotthoff </w:t>
            </w:r>
            <w:r w:rsidR="00B7183A" w:rsidRPr="00B7183A">
              <w:rPr>
                <w:i/>
                <w:iCs/>
              </w:rPr>
              <w:t>et al</w:t>
            </w:r>
            <w:r w:rsidRPr="00E673EB">
              <w:t>. 2019</w:t>
            </w:r>
          </w:p>
        </w:tc>
      </w:tr>
      <w:tr w:rsidR="002A32B9" w14:paraId="0F47A909" w14:textId="77777777" w:rsidTr="004A0055">
        <w:trPr>
          <w:cantSplit/>
          <w:trHeight w:val="13"/>
        </w:trPr>
        <w:tc>
          <w:tcPr>
            <w:tcW w:w="0" w:type="auto"/>
            <w:tcBorders>
              <w:top w:val="nil"/>
              <w:left w:val="nil"/>
              <w:bottom w:val="nil"/>
              <w:right w:val="nil"/>
            </w:tcBorders>
          </w:tcPr>
          <w:p w14:paraId="78D9C6EA" w14:textId="77777777" w:rsidR="002A32B9" w:rsidRPr="00E673EB" w:rsidRDefault="002A32B9" w:rsidP="00377F3A">
            <w:pPr>
              <w:pStyle w:val="TableText"/>
              <w:rPr>
                <w:lang w:eastAsia="en-AU"/>
              </w:rPr>
            </w:pPr>
          </w:p>
        </w:tc>
        <w:tc>
          <w:tcPr>
            <w:tcW w:w="0" w:type="auto"/>
            <w:tcBorders>
              <w:top w:val="nil"/>
              <w:left w:val="nil"/>
              <w:bottom w:val="nil"/>
              <w:right w:val="nil"/>
            </w:tcBorders>
          </w:tcPr>
          <w:p w14:paraId="55B0FC10" w14:textId="77777777" w:rsidR="002A32B9" w:rsidRPr="00E673EB" w:rsidRDefault="002A32B9" w:rsidP="00377F3A">
            <w:pPr>
              <w:pStyle w:val="TableText"/>
            </w:pPr>
          </w:p>
        </w:tc>
        <w:tc>
          <w:tcPr>
            <w:tcW w:w="0" w:type="auto"/>
            <w:tcBorders>
              <w:top w:val="nil"/>
              <w:left w:val="nil"/>
              <w:bottom w:val="nil"/>
              <w:right w:val="nil"/>
            </w:tcBorders>
          </w:tcPr>
          <w:p w14:paraId="01C2D1CD" w14:textId="77777777" w:rsidR="002A32B9" w:rsidRPr="00E673EB" w:rsidRDefault="002A32B9" w:rsidP="00377F3A">
            <w:pPr>
              <w:pStyle w:val="TableText"/>
            </w:pPr>
            <w:r w:rsidRPr="00E673EB">
              <w:t>Max liver residues 0.05 µg/kg in 3/32 fish in bioaccumulation ponds; not detected in 12 fish in receiving streams of municipal wastewater treatment plants in Germany between 2013 and 2016</w:t>
            </w:r>
          </w:p>
        </w:tc>
        <w:tc>
          <w:tcPr>
            <w:tcW w:w="0" w:type="auto"/>
            <w:tcBorders>
              <w:top w:val="nil"/>
              <w:left w:val="nil"/>
              <w:bottom w:val="nil"/>
              <w:right w:val="nil"/>
            </w:tcBorders>
          </w:tcPr>
          <w:p w14:paraId="29F74CBD" w14:textId="3A1239C8" w:rsidR="002A32B9" w:rsidRPr="00E673EB" w:rsidRDefault="002A32B9" w:rsidP="00377F3A">
            <w:pPr>
              <w:pStyle w:val="TableText"/>
            </w:pPr>
            <w:r w:rsidRPr="00E673EB">
              <w:t xml:space="preserve">Regnery </w:t>
            </w:r>
            <w:r w:rsidR="00B7183A" w:rsidRPr="00B7183A">
              <w:rPr>
                <w:i/>
                <w:iCs/>
              </w:rPr>
              <w:t>et al</w:t>
            </w:r>
            <w:r w:rsidRPr="00E673EB">
              <w:t>. 2019</w:t>
            </w:r>
          </w:p>
        </w:tc>
      </w:tr>
      <w:tr w:rsidR="002A32B9" w14:paraId="0BD49828" w14:textId="77777777" w:rsidTr="004A0055">
        <w:trPr>
          <w:cantSplit/>
          <w:trHeight w:val="13"/>
        </w:trPr>
        <w:tc>
          <w:tcPr>
            <w:tcW w:w="0" w:type="auto"/>
            <w:tcBorders>
              <w:top w:val="nil"/>
              <w:left w:val="nil"/>
              <w:bottom w:val="single" w:sz="4" w:space="0" w:color="auto"/>
              <w:right w:val="nil"/>
            </w:tcBorders>
          </w:tcPr>
          <w:p w14:paraId="03A43799" w14:textId="77777777" w:rsidR="002A32B9" w:rsidRPr="00E673EB" w:rsidRDefault="002A32B9" w:rsidP="00377F3A">
            <w:pPr>
              <w:pStyle w:val="TableText"/>
              <w:rPr>
                <w:lang w:eastAsia="en-AU"/>
              </w:rPr>
            </w:pPr>
          </w:p>
        </w:tc>
        <w:tc>
          <w:tcPr>
            <w:tcW w:w="0" w:type="auto"/>
            <w:tcBorders>
              <w:top w:val="nil"/>
              <w:left w:val="nil"/>
              <w:bottom w:val="single" w:sz="4" w:space="0" w:color="auto"/>
              <w:right w:val="nil"/>
            </w:tcBorders>
          </w:tcPr>
          <w:p w14:paraId="4DF58D5F" w14:textId="77777777" w:rsidR="002A32B9" w:rsidRPr="00E673EB" w:rsidRDefault="002A32B9" w:rsidP="00377F3A">
            <w:pPr>
              <w:pStyle w:val="TableText"/>
            </w:pPr>
          </w:p>
        </w:tc>
        <w:tc>
          <w:tcPr>
            <w:tcW w:w="0" w:type="auto"/>
            <w:tcBorders>
              <w:top w:val="nil"/>
              <w:left w:val="nil"/>
              <w:bottom w:val="single" w:sz="4" w:space="0" w:color="auto"/>
              <w:right w:val="nil"/>
            </w:tcBorders>
          </w:tcPr>
          <w:p w14:paraId="603D5678" w14:textId="77777777" w:rsidR="002A32B9" w:rsidRPr="00E673EB" w:rsidRDefault="002A32B9" w:rsidP="00377F3A">
            <w:pPr>
              <w:pStyle w:val="TableText"/>
            </w:pPr>
            <w:r w:rsidRPr="00E673EB">
              <w:t>Detected in 12/46 fish but &lt;LOQ (0.02 µg/kg) in receiving streams of municipal wastewater treatment plants in Germany in 2019</w:t>
            </w:r>
          </w:p>
        </w:tc>
        <w:tc>
          <w:tcPr>
            <w:tcW w:w="0" w:type="auto"/>
            <w:tcBorders>
              <w:top w:val="nil"/>
              <w:left w:val="nil"/>
              <w:bottom w:val="single" w:sz="4" w:space="0" w:color="auto"/>
              <w:right w:val="nil"/>
            </w:tcBorders>
          </w:tcPr>
          <w:p w14:paraId="2C2B1515" w14:textId="683F80AD" w:rsidR="002A32B9" w:rsidRPr="00E673EB" w:rsidRDefault="002A32B9" w:rsidP="00377F3A">
            <w:pPr>
              <w:pStyle w:val="TableText"/>
            </w:pPr>
            <w:r w:rsidRPr="00E673EB">
              <w:t xml:space="preserve">Regnery </w:t>
            </w:r>
            <w:r w:rsidR="00B7183A" w:rsidRPr="00B7183A">
              <w:rPr>
                <w:i/>
                <w:iCs/>
              </w:rPr>
              <w:t>et al</w:t>
            </w:r>
            <w:r w:rsidRPr="00E673EB">
              <w:t>. 2020</w:t>
            </w:r>
          </w:p>
        </w:tc>
      </w:tr>
    </w:tbl>
    <w:p w14:paraId="5BFBB716" w14:textId="77777777" w:rsidR="00EE24E4" w:rsidRDefault="00EE24E4" w:rsidP="00377F3A">
      <w:pPr>
        <w:pStyle w:val="APVMAAppendixH3"/>
      </w:pPr>
      <w:bookmarkStart w:id="2015" w:name="_Toc214025615"/>
      <w:bookmarkStart w:id="2016" w:name="_Toc216695636"/>
      <w:r>
        <w:lastRenderedPageBreak/>
        <w:t>Effects on non-target species</w:t>
      </w:r>
      <w:bookmarkEnd w:id="2015"/>
      <w:bookmarkEnd w:id="2016"/>
    </w:p>
    <w:p w14:paraId="4EA71F72" w14:textId="6B19BE1F" w:rsidR="00980B2F" w:rsidRPr="00861CA0" w:rsidRDefault="00850971" w:rsidP="00377F3A">
      <w:pPr>
        <w:pStyle w:val="Caption"/>
      </w:pPr>
      <w:bookmarkStart w:id="2017" w:name="_Toc213946075"/>
      <w:bookmarkStart w:id="2018" w:name="_Toc216695766"/>
      <w:r>
        <w:t xml:space="preserve">Table </w:t>
      </w:r>
      <w:r>
        <w:fldChar w:fldCharType="begin"/>
      </w:r>
      <w:r>
        <w:instrText xml:space="preserve"> SEQ Table \* ARABIC </w:instrText>
      </w:r>
      <w:r>
        <w:fldChar w:fldCharType="separate"/>
      </w:r>
      <w:r w:rsidR="003861AC">
        <w:rPr>
          <w:noProof/>
        </w:rPr>
        <w:t>104</w:t>
      </w:r>
      <w:r>
        <w:fldChar w:fldCharType="end"/>
      </w:r>
      <w:r>
        <w:t xml:space="preserve">: </w:t>
      </w:r>
      <w:r w:rsidR="00437439">
        <w:t xml:space="preserve">Warfarin – </w:t>
      </w:r>
      <w:r w:rsidR="00980B2F">
        <w:t>Primary poisoning studies on terrestrial vertebrates</w:t>
      </w:r>
      <w:bookmarkEnd w:id="2017"/>
      <w:bookmarkEnd w:id="2018"/>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3"/>
        <w:gridCol w:w="1086"/>
        <w:gridCol w:w="2392"/>
        <w:gridCol w:w="2348"/>
        <w:gridCol w:w="2679"/>
      </w:tblGrid>
      <w:tr w:rsidR="00437439" w:rsidRPr="000B2FA7" w14:paraId="48271291" w14:textId="77777777" w:rsidTr="0017134F">
        <w:trPr>
          <w:cantSplit/>
          <w:tblHeader/>
        </w:trPr>
        <w:tc>
          <w:tcPr>
            <w:tcW w:w="0" w:type="auto"/>
            <w:tcBorders>
              <w:bottom w:val="single" w:sz="4" w:space="0" w:color="auto"/>
            </w:tcBorders>
            <w:shd w:val="clear" w:color="auto" w:fill="53284F"/>
          </w:tcPr>
          <w:p w14:paraId="28B62E5E" w14:textId="77777777" w:rsidR="00437439" w:rsidRDefault="00437439" w:rsidP="00377F3A">
            <w:pPr>
              <w:pStyle w:val="TableHead"/>
            </w:pPr>
            <w:r>
              <w:t>Group</w:t>
            </w:r>
          </w:p>
        </w:tc>
        <w:tc>
          <w:tcPr>
            <w:tcW w:w="0" w:type="auto"/>
            <w:tcBorders>
              <w:bottom w:val="single" w:sz="4" w:space="0" w:color="auto"/>
            </w:tcBorders>
            <w:shd w:val="clear" w:color="auto" w:fill="53284F"/>
          </w:tcPr>
          <w:p w14:paraId="701D92CE" w14:textId="77777777" w:rsidR="00437439" w:rsidRDefault="00437439" w:rsidP="00377F3A">
            <w:pPr>
              <w:pStyle w:val="TableHead"/>
            </w:pPr>
            <w:r>
              <w:t>Exposure</w:t>
            </w:r>
          </w:p>
        </w:tc>
        <w:tc>
          <w:tcPr>
            <w:tcW w:w="0" w:type="auto"/>
            <w:tcBorders>
              <w:bottom w:val="single" w:sz="4" w:space="0" w:color="auto"/>
            </w:tcBorders>
            <w:shd w:val="clear" w:color="auto" w:fill="53284F"/>
          </w:tcPr>
          <w:p w14:paraId="3995CDB1" w14:textId="77777777" w:rsidR="00437439" w:rsidRPr="00CA558C" w:rsidRDefault="00437439" w:rsidP="00377F3A">
            <w:pPr>
              <w:pStyle w:val="TableHead"/>
            </w:pPr>
            <w:r>
              <w:t>Species</w:t>
            </w:r>
          </w:p>
        </w:tc>
        <w:tc>
          <w:tcPr>
            <w:tcW w:w="0" w:type="auto"/>
            <w:tcBorders>
              <w:bottom w:val="single" w:sz="4" w:space="0" w:color="auto"/>
            </w:tcBorders>
            <w:shd w:val="clear" w:color="auto" w:fill="53284F"/>
          </w:tcPr>
          <w:p w14:paraId="4300C5A9" w14:textId="77777777" w:rsidR="00437439" w:rsidRPr="00CA558C" w:rsidRDefault="00437439" w:rsidP="00377F3A">
            <w:pPr>
              <w:pStyle w:val="TableHead"/>
            </w:pPr>
            <w:r>
              <w:t>Toxicity v</w:t>
            </w:r>
            <w:r w:rsidRPr="00CA558C">
              <w:t>alue</w:t>
            </w:r>
            <w:r>
              <w:rPr>
                <w:rStyle w:val="FootnoteReference"/>
                <w:rFonts w:ascii="Arial" w:hAnsi="Arial"/>
                <w:b/>
                <w:sz w:val="17"/>
                <w:szCs w:val="17"/>
              </w:rPr>
              <w:footnoteReference w:id="28"/>
            </w:r>
          </w:p>
        </w:tc>
        <w:tc>
          <w:tcPr>
            <w:tcW w:w="0" w:type="auto"/>
            <w:tcBorders>
              <w:bottom w:val="single" w:sz="4" w:space="0" w:color="auto"/>
            </w:tcBorders>
            <w:shd w:val="clear" w:color="auto" w:fill="53284F"/>
          </w:tcPr>
          <w:p w14:paraId="0FABAD61" w14:textId="77777777" w:rsidR="00437439" w:rsidRPr="00CA558C" w:rsidRDefault="00437439" w:rsidP="00377F3A">
            <w:pPr>
              <w:pStyle w:val="TableHead"/>
            </w:pPr>
            <w:r>
              <w:t>Reference</w:t>
            </w:r>
          </w:p>
        </w:tc>
      </w:tr>
      <w:tr w:rsidR="00437439" w14:paraId="33FA9227" w14:textId="77777777" w:rsidTr="00073396">
        <w:trPr>
          <w:cantSplit/>
        </w:trPr>
        <w:tc>
          <w:tcPr>
            <w:tcW w:w="0" w:type="auto"/>
            <w:tcBorders>
              <w:top w:val="single" w:sz="4" w:space="0" w:color="auto"/>
              <w:left w:val="nil"/>
              <w:bottom w:val="nil"/>
              <w:right w:val="nil"/>
            </w:tcBorders>
          </w:tcPr>
          <w:p w14:paraId="703CC3B3" w14:textId="77777777" w:rsidR="00437439" w:rsidRDefault="00437439" w:rsidP="00377F3A">
            <w:pPr>
              <w:pStyle w:val="TableText"/>
            </w:pPr>
            <w:r>
              <w:t>Mammals</w:t>
            </w:r>
          </w:p>
        </w:tc>
        <w:tc>
          <w:tcPr>
            <w:tcW w:w="0" w:type="auto"/>
            <w:tcBorders>
              <w:top w:val="single" w:sz="4" w:space="0" w:color="auto"/>
              <w:left w:val="nil"/>
              <w:bottom w:val="nil"/>
              <w:right w:val="nil"/>
            </w:tcBorders>
          </w:tcPr>
          <w:p w14:paraId="662C9998" w14:textId="77777777" w:rsidR="00437439" w:rsidRDefault="00437439" w:rsidP="00377F3A">
            <w:pPr>
              <w:pStyle w:val="TableText"/>
            </w:pPr>
            <w:r>
              <w:t>Acute</w:t>
            </w:r>
          </w:p>
        </w:tc>
        <w:tc>
          <w:tcPr>
            <w:tcW w:w="0" w:type="auto"/>
            <w:tcBorders>
              <w:top w:val="single" w:sz="4" w:space="0" w:color="auto"/>
              <w:left w:val="nil"/>
              <w:bottom w:val="nil"/>
              <w:right w:val="nil"/>
            </w:tcBorders>
          </w:tcPr>
          <w:p w14:paraId="580D47E4" w14:textId="77777777" w:rsidR="00437439" w:rsidRDefault="00437439" w:rsidP="00377F3A">
            <w:pPr>
              <w:pStyle w:val="TableText"/>
            </w:pPr>
            <w:r>
              <w:t>Rattus norvegicus</w:t>
            </w:r>
          </w:p>
        </w:tc>
        <w:tc>
          <w:tcPr>
            <w:tcW w:w="0" w:type="auto"/>
            <w:tcBorders>
              <w:top w:val="single" w:sz="4" w:space="0" w:color="auto"/>
              <w:left w:val="nil"/>
              <w:bottom w:val="nil"/>
              <w:right w:val="nil"/>
            </w:tcBorders>
          </w:tcPr>
          <w:p w14:paraId="108BD058" w14:textId="77777777" w:rsidR="00437439" w:rsidRDefault="00437439" w:rsidP="00377F3A">
            <w:pPr>
              <w:pStyle w:val="TableText"/>
            </w:pPr>
            <w:r>
              <w:t>LD</w:t>
            </w:r>
            <w:r w:rsidRPr="00ED2BB3">
              <w:rPr>
                <w:vertAlign w:val="subscript"/>
              </w:rPr>
              <w:t>50</w:t>
            </w:r>
            <w:r>
              <w:t xml:space="preserve"> 3.0 mg/kg bw</w:t>
            </w:r>
          </w:p>
        </w:tc>
        <w:tc>
          <w:tcPr>
            <w:tcW w:w="0" w:type="auto"/>
            <w:tcBorders>
              <w:top w:val="single" w:sz="4" w:space="0" w:color="auto"/>
              <w:left w:val="nil"/>
              <w:bottom w:val="nil"/>
              <w:right w:val="nil"/>
            </w:tcBorders>
          </w:tcPr>
          <w:p w14:paraId="5EC483A1" w14:textId="77777777" w:rsidR="00437439" w:rsidRDefault="00437439" w:rsidP="00377F3A">
            <w:pPr>
              <w:pStyle w:val="TableText"/>
            </w:pPr>
            <w:r>
              <w:t>Gaines 1960</w:t>
            </w:r>
          </w:p>
        </w:tc>
      </w:tr>
      <w:tr w:rsidR="00437439" w14:paraId="39962D8B" w14:textId="77777777" w:rsidTr="00073396">
        <w:trPr>
          <w:cantSplit/>
        </w:trPr>
        <w:tc>
          <w:tcPr>
            <w:tcW w:w="0" w:type="auto"/>
            <w:tcBorders>
              <w:top w:val="nil"/>
              <w:left w:val="nil"/>
              <w:bottom w:val="nil"/>
              <w:right w:val="nil"/>
            </w:tcBorders>
          </w:tcPr>
          <w:p w14:paraId="718E389F" w14:textId="77777777" w:rsidR="00437439" w:rsidRDefault="00437439" w:rsidP="00377F3A">
            <w:pPr>
              <w:pStyle w:val="TableText"/>
            </w:pPr>
          </w:p>
        </w:tc>
        <w:tc>
          <w:tcPr>
            <w:tcW w:w="0" w:type="auto"/>
            <w:tcBorders>
              <w:top w:val="nil"/>
              <w:left w:val="nil"/>
              <w:bottom w:val="nil"/>
              <w:right w:val="nil"/>
            </w:tcBorders>
          </w:tcPr>
          <w:p w14:paraId="781F2478" w14:textId="77777777" w:rsidR="00437439" w:rsidRDefault="00437439" w:rsidP="00377F3A">
            <w:pPr>
              <w:pStyle w:val="TableText"/>
            </w:pPr>
          </w:p>
        </w:tc>
        <w:tc>
          <w:tcPr>
            <w:tcW w:w="0" w:type="auto"/>
            <w:tcBorders>
              <w:top w:val="nil"/>
              <w:left w:val="nil"/>
              <w:bottom w:val="nil"/>
              <w:right w:val="nil"/>
            </w:tcBorders>
          </w:tcPr>
          <w:p w14:paraId="5DC70169" w14:textId="77777777" w:rsidR="00437439" w:rsidRDefault="00437439" w:rsidP="00377F3A">
            <w:pPr>
              <w:pStyle w:val="TableText"/>
            </w:pPr>
          </w:p>
        </w:tc>
        <w:tc>
          <w:tcPr>
            <w:tcW w:w="0" w:type="auto"/>
            <w:tcBorders>
              <w:top w:val="nil"/>
              <w:left w:val="nil"/>
              <w:bottom w:val="nil"/>
              <w:right w:val="nil"/>
            </w:tcBorders>
          </w:tcPr>
          <w:p w14:paraId="368DEFB0" w14:textId="77777777" w:rsidR="00437439" w:rsidRDefault="00437439" w:rsidP="00377F3A">
            <w:pPr>
              <w:pStyle w:val="TableText"/>
            </w:pPr>
            <w:r>
              <w:t>LD</w:t>
            </w:r>
            <w:r w:rsidRPr="00ED2BB3">
              <w:rPr>
                <w:vertAlign w:val="subscript"/>
              </w:rPr>
              <w:t>50</w:t>
            </w:r>
            <w:r>
              <w:t xml:space="preserve"> 58 mg/kg bw</w:t>
            </w:r>
          </w:p>
        </w:tc>
        <w:tc>
          <w:tcPr>
            <w:tcW w:w="0" w:type="auto"/>
            <w:tcBorders>
              <w:top w:val="nil"/>
              <w:left w:val="nil"/>
              <w:bottom w:val="nil"/>
              <w:right w:val="nil"/>
            </w:tcBorders>
          </w:tcPr>
          <w:p w14:paraId="7E3104E8" w14:textId="77777777" w:rsidR="00437439" w:rsidRDefault="00437439" w:rsidP="00377F3A">
            <w:pPr>
              <w:pStyle w:val="TableText"/>
            </w:pPr>
            <w:r>
              <w:t>Hagan &amp; Radomski 1953</w:t>
            </w:r>
          </w:p>
        </w:tc>
      </w:tr>
      <w:tr w:rsidR="00437439" w14:paraId="2873D946" w14:textId="77777777" w:rsidTr="00073396">
        <w:trPr>
          <w:cantSplit/>
        </w:trPr>
        <w:tc>
          <w:tcPr>
            <w:tcW w:w="0" w:type="auto"/>
            <w:tcBorders>
              <w:top w:val="nil"/>
              <w:left w:val="nil"/>
              <w:bottom w:val="nil"/>
              <w:right w:val="nil"/>
            </w:tcBorders>
          </w:tcPr>
          <w:p w14:paraId="20D8EE12" w14:textId="77777777" w:rsidR="00437439" w:rsidRDefault="00437439" w:rsidP="00377F3A">
            <w:pPr>
              <w:pStyle w:val="TableText"/>
            </w:pPr>
          </w:p>
        </w:tc>
        <w:tc>
          <w:tcPr>
            <w:tcW w:w="0" w:type="auto"/>
            <w:tcBorders>
              <w:top w:val="nil"/>
              <w:left w:val="nil"/>
              <w:bottom w:val="nil"/>
              <w:right w:val="nil"/>
            </w:tcBorders>
          </w:tcPr>
          <w:p w14:paraId="3D31E24F" w14:textId="77777777" w:rsidR="00437439" w:rsidRDefault="00437439" w:rsidP="00377F3A">
            <w:pPr>
              <w:pStyle w:val="TableText"/>
            </w:pPr>
          </w:p>
        </w:tc>
        <w:tc>
          <w:tcPr>
            <w:tcW w:w="0" w:type="auto"/>
            <w:tcBorders>
              <w:top w:val="nil"/>
              <w:left w:val="nil"/>
              <w:bottom w:val="nil"/>
              <w:right w:val="nil"/>
            </w:tcBorders>
          </w:tcPr>
          <w:p w14:paraId="3DC3CC43" w14:textId="77777777" w:rsidR="00437439" w:rsidRDefault="00437439" w:rsidP="00377F3A">
            <w:pPr>
              <w:pStyle w:val="TableText"/>
            </w:pPr>
            <w:r>
              <w:t>Cavia porcellus</w:t>
            </w:r>
          </w:p>
          <w:p w14:paraId="1B7FFED5" w14:textId="77777777" w:rsidR="00437439" w:rsidRDefault="00437439" w:rsidP="00377F3A">
            <w:pPr>
              <w:pStyle w:val="TableText"/>
            </w:pPr>
            <w:r>
              <w:t>Canis familiaris</w:t>
            </w:r>
          </w:p>
          <w:p w14:paraId="185FF8B7" w14:textId="77777777" w:rsidR="00437439" w:rsidRDefault="00437439" w:rsidP="00377F3A">
            <w:pPr>
              <w:pStyle w:val="TableText"/>
            </w:pPr>
            <w:r>
              <w:t>Mus musculus</w:t>
            </w:r>
          </w:p>
          <w:p w14:paraId="34D534F6" w14:textId="77777777" w:rsidR="00437439" w:rsidRDefault="00437439" w:rsidP="00377F3A">
            <w:pPr>
              <w:pStyle w:val="TableText"/>
            </w:pPr>
            <w:r>
              <w:t>Oryctolagus cuniculus</w:t>
            </w:r>
          </w:p>
        </w:tc>
        <w:tc>
          <w:tcPr>
            <w:tcW w:w="0" w:type="auto"/>
            <w:tcBorders>
              <w:top w:val="nil"/>
              <w:left w:val="nil"/>
              <w:bottom w:val="nil"/>
              <w:right w:val="nil"/>
            </w:tcBorders>
          </w:tcPr>
          <w:p w14:paraId="725D88D9" w14:textId="77777777" w:rsidR="00437439" w:rsidRDefault="00437439" w:rsidP="00377F3A">
            <w:pPr>
              <w:pStyle w:val="TableText"/>
            </w:pPr>
            <w:r>
              <w:t>LD</w:t>
            </w:r>
            <w:r w:rsidRPr="00ED2BB3">
              <w:rPr>
                <w:vertAlign w:val="subscript"/>
              </w:rPr>
              <w:t>50</w:t>
            </w:r>
            <w:r>
              <w:t xml:space="preserve"> 182 mg/kg bw</w:t>
            </w:r>
          </w:p>
          <w:p w14:paraId="0957D19D" w14:textId="77777777" w:rsidR="00437439" w:rsidRDefault="00437439" w:rsidP="00377F3A">
            <w:pPr>
              <w:pStyle w:val="TableText"/>
            </w:pPr>
            <w:r>
              <w:t>LD</w:t>
            </w:r>
            <w:r w:rsidRPr="00ED2BB3">
              <w:rPr>
                <w:vertAlign w:val="subscript"/>
              </w:rPr>
              <w:t>50</w:t>
            </w:r>
            <w:r>
              <w:t xml:space="preserve"> 200 mg/kg bw</w:t>
            </w:r>
          </w:p>
          <w:p w14:paraId="0911335A" w14:textId="77777777" w:rsidR="00437439" w:rsidRDefault="00437439" w:rsidP="00377F3A">
            <w:pPr>
              <w:pStyle w:val="TableText"/>
            </w:pPr>
            <w:r>
              <w:t>LD</w:t>
            </w:r>
            <w:r w:rsidRPr="00ED2BB3">
              <w:rPr>
                <w:vertAlign w:val="subscript"/>
              </w:rPr>
              <w:t>50</w:t>
            </w:r>
            <w:r>
              <w:t xml:space="preserve"> 374 mg/kg bw</w:t>
            </w:r>
          </w:p>
          <w:p w14:paraId="73EBC9D3" w14:textId="77777777" w:rsidR="00437439" w:rsidRDefault="00437439" w:rsidP="00377F3A">
            <w:pPr>
              <w:pStyle w:val="TableText"/>
            </w:pPr>
            <w:r>
              <w:t>LD</w:t>
            </w:r>
            <w:r w:rsidRPr="00ED2BB3">
              <w:rPr>
                <w:vertAlign w:val="subscript"/>
              </w:rPr>
              <w:t>50</w:t>
            </w:r>
            <w:r>
              <w:t xml:space="preserve"> ~800 mg/kg bw</w:t>
            </w:r>
          </w:p>
        </w:tc>
        <w:tc>
          <w:tcPr>
            <w:tcW w:w="0" w:type="auto"/>
            <w:tcBorders>
              <w:top w:val="nil"/>
              <w:left w:val="nil"/>
              <w:bottom w:val="nil"/>
              <w:right w:val="nil"/>
            </w:tcBorders>
          </w:tcPr>
          <w:p w14:paraId="37AAA474" w14:textId="77777777" w:rsidR="00437439" w:rsidRDefault="00437439" w:rsidP="00377F3A">
            <w:pPr>
              <w:pStyle w:val="TableText"/>
            </w:pPr>
            <w:r>
              <w:t>Hagan &amp; Radomski 1953</w:t>
            </w:r>
          </w:p>
        </w:tc>
      </w:tr>
      <w:tr w:rsidR="00437439" w14:paraId="7B5A2BC6" w14:textId="77777777" w:rsidTr="00073396">
        <w:trPr>
          <w:cantSplit/>
        </w:trPr>
        <w:tc>
          <w:tcPr>
            <w:tcW w:w="0" w:type="auto"/>
            <w:tcBorders>
              <w:top w:val="nil"/>
              <w:left w:val="nil"/>
              <w:bottom w:val="single" w:sz="4" w:space="0" w:color="auto"/>
              <w:right w:val="nil"/>
            </w:tcBorders>
          </w:tcPr>
          <w:p w14:paraId="16AF7265" w14:textId="77777777" w:rsidR="00437439" w:rsidRDefault="00437439" w:rsidP="00377F3A">
            <w:pPr>
              <w:pStyle w:val="TableText"/>
            </w:pPr>
          </w:p>
        </w:tc>
        <w:tc>
          <w:tcPr>
            <w:tcW w:w="0" w:type="auto"/>
            <w:tcBorders>
              <w:top w:val="nil"/>
              <w:left w:val="nil"/>
              <w:bottom w:val="single" w:sz="4" w:space="0" w:color="auto"/>
              <w:right w:val="nil"/>
            </w:tcBorders>
          </w:tcPr>
          <w:p w14:paraId="63C43CB8" w14:textId="77777777" w:rsidR="00437439" w:rsidRDefault="00437439" w:rsidP="00377F3A">
            <w:pPr>
              <w:pStyle w:val="TableText"/>
            </w:pPr>
          </w:p>
        </w:tc>
        <w:tc>
          <w:tcPr>
            <w:tcW w:w="0" w:type="auto"/>
            <w:tcBorders>
              <w:top w:val="nil"/>
              <w:left w:val="nil"/>
              <w:bottom w:val="single" w:sz="4" w:space="0" w:color="auto"/>
              <w:right w:val="nil"/>
            </w:tcBorders>
          </w:tcPr>
          <w:p w14:paraId="7A5A493D" w14:textId="77777777" w:rsidR="00437439" w:rsidRDefault="00437439" w:rsidP="00377F3A">
            <w:pPr>
              <w:pStyle w:val="TableText"/>
            </w:pPr>
            <w:r>
              <w:t>Mustela vison</w:t>
            </w:r>
          </w:p>
        </w:tc>
        <w:tc>
          <w:tcPr>
            <w:tcW w:w="0" w:type="auto"/>
            <w:tcBorders>
              <w:top w:val="nil"/>
              <w:left w:val="nil"/>
              <w:bottom w:val="single" w:sz="4" w:space="0" w:color="auto"/>
              <w:right w:val="nil"/>
            </w:tcBorders>
          </w:tcPr>
          <w:p w14:paraId="74B8A6AA" w14:textId="77777777" w:rsidR="00437439" w:rsidRDefault="00437439" w:rsidP="00377F3A">
            <w:pPr>
              <w:pStyle w:val="TableText"/>
            </w:pPr>
            <w:r>
              <w:t>LC</w:t>
            </w:r>
            <w:r w:rsidRPr="002E6526">
              <w:rPr>
                <w:vertAlign w:val="subscript"/>
              </w:rPr>
              <w:t>50</w:t>
            </w:r>
            <w:r>
              <w:t xml:space="preserve"> 12 mg/kg food</w:t>
            </w:r>
          </w:p>
        </w:tc>
        <w:tc>
          <w:tcPr>
            <w:tcW w:w="0" w:type="auto"/>
            <w:tcBorders>
              <w:top w:val="nil"/>
              <w:left w:val="nil"/>
              <w:bottom w:val="single" w:sz="4" w:space="0" w:color="auto"/>
              <w:right w:val="nil"/>
            </w:tcBorders>
          </w:tcPr>
          <w:p w14:paraId="6ADEAB2F" w14:textId="67385093" w:rsidR="00437439" w:rsidRDefault="00437439" w:rsidP="00377F3A">
            <w:pPr>
              <w:pStyle w:val="TableText"/>
            </w:pPr>
            <w:r>
              <w:t xml:space="preserve">Aulerich </w:t>
            </w:r>
            <w:r w:rsidR="00B7183A" w:rsidRPr="00B7183A">
              <w:rPr>
                <w:i/>
                <w:iCs/>
              </w:rPr>
              <w:t>et al</w:t>
            </w:r>
            <w:r>
              <w:t>. 1987</w:t>
            </w:r>
          </w:p>
        </w:tc>
      </w:tr>
      <w:tr w:rsidR="00437439" w14:paraId="6E9613C0" w14:textId="77777777" w:rsidTr="00073396">
        <w:trPr>
          <w:cantSplit/>
        </w:trPr>
        <w:tc>
          <w:tcPr>
            <w:tcW w:w="0" w:type="auto"/>
            <w:tcBorders>
              <w:top w:val="single" w:sz="4" w:space="0" w:color="auto"/>
              <w:left w:val="nil"/>
              <w:bottom w:val="single" w:sz="4" w:space="0" w:color="auto"/>
              <w:right w:val="nil"/>
            </w:tcBorders>
          </w:tcPr>
          <w:p w14:paraId="4C524F61" w14:textId="77777777" w:rsidR="00437439" w:rsidRDefault="00437439" w:rsidP="00377F3A">
            <w:pPr>
              <w:pStyle w:val="TableText"/>
            </w:pPr>
            <w:r>
              <w:t>Birds</w:t>
            </w:r>
          </w:p>
        </w:tc>
        <w:tc>
          <w:tcPr>
            <w:tcW w:w="0" w:type="auto"/>
            <w:tcBorders>
              <w:top w:val="single" w:sz="4" w:space="0" w:color="auto"/>
              <w:left w:val="nil"/>
              <w:bottom w:val="single" w:sz="4" w:space="0" w:color="auto"/>
              <w:right w:val="nil"/>
            </w:tcBorders>
          </w:tcPr>
          <w:p w14:paraId="0CBC14CF" w14:textId="77777777" w:rsidR="00437439" w:rsidRDefault="00437439" w:rsidP="00377F3A">
            <w:pPr>
              <w:pStyle w:val="TableText"/>
            </w:pPr>
            <w:r>
              <w:t>Acute</w:t>
            </w:r>
          </w:p>
        </w:tc>
        <w:tc>
          <w:tcPr>
            <w:tcW w:w="0" w:type="auto"/>
            <w:tcBorders>
              <w:top w:val="single" w:sz="4" w:space="0" w:color="auto"/>
              <w:left w:val="nil"/>
              <w:bottom w:val="single" w:sz="4" w:space="0" w:color="auto"/>
              <w:right w:val="nil"/>
            </w:tcBorders>
          </w:tcPr>
          <w:p w14:paraId="2676F123" w14:textId="77777777" w:rsidR="00437439" w:rsidRDefault="00437439" w:rsidP="00377F3A">
            <w:pPr>
              <w:pStyle w:val="TableText"/>
            </w:pPr>
            <w:r>
              <w:t>Gallus domesticus</w:t>
            </w:r>
          </w:p>
        </w:tc>
        <w:tc>
          <w:tcPr>
            <w:tcW w:w="0" w:type="auto"/>
            <w:tcBorders>
              <w:top w:val="single" w:sz="4" w:space="0" w:color="auto"/>
              <w:left w:val="nil"/>
              <w:bottom w:val="single" w:sz="4" w:space="0" w:color="auto"/>
              <w:right w:val="nil"/>
            </w:tcBorders>
          </w:tcPr>
          <w:p w14:paraId="3C0D9E70" w14:textId="77777777" w:rsidR="00437439" w:rsidRDefault="00437439" w:rsidP="00377F3A">
            <w:pPr>
              <w:pStyle w:val="TableText"/>
            </w:pPr>
            <w:r>
              <w:t>LD</w:t>
            </w:r>
            <w:r w:rsidRPr="00ED2BB3">
              <w:rPr>
                <w:vertAlign w:val="subscript"/>
              </w:rPr>
              <w:t>50</w:t>
            </w:r>
            <w:r>
              <w:t xml:space="preserve"> &gt;1000 mg/kg bw</w:t>
            </w:r>
          </w:p>
        </w:tc>
        <w:tc>
          <w:tcPr>
            <w:tcW w:w="0" w:type="auto"/>
            <w:tcBorders>
              <w:top w:val="single" w:sz="4" w:space="0" w:color="auto"/>
              <w:left w:val="nil"/>
              <w:bottom w:val="single" w:sz="4" w:space="0" w:color="auto"/>
              <w:right w:val="nil"/>
            </w:tcBorders>
          </w:tcPr>
          <w:p w14:paraId="7183F68B" w14:textId="77777777" w:rsidR="00437439" w:rsidRDefault="00437439" w:rsidP="00377F3A">
            <w:pPr>
              <w:pStyle w:val="TableText"/>
            </w:pPr>
            <w:r>
              <w:t>Hagan &amp; Radomski 1953</w:t>
            </w:r>
          </w:p>
        </w:tc>
      </w:tr>
      <w:tr w:rsidR="00437439" w14:paraId="7745FD77" w14:textId="77777777" w:rsidTr="00073396">
        <w:trPr>
          <w:cantSplit/>
        </w:trPr>
        <w:tc>
          <w:tcPr>
            <w:tcW w:w="0" w:type="auto"/>
            <w:tcBorders>
              <w:top w:val="single" w:sz="4" w:space="0" w:color="auto"/>
              <w:left w:val="nil"/>
              <w:bottom w:val="single" w:sz="4" w:space="0" w:color="auto"/>
              <w:right w:val="nil"/>
            </w:tcBorders>
          </w:tcPr>
          <w:p w14:paraId="782A6D63" w14:textId="77777777" w:rsidR="00437439" w:rsidRDefault="00437439" w:rsidP="00377F3A">
            <w:pPr>
              <w:pStyle w:val="TableText"/>
            </w:pPr>
            <w:r>
              <w:t>Reptiles</w:t>
            </w:r>
          </w:p>
        </w:tc>
        <w:tc>
          <w:tcPr>
            <w:tcW w:w="0" w:type="auto"/>
            <w:tcBorders>
              <w:top w:val="single" w:sz="4" w:space="0" w:color="auto"/>
              <w:left w:val="nil"/>
              <w:bottom w:val="single" w:sz="4" w:space="0" w:color="auto"/>
              <w:right w:val="nil"/>
            </w:tcBorders>
          </w:tcPr>
          <w:p w14:paraId="0EB36102" w14:textId="77777777" w:rsidR="00437439" w:rsidRDefault="00437439" w:rsidP="00377F3A">
            <w:pPr>
              <w:pStyle w:val="TableText"/>
            </w:pPr>
            <w:r>
              <w:t>Acute</w:t>
            </w:r>
          </w:p>
        </w:tc>
        <w:tc>
          <w:tcPr>
            <w:tcW w:w="0" w:type="auto"/>
            <w:tcBorders>
              <w:top w:val="single" w:sz="4" w:space="0" w:color="auto"/>
              <w:left w:val="nil"/>
              <w:bottom w:val="single" w:sz="4" w:space="0" w:color="auto"/>
              <w:right w:val="nil"/>
            </w:tcBorders>
          </w:tcPr>
          <w:p w14:paraId="129D4EE3" w14:textId="77777777" w:rsidR="00437439" w:rsidRDefault="00437439" w:rsidP="00377F3A">
            <w:pPr>
              <w:pStyle w:val="TableText"/>
            </w:pPr>
            <w:r>
              <w:t>Boiga irregularis</w:t>
            </w:r>
          </w:p>
        </w:tc>
        <w:tc>
          <w:tcPr>
            <w:tcW w:w="0" w:type="auto"/>
            <w:tcBorders>
              <w:top w:val="single" w:sz="4" w:space="0" w:color="auto"/>
              <w:left w:val="nil"/>
              <w:bottom w:val="single" w:sz="4" w:space="0" w:color="auto"/>
              <w:right w:val="nil"/>
            </w:tcBorders>
          </w:tcPr>
          <w:p w14:paraId="37E8270B" w14:textId="77777777" w:rsidR="00437439" w:rsidRPr="00CA558C" w:rsidRDefault="00437439" w:rsidP="00377F3A">
            <w:pPr>
              <w:pStyle w:val="TableText"/>
            </w:pPr>
            <w:r>
              <w:t>LLD 40 mg/kg bw</w:t>
            </w:r>
          </w:p>
        </w:tc>
        <w:tc>
          <w:tcPr>
            <w:tcW w:w="0" w:type="auto"/>
            <w:tcBorders>
              <w:top w:val="single" w:sz="4" w:space="0" w:color="auto"/>
              <w:left w:val="nil"/>
              <w:bottom w:val="single" w:sz="4" w:space="0" w:color="auto"/>
              <w:right w:val="nil"/>
            </w:tcBorders>
          </w:tcPr>
          <w:p w14:paraId="602E9CE6" w14:textId="76780E89" w:rsidR="00437439" w:rsidRDefault="00437439" w:rsidP="00377F3A">
            <w:pPr>
              <w:pStyle w:val="TableText"/>
            </w:pPr>
            <w:r>
              <w:t xml:space="preserve">Brooks </w:t>
            </w:r>
            <w:r w:rsidR="00B7183A" w:rsidRPr="00B7183A">
              <w:rPr>
                <w:i/>
                <w:iCs/>
              </w:rPr>
              <w:t>et al</w:t>
            </w:r>
            <w:r>
              <w:t>. 1998</w:t>
            </w:r>
          </w:p>
        </w:tc>
      </w:tr>
    </w:tbl>
    <w:p w14:paraId="7FD4025E"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036BDA3F" w14:textId="760C7D43" w:rsidR="00980B2F" w:rsidRPr="00861CA0" w:rsidRDefault="00850971" w:rsidP="00377F3A">
      <w:pPr>
        <w:pStyle w:val="Caption"/>
      </w:pPr>
      <w:bookmarkStart w:id="2019" w:name="_Toc213946076"/>
      <w:bookmarkStart w:id="2020" w:name="_Toc216695767"/>
      <w:r>
        <w:t xml:space="preserve">Table </w:t>
      </w:r>
      <w:r>
        <w:fldChar w:fldCharType="begin"/>
      </w:r>
      <w:r>
        <w:instrText xml:space="preserve"> SEQ Table \* ARABIC </w:instrText>
      </w:r>
      <w:r>
        <w:fldChar w:fldCharType="separate"/>
      </w:r>
      <w:r w:rsidR="003861AC">
        <w:rPr>
          <w:noProof/>
        </w:rPr>
        <w:t>105</w:t>
      </w:r>
      <w:r>
        <w:fldChar w:fldCharType="end"/>
      </w:r>
      <w:r>
        <w:t xml:space="preserve">: </w:t>
      </w:r>
      <w:r w:rsidR="00437439">
        <w:t xml:space="preserve">Warfarin – </w:t>
      </w:r>
      <w:r w:rsidR="00980B2F">
        <w:t>Secondary poisoning studies on terrestrial vertebrates</w:t>
      </w:r>
      <w:bookmarkEnd w:id="2019"/>
      <w:bookmarkEnd w:id="20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3"/>
        <w:gridCol w:w="1199"/>
        <w:gridCol w:w="1329"/>
        <w:gridCol w:w="4539"/>
        <w:gridCol w:w="1668"/>
      </w:tblGrid>
      <w:tr w:rsidR="00437439" w:rsidRPr="000B2FA7" w14:paraId="2D3DF4CB" w14:textId="77777777" w:rsidTr="0017134F">
        <w:trPr>
          <w:cantSplit/>
          <w:tblHeader/>
        </w:trPr>
        <w:tc>
          <w:tcPr>
            <w:tcW w:w="0" w:type="auto"/>
            <w:tcBorders>
              <w:bottom w:val="single" w:sz="4" w:space="0" w:color="auto"/>
            </w:tcBorders>
            <w:shd w:val="clear" w:color="auto" w:fill="53284F"/>
          </w:tcPr>
          <w:p w14:paraId="2FC50EFA" w14:textId="77777777" w:rsidR="00437439" w:rsidRDefault="00437439" w:rsidP="00377F3A">
            <w:pPr>
              <w:pStyle w:val="TableHead"/>
            </w:pPr>
            <w:r>
              <w:t>Group</w:t>
            </w:r>
          </w:p>
        </w:tc>
        <w:tc>
          <w:tcPr>
            <w:tcW w:w="0" w:type="auto"/>
            <w:tcBorders>
              <w:bottom w:val="single" w:sz="4" w:space="0" w:color="auto"/>
            </w:tcBorders>
            <w:shd w:val="clear" w:color="auto" w:fill="53284F"/>
          </w:tcPr>
          <w:p w14:paraId="35DC6204" w14:textId="77777777" w:rsidR="00437439" w:rsidRDefault="00437439" w:rsidP="00377F3A">
            <w:pPr>
              <w:pStyle w:val="TableHead"/>
            </w:pPr>
            <w:r>
              <w:t>Species</w:t>
            </w:r>
          </w:p>
        </w:tc>
        <w:tc>
          <w:tcPr>
            <w:tcW w:w="0" w:type="auto"/>
            <w:tcBorders>
              <w:bottom w:val="single" w:sz="4" w:space="0" w:color="auto"/>
            </w:tcBorders>
            <w:shd w:val="clear" w:color="auto" w:fill="53284F"/>
          </w:tcPr>
          <w:p w14:paraId="62A8FB15" w14:textId="77777777" w:rsidR="00437439" w:rsidRPr="00CA558C" w:rsidRDefault="00437439" w:rsidP="00377F3A">
            <w:pPr>
              <w:pStyle w:val="TableHead"/>
            </w:pPr>
            <w:r>
              <w:t>Poisoned food</w:t>
            </w:r>
          </w:p>
        </w:tc>
        <w:tc>
          <w:tcPr>
            <w:tcW w:w="0" w:type="auto"/>
            <w:tcBorders>
              <w:bottom w:val="single" w:sz="4" w:space="0" w:color="auto"/>
            </w:tcBorders>
            <w:shd w:val="clear" w:color="auto" w:fill="53284F"/>
          </w:tcPr>
          <w:p w14:paraId="07B54759" w14:textId="77777777" w:rsidR="00437439" w:rsidRPr="00CA558C" w:rsidRDefault="00437439" w:rsidP="00377F3A">
            <w:pPr>
              <w:pStyle w:val="TableHead"/>
            </w:pPr>
            <w:r>
              <w:t>Study details &amp; result</w:t>
            </w:r>
          </w:p>
        </w:tc>
        <w:tc>
          <w:tcPr>
            <w:tcW w:w="0" w:type="auto"/>
            <w:tcBorders>
              <w:bottom w:val="single" w:sz="4" w:space="0" w:color="auto"/>
            </w:tcBorders>
            <w:shd w:val="clear" w:color="auto" w:fill="53284F"/>
          </w:tcPr>
          <w:p w14:paraId="507ED854" w14:textId="77777777" w:rsidR="00437439" w:rsidRPr="00CA558C" w:rsidRDefault="00437439" w:rsidP="00377F3A">
            <w:pPr>
              <w:pStyle w:val="TableHead"/>
            </w:pPr>
            <w:r>
              <w:t>Reference</w:t>
            </w:r>
          </w:p>
        </w:tc>
      </w:tr>
      <w:tr w:rsidR="00437439" w14:paraId="47089021" w14:textId="77777777" w:rsidTr="00437439">
        <w:trPr>
          <w:cantSplit/>
        </w:trPr>
        <w:tc>
          <w:tcPr>
            <w:tcW w:w="0" w:type="auto"/>
            <w:tcBorders>
              <w:top w:val="single" w:sz="4" w:space="0" w:color="auto"/>
              <w:left w:val="nil"/>
              <w:bottom w:val="nil"/>
              <w:right w:val="nil"/>
            </w:tcBorders>
          </w:tcPr>
          <w:p w14:paraId="057D45B8" w14:textId="77777777" w:rsidR="00437439" w:rsidRPr="00F85B76" w:rsidRDefault="00437439" w:rsidP="00377F3A">
            <w:pPr>
              <w:pStyle w:val="TableText"/>
            </w:pPr>
            <w:r w:rsidRPr="00F85B76">
              <w:t>Mammals</w:t>
            </w:r>
          </w:p>
        </w:tc>
        <w:tc>
          <w:tcPr>
            <w:tcW w:w="0" w:type="auto"/>
            <w:tcBorders>
              <w:top w:val="single" w:sz="4" w:space="0" w:color="auto"/>
              <w:left w:val="nil"/>
              <w:bottom w:val="nil"/>
              <w:right w:val="nil"/>
            </w:tcBorders>
          </w:tcPr>
          <w:p w14:paraId="31E84723" w14:textId="77777777" w:rsidR="00437439" w:rsidRPr="00F85B76" w:rsidRDefault="00437439" w:rsidP="00377F3A">
            <w:pPr>
              <w:pStyle w:val="TableText"/>
            </w:pPr>
            <w:r w:rsidRPr="00F85B76">
              <w:t>Mustela vison</w:t>
            </w:r>
          </w:p>
        </w:tc>
        <w:tc>
          <w:tcPr>
            <w:tcW w:w="0" w:type="auto"/>
            <w:tcBorders>
              <w:top w:val="single" w:sz="4" w:space="0" w:color="auto"/>
              <w:left w:val="nil"/>
              <w:bottom w:val="nil"/>
              <w:right w:val="nil"/>
            </w:tcBorders>
          </w:tcPr>
          <w:p w14:paraId="36FDD265" w14:textId="77777777" w:rsidR="00437439" w:rsidRPr="00F85B76" w:rsidRDefault="00437439" w:rsidP="00377F3A">
            <w:pPr>
              <w:pStyle w:val="TableText"/>
            </w:pPr>
            <w:r w:rsidRPr="00F85B76">
              <w:t xml:space="preserve">23 mg/kg rabbit </w:t>
            </w:r>
          </w:p>
          <w:p w14:paraId="427D4DE0" w14:textId="77777777" w:rsidR="00437439" w:rsidRPr="00F85B76" w:rsidRDefault="00437439" w:rsidP="00377F3A">
            <w:pPr>
              <w:pStyle w:val="TableText"/>
            </w:pPr>
            <w:r w:rsidRPr="00F85B76">
              <w:t>for 28 days</w:t>
            </w:r>
          </w:p>
        </w:tc>
        <w:tc>
          <w:tcPr>
            <w:tcW w:w="0" w:type="auto"/>
            <w:tcBorders>
              <w:top w:val="single" w:sz="4" w:space="0" w:color="auto"/>
              <w:left w:val="nil"/>
              <w:bottom w:val="nil"/>
              <w:right w:val="nil"/>
            </w:tcBorders>
          </w:tcPr>
          <w:p w14:paraId="5C215467" w14:textId="77777777" w:rsidR="00437439" w:rsidRPr="00F85B76" w:rsidRDefault="00437439" w:rsidP="00377F3A">
            <w:pPr>
              <w:pStyle w:val="TableText"/>
            </w:pPr>
            <w:r w:rsidRPr="00F85B76">
              <w:t>10/10 survived after consuming 12-13% of body mass daily</w:t>
            </w:r>
          </w:p>
        </w:tc>
        <w:tc>
          <w:tcPr>
            <w:tcW w:w="0" w:type="auto"/>
            <w:tcBorders>
              <w:top w:val="single" w:sz="4" w:space="0" w:color="auto"/>
              <w:left w:val="nil"/>
              <w:bottom w:val="nil"/>
              <w:right w:val="nil"/>
            </w:tcBorders>
          </w:tcPr>
          <w:p w14:paraId="05AFDEF2" w14:textId="76D296A0" w:rsidR="00437439" w:rsidRPr="00F85B76" w:rsidRDefault="00437439" w:rsidP="00377F3A">
            <w:pPr>
              <w:pStyle w:val="TableText"/>
            </w:pPr>
            <w:r w:rsidRPr="00F85B76">
              <w:t xml:space="preserve">Aulerich </w:t>
            </w:r>
            <w:r w:rsidR="00B7183A" w:rsidRPr="00B7183A">
              <w:rPr>
                <w:i/>
                <w:iCs/>
              </w:rPr>
              <w:t>et al</w:t>
            </w:r>
            <w:r w:rsidRPr="00F85B76">
              <w:t>. 1987</w:t>
            </w:r>
          </w:p>
        </w:tc>
      </w:tr>
      <w:tr w:rsidR="00437439" w14:paraId="5ACB3E2C" w14:textId="77777777" w:rsidTr="00437439">
        <w:trPr>
          <w:cantSplit/>
        </w:trPr>
        <w:tc>
          <w:tcPr>
            <w:tcW w:w="0" w:type="auto"/>
            <w:tcBorders>
              <w:top w:val="nil"/>
              <w:left w:val="nil"/>
              <w:bottom w:val="nil"/>
              <w:right w:val="nil"/>
            </w:tcBorders>
          </w:tcPr>
          <w:p w14:paraId="1AB7BDBF" w14:textId="77777777" w:rsidR="00437439" w:rsidRPr="00F85B76" w:rsidRDefault="00437439" w:rsidP="00377F3A">
            <w:pPr>
              <w:pStyle w:val="TableText"/>
            </w:pPr>
          </w:p>
        </w:tc>
        <w:tc>
          <w:tcPr>
            <w:tcW w:w="0" w:type="auto"/>
            <w:tcBorders>
              <w:top w:val="nil"/>
              <w:left w:val="nil"/>
              <w:bottom w:val="nil"/>
              <w:right w:val="nil"/>
            </w:tcBorders>
          </w:tcPr>
          <w:p w14:paraId="15F6FAAB" w14:textId="77777777" w:rsidR="00437439" w:rsidRPr="00F85B76" w:rsidRDefault="00437439" w:rsidP="00377F3A">
            <w:pPr>
              <w:pStyle w:val="TableText"/>
            </w:pPr>
            <w:r w:rsidRPr="00F85B76">
              <w:t>Mustela vinalis</w:t>
            </w:r>
          </w:p>
        </w:tc>
        <w:tc>
          <w:tcPr>
            <w:tcW w:w="0" w:type="auto"/>
            <w:tcBorders>
              <w:top w:val="nil"/>
              <w:left w:val="nil"/>
              <w:bottom w:val="nil"/>
              <w:right w:val="nil"/>
            </w:tcBorders>
          </w:tcPr>
          <w:p w14:paraId="3EFB2107" w14:textId="77777777" w:rsidR="00437439" w:rsidRPr="00F85B76" w:rsidRDefault="00437439" w:rsidP="00377F3A">
            <w:pPr>
              <w:pStyle w:val="TableText"/>
            </w:pPr>
            <w:r w:rsidRPr="00F85B76">
              <w:t>0.42 mg/kg mice</w:t>
            </w:r>
          </w:p>
          <w:p w14:paraId="432ED825" w14:textId="77777777" w:rsidR="00437439" w:rsidRPr="00F85B76" w:rsidRDefault="00437439" w:rsidP="00377F3A">
            <w:pPr>
              <w:pStyle w:val="TableText"/>
            </w:pPr>
            <w:r w:rsidRPr="00F85B76">
              <w:t>for 90 days</w:t>
            </w:r>
          </w:p>
        </w:tc>
        <w:tc>
          <w:tcPr>
            <w:tcW w:w="0" w:type="auto"/>
            <w:tcBorders>
              <w:top w:val="nil"/>
              <w:left w:val="nil"/>
              <w:bottom w:val="nil"/>
              <w:right w:val="nil"/>
            </w:tcBorders>
          </w:tcPr>
          <w:p w14:paraId="7726CBAB" w14:textId="77777777" w:rsidR="00437439" w:rsidRPr="00F85B76" w:rsidRDefault="00437439" w:rsidP="00377F3A">
            <w:pPr>
              <w:pStyle w:val="TableText"/>
            </w:pPr>
            <w:r w:rsidRPr="00F85B76">
              <w:t>2/2 survived after consuming 22% of body mass daily</w:t>
            </w:r>
          </w:p>
        </w:tc>
        <w:tc>
          <w:tcPr>
            <w:tcW w:w="0" w:type="auto"/>
            <w:tcBorders>
              <w:top w:val="nil"/>
              <w:left w:val="nil"/>
              <w:bottom w:val="nil"/>
              <w:right w:val="nil"/>
            </w:tcBorders>
          </w:tcPr>
          <w:p w14:paraId="26606339" w14:textId="07E977E2" w:rsidR="00437439" w:rsidRPr="00F85B76" w:rsidRDefault="00437439" w:rsidP="00377F3A">
            <w:pPr>
              <w:pStyle w:val="TableText"/>
            </w:pPr>
            <w:r w:rsidRPr="00F85B76">
              <w:t xml:space="preserve">Townsend </w:t>
            </w:r>
            <w:r w:rsidR="00B7183A" w:rsidRPr="00B7183A">
              <w:rPr>
                <w:i/>
                <w:iCs/>
              </w:rPr>
              <w:t>et al</w:t>
            </w:r>
            <w:r w:rsidRPr="00F85B76">
              <w:t>. 1984</w:t>
            </w:r>
          </w:p>
        </w:tc>
      </w:tr>
      <w:tr w:rsidR="00437439" w14:paraId="19E5E701" w14:textId="77777777" w:rsidTr="00437439">
        <w:trPr>
          <w:cantSplit/>
        </w:trPr>
        <w:tc>
          <w:tcPr>
            <w:tcW w:w="0" w:type="auto"/>
            <w:tcBorders>
              <w:top w:val="nil"/>
              <w:left w:val="nil"/>
              <w:bottom w:val="nil"/>
              <w:right w:val="nil"/>
            </w:tcBorders>
          </w:tcPr>
          <w:p w14:paraId="6FB7A4A7" w14:textId="77777777" w:rsidR="00437439" w:rsidRPr="00F85B76" w:rsidRDefault="00437439" w:rsidP="00377F3A">
            <w:pPr>
              <w:pStyle w:val="TableText"/>
            </w:pPr>
          </w:p>
        </w:tc>
        <w:tc>
          <w:tcPr>
            <w:tcW w:w="0" w:type="auto"/>
            <w:tcBorders>
              <w:top w:val="nil"/>
              <w:left w:val="nil"/>
              <w:bottom w:val="nil"/>
              <w:right w:val="nil"/>
            </w:tcBorders>
          </w:tcPr>
          <w:p w14:paraId="733495D9" w14:textId="77777777" w:rsidR="00437439" w:rsidRPr="00F85B76" w:rsidRDefault="00437439" w:rsidP="00377F3A">
            <w:pPr>
              <w:pStyle w:val="TableText"/>
            </w:pPr>
          </w:p>
        </w:tc>
        <w:tc>
          <w:tcPr>
            <w:tcW w:w="0" w:type="auto"/>
            <w:tcBorders>
              <w:top w:val="nil"/>
              <w:left w:val="nil"/>
              <w:bottom w:val="nil"/>
              <w:right w:val="nil"/>
            </w:tcBorders>
          </w:tcPr>
          <w:p w14:paraId="43659759" w14:textId="77777777" w:rsidR="00437439" w:rsidRPr="00F85B76" w:rsidRDefault="00437439" w:rsidP="00377F3A">
            <w:pPr>
              <w:pStyle w:val="TableText"/>
            </w:pPr>
            <w:r w:rsidRPr="00F85B76">
              <w:t xml:space="preserve">1.6 mg/kg mice </w:t>
            </w:r>
          </w:p>
          <w:p w14:paraId="2B6C125E" w14:textId="77777777" w:rsidR="00437439" w:rsidRPr="00F85B76" w:rsidRDefault="00437439" w:rsidP="00377F3A">
            <w:pPr>
              <w:pStyle w:val="TableText"/>
            </w:pPr>
            <w:r w:rsidRPr="00F85B76">
              <w:t>for 90 days</w:t>
            </w:r>
          </w:p>
        </w:tc>
        <w:tc>
          <w:tcPr>
            <w:tcW w:w="0" w:type="auto"/>
            <w:tcBorders>
              <w:top w:val="nil"/>
              <w:left w:val="nil"/>
              <w:bottom w:val="nil"/>
              <w:right w:val="nil"/>
            </w:tcBorders>
          </w:tcPr>
          <w:p w14:paraId="6C095C3D" w14:textId="77777777" w:rsidR="00437439" w:rsidRPr="00F85B76" w:rsidRDefault="00437439" w:rsidP="00377F3A">
            <w:pPr>
              <w:pStyle w:val="TableText"/>
            </w:pPr>
            <w:r w:rsidRPr="00F85B76">
              <w:t>1/2 died and 1/2 survived after consuming 22% of body mass daily</w:t>
            </w:r>
          </w:p>
        </w:tc>
        <w:tc>
          <w:tcPr>
            <w:tcW w:w="0" w:type="auto"/>
            <w:tcBorders>
              <w:top w:val="nil"/>
              <w:left w:val="nil"/>
              <w:bottom w:val="nil"/>
              <w:right w:val="nil"/>
            </w:tcBorders>
          </w:tcPr>
          <w:p w14:paraId="3E2483ED" w14:textId="22A8C10A" w:rsidR="00437439" w:rsidRPr="00F85B76" w:rsidRDefault="00437439" w:rsidP="00377F3A">
            <w:pPr>
              <w:pStyle w:val="TableText"/>
            </w:pPr>
            <w:r w:rsidRPr="00F85B76">
              <w:t xml:space="preserve">Townsend </w:t>
            </w:r>
            <w:r w:rsidR="00B7183A" w:rsidRPr="00B7183A">
              <w:rPr>
                <w:i/>
                <w:iCs/>
              </w:rPr>
              <w:t>et al</w:t>
            </w:r>
            <w:r w:rsidRPr="00F85B76">
              <w:t>. 1984</w:t>
            </w:r>
          </w:p>
        </w:tc>
      </w:tr>
      <w:tr w:rsidR="00437439" w14:paraId="424558F7" w14:textId="77777777" w:rsidTr="00437439">
        <w:trPr>
          <w:cantSplit/>
        </w:trPr>
        <w:tc>
          <w:tcPr>
            <w:tcW w:w="0" w:type="auto"/>
            <w:tcBorders>
              <w:top w:val="nil"/>
              <w:left w:val="nil"/>
              <w:bottom w:val="single" w:sz="4" w:space="0" w:color="auto"/>
              <w:right w:val="nil"/>
            </w:tcBorders>
          </w:tcPr>
          <w:p w14:paraId="411E1DA6" w14:textId="77777777" w:rsidR="00437439" w:rsidRPr="00F85B76" w:rsidRDefault="00437439" w:rsidP="00377F3A">
            <w:pPr>
              <w:pStyle w:val="TableText"/>
            </w:pPr>
          </w:p>
        </w:tc>
        <w:tc>
          <w:tcPr>
            <w:tcW w:w="0" w:type="auto"/>
            <w:tcBorders>
              <w:top w:val="nil"/>
              <w:left w:val="nil"/>
              <w:bottom w:val="single" w:sz="4" w:space="0" w:color="auto"/>
              <w:right w:val="nil"/>
            </w:tcBorders>
          </w:tcPr>
          <w:p w14:paraId="3B643E93" w14:textId="77777777" w:rsidR="00437439" w:rsidRPr="00F85B76" w:rsidRDefault="00437439" w:rsidP="00377F3A">
            <w:pPr>
              <w:pStyle w:val="TableText"/>
            </w:pPr>
          </w:p>
        </w:tc>
        <w:tc>
          <w:tcPr>
            <w:tcW w:w="0" w:type="auto"/>
            <w:tcBorders>
              <w:top w:val="nil"/>
              <w:left w:val="nil"/>
              <w:bottom w:val="single" w:sz="4" w:space="0" w:color="auto"/>
              <w:right w:val="nil"/>
            </w:tcBorders>
          </w:tcPr>
          <w:p w14:paraId="0FC15C01" w14:textId="77777777" w:rsidR="00437439" w:rsidRPr="00F85B76" w:rsidRDefault="00437439" w:rsidP="00377F3A">
            <w:pPr>
              <w:pStyle w:val="TableText"/>
            </w:pPr>
            <w:r w:rsidRPr="00F85B76">
              <w:t>2.9 mg/kg mice</w:t>
            </w:r>
          </w:p>
          <w:p w14:paraId="07F35A99" w14:textId="77777777" w:rsidR="00437439" w:rsidRPr="00F85B76" w:rsidRDefault="00437439" w:rsidP="00377F3A">
            <w:pPr>
              <w:pStyle w:val="TableText"/>
            </w:pPr>
            <w:r w:rsidRPr="00F85B76">
              <w:t>for 12-57 days</w:t>
            </w:r>
          </w:p>
        </w:tc>
        <w:tc>
          <w:tcPr>
            <w:tcW w:w="0" w:type="auto"/>
            <w:tcBorders>
              <w:top w:val="nil"/>
              <w:left w:val="nil"/>
              <w:bottom w:val="single" w:sz="4" w:space="0" w:color="auto"/>
              <w:right w:val="nil"/>
            </w:tcBorders>
          </w:tcPr>
          <w:p w14:paraId="1DE756F5" w14:textId="77777777" w:rsidR="00437439" w:rsidRPr="00F85B76" w:rsidRDefault="00437439" w:rsidP="00377F3A">
            <w:pPr>
              <w:pStyle w:val="TableText"/>
            </w:pPr>
            <w:r w:rsidRPr="00F85B76">
              <w:t>2/2 died after consuming 22% of body mass daily</w:t>
            </w:r>
          </w:p>
        </w:tc>
        <w:tc>
          <w:tcPr>
            <w:tcW w:w="0" w:type="auto"/>
            <w:tcBorders>
              <w:top w:val="nil"/>
              <w:left w:val="nil"/>
              <w:bottom w:val="single" w:sz="4" w:space="0" w:color="auto"/>
              <w:right w:val="nil"/>
            </w:tcBorders>
          </w:tcPr>
          <w:p w14:paraId="4EFFB165" w14:textId="3F026F5B" w:rsidR="00437439" w:rsidRPr="00F85B76" w:rsidRDefault="00437439" w:rsidP="00377F3A">
            <w:pPr>
              <w:pStyle w:val="TableText"/>
            </w:pPr>
            <w:r w:rsidRPr="00F85B76">
              <w:t xml:space="preserve">Townsend </w:t>
            </w:r>
            <w:r w:rsidR="00B7183A" w:rsidRPr="00B7183A">
              <w:rPr>
                <w:i/>
                <w:iCs/>
              </w:rPr>
              <w:t>et al</w:t>
            </w:r>
            <w:r w:rsidRPr="00F85B76">
              <w:t>. 1984</w:t>
            </w:r>
          </w:p>
        </w:tc>
      </w:tr>
      <w:tr w:rsidR="00437439" w14:paraId="7D17F036" w14:textId="77777777" w:rsidTr="00437439">
        <w:trPr>
          <w:cantSplit/>
        </w:trPr>
        <w:tc>
          <w:tcPr>
            <w:tcW w:w="0" w:type="auto"/>
            <w:tcBorders>
              <w:top w:val="single" w:sz="4" w:space="0" w:color="auto"/>
              <w:left w:val="nil"/>
              <w:bottom w:val="single" w:sz="4" w:space="0" w:color="auto"/>
              <w:right w:val="nil"/>
            </w:tcBorders>
          </w:tcPr>
          <w:p w14:paraId="46A5E622" w14:textId="77777777" w:rsidR="00437439" w:rsidRPr="00F85B76" w:rsidRDefault="00437439" w:rsidP="00377F3A">
            <w:pPr>
              <w:pStyle w:val="TableText"/>
            </w:pPr>
            <w:r w:rsidRPr="00F85B76">
              <w:lastRenderedPageBreak/>
              <w:t>Birds</w:t>
            </w:r>
          </w:p>
        </w:tc>
        <w:tc>
          <w:tcPr>
            <w:tcW w:w="0" w:type="auto"/>
            <w:tcBorders>
              <w:top w:val="single" w:sz="4" w:space="0" w:color="auto"/>
              <w:left w:val="nil"/>
              <w:bottom w:val="single" w:sz="4" w:space="0" w:color="auto"/>
              <w:right w:val="nil"/>
            </w:tcBorders>
          </w:tcPr>
          <w:p w14:paraId="657A7519" w14:textId="77777777" w:rsidR="00437439" w:rsidRPr="00F85B76" w:rsidRDefault="00437439" w:rsidP="00377F3A">
            <w:pPr>
              <w:pStyle w:val="TableText"/>
            </w:pPr>
            <w:r w:rsidRPr="00F85B76">
              <w:t>Strix aluco</w:t>
            </w:r>
          </w:p>
        </w:tc>
        <w:tc>
          <w:tcPr>
            <w:tcW w:w="0" w:type="auto"/>
            <w:tcBorders>
              <w:top w:val="single" w:sz="4" w:space="0" w:color="auto"/>
              <w:left w:val="nil"/>
              <w:bottom w:val="single" w:sz="4" w:space="0" w:color="auto"/>
              <w:right w:val="nil"/>
            </w:tcBorders>
          </w:tcPr>
          <w:p w14:paraId="25EB3C9D" w14:textId="77777777" w:rsidR="00437439" w:rsidRPr="00F85B76" w:rsidRDefault="00437439" w:rsidP="00377F3A">
            <w:pPr>
              <w:pStyle w:val="TableText"/>
            </w:pPr>
            <w:r w:rsidRPr="00F85B76">
              <w:t xml:space="preserve">1.6 mg/kg mice </w:t>
            </w:r>
          </w:p>
          <w:p w14:paraId="4C812887" w14:textId="77777777" w:rsidR="00437439" w:rsidRPr="00F85B76" w:rsidRDefault="00437439" w:rsidP="00377F3A">
            <w:pPr>
              <w:pStyle w:val="TableText"/>
            </w:pPr>
            <w:r w:rsidRPr="00F85B76">
              <w:t>for 90 days</w:t>
            </w:r>
          </w:p>
        </w:tc>
        <w:tc>
          <w:tcPr>
            <w:tcW w:w="0" w:type="auto"/>
            <w:tcBorders>
              <w:top w:val="single" w:sz="4" w:space="0" w:color="auto"/>
              <w:left w:val="nil"/>
              <w:bottom w:val="single" w:sz="4" w:space="0" w:color="auto"/>
              <w:right w:val="nil"/>
            </w:tcBorders>
          </w:tcPr>
          <w:p w14:paraId="11FCA68D" w14:textId="77777777" w:rsidR="00437439" w:rsidRPr="00F85B76" w:rsidRDefault="00437439" w:rsidP="00377F3A">
            <w:pPr>
              <w:pStyle w:val="TableText"/>
            </w:pPr>
            <w:r w:rsidRPr="00F85B76">
              <w:t xml:space="preserve">4/4 survived after consuming 11% of body mass daily </w:t>
            </w:r>
          </w:p>
        </w:tc>
        <w:tc>
          <w:tcPr>
            <w:tcW w:w="0" w:type="auto"/>
            <w:tcBorders>
              <w:top w:val="single" w:sz="4" w:space="0" w:color="auto"/>
              <w:left w:val="nil"/>
              <w:bottom w:val="single" w:sz="4" w:space="0" w:color="auto"/>
              <w:right w:val="nil"/>
            </w:tcBorders>
          </w:tcPr>
          <w:p w14:paraId="248E2B18" w14:textId="5B76BDEA" w:rsidR="00437439" w:rsidRPr="00F85B76" w:rsidRDefault="00437439" w:rsidP="00377F3A">
            <w:pPr>
              <w:pStyle w:val="TableText"/>
            </w:pPr>
            <w:r w:rsidRPr="00F85B76">
              <w:t xml:space="preserve">Townsend </w:t>
            </w:r>
            <w:r w:rsidR="00B7183A" w:rsidRPr="00B7183A">
              <w:rPr>
                <w:i/>
                <w:iCs/>
              </w:rPr>
              <w:t>et al</w:t>
            </w:r>
            <w:r w:rsidRPr="00F85B76">
              <w:t>. 1981</w:t>
            </w:r>
          </w:p>
        </w:tc>
      </w:tr>
    </w:tbl>
    <w:p w14:paraId="2F826CBE" w14:textId="3E17E8F7" w:rsidR="00980B2F" w:rsidRPr="00861CA0" w:rsidRDefault="00BA7F5F" w:rsidP="00377F3A">
      <w:pPr>
        <w:pStyle w:val="Caption"/>
      </w:pPr>
      <w:bookmarkStart w:id="2021" w:name="_Ref214822667"/>
      <w:bookmarkStart w:id="2022" w:name="_Toc213946077"/>
      <w:bookmarkStart w:id="2023" w:name="_Toc216695768"/>
      <w:r>
        <w:t xml:space="preserve">Table </w:t>
      </w:r>
      <w:r>
        <w:fldChar w:fldCharType="begin"/>
      </w:r>
      <w:r>
        <w:instrText xml:space="preserve"> SEQ Table \* ARABIC </w:instrText>
      </w:r>
      <w:r>
        <w:fldChar w:fldCharType="separate"/>
      </w:r>
      <w:r w:rsidR="003861AC">
        <w:rPr>
          <w:noProof/>
        </w:rPr>
        <w:t>106</w:t>
      </w:r>
      <w:r>
        <w:fldChar w:fldCharType="end"/>
      </w:r>
      <w:bookmarkEnd w:id="2021"/>
      <w:r>
        <w:t xml:space="preserve">: </w:t>
      </w:r>
      <w:r w:rsidR="00437439">
        <w:t xml:space="preserve">Warfarin – </w:t>
      </w:r>
      <w:r w:rsidR="00980B2F" w:rsidRPr="003B601F">
        <w:t>Field studies and adverse incidents</w:t>
      </w:r>
      <w:r w:rsidR="00980B2F">
        <w:t xml:space="preserve"> involving terrestrial vertebrates from approved or unspecified use</w:t>
      </w:r>
      <w:bookmarkEnd w:id="2022"/>
      <w:bookmarkEnd w:id="2023"/>
    </w:p>
    <w:tbl>
      <w:tblPr>
        <w:tblW w:w="0" w:type="auto"/>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711"/>
        <w:gridCol w:w="1828"/>
        <w:gridCol w:w="3350"/>
        <w:gridCol w:w="2744"/>
      </w:tblGrid>
      <w:tr w:rsidR="00437439" w:rsidRPr="000B2FA7" w14:paraId="205FE4A0" w14:textId="77777777" w:rsidTr="0017134F">
        <w:trPr>
          <w:cantSplit/>
          <w:tblHeader/>
        </w:trPr>
        <w:tc>
          <w:tcPr>
            <w:tcW w:w="0" w:type="auto"/>
            <w:tcBorders>
              <w:bottom w:val="single" w:sz="4" w:space="0" w:color="auto"/>
            </w:tcBorders>
            <w:shd w:val="clear" w:color="auto" w:fill="53284F"/>
          </w:tcPr>
          <w:p w14:paraId="422CD7BF" w14:textId="77777777" w:rsidR="00437439" w:rsidRPr="00CA558C" w:rsidRDefault="00437439" w:rsidP="00377F3A">
            <w:pPr>
              <w:pStyle w:val="TableHead"/>
            </w:pPr>
            <w:r>
              <w:t>Use area</w:t>
            </w:r>
          </w:p>
        </w:tc>
        <w:tc>
          <w:tcPr>
            <w:tcW w:w="0" w:type="auto"/>
            <w:tcBorders>
              <w:bottom w:val="single" w:sz="4" w:space="0" w:color="auto"/>
            </w:tcBorders>
            <w:shd w:val="clear" w:color="auto" w:fill="53284F"/>
          </w:tcPr>
          <w:p w14:paraId="4D5DA17D" w14:textId="77777777" w:rsidR="00437439" w:rsidRDefault="00437439" w:rsidP="00377F3A">
            <w:pPr>
              <w:pStyle w:val="TableHead"/>
            </w:pPr>
            <w:r>
              <w:t>Exposure</w:t>
            </w:r>
          </w:p>
        </w:tc>
        <w:tc>
          <w:tcPr>
            <w:tcW w:w="0" w:type="auto"/>
            <w:tcBorders>
              <w:bottom w:val="single" w:sz="4" w:space="0" w:color="auto"/>
            </w:tcBorders>
            <w:shd w:val="clear" w:color="auto" w:fill="53284F"/>
          </w:tcPr>
          <w:p w14:paraId="1C090FDB" w14:textId="77777777" w:rsidR="00437439" w:rsidRDefault="00437439" w:rsidP="00377F3A">
            <w:pPr>
              <w:pStyle w:val="TableHead"/>
            </w:pPr>
            <w:r>
              <w:t>Effect</w:t>
            </w:r>
          </w:p>
        </w:tc>
        <w:tc>
          <w:tcPr>
            <w:tcW w:w="0" w:type="auto"/>
            <w:tcBorders>
              <w:bottom w:val="single" w:sz="4" w:space="0" w:color="auto"/>
            </w:tcBorders>
            <w:shd w:val="clear" w:color="auto" w:fill="53284F"/>
          </w:tcPr>
          <w:p w14:paraId="22B1F710" w14:textId="77777777" w:rsidR="00437439" w:rsidRPr="00CA558C" w:rsidRDefault="00437439" w:rsidP="00377F3A">
            <w:pPr>
              <w:pStyle w:val="TableHead"/>
            </w:pPr>
            <w:r>
              <w:t>Reference</w:t>
            </w:r>
          </w:p>
        </w:tc>
      </w:tr>
      <w:tr w:rsidR="00437439" w:rsidRPr="003B601F" w14:paraId="29C7F275" w14:textId="77777777" w:rsidTr="00437439">
        <w:trPr>
          <w:cantSplit/>
        </w:trPr>
        <w:tc>
          <w:tcPr>
            <w:tcW w:w="0" w:type="auto"/>
            <w:tcBorders>
              <w:top w:val="single" w:sz="4" w:space="0" w:color="auto"/>
              <w:left w:val="nil"/>
              <w:bottom w:val="nil"/>
            </w:tcBorders>
          </w:tcPr>
          <w:p w14:paraId="507E426C" w14:textId="77777777" w:rsidR="00437439" w:rsidRPr="003B601F" w:rsidRDefault="00437439" w:rsidP="00377F3A">
            <w:pPr>
              <w:pStyle w:val="TableText"/>
            </w:pPr>
            <w:r w:rsidRPr="003B601F">
              <w:t>Humberside UK</w:t>
            </w:r>
          </w:p>
        </w:tc>
        <w:tc>
          <w:tcPr>
            <w:tcW w:w="0" w:type="auto"/>
            <w:tcBorders>
              <w:top w:val="single" w:sz="4" w:space="0" w:color="auto"/>
              <w:bottom w:val="nil"/>
            </w:tcBorders>
          </w:tcPr>
          <w:p w14:paraId="16C708C5" w14:textId="77777777" w:rsidR="00437439" w:rsidRPr="003B601F" w:rsidRDefault="00437439" w:rsidP="00377F3A">
            <w:pPr>
              <w:pStyle w:val="TableText"/>
            </w:pPr>
            <w:r w:rsidRPr="003B601F">
              <w:t>Approved grain baiting in haulage yard</w:t>
            </w:r>
          </w:p>
        </w:tc>
        <w:tc>
          <w:tcPr>
            <w:tcW w:w="0" w:type="auto"/>
            <w:tcBorders>
              <w:top w:val="single" w:sz="4" w:space="0" w:color="auto"/>
              <w:bottom w:val="nil"/>
            </w:tcBorders>
          </w:tcPr>
          <w:p w14:paraId="6CA837BE" w14:textId="77777777" w:rsidR="00437439" w:rsidRPr="003B601F" w:rsidRDefault="00437439" w:rsidP="00377F3A">
            <w:pPr>
              <w:pStyle w:val="TableText"/>
            </w:pPr>
            <w:r w:rsidRPr="003B601F">
              <w:t>1 sparrow poisoning, likely accessed bait box</w:t>
            </w:r>
          </w:p>
        </w:tc>
        <w:tc>
          <w:tcPr>
            <w:tcW w:w="0" w:type="auto"/>
            <w:tcBorders>
              <w:top w:val="single" w:sz="4" w:space="0" w:color="auto"/>
              <w:bottom w:val="nil"/>
            </w:tcBorders>
          </w:tcPr>
          <w:p w14:paraId="0C6F6D7C" w14:textId="75609B43" w:rsidR="00437439" w:rsidRPr="003B601F" w:rsidRDefault="00437439" w:rsidP="00377F3A">
            <w:pPr>
              <w:pStyle w:val="TableText"/>
            </w:pPr>
            <w:r w:rsidRPr="003B601F">
              <w:t xml:space="preserve">Fletcher </w:t>
            </w:r>
            <w:r w:rsidR="00B7183A" w:rsidRPr="00B7183A">
              <w:rPr>
                <w:i/>
                <w:iCs/>
              </w:rPr>
              <w:t>et al</w:t>
            </w:r>
            <w:r w:rsidRPr="003B601F">
              <w:t>. 2000</w:t>
            </w:r>
          </w:p>
        </w:tc>
      </w:tr>
      <w:tr w:rsidR="00437439" w:rsidRPr="003B601F" w14:paraId="34174B55" w14:textId="77777777" w:rsidTr="00437439">
        <w:trPr>
          <w:cantSplit/>
        </w:trPr>
        <w:tc>
          <w:tcPr>
            <w:tcW w:w="0" w:type="auto"/>
            <w:tcBorders>
              <w:top w:val="nil"/>
              <w:left w:val="nil"/>
              <w:bottom w:val="nil"/>
            </w:tcBorders>
          </w:tcPr>
          <w:p w14:paraId="7068085F" w14:textId="77777777" w:rsidR="00437439" w:rsidRPr="003B601F" w:rsidRDefault="00437439" w:rsidP="00377F3A">
            <w:pPr>
              <w:pStyle w:val="TableText"/>
            </w:pPr>
            <w:r w:rsidRPr="003B601F">
              <w:t>Various counties across UK</w:t>
            </w:r>
          </w:p>
        </w:tc>
        <w:tc>
          <w:tcPr>
            <w:tcW w:w="0" w:type="auto"/>
            <w:tcBorders>
              <w:top w:val="nil"/>
              <w:bottom w:val="nil"/>
            </w:tcBorders>
          </w:tcPr>
          <w:p w14:paraId="6216211E" w14:textId="77777777" w:rsidR="00437439" w:rsidRPr="003B601F" w:rsidRDefault="00437439" w:rsidP="00377F3A">
            <w:pPr>
              <w:pStyle w:val="TableText"/>
            </w:pPr>
            <w:r w:rsidRPr="003B601F">
              <w:t>Unspecified</w:t>
            </w:r>
          </w:p>
        </w:tc>
        <w:tc>
          <w:tcPr>
            <w:tcW w:w="0" w:type="auto"/>
            <w:tcBorders>
              <w:top w:val="nil"/>
              <w:bottom w:val="nil"/>
            </w:tcBorders>
          </w:tcPr>
          <w:p w14:paraId="06015870" w14:textId="77777777" w:rsidR="00437439" w:rsidRPr="003B601F" w:rsidRDefault="00437439" w:rsidP="00377F3A">
            <w:pPr>
              <w:pStyle w:val="TableText"/>
            </w:pPr>
            <w:r w:rsidRPr="003B601F">
              <w:t xml:space="preserve">No wildlife incidents that involved approved uses or unspecified exposure in 1998, 2000-2006 </w:t>
            </w:r>
          </w:p>
        </w:tc>
        <w:tc>
          <w:tcPr>
            <w:tcW w:w="0" w:type="auto"/>
            <w:tcBorders>
              <w:top w:val="nil"/>
              <w:bottom w:val="nil"/>
            </w:tcBorders>
          </w:tcPr>
          <w:p w14:paraId="7CAA80AC" w14:textId="163150B4" w:rsidR="00437439" w:rsidRPr="003B601F" w:rsidRDefault="00437439" w:rsidP="00377F3A">
            <w:pPr>
              <w:pStyle w:val="TableText"/>
            </w:pPr>
            <w:r w:rsidRPr="003B601F">
              <w:t xml:space="preserve">Barnett </w:t>
            </w:r>
            <w:r w:rsidR="00B7183A" w:rsidRPr="00B7183A">
              <w:rPr>
                <w:i/>
                <w:iCs/>
              </w:rPr>
              <w:t>et al</w:t>
            </w:r>
            <w:r w:rsidRPr="003B601F">
              <w:t>. 2002a, 2002b, 2003, 2004, 2005, 2006, 2007, Fletcher 1999</w:t>
            </w:r>
          </w:p>
        </w:tc>
      </w:tr>
      <w:tr w:rsidR="00437439" w:rsidRPr="003B601F" w14:paraId="3C64BBEB" w14:textId="77777777" w:rsidTr="00437439">
        <w:trPr>
          <w:cantSplit/>
        </w:trPr>
        <w:tc>
          <w:tcPr>
            <w:tcW w:w="0" w:type="auto"/>
            <w:tcBorders>
              <w:top w:val="nil"/>
              <w:left w:val="nil"/>
              <w:bottom w:val="single" w:sz="4" w:space="0" w:color="auto"/>
            </w:tcBorders>
          </w:tcPr>
          <w:p w14:paraId="4DAB8227" w14:textId="77777777" w:rsidR="00437439" w:rsidRPr="003B601F" w:rsidRDefault="00437439" w:rsidP="00377F3A">
            <w:pPr>
              <w:pStyle w:val="TableText"/>
            </w:pPr>
            <w:r w:rsidRPr="003B601F">
              <w:t>New York, USA &amp; adjoining states</w:t>
            </w:r>
          </w:p>
        </w:tc>
        <w:tc>
          <w:tcPr>
            <w:tcW w:w="0" w:type="auto"/>
            <w:tcBorders>
              <w:top w:val="nil"/>
              <w:bottom w:val="single" w:sz="4" w:space="0" w:color="auto"/>
            </w:tcBorders>
          </w:tcPr>
          <w:p w14:paraId="47ACF380" w14:textId="77777777" w:rsidR="00437439" w:rsidRPr="003B601F" w:rsidRDefault="00437439" w:rsidP="00377F3A">
            <w:pPr>
              <w:pStyle w:val="TableText"/>
            </w:pPr>
            <w:r w:rsidRPr="003B601F">
              <w:t>Unspecified</w:t>
            </w:r>
          </w:p>
        </w:tc>
        <w:tc>
          <w:tcPr>
            <w:tcW w:w="0" w:type="auto"/>
            <w:tcBorders>
              <w:top w:val="nil"/>
              <w:bottom w:val="single" w:sz="4" w:space="0" w:color="auto"/>
            </w:tcBorders>
          </w:tcPr>
          <w:p w14:paraId="51064D77" w14:textId="77777777" w:rsidR="00437439" w:rsidRPr="003B601F" w:rsidRDefault="00437439" w:rsidP="00377F3A">
            <w:pPr>
              <w:pStyle w:val="TableText"/>
            </w:pPr>
            <w:r w:rsidRPr="003B601F">
              <w:t>2 gray squirrel, 1 peregrine falcon, 1 bald eagle poisonings in 1971-1997</w:t>
            </w:r>
          </w:p>
        </w:tc>
        <w:tc>
          <w:tcPr>
            <w:tcW w:w="0" w:type="auto"/>
            <w:tcBorders>
              <w:top w:val="nil"/>
              <w:bottom w:val="single" w:sz="4" w:space="0" w:color="auto"/>
            </w:tcBorders>
          </w:tcPr>
          <w:p w14:paraId="79D6B182" w14:textId="7CF1CA80" w:rsidR="00437439" w:rsidRPr="003B601F" w:rsidRDefault="00437439" w:rsidP="00377F3A">
            <w:pPr>
              <w:pStyle w:val="TableText"/>
            </w:pPr>
            <w:r w:rsidRPr="003B601F">
              <w:t xml:space="preserve">Stone </w:t>
            </w:r>
            <w:r w:rsidR="00B7183A" w:rsidRPr="00B7183A">
              <w:rPr>
                <w:i/>
                <w:iCs/>
              </w:rPr>
              <w:t>et al</w:t>
            </w:r>
            <w:r w:rsidRPr="003B601F">
              <w:t>. 1999</w:t>
            </w:r>
          </w:p>
        </w:tc>
      </w:tr>
    </w:tbl>
    <w:p w14:paraId="321F71D2" w14:textId="3B2B40A8" w:rsidR="000C65C6" w:rsidRDefault="000C65C6" w:rsidP="00377F3A">
      <w:pPr>
        <w:pStyle w:val="APVMAAppendixH2"/>
      </w:pPr>
      <w:bookmarkStart w:id="2024" w:name="_Toc214025616"/>
      <w:bookmarkStart w:id="2025" w:name="_Toc216695637"/>
      <w:r>
        <w:t>Brodifacoum</w:t>
      </w:r>
      <w:bookmarkEnd w:id="2024"/>
      <w:bookmarkEnd w:id="2025"/>
    </w:p>
    <w:p w14:paraId="4EA9C222" w14:textId="77777777" w:rsidR="00EE24E4" w:rsidRDefault="00EE24E4" w:rsidP="00377F3A">
      <w:pPr>
        <w:pStyle w:val="APVMAAppendixH3"/>
      </w:pPr>
      <w:bookmarkStart w:id="2026" w:name="_Toc214025617"/>
      <w:bookmarkStart w:id="2027" w:name="_Toc216695638"/>
      <w:r>
        <w:t>Fate and behaviour in the environment</w:t>
      </w:r>
      <w:bookmarkEnd w:id="2026"/>
      <w:bookmarkEnd w:id="2027"/>
    </w:p>
    <w:p w14:paraId="7B5E4952" w14:textId="6B63551A" w:rsidR="000C65C6" w:rsidRPr="00542311" w:rsidRDefault="00BA7F5F" w:rsidP="00377F3A">
      <w:pPr>
        <w:pStyle w:val="Caption"/>
        <w:rPr>
          <w:color w:val="auto"/>
        </w:rPr>
      </w:pPr>
      <w:bookmarkStart w:id="2028" w:name="_Toc213946078"/>
      <w:bookmarkStart w:id="2029" w:name="_Toc216695769"/>
      <w:r>
        <w:t xml:space="preserve">Table </w:t>
      </w:r>
      <w:r>
        <w:fldChar w:fldCharType="begin"/>
      </w:r>
      <w:r>
        <w:instrText xml:space="preserve"> SEQ Table \* ARABIC </w:instrText>
      </w:r>
      <w:r>
        <w:fldChar w:fldCharType="separate"/>
      </w:r>
      <w:r w:rsidR="003861AC">
        <w:rPr>
          <w:noProof/>
        </w:rPr>
        <w:t>107</w:t>
      </w:r>
      <w:r>
        <w:fldChar w:fldCharType="end"/>
      </w:r>
      <w:r>
        <w:t xml:space="preserve">: </w:t>
      </w:r>
      <w:r w:rsidR="000C65C6">
        <w:t xml:space="preserve">Brodifacoum – </w:t>
      </w:r>
      <w:r w:rsidR="000C65C6" w:rsidRPr="008B4AF6">
        <w:t>Physical</w:t>
      </w:r>
      <w:r w:rsidR="000C65C6">
        <w:t xml:space="preserve"> </w:t>
      </w:r>
      <w:r w:rsidR="000C65C6" w:rsidRPr="008B4AF6">
        <w:t>and chemical properties</w:t>
      </w:r>
      <w:bookmarkEnd w:id="2028"/>
      <w:bookmarkEnd w:id="20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58"/>
        <w:gridCol w:w="4188"/>
        <w:gridCol w:w="2482"/>
      </w:tblGrid>
      <w:tr w:rsidR="00EE24E4" w:rsidRPr="00542311" w14:paraId="1058EEE1" w14:textId="77777777" w:rsidTr="0017134F">
        <w:trPr>
          <w:cantSplit/>
          <w:tblHeader/>
        </w:trPr>
        <w:tc>
          <w:tcPr>
            <w:tcW w:w="0" w:type="auto"/>
            <w:tcBorders>
              <w:bottom w:val="single" w:sz="4" w:space="0" w:color="auto"/>
            </w:tcBorders>
            <w:shd w:val="clear" w:color="auto" w:fill="53284F"/>
          </w:tcPr>
          <w:p w14:paraId="23BD3CAE" w14:textId="77777777" w:rsidR="00EE24E4" w:rsidRPr="00542311" w:rsidRDefault="00EE24E4" w:rsidP="00377F3A">
            <w:pPr>
              <w:pStyle w:val="TableHead"/>
            </w:pPr>
            <w:r w:rsidRPr="00542311">
              <w:t>Study</w:t>
            </w:r>
          </w:p>
        </w:tc>
        <w:tc>
          <w:tcPr>
            <w:tcW w:w="0" w:type="auto"/>
            <w:tcBorders>
              <w:bottom w:val="single" w:sz="4" w:space="0" w:color="auto"/>
            </w:tcBorders>
            <w:shd w:val="clear" w:color="auto" w:fill="53284F"/>
          </w:tcPr>
          <w:p w14:paraId="2DCD9430" w14:textId="77777777" w:rsidR="00EE24E4" w:rsidRPr="00542311" w:rsidRDefault="00EE24E4" w:rsidP="00377F3A">
            <w:pPr>
              <w:pStyle w:val="TableHead"/>
            </w:pPr>
            <w:r w:rsidRPr="00542311">
              <w:t>Result</w:t>
            </w:r>
          </w:p>
        </w:tc>
        <w:tc>
          <w:tcPr>
            <w:tcW w:w="0" w:type="auto"/>
            <w:tcBorders>
              <w:bottom w:val="single" w:sz="4" w:space="0" w:color="auto"/>
            </w:tcBorders>
            <w:shd w:val="clear" w:color="auto" w:fill="53284F"/>
          </w:tcPr>
          <w:p w14:paraId="42BAB906" w14:textId="77777777" w:rsidR="00EE24E4" w:rsidRPr="00542311" w:rsidRDefault="00EE24E4" w:rsidP="00377F3A">
            <w:pPr>
              <w:pStyle w:val="TableHead"/>
            </w:pPr>
            <w:r w:rsidRPr="00542311">
              <w:t>Reference</w:t>
            </w:r>
          </w:p>
        </w:tc>
      </w:tr>
      <w:tr w:rsidR="00EE24E4" w:rsidRPr="008B4AF6" w14:paraId="0527C6D3" w14:textId="77777777" w:rsidTr="00073396">
        <w:trPr>
          <w:cantSplit/>
        </w:trPr>
        <w:tc>
          <w:tcPr>
            <w:tcW w:w="0" w:type="auto"/>
            <w:tcBorders>
              <w:top w:val="single" w:sz="4" w:space="0" w:color="auto"/>
              <w:left w:val="nil"/>
              <w:bottom w:val="nil"/>
              <w:right w:val="nil"/>
            </w:tcBorders>
          </w:tcPr>
          <w:p w14:paraId="3EF85763" w14:textId="77777777" w:rsidR="00EE24E4" w:rsidRPr="008B4AF6" w:rsidRDefault="00EE24E4" w:rsidP="00377F3A">
            <w:pPr>
              <w:pStyle w:val="TableText"/>
            </w:pPr>
            <w:r w:rsidRPr="008B4AF6">
              <w:t>Vapour pressure</w:t>
            </w:r>
          </w:p>
        </w:tc>
        <w:tc>
          <w:tcPr>
            <w:tcW w:w="0" w:type="auto"/>
            <w:tcBorders>
              <w:top w:val="single" w:sz="4" w:space="0" w:color="auto"/>
              <w:left w:val="nil"/>
              <w:bottom w:val="nil"/>
              <w:right w:val="nil"/>
            </w:tcBorders>
          </w:tcPr>
          <w:p w14:paraId="583D3513" w14:textId="77777777" w:rsidR="00EE24E4" w:rsidRDefault="00EE24E4" w:rsidP="00377F3A">
            <w:pPr>
              <w:pStyle w:val="TableText"/>
            </w:pPr>
            <w:r>
              <w:t>2.6</w:t>
            </w:r>
            <w:r w:rsidRPr="00C94AB5">
              <w:t xml:space="preserve"> </w:t>
            </w:r>
            <w:r>
              <w:t>× 10</w:t>
            </w:r>
            <w:r w:rsidRPr="001B1C10">
              <w:rPr>
                <w:vertAlign w:val="superscript"/>
              </w:rPr>
              <w:t>-</w:t>
            </w:r>
            <w:r>
              <w:rPr>
                <w:vertAlign w:val="superscript"/>
              </w:rPr>
              <w:t>22</w:t>
            </w:r>
            <w:r>
              <w:t xml:space="preserve"> Pa at 20°C</w:t>
            </w:r>
          </w:p>
          <w:p w14:paraId="3F29F803" w14:textId="77777777" w:rsidR="00EE24E4" w:rsidRPr="00700E9F" w:rsidRDefault="00EE24E4" w:rsidP="00377F3A">
            <w:pPr>
              <w:pStyle w:val="TableText"/>
              <w:rPr>
                <w:u w:val="single"/>
              </w:rPr>
            </w:pPr>
            <w:r>
              <w:t>1.9</w:t>
            </w:r>
            <w:r w:rsidRPr="00C94AB5">
              <w:t xml:space="preserve"> </w:t>
            </w:r>
            <w:r>
              <w:t>× 10</w:t>
            </w:r>
            <w:r w:rsidRPr="001B1C10">
              <w:rPr>
                <w:vertAlign w:val="superscript"/>
              </w:rPr>
              <w:t>-</w:t>
            </w:r>
            <w:r>
              <w:rPr>
                <w:vertAlign w:val="superscript"/>
              </w:rPr>
              <w:t>21</w:t>
            </w:r>
            <w:r>
              <w:t xml:space="preserve"> Pa at 25°C</w:t>
            </w:r>
          </w:p>
        </w:tc>
        <w:tc>
          <w:tcPr>
            <w:tcW w:w="0" w:type="auto"/>
            <w:tcBorders>
              <w:top w:val="single" w:sz="4" w:space="0" w:color="auto"/>
              <w:left w:val="nil"/>
              <w:bottom w:val="nil"/>
              <w:right w:val="nil"/>
            </w:tcBorders>
          </w:tcPr>
          <w:p w14:paraId="481C6A53" w14:textId="77777777" w:rsidR="00EE24E4" w:rsidRDefault="00EE24E4" w:rsidP="00377F3A">
            <w:pPr>
              <w:pStyle w:val="TableText"/>
            </w:pPr>
            <w:r>
              <w:t>White &amp; Mullee 2006</w:t>
            </w:r>
          </w:p>
        </w:tc>
      </w:tr>
      <w:tr w:rsidR="00EE24E4" w:rsidRPr="008B4AF6" w14:paraId="7E164E9B" w14:textId="77777777" w:rsidTr="00073396">
        <w:trPr>
          <w:cantSplit/>
        </w:trPr>
        <w:tc>
          <w:tcPr>
            <w:tcW w:w="0" w:type="auto"/>
            <w:tcBorders>
              <w:top w:val="nil"/>
              <w:left w:val="nil"/>
              <w:bottom w:val="nil"/>
              <w:right w:val="nil"/>
            </w:tcBorders>
          </w:tcPr>
          <w:p w14:paraId="3335B2D9" w14:textId="77777777" w:rsidR="00EE24E4" w:rsidRPr="008B4AF6" w:rsidRDefault="00EE24E4" w:rsidP="00377F3A">
            <w:pPr>
              <w:pStyle w:val="TableText"/>
            </w:pPr>
            <w:r>
              <w:t>Henry’s law constant</w:t>
            </w:r>
          </w:p>
        </w:tc>
        <w:tc>
          <w:tcPr>
            <w:tcW w:w="0" w:type="auto"/>
            <w:tcBorders>
              <w:top w:val="nil"/>
              <w:left w:val="nil"/>
              <w:bottom w:val="nil"/>
              <w:right w:val="nil"/>
            </w:tcBorders>
          </w:tcPr>
          <w:p w14:paraId="2E1B0992" w14:textId="77777777" w:rsidR="00EE24E4" w:rsidRPr="00700E9F" w:rsidRDefault="00EE24E4" w:rsidP="00377F3A">
            <w:pPr>
              <w:pStyle w:val="TableText"/>
              <w:rPr>
                <w:u w:val="single"/>
              </w:rPr>
            </w:pPr>
            <w:r>
              <w:t>2.4 × 10</w:t>
            </w:r>
            <w:r w:rsidRPr="001B1C10">
              <w:rPr>
                <w:vertAlign w:val="superscript"/>
              </w:rPr>
              <w:t>-</w:t>
            </w:r>
            <w:r>
              <w:rPr>
                <w:vertAlign w:val="superscript"/>
              </w:rPr>
              <w:t>18</w:t>
            </w:r>
            <w:r>
              <w:t xml:space="preserve"> Pa m</w:t>
            </w:r>
            <w:r w:rsidRPr="00005672">
              <w:rPr>
                <w:vertAlign w:val="superscript"/>
              </w:rPr>
              <w:t>3</w:t>
            </w:r>
            <w:r>
              <w:t xml:space="preserve"> mol</w:t>
            </w:r>
            <w:r w:rsidRPr="001B1C10">
              <w:rPr>
                <w:vertAlign w:val="superscript"/>
              </w:rPr>
              <w:t>-1</w:t>
            </w:r>
          </w:p>
        </w:tc>
        <w:tc>
          <w:tcPr>
            <w:tcW w:w="0" w:type="auto"/>
            <w:tcBorders>
              <w:top w:val="nil"/>
              <w:left w:val="nil"/>
              <w:bottom w:val="nil"/>
              <w:right w:val="nil"/>
            </w:tcBorders>
          </w:tcPr>
          <w:p w14:paraId="5E4AFE9A" w14:textId="77777777" w:rsidR="00EE24E4" w:rsidRDefault="00EE24E4" w:rsidP="00377F3A">
            <w:pPr>
              <w:pStyle w:val="TableText"/>
            </w:pPr>
            <w:r>
              <w:t>White &amp; Mullee 2006</w:t>
            </w:r>
          </w:p>
        </w:tc>
      </w:tr>
      <w:tr w:rsidR="00EE24E4" w:rsidRPr="008B4AF6" w14:paraId="1FC7A684" w14:textId="77777777" w:rsidTr="00073396">
        <w:trPr>
          <w:cantSplit/>
        </w:trPr>
        <w:tc>
          <w:tcPr>
            <w:tcW w:w="0" w:type="auto"/>
            <w:tcBorders>
              <w:top w:val="nil"/>
              <w:left w:val="nil"/>
              <w:bottom w:val="nil"/>
              <w:right w:val="nil"/>
            </w:tcBorders>
          </w:tcPr>
          <w:p w14:paraId="7FEDAF8B" w14:textId="77777777" w:rsidR="00EE24E4" w:rsidRDefault="00EE24E4" w:rsidP="00377F3A">
            <w:pPr>
              <w:pStyle w:val="TableText"/>
            </w:pPr>
            <w:r w:rsidRPr="008B4AF6">
              <w:t>Solubility in water</w:t>
            </w:r>
          </w:p>
        </w:tc>
        <w:tc>
          <w:tcPr>
            <w:tcW w:w="0" w:type="auto"/>
            <w:tcBorders>
              <w:top w:val="nil"/>
              <w:left w:val="nil"/>
              <w:bottom w:val="nil"/>
              <w:right w:val="nil"/>
            </w:tcBorders>
          </w:tcPr>
          <w:p w14:paraId="5C746F1D" w14:textId="77777777" w:rsidR="00EE24E4" w:rsidRPr="006F78D3" w:rsidRDefault="00EE24E4" w:rsidP="00377F3A">
            <w:pPr>
              <w:pStyle w:val="TableText"/>
              <w:rPr>
                <w:lang w:val="de-CH"/>
              </w:rPr>
            </w:pPr>
            <w:r w:rsidRPr="006F78D3">
              <w:rPr>
                <w:lang w:val="de-CH"/>
              </w:rPr>
              <w:t>pH 5, 20°C: ≤3.2 × 10</w:t>
            </w:r>
            <w:r w:rsidRPr="00F85D43">
              <w:rPr>
                <w:vertAlign w:val="superscript"/>
                <w:lang w:val="de-CH"/>
              </w:rPr>
              <w:t>-</w:t>
            </w:r>
            <w:r w:rsidRPr="006F78D3">
              <w:rPr>
                <w:vertAlign w:val="superscript"/>
                <w:lang w:val="de-CH"/>
              </w:rPr>
              <w:t>6</w:t>
            </w:r>
            <w:r w:rsidRPr="006F78D3">
              <w:rPr>
                <w:lang w:val="de-CH"/>
              </w:rPr>
              <w:t xml:space="preserve"> mg/L</w:t>
            </w:r>
          </w:p>
          <w:p w14:paraId="79D7A30B" w14:textId="77777777" w:rsidR="00EE24E4" w:rsidRPr="006F78D3" w:rsidRDefault="00EE24E4" w:rsidP="00377F3A">
            <w:pPr>
              <w:pStyle w:val="TableText"/>
              <w:rPr>
                <w:lang w:val="de-CH"/>
              </w:rPr>
            </w:pPr>
            <w:r w:rsidRPr="006F78D3">
              <w:rPr>
                <w:lang w:val="de-CH"/>
              </w:rPr>
              <w:t>pH 7, 20°C: 5.8 × 10</w:t>
            </w:r>
            <w:r w:rsidRPr="00F85D43">
              <w:rPr>
                <w:vertAlign w:val="superscript"/>
                <w:lang w:val="de-CH"/>
              </w:rPr>
              <w:t>-</w:t>
            </w:r>
            <w:r w:rsidRPr="006F78D3">
              <w:rPr>
                <w:vertAlign w:val="superscript"/>
                <w:lang w:val="de-CH"/>
              </w:rPr>
              <w:t>5</w:t>
            </w:r>
            <w:r w:rsidRPr="006F78D3">
              <w:rPr>
                <w:lang w:val="de-CH"/>
              </w:rPr>
              <w:t xml:space="preserve"> mg/L</w:t>
            </w:r>
          </w:p>
          <w:p w14:paraId="6096D255" w14:textId="77777777" w:rsidR="00EE24E4" w:rsidRPr="001D5217" w:rsidRDefault="00EE24E4" w:rsidP="00377F3A">
            <w:pPr>
              <w:pStyle w:val="TableText"/>
            </w:pPr>
            <w:r>
              <w:t>pH 9, 20°C: 1.9 × 10</w:t>
            </w:r>
            <w:r w:rsidRPr="001B1C10">
              <w:rPr>
                <w:vertAlign w:val="superscript"/>
              </w:rPr>
              <w:t>-</w:t>
            </w:r>
            <w:r>
              <w:rPr>
                <w:vertAlign w:val="superscript"/>
              </w:rPr>
              <w:t>3</w:t>
            </w:r>
            <w:r>
              <w:t xml:space="preserve"> mg/L</w:t>
            </w:r>
          </w:p>
        </w:tc>
        <w:tc>
          <w:tcPr>
            <w:tcW w:w="0" w:type="auto"/>
            <w:tcBorders>
              <w:top w:val="nil"/>
              <w:left w:val="nil"/>
              <w:bottom w:val="nil"/>
              <w:right w:val="nil"/>
            </w:tcBorders>
          </w:tcPr>
          <w:p w14:paraId="150FF21B" w14:textId="77777777" w:rsidR="00EE24E4" w:rsidRDefault="00EE24E4" w:rsidP="00377F3A">
            <w:pPr>
              <w:pStyle w:val="TableText"/>
            </w:pPr>
            <w:r>
              <w:t>White &amp; Mullee 2006</w:t>
            </w:r>
          </w:p>
        </w:tc>
      </w:tr>
      <w:tr w:rsidR="00EE24E4" w:rsidRPr="008B4AF6" w14:paraId="1216E972" w14:textId="77777777" w:rsidTr="00073396">
        <w:trPr>
          <w:cantSplit/>
        </w:trPr>
        <w:tc>
          <w:tcPr>
            <w:tcW w:w="0" w:type="auto"/>
            <w:tcBorders>
              <w:top w:val="nil"/>
              <w:left w:val="nil"/>
              <w:bottom w:val="nil"/>
              <w:right w:val="nil"/>
            </w:tcBorders>
          </w:tcPr>
          <w:p w14:paraId="7BDD0E3B" w14:textId="77777777" w:rsidR="00EE24E4" w:rsidRPr="008B4AF6" w:rsidRDefault="00EE24E4" w:rsidP="00377F3A">
            <w:pPr>
              <w:pStyle w:val="TableText"/>
            </w:pPr>
            <w:r w:rsidRPr="008B4AF6">
              <w:t>Partition coefficient</w:t>
            </w:r>
          </w:p>
        </w:tc>
        <w:tc>
          <w:tcPr>
            <w:tcW w:w="0" w:type="auto"/>
            <w:tcBorders>
              <w:top w:val="nil"/>
              <w:left w:val="nil"/>
              <w:bottom w:val="nil"/>
              <w:right w:val="nil"/>
            </w:tcBorders>
          </w:tcPr>
          <w:p w14:paraId="6A77FA85" w14:textId="77777777" w:rsidR="00EE24E4" w:rsidRDefault="00EE24E4" w:rsidP="00377F3A">
            <w:pPr>
              <w:pStyle w:val="TableText"/>
            </w:pPr>
            <w:r>
              <w:t>pH 5: log P</w:t>
            </w:r>
            <w:r w:rsidRPr="00F81098">
              <w:rPr>
                <w:vertAlign w:val="subscript"/>
              </w:rPr>
              <w:t>OW</w:t>
            </w:r>
            <w:r>
              <w:t xml:space="preserve"> 6.1</w:t>
            </w:r>
          </w:p>
          <w:p w14:paraId="17D2C1B8" w14:textId="77777777" w:rsidR="00EE24E4" w:rsidRDefault="00EE24E4" w:rsidP="00377F3A">
            <w:pPr>
              <w:pStyle w:val="TableText"/>
            </w:pPr>
            <w:r>
              <w:t>pH 7: log P</w:t>
            </w:r>
            <w:r w:rsidRPr="00F81098">
              <w:rPr>
                <w:vertAlign w:val="subscript"/>
              </w:rPr>
              <w:t>OW</w:t>
            </w:r>
            <w:r>
              <w:t xml:space="preserve"> 4.9</w:t>
            </w:r>
          </w:p>
          <w:p w14:paraId="0B5E7DEC" w14:textId="77777777" w:rsidR="00EE24E4" w:rsidRPr="001D5217" w:rsidRDefault="00EE24E4" w:rsidP="00377F3A">
            <w:pPr>
              <w:pStyle w:val="TableText"/>
            </w:pPr>
            <w:r>
              <w:t>pH 9: log P</w:t>
            </w:r>
            <w:r w:rsidRPr="00F81098">
              <w:rPr>
                <w:vertAlign w:val="subscript"/>
              </w:rPr>
              <w:t>OW</w:t>
            </w:r>
            <w:r>
              <w:t xml:space="preserve"> 4.8</w:t>
            </w:r>
          </w:p>
        </w:tc>
        <w:tc>
          <w:tcPr>
            <w:tcW w:w="0" w:type="auto"/>
            <w:tcBorders>
              <w:top w:val="nil"/>
              <w:left w:val="nil"/>
              <w:bottom w:val="nil"/>
              <w:right w:val="nil"/>
            </w:tcBorders>
          </w:tcPr>
          <w:p w14:paraId="4311848D" w14:textId="77777777" w:rsidR="00EE24E4" w:rsidRDefault="00EE24E4" w:rsidP="00377F3A">
            <w:pPr>
              <w:pStyle w:val="TableText"/>
            </w:pPr>
            <w:r>
              <w:t>White &amp; Mullee 2006</w:t>
            </w:r>
          </w:p>
        </w:tc>
      </w:tr>
      <w:tr w:rsidR="00EE24E4" w:rsidRPr="008B4AF6" w14:paraId="491B4E12" w14:textId="77777777" w:rsidTr="00073396">
        <w:trPr>
          <w:cantSplit/>
        </w:trPr>
        <w:tc>
          <w:tcPr>
            <w:tcW w:w="0" w:type="auto"/>
            <w:tcBorders>
              <w:top w:val="nil"/>
              <w:left w:val="nil"/>
              <w:bottom w:val="single" w:sz="4" w:space="0" w:color="auto"/>
              <w:right w:val="nil"/>
            </w:tcBorders>
          </w:tcPr>
          <w:p w14:paraId="56A40AA3" w14:textId="77777777" w:rsidR="00EE24E4" w:rsidRPr="008B4AF6" w:rsidRDefault="00EE24E4" w:rsidP="00377F3A">
            <w:pPr>
              <w:pStyle w:val="TableText"/>
            </w:pPr>
            <w:r w:rsidRPr="008B4AF6">
              <w:lastRenderedPageBreak/>
              <w:t>UV-VIS absorption (max)</w:t>
            </w:r>
          </w:p>
        </w:tc>
        <w:tc>
          <w:tcPr>
            <w:tcW w:w="0" w:type="auto"/>
            <w:tcBorders>
              <w:top w:val="nil"/>
              <w:left w:val="nil"/>
              <w:bottom w:val="single" w:sz="4" w:space="0" w:color="auto"/>
              <w:right w:val="nil"/>
            </w:tcBorders>
          </w:tcPr>
          <w:p w14:paraId="6E38E7B4" w14:textId="77777777" w:rsidR="00EE24E4" w:rsidRDefault="00EE24E4" w:rsidP="00377F3A">
            <w:pPr>
              <w:pStyle w:val="TableText"/>
            </w:pPr>
            <w:r>
              <w:t>solution</w:t>
            </w:r>
            <w:r w:rsidRPr="00C94AB5">
              <w:tab/>
            </w: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p w14:paraId="181DD217" w14:textId="77777777" w:rsidR="00EE24E4" w:rsidRDefault="00EE24E4" w:rsidP="00377F3A">
            <w:pPr>
              <w:pStyle w:val="TableText"/>
            </w:pPr>
            <w:r>
              <w:t>acidic</w:t>
            </w:r>
            <w:r>
              <w:tab/>
              <w:t>266 nm</w:t>
            </w:r>
            <w:r>
              <w:tab/>
              <w:t>40191</w:t>
            </w:r>
          </w:p>
          <w:p w14:paraId="4B116CD5" w14:textId="77777777" w:rsidR="00EE24E4" w:rsidRDefault="00EE24E4" w:rsidP="00377F3A">
            <w:pPr>
              <w:pStyle w:val="TableText"/>
            </w:pPr>
            <w:r>
              <w:t>acidic</w:t>
            </w:r>
            <w:r>
              <w:tab/>
              <w:t>308 nm</w:t>
            </w:r>
            <w:r>
              <w:tab/>
              <w:t>15629</w:t>
            </w:r>
          </w:p>
          <w:p w14:paraId="76891539" w14:textId="77777777" w:rsidR="00EE24E4" w:rsidRDefault="00EE24E4" w:rsidP="00377F3A">
            <w:pPr>
              <w:pStyle w:val="TableText"/>
            </w:pPr>
            <w:r>
              <w:t>neutral</w:t>
            </w:r>
            <w:r>
              <w:tab/>
              <w:t>266 nm</w:t>
            </w:r>
            <w:r>
              <w:tab/>
              <w:t>37759</w:t>
            </w:r>
          </w:p>
          <w:p w14:paraId="0400107D" w14:textId="77777777" w:rsidR="00EE24E4" w:rsidRDefault="00EE24E4" w:rsidP="00377F3A">
            <w:pPr>
              <w:pStyle w:val="TableText"/>
            </w:pPr>
            <w:r>
              <w:t>neutral</w:t>
            </w:r>
            <w:r>
              <w:tab/>
              <w:t>308 nm</w:t>
            </w:r>
            <w:r>
              <w:tab/>
              <w:t>14089</w:t>
            </w:r>
          </w:p>
          <w:p w14:paraId="11854ABA" w14:textId="77777777" w:rsidR="00EE24E4" w:rsidRDefault="00EE24E4" w:rsidP="00377F3A">
            <w:pPr>
              <w:pStyle w:val="TableText"/>
            </w:pPr>
            <w:r>
              <w:t>basic</w:t>
            </w:r>
            <w:r>
              <w:tab/>
              <w:t>263 nm</w:t>
            </w:r>
            <w:r>
              <w:tab/>
              <w:t>33601</w:t>
            </w:r>
          </w:p>
          <w:p w14:paraId="419087B4" w14:textId="77777777" w:rsidR="00EE24E4" w:rsidRPr="001D5217" w:rsidRDefault="00EE24E4" w:rsidP="00377F3A">
            <w:pPr>
              <w:pStyle w:val="TableText"/>
            </w:pPr>
            <w:r>
              <w:t>basic</w:t>
            </w:r>
            <w:r>
              <w:tab/>
              <w:t>312 nm</w:t>
            </w:r>
            <w:r>
              <w:tab/>
              <w:t>16677</w:t>
            </w:r>
          </w:p>
        </w:tc>
        <w:tc>
          <w:tcPr>
            <w:tcW w:w="0" w:type="auto"/>
            <w:tcBorders>
              <w:top w:val="nil"/>
              <w:left w:val="nil"/>
              <w:bottom w:val="single" w:sz="4" w:space="0" w:color="auto"/>
              <w:right w:val="nil"/>
            </w:tcBorders>
          </w:tcPr>
          <w:p w14:paraId="60B2DED4" w14:textId="77777777" w:rsidR="00EE24E4" w:rsidRDefault="00EE24E4" w:rsidP="00377F3A">
            <w:pPr>
              <w:pStyle w:val="TableText"/>
            </w:pPr>
            <w:r>
              <w:t>Garofani 2001a</w:t>
            </w:r>
          </w:p>
        </w:tc>
      </w:tr>
    </w:tbl>
    <w:p w14:paraId="2A27F628" w14:textId="199940AA" w:rsidR="000C65C6" w:rsidRPr="00861CA0" w:rsidRDefault="00BA7F5F" w:rsidP="00377F3A">
      <w:pPr>
        <w:pStyle w:val="Caption"/>
      </w:pPr>
      <w:bookmarkStart w:id="2030" w:name="_Toc213946079"/>
      <w:bookmarkStart w:id="2031" w:name="_Toc216695770"/>
      <w:r>
        <w:t xml:space="preserve">Table </w:t>
      </w:r>
      <w:r>
        <w:fldChar w:fldCharType="begin"/>
      </w:r>
      <w:r>
        <w:instrText xml:space="preserve"> SEQ Table \* ARABIC </w:instrText>
      </w:r>
      <w:r>
        <w:fldChar w:fldCharType="separate"/>
      </w:r>
      <w:r w:rsidR="003861AC">
        <w:rPr>
          <w:noProof/>
        </w:rPr>
        <w:t>108</w:t>
      </w:r>
      <w:r>
        <w:fldChar w:fldCharType="end"/>
      </w:r>
      <w:r>
        <w:t xml:space="preserve">: </w:t>
      </w:r>
      <w:r w:rsidR="002016BA">
        <w:t xml:space="preserve">Brodifacoum – </w:t>
      </w:r>
      <w:r w:rsidR="000C65C6">
        <w:t xml:space="preserve">Fate and behaviour in </w:t>
      </w:r>
      <w:r w:rsidR="002016BA">
        <w:t>environmental media</w:t>
      </w:r>
      <w:bookmarkEnd w:id="2030"/>
      <w:bookmarkEnd w:id="2031"/>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55"/>
        <w:gridCol w:w="2153"/>
        <w:gridCol w:w="3244"/>
        <w:gridCol w:w="2981"/>
      </w:tblGrid>
      <w:tr w:rsidR="000C65C6" w:rsidRPr="000B2FA7" w14:paraId="4412B62A" w14:textId="77777777" w:rsidTr="0017134F">
        <w:trPr>
          <w:cantSplit/>
          <w:tblHeader/>
        </w:trPr>
        <w:tc>
          <w:tcPr>
            <w:tcW w:w="0" w:type="auto"/>
            <w:tcBorders>
              <w:bottom w:val="single" w:sz="4" w:space="0" w:color="auto"/>
            </w:tcBorders>
            <w:shd w:val="clear" w:color="auto" w:fill="53284F"/>
          </w:tcPr>
          <w:p w14:paraId="5A1B3146" w14:textId="683B40F6" w:rsidR="000C65C6" w:rsidRDefault="00E4418A" w:rsidP="00377F3A">
            <w:pPr>
              <w:pStyle w:val="TableHead"/>
            </w:pPr>
            <w:r>
              <w:t>Compartment</w:t>
            </w:r>
          </w:p>
        </w:tc>
        <w:tc>
          <w:tcPr>
            <w:tcW w:w="0" w:type="auto"/>
            <w:tcBorders>
              <w:bottom w:val="single" w:sz="4" w:space="0" w:color="auto"/>
            </w:tcBorders>
            <w:shd w:val="clear" w:color="auto" w:fill="53284F"/>
          </w:tcPr>
          <w:p w14:paraId="603E34FA" w14:textId="77777777" w:rsidR="000C65C6" w:rsidRDefault="000C65C6" w:rsidP="00377F3A">
            <w:pPr>
              <w:pStyle w:val="TableHead"/>
            </w:pPr>
            <w:r>
              <w:t>Study</w:t>
            </w:r>
          </w:p>
        </w:tc>
        <w:tc>
          <w:tcPr>
            <w:tcW w:w="0" w:type="auto"/>
            <w:tcBorders>
              <w:bottom w:val="single" w:sz="4" w:space="0" w:color="auto"/>
            </w:tcBorders>
            <w:shd w:val="clear" w:color="auto" w:fill="53284F"/>
          </w:tcPr>
          <w:p w14:paraId="4D833FE6" w14:textId="77777777" w:rsidR="000C65C6" w:rsidRPr="00CA558C" w:rsidRDefault="000C65C6" w:rsidP="00377F3A">
            <w:pPr>
              <w:pStyle w:val="TableHead"/>
            </w:pPr>
            <w:r>
              <w:t>Result</w:t>
            </w:r>
          </w:p>
        </w:tc>
        <w:tc>
          <w:tcPr>
            <w:tcW w:w="0" w:type="auto"/>
            <w:tcBorders>
              <w:bottom w:val="single" w:sz="4" w:space="0" w:color="auto"/>
            </w:tcBorders>
            <w:shd w:val="clear" w:color="auto" w:fill="53284F"/>
          </w:tcPr>
          <w:p w14:paraId="3F3735AB" w14:textId="77777777" w:rsidR="000C65C6" w:rsidRPr="00CA558C" w:rsidRDefault="000C65C6" w:rsidP="00377F3A">
            <w:pPr>
              <w:pStyle w:val="TableHead"/>
            </w:pPr>
            <w:r>
              <w:t>Reference</w:t>
            </w:r>
          </w:p>
        </w:tc>
      </w:tr>
      <w:tr w:rsidR="000C65C6" w:rsidRPr="008B4AF6" w14:paraId="458213FF" w14:textId="77777777" w:rsidTr="00E4418A">
        <w:trPr>
          <w:cantSplit/>
        </w:trPr>
        <w:tc>
          <w:tcPr>
            <w:tcW w:w="0" w:type="auto"/>
            <w:tcBorders>
              <w:top w:val="single" w:sz="4" w:space="0" w:color="auto"/>
              <w:left w:val="nil"/>
              <w:bottom w:val="nil"/>
            </w:tcBorders>
          </w:tcPr>
          <w:p w14:paraId="32DB5D07" w14:textId="22FB9B0B" w:rsidR="000C65C6" w:rsidRDefault="00E4418A" w:rsidP="00377F3A">
            <w:pPr>
              <w:pStyle w:val="TableText"/>
            </w:pPr>
            <w:r>
              <w:t>Soil</w:t>
            </w:r>
          </w:p>
        </w:tc>
        <w:tc>
          <w:tcPr>
            <w:tcW w:w="0" w:type="auto"/>
            <w:vMerge w:val="restart"/>
            <w:tcBorders>
              <w:top w:val="single" w:sz="4" w:space="0" w:color="auto"/>
              <w:left w:val="nil"/>
            </w:tcBorders>
          </w:tcPr>
          <w:p w14:paraId="248C9BFA" w14:textId="77777777" w:rsidR="000C65C6" w:rsidRDefault="000C65C6" w:rsidP="00377F3A">
            <w:pPr>
              <w:pStyle w:val="TableText"/>
            </w:pPr>
            <w:r>
              <w:t>Aerobic soil metabolism</w:t>
            </w:r>
          </w:p>
        </w:tc>
        <w:tc>
          <w:tcPr>
            <w:tcW w:w="0" w:type="auto"/>
            <w:tcBorders>
              <w:top w:val="single" w:sz="4" w:space="0" w:color="auto"/>
              <w:bottom w:val="nil"/>
            </w:tcBorders>
          </w:tcPr>
          <w:p w14:paraId="414895C5" w14:textId="77777777" w:rsidR="000C65C6" w:rsidRDefault="000C65C6" w:rsidP="00377F3A">
            <w:pPr>
              <w:pStyle w:val="TableText"/>
            </w:pPr>
            <w:r>
              <w:t>Sandy clay loam:</w:t>
            </w:r>
            <w:r>
              <w:tab/>
              <w:t>DT</w:t>
            </w:r>
            <w:r w:rsidRPr="001F11B7">
              <w:rPr>
                <w:vertAlign w:val="subscript"/>
              </w:rPr>
              <w:t>50</w:t>
            </w:r>
            <w:r>
              <w:t xml:space="preserve"> 157 d</w:t>
            </w:r>
          </w:p>
        </w:tc>
        <w:tc>
          <w:tcPr>
            <w:tcW w:w="0" w:type="auto"/>
            <w:tcBorders>
              <w:top w:val="single" w:sz="4" w:space="0" w:color="auto"/>
              <w:bottom w:val="nil"/>
            </w:tcBorders>
          </w:tcPr>
          <w:p w14:paraId="18A67924" w14:textId="77777777" w:rsidR="000C65C6" w:rsidRDefault="000C65C6" w:rsidP="00377F3A">
            <w:pPr>
              <w:pStyle w:val="TableText"/>
            </w:pPr>
            <w:r>
              <w:t>Hall &amp; Priestley 1992</w:t>
            </w:r>
          </w:p>
        </w:tc>
      </w:tr>
      <w:tr w:rsidR="000C65C6" w:rsidRPr="008B4AF6" w14:paraId="6C0E3370" w14:textId="77777777" w:rsidTr="00E4418A">
        <w:trPr>
          <w:cantSplit/>
        </w:trPr>
        <w:tc>
          <w:tcPr>
            <w:tcW w:w="0" w:type="auto"/>
            <w:tcBorders>
              <w:top w:val="nil"/>
              <w:left w:val="nil"/>
              <w:bottom w:val="nil"/>
            </w:tcBorders>
          </w:tcPr>
          <w:p w14:paraId="2A460723" w14:textId="77777777" w:rsidR="000C65C6" w:rsidRDefault="000C65C6" w:rsidP="00377F3A">
            <w:pPr>
              <w:pStyle w:val="TableText"/>
            </w:pPr>
          </w:p>
        </w:tc>
        <w:tc>
          <w:tcPr>
            <w:tcW w:w="0" w:type="auto"/>
            <w:vMerge/>
            <w:tcBorders>
              <w:left w:val="nil"/>
              <w:bottom w:val="nil"/>
            </w:tcBorders>
          </w:tcPr>
          <w:p w14:paraId="5B8C99F6" w14:textId="77777777" w:rsidR="000C65C6" w:rsidRDefault="000C65C6" w:rsidP="00377F3A">
            <w:pPr>
              <w:pStyle w:val="TableText"/>
            </w:pPr>
          </w:p>
        </w:tc>
        <w:tc>
          <w:tcPr>
            <w:tcW w:w="0" w:type="auto"/>
            <w:tcBorders>
              <w:top w:val="nil"/>
              <w:bottom w:val="nil"/>
            </w:tcBorders>
          </w:tcPr>
          <w:p w14:paraId="3BFB60D0" w14:textId="77777777" w:rsidR="000C65C6" w:rsidRDefault="000C65C6" w:rsidP="00377F3A">
            <w:pPr>
              <w:pStyle w:val="TableText"/>
            </w:pPr>
            <w:r>
              <w:t>Sandy loam:</w:t>
            </w:r>
            <w:r>
              <w:tab/>
              <w:t>DT</w:t>
            </w:r>
            <w:r w:rsidRPr="00EA4A2B">
              <w:rPr>
                <w:vertAlign w:val="subscript"/>
              </w:rPr>
              <w:t>50</w:t>
            </w:r>
            <w:r>
              <w:t xml:space="preserve"> ~56 d</w:t>
            </w:r>
          </w:p>
          <w:p w14:paraId="35BDDB5D" w14:textId="77777777" w:rsidR="000C65C6" w:rsidRDefault="000C65C6" w:rsidP="00377F3A">
            <w:pPr>
              <w:pStyle w:val="TableText"/>
            </w:pPr>
            <w:r>
              <w:t>Clay loam:</w:t>
            </w:r>
            <w:r>
              <w:tab/>
              <w:t>DT</w:t>
            </w:r>
            <w:r w:rsidRPr="00EA4A2B">
              <w:rPr>
                <w:vertAlign w:val="subscript"/>
              </w:rPr>
              <w:t>50</w:t>
            </w:r>
            <w:r>
              <w:t xml:space="preserve"> ~84 d</w:t>
            </w:r>
          </w:p>
          <w:p w14:paraId="4F95436B" w14:textId="77777777" w:rsidR="000C65C6" w:rsidRDefault="000C65C6" w:rsidP="00377F3A">
            <w:pPr>
              <w:pStyle w:val="TableText"/>
            </w:pPr>
            <w:r>
              <w:t>Sand:</w:t>
            </w:r>
            <w:r>
              <w:tab/>
              <w:t>DT</w:t>
            </w:r>
            <w:r w:rsidRPr="00EA4A2B">
              <w:rPr>
                <w:vertAlign w:val="subscript"/>
              </w:rPr>
              <w:t>50</w:t>
            </w:r>
            <w:r>
              <w:t xml:space="preserve"> &gt;84 d</w:t>
            </w:r>
          </w:p>
        </w:tc>
        <w:tc>
          <w:tcPr>
            <w:tcW w:w="0" w:type="auto"/>
            <w:tcBorders>
              <w:top w:val="nil"/>
              <w:bottom w:val="nil"/>
            </w:tcBorders>
          </w:tcPr>
          <w:p w14:paraId="2C484866" w14:textId="62F28AC8" w:rsidR="000C65C6" w:rsidRDefault="000C65C6" w:rsidP="00377F3A">
            <w:pPr>
              <w:pStyle w:val="TableText"/>
            </w:pPr>
            <w:r>
              <w:t xml:space="preserve">Arnold </w:t>
            </w:r>
            <w:r w:rsidR="00B7183A" w:rsidRPr="00B7183A">
              <w:rPr>
                <w:i/>
                <w:iCs/>
              </w:rPr>
              <w:t>et al</w:t>
            </w:r>
            <w:r>
              <w:t>. 1978</w:t>
            </w:r>
          </w:p>
        </w:tc>
      </w:tr>
      <w:tr w:rsidR="000C65C6" w:rsidRPr="008B4AF6" w14:paraId="5EC86362" w14:textId="77777777" w:rsidTr="00E4418A">
        <w:trPr>
          <w:cantSplit/>
        </w:trPr>
        <w:tc>
          <w:tcPr>
            <w:tcW w:w="0" w:type="auto"/>
            <w:tcBorders>
              <w:top w:val="nil"/>
              <w:left w:val="nil"/>
              <w:bottom w:val="nil"/>
            </w:tcBorders>
          </w:tcPr>
          <w:p w14:paraId="77D84D57" w14:textId="77777777" w:rsidR="000C65C6" w:rsidRPr="008B4AF6" w:rsidRDefault="000C65C6" w:rsidP="00377F3A">
            <w:pPr>
              <w:pStyle w:val="TableText"/>
            </w:pPr>
          </w:p>
        </w:tc>
        <w:tc>
          <w:tcPr>
            <w:tcW w:w="0" w:type="auto"/>
            <w:tcBorders>
              <w:top w:val="nil"/>
              <w:left w:val="nil"/>
              <w:bottom w:val="nil"/>
            </w:tcBorders>
          </w:tcPr>
          <w:p w14:paraId="401BF3F9" w14:textId="77777777" w:rsidR="000C65C6" w:rsidRDefault="000C65C6" w:rsidP="00377F3A">
            <w:pPr>
              <w:pStyle w:val="TableText"/>
            </w:pPr>
          </w:p>
        </w:tc>
        <w:tc>
          <w:tcPr>
            <w:tcW w:w="0" w:type="auto"/>
            <w:tcBorders>
              <w:top w:val="nil"/>
              <w:bottom w:val="nil"/>
            </w:tcBorders>
          </w:tcPr>
          <w:p w14:paraId="0B6B6A8E" w14:textId="77777777" w:rsidR="000C65C6" w:rsidRPr="004E516E" w:rsidRDefault="000C65C6" w:rsidP="00377F3A">
            <w:pPr>
              <w:pStyle w:val="TableText"/>
            </w:pPr>
            <w:r w:rsidRPr="004E516E">
              <w:t>Geomean DT</w:t>
            </w:r>
            <w:r w:rsidRPr="004E516E">
              <w:rPr>
                <w:vertAlign w:val="subscript"/>
              </w:rPr>
              <w:t>50</w:t>
            </w:r>
            <w:r w:rsidRPr="004E516E">
              <w:t xml:space="preserve"> 95 d</w:t>
            </w:r>
          </w:p>
        </w:tc>
        <w:tc>
          <w:tcPr>
            <w:tcW w:w="0" w:type="auto"/>
            <w:tcBorders>
              <w:top w:val="nil"/>
              <w:bottom w:val="nil"/>
            </w:tcBorders>
          </w:tcPr>
          <w:p w14:paraId="32E38DEC" w14:textId="77777777" w:rsidR="000C65C6" w:rsidRDefault="000C65C6" w:rsidP="00377F3A">
            <w:pPr>
              <w:pStyle w:val="TableText"/>
            </w:pPr>
          </w:p>
        </w:tc>
      </w:tr>
      <w:tr w:rsidR="000C65C6" w:rsidRPr="008B4AF6" w14:paraId="514900C8" w14:textId="77777777" w:rsidTr="00E4418A">
        <w:trPr>
          <w:cantSplit/>
        </w:trPr>
        <w:tc>
          <w:tcPr>
            <w:tcW w:w="0" w:type="auto"/>
            <w:tcBorders>
              <w:top w:val="nil"/>
              <w:left w:val="nil"/>
              <w:bottom w:val="nil"/>
            </w:tcBorders>
          </w:tcPr>
          <w:p w14:paraId="48999FD6" w14:textId="77777777" w:rsidR="000C65C6" w:rsidRPr="008B4AF6" w:rsidRDefault="000C65C6" w:rsidP="00377F3A">
            <w:pPr>
              <w:pStyle w:val="TableText"/>
            </w:pPr>
          </w:p>
        </w:tc>
        <w:tc>
          <w:tcPr>
            <w:tcW w:w="0" w:type="auto"/>
            <w:tcBorders>
              <w:top w:val="nil"/>
              <w:left w:val="nil"/>
              <w:bottom w:val="nil"/>
            </w:tcBorders>
          </w:tcPr>
          <w:p w14:paraId="4895AA89" w14:textId="77777777" w:rsidR="000C65C6" w:rsidRDefault="000C65C6" w:rsidP="00377F3A">
            <w:pPr>
              <w:pStyle w:val="TableText"/>
            </w:pPr>
            <w:r>
              <w:t>Adsorption/</w:t>
            </w:r>
          </w:p>
          <w:p w14:paraId="30BC22C9" w14:textId="77777777" w:rsidR="000C65C6" w:rsidRDefault="000C65C6" w:rsidP="00377F3A">
            <w:pPr>
              <w:pStyle w:val="TableText"/>
            </w:pPr>
            <w:r>
              <w:t>desorption</w:t>
            </w:r>
          </w:p>
        </w:tc>
        <w:tc>
          <w:tcPr>
            <w:tcW w:w="0" w:type="auto"/>
            <w:tcBorders>
              <w:top w:val="nil"/>
              <w:bottom w:val="nil"/>
            </w:tcBorders>
          </w:tcPr>
          <w:p w14:paraId="3C8F4AC4" w14:textId="77777777" w:rsidR="000C65C6" w:rsidRDefault="000C65C6" w:rsidP="00377F3A">
            <w:pPr>
              <w:pStyle w:val="TableText"/>
            </w:pPr>
            <w:r w:rsidRPr="003B78E0">
              <w:t>Soil</w:t>
            </w:r>
            <w:r>
              <w:tab/>
            </w:r>
            <w:r w:rsidRPr="0086508E">
              <w:t>pH</w:t>
            </w:r>
            <w:r>
              <w:tab/>
            </w:r>
            <w:r w:rsidRPr="003B78E0">
              <w:t>%OC</w:t>
            </w:r>
            <w:r>
              <w:tab/>
            </w:r>
            <w:r w:rsidRPr="003B78E0">
              <w:t>K</w:t>
            </w:r>
            <w:r>
              <w:t>a</w:t>
            </w:r>
          </w:p>
          <w:p w14:paraId="6034218F" w14:textId="77777777" w:rsidR="000C65C6" w:rsidRDefault="000C65C6" w:rsidP="00377F3A">
            <w:pPr>
              <w:pStyle w:val="TableText"/>
            </w:pPr>
            <w:r>
              <w:t>Coarse sand</w:t>
            </w:r>
            <w:r>
              <w:tab/>
              <w:t>7.6</w:t>
            </w:r>
            <w:r>
              <w:tab/>
              <w:t>1.2</w:t>
            </w:r>
            <w:r>
              <w:tab/>
              <w:t>358</w:t>
            </w:r>
          </w:p>
          <w:p w14:paraId="4AF85B6B" w14:textId="77777777" w:rsidR="000C65C6" w:rsidRDefault="000C65C6" w:rsidP="00377F3A">
            <w:pPr>
              <w:pStyle w:val="TableText"/>
            </w:pPr>
            <w:r>
              <w:t>Sandy clay loam</w:t>
            </w:r>
            <w:r>
              <w:tab/>
              <w:t>7.1</w:t>
            </w:r>
            <w:r>
              <w:tab/>
              <w:t>6.3</w:t>
            </w:r>
            <w:r>
              <w:tab/>
              <w:t>1265</w:t>
            </w:r>
          </w:p>
          <w:p w14:paraId="34D7E400" w14:textId="77777777" w:rsidR="000C65C6" w:rsidRDefault="000C65C6" w:rsidP="00377F3A">
            <w:pPr>
              <w:pStyle w:val="TableText"/>
            </w:pPr>
            <w:r>
              <w:t>Sandy loam</w:t>
            </w:r>
            <w:r>
              <w:tab/>
              <w:t>7.6</w:t>
            </w:r>
            <w:r>
              <w:tab/>
              <w:t>11</w:t>
            </w:r>
            <w:r>
              <w:tab/>
              <w:t>1126</w:t>
            </w:r>
          </w:p>
        </w:tc>
        <w:tc>
          <w:tcPr>
            <w:tcW w:w="0" w:type="auto"/>
            <w:tcBorders>
              <w:top w:val="nil"/>
              <w:bottom w:val="nil"/>
            </w:tcBorders>
          </w:tcPr>
          <w:p w14:paraId="59529C74" w14:textId="77777777" w:rsidR="000C65C6" w:rsidRDefault="000C65C6" w:rsidP="00377F3A">
            <w:pPr>
              <w:pStyle w:val="TableText"/>
            </w:pPr>
            <w:r>
              <w:t>Newby &amp; White 1979</w:t>
            </w:r>
          </w:p>
        </w:tc>
      </w:tr>
      <w:tr w:rsidR="000C65C6" w:rsidRPr="008B4AF6" w14:paraId="2C098E69" w14:textId="77777777" w:rsidTr="00E4418A">
        <w:trPr>
          <w:cantSplit/>
        </w:trPr>
        <w:tc>
          <w:tcPr>
            <w:tcW w:w="0" w:type="auto"/>
            <w:tcBorders>
              <w:top w:val="nil"/>
              <w:left w:val="nil"/>
              <w:bottom w:val="nil"/>
            </w:tcBorders>
          </w:tcPr>
          <w:p w14:paraId="78AFCF0C" w14:textId="77777777" w:rsidR="000C65C6" w:rsidRPr="008B4AF6" w:rsidRDefault="000C65C6" w:rsidP="00377F3A">
            <w:pPr>
              <w:pStyle w:val="TableText"/>
            </w:pPr>
          </w:p>
        </w:tc>
        <w:tc>
          <w:tcPr>
            <w:tcW w:w="0" w:type="auto"/>
            <w:tcBorders>
              <w:top w:val="nil"/>
              <w:left w:val="nil"/>
              <w:bottom w:val="nil"/>
            </w:tcBorders>
          </w:tcPr>
          <w:p w14:paraId="0BA6E9C3" w14:textId="77777777" w:rsidR="000C65C6" w:rsidRPr="008B4AF6" w:rsidRDefault="000C65C6" w:rsidP="00377F3A">
            <w:pPr>
              <w:pStyle w:val="TableText"/>
            </w:pPr>
          </w:p>
        </w:tc>
        <w:tc>
          <w:tcPr>
            <w:tcW w:w="0" w:type="auto"/>
            <w:tcBorders>
              <w:top w:val="nil"/>
              <w:bottom w:val="nil"/>
            </w:tcBorders>
          </w:tcPr>
          <w:p w14:paraId="1D628E9F" w14:textId="77777777" w:rsidR="000C65C6" w:rsidRDefault="000C65C6" w:rsidP="00377F3A">
            <w:pPr>
              <w:pStyle w:val="TableText"/>
            </w:pPr>
            <w:r>
              <w:t>Koc 525 mL/g</w:t>
            </w:r>
          </w:p>
        </w:tc>
        <w:tc>
          <w:tcPr>
            <w:tcW w:w="0" w:type="auto"/>
            <w:tcBorders>
              <w:top w:val="nil"/>
              <w:bottom w:val="nil"/>
            </w:tcBorders>
          </w:tcPr>
          <w:p w14:paraId="690626C0" w14:textId="77777777" w:rsidR="000C65C6" w:rsidRDefault="000C65C6" w:rsidP="00377F3A">
            <w:pPr>
              <w:pStyle w:val="TableText"/>
            </w:pPr>
            <w:r>
              <w:t>Drake 2005b</w:t>
            </w:r>
          </w:p>
        </w:tc>
      </w:tr>
      <w:tr w:rsidR="000C65C6" w:rsidRPr="008B4AF6" w14:paraId="46D9A01D" w14:textId="77777777" w:rsidTr="00E4418A">
        <w:trPr>
          <w:cantSplit/>
        </w:trPr>
        <w:tc>
          <w:tcPr>
            <w:tcW w:w="0" w:type="auto"/>
            <w:tcBorders>
              <w:top w:val="nil"/>
              <w:left w:val="nil"/>
              <w:bottom w:val="single" w:sz="4" w:space="0" w:color="auto"/>
            </w:tcBorders>
          </w:tcPr>
          <w:p w14:paraId="05A912E3" w14:textId="77777777" w:rsidR="000C65C6" w:rsidRPr="008B4AF6" w:rsidRDefault="000C65C6" w:rsidP="00377F3A">
            <w:pPr>
              <w:pStyle w:val="TableText"/>
            </w:pPr>
          </w:p>
        </w:tc>
        <w:tc>
          <w:tcPr>
            <w:tcW w:w="0" w:type="auto"/>
            <w:tcBorders>
              <w:top w:val="nil"/>
              <w:left w:val="nil"/>
              <w:bottom w:val="single" w:sz="4" w:space="0" w:color="auto"/>
            </w:tcBorders>
          </w:tcPr>
          <w:p w14:paraId="42463F8B" w14:textId="77777777" w:rsidR="000C65C6" w:rsidRPr="008B4AF6" w:rsidRDefault="000C65C6" w:rsidP="00377F3A">
            <w:pPr>
              <w:pStyle w:val="TableText"/>
            </w:pPr>
            <w:r>
              <w:t>Column leaching</w:t>
            </w:r>
          </w:p>
        </w:tc>
        <w:tc>
          <w:tcPr>
            <w:tcW w:w="0" w:type="auto"/>
            <w:tcBorders>
              <w:top w:val="nil"/>
              <w:bottom w:val="single" w:sz="4" w:space="0" w:color="auto"/>
            </w:tcBorders>
          </w:tcPr>
          <w:p w14:paraId="1C00905D" w14:textId="77777777" w:rsidR="000C65C6" w:rsidRDefault="000C65C6" w:rsidP="00377F3A">
            <w:pPr>
              <w:pStyle w:val="TableText"/>
            </w:pPr>
            <w:r>
              <w:t>510 mm elution, four soils aged 30d:</w:t>
            </w:r>
          </w:p>
          <w:p w14:paraId="5CAF0398" w14:textId="77777777" w:rsidR="000C65C6" w:rsidRDefault="000C65C6" w:rsidP="00377F3A">
            <w:pPr>
              <w:pStyle w:val="TableText"/>
            </w:pPr>
            <w:r>
              <w:t>81-87% in top 6 cm</w:t>
            </w:r>
          </w:p>
          <w:p w14:paraId="4129C6D2" w14:textId="77777777" w:rsidR="000C65C6" w:rsidRDefault="000C65C6" w:rsidP="00377F3A">
            <w:pPr>
              <w:pStyle w:val="TableText"/>
            </w:pPr>
            <w:r>
              <w:t>Not detected in leachate</w:t>
            </w:r>
          </w:p>
        </w:tc>
        <w:tc>
          <w:tcPr>
            <w:tcW w:w="0" w:type="auto"/>
            <w:tcBorders>
              <w:top w:val="nil"/>
              <w:bottom w:val="single" w:sz="4" w:space="0" w:color="auto"/>
            </w:tcBorders>
          </w:tcPr>
          <w:p w14:paraId="7ABD2FA4" w14:textId="77777777" w:rsidR="000C65C6" w:rsidRDefault="000C65C6" w:rsidP="00377F3A">
            <w:pPr>
              <w:pStyle w:val="TableText"/>
            </w:pPr>
            <w:r>
              <w:t>Jackson &amp; Hall 1992</w:t>
            </w:r>
          </w:p>
        </w:tc>
      </w:tr>
      <w:tr w:rsidR="002016BA" w:rsidRPr="008B4AF6" w14:paraId="6B765BBE" w14:textId="77777777" w:rsidTr="00E4418A">
        <w:trPr>
          <w:cantSplit/>
        </w:trPr>
        <w:tc>
          <w:tcPr>
            <w:tcW w:w="0" w:type="auto"/>
            <w:tcBorders>
              <w:top w:val="single" w:sz="4" w:space="0" w:color="auto"/>
              <w:left w:val="nil"/>
              <w:bottom w:val="nil"/>
            </w:tcBorders>
          </w:tcPr>
          <w:p w14:paraId="5323DA67" w14:textId="77777777" w:rsidR="002016BA" w:rsidRDefault="002016BA" w:rsidP="00377F3A">
            <w:pPr>
              <w:pStyle w:val="TableText"/>
            </w:pPr>
            <w:r>
              <w:t>Water and</w:t>
            </w:r>
          </w:p>
          <w:p w14:paraId="0E9CB958" w14:textId="65D6CEAE" w:rsidR="002016BA" w:rsidRPr="008B4AF6" w:rsidRDefault="002016BA" w:rsidP="00377F3A">
            <w:pPr>
              <w:pStyle w:val="TableText"/>
            </w:pPr>
            <w:r>
              <w:t>sediment</w:t>
            </w:r>
          </w:p>
        </w:tc>
        <w:tc>
          <w:tcPr>
            <w:tcW w:w="0" w:type="auto"/>
            <w:tcBorders>
              <w:top w:val="single" w:sz="4" w:space="0" w:color="auto"/>
              <w:left w:val="nil"/>
              <w:bottom w:val="nil"/>
            </w:tcBorders>
          </w:tcPr>
          <w:p w14:paraId="2D7F2675" w14:textId="3AA4B793" w:rsidR="002016BA" w:rsidRDefault="002016BA" w:rsidP="00377F3A">
            <w:pPr>
              <w:pStyle w:val="TableText"/>
            </w:pPr>
            <w:r>
              <w:t>Hydrolysis</w:t>
            </w:r>
          </w:p>
        </w:tc>
        <w:tc>
          <w:tcPr>
            <w:tcW w:w="0" w:type="auto"/>
            <w:tcBorders>
              <w:top w:val="single" w:sz="4" w:space="0" w:color="auto"/>
              <w:bottom w:val="nil"/>
            </w:tcBorders>
          </w:tcPr>
          <w:p w14:paraId="5C234636" w14:textId="77777777" w:rsidR="002016BA" w:rsidRDefault="002016BA" w:rsidP="00377F3A">
            <w:pPr>
              <w:pStyle w:val="TableText"/>
            </w:pPr>
            <w:r>
              <w:t>pH 4, 50°C: stable</w:t>
            </w:r>
          </w:p>
          <w:p w14:paraId="50496E37" w14:textId="77777777" w:rsidR="002016BA" w:rsidRDefault="002016BA" w:rsidP="00377F3A">
            <w:pPr>
              <w:pStyle w:val="TableText"/>
            </w:pPr>
            <w:r>
              <w:t>pH 7, 50°C: stable</w:t>
            </w:r>
          </w:p>
          <w:p w14:paraId="01F326E8" w14:textId="2C1623B3" w:rsidR="002016BA" w:rsidRDefault="002016BA" w:rsidP="00377F3A">
            <w:pPr>
              <w:pStyle w:val="TableText"/>
            </w:pPr>
            <w:r>
              <w:t>pH 9, 50°C: stable</w:t>
            </w:r>
          </w:p>
        </w:tc>
        <w:tc>
          <w:tcPr>
            <w:tcW w:w="0" w:type="auto"/>
            <w:tcBorders>
              <w:top w:val="single" w:sz="4" w:space="0" w:color="auto"/>
              <w:bottom w:val="nil"/>
            </w:tcBorders>
          </w:tcPr>
          <w:p w14:paraId="682841EF" w14:textId="68645D32" w:rsidR="002016BA" w:rsidRDefault="002016BA" w:rsidP="00377F3A">
            <w:pPr>
              <w:pStyle w:val="TableText"/>
            </w:pPr>
            <w:r>
              <w:t>Fabbrini 1997c</w:t>
            </w:r>
          </w:p>
        </w:tc>
      </w:tr>
      <w:tr w:rsidR="002016BA" w:rsidRPr="008B4AF6" w14:paraId="327514AC" w14:textId="77777777" w:rsidTr="00E4418A">
        <w:trPr>
          <w:cantSplit/>
        </w:trPr>
        <w:tc>
          <w:tcPr>
            <w:tcW w:w="0" w:type="auto"/>
            <w:tcBorders>
              <w:top w:val="nil"/>
              <w:left w:val="nil"/>
              <w:bottom w:val="nil"/>
            </w:tcBorders>
          </w:tcPr>
          <w:p w14:paraId="4EFD0EBA" w14:textId="77777777" w:rsidR="002016BA" w:rsidRDefault="002016BA" w:rsidP="00377F3A">
            <w:pPr>
              <w:pStyle w:val="TableText"/>
            </w:pPr>
          </w:p>
        </w:tc>
        <w:tc>
          <w:tcPr>
            <w:tcW w:w="0" w:type="auto"/>
            <w:tcBorders>
              <w:top w:val="nil"/>
              <w:left w:val="nil"/>
              <w:bottom w:val="nil"/>
            </w:tcBorders>
          </w:tcPr>
          <w:p w14:paraId="5D2AC511" w14:textId="50A6C9A6" w:rsidR="002016BA" w:rsidRDefault="002016BA" w:rsidP="00377F3A">
            <w:pPr>
              <w:pStyle w:val="TableText"/>
            </w:pPr>
            <w:r>
              <w:t>Aqueous photolysis</w:t>
            </w:r>
          </w:p>
        </w:tc>
        <w:tc>
          <w:tcPr>
            <w:tcW w:w="0" w:type="auto"/>
            <w:tcBorders>
              <w:top w:val="nil"/>
              <w:bottom w:val="nil"/>
            </w:tcBorders>
          </w:tcPr>
          <w:p w14:paraId="4CD712AA" w14:textId="2992C3DE" w:rsidR="002016BA" w:rsidRDefault="002016BA" w:rsidP="00377F3A">
            <w:pPr>
              <w:pStyle w:val="TableText"/>
            </w:pPr>
            <w:r>
              <w:t>DT</w:t>
            </w:r>
            <w:r w:rsidRPr="00BB29EB">
              <w:rPr>
                <w:vertAlign w:val="subscript"/>
              </w:rPr>
              <w:t>50</w:t>
            </w:r>
            <w:r>
              <w:t xml:space="preserve"> &lt;1 d</w:t>
            </w:r>
          </w:p>
        </w:tc>
        <w:tc>
          <w:tcPr>
            <w:tcW w:w="0" w:type="auto"/>
            <w:tcBorders>
              <w:top w:val="nil"/>
              <w:bottom w:val="nil"/>
            </w:tcBorders>
          </w:tcPr>
          <w:p w14:paraId="71F3D667" w14:textId="7E70D7F6" w:rsidR="002016BA" w:rsidRDefault="002016BA" w:rsidP="00377F3A">
            <w:pPr>
              <w:pStyle w:val="TableText"/>
            </w:pPr>
            <w:r>
              <w:t>Drake 2004a</w:t>
            </w:r>
          </w:p>
        </w:tc>
      </w:tr>
      <w:tr w:rsidR="002016BA" w:rsidRPr="008B4AF6" w14:paraId="4BDEB766" w14:textId="77777777" w:rsidTr="00E4418A">
        <w:trPr>
          <w:cantSplit/>
        </w:trPr>
        <w:tc>
          <w:tcPr>
            <w:tcW w:w="0" w:type="auto"/>
            <w:tcBorders>
              <w:top w:val="nil"/>
              <w:left w:val="nil"/>
              <w:bottom w:val="nil"/>
            </w:tcBorders>
          </w:tcPr>
          <w:p w14:paraId="0ACA0C98" w14:textId="77777777" w:rsidR="002016BA" w:rsidRDefault="002016BA" w:rsidP="00377F3A">
            <w:pPr>
              <w:pStyle w:val="TableText"/>
            </w:pPr>
          </w:p>
        </w:tc>
        <w:tc>
          <w:tcPr>
            <w:tcW w:w="0" w:type="auto"/>
            <w:tcBorders>
              <w:top w:val="nil"/>
              <w:left w:val="nil"/>
              <w:bottom w:val="nil"/>
            </w:tcBorders>
          </w:tcPr>
          <w:p w14:paraId="0451D49A" w14:textId="3A2EA5B0" w:rsidR="002016BA" w:rsidRDefault="002016BA" w:rsidP="00377F3A">
            <w:pPr>
              <w:pStyle w:val="TableText"/>
            </w:pPr>
            <w:r>
              <w:t>Readily biodegradable</w:t>
            </w:r>
          </w:p>
        </w:tc>
        <w:tc>
          <w:tcPr>
            <w:tcW w:w="0" w:type="auto"/>
            <w:tcBorders>
              <w:top w:val="nil"/>
              <w:bottom w:val="nil"/>
            </w:tcBorders>
          </w:tcPr>
          <w:p w14:paraId="5255BFF5" w14:textId="2A971E6A" w:rsidR="002016BA" w:rsidRDefault="002016BA" w:rsidP="00377F3A">
            <w:pPr>
              <w:pStyle w:val="TableText"/>
            </w:pPr>
            <w:r>
              <w:t>No</w:t>
            </w:r>
          </w:p>
        </w:tc>
        <w:tc>
          <w:tcPr>
            <w:tcW w:w="0" w:type="auto"/>
            <w:tcBorders>
              <w:top w:val="nil"/>
              <w:bottom w:val="nil"/>
            </w:tcBorders>
          </w:tcPr>
          <w:p w14:paraId="3EB1F3B2" w14:textId="02769B4F" w:rsidR="002016BA" w:rsidRDefault="002016BA" w:rsidP="00377F3A">
            <w:pPr>
              <w:pStyle w:val="TableText"/>
            </w:pPr>
            <w:r>
              <w:t>Drake 2003a, Kelly &amp; Clayton 2003a</w:t>
            </w:r>
          </w:p>
        </w:tc>
      </w:tr>
      <w:tr w:rsidR="002016BA" w:rsidRPr="008B4AF6" w14:paraId="4F30CCDD" w14:textId="77777777" w:rsidTr="00E4418A">
        <w:trPr>
          <w:cantSplit/>
        </w:trPr>
        <w:tc>
          <w:tcPr>
            <w:tcW w:w="0" w:type="auto"/>
            <w:tcBorders>
              <w:top w:val="nil"/>
              <w:left w:val="nil"/>
              <w:bottom w:val="nil"/>
            </w:tcBorders>
          </w:tcPr>
          <w:p w14:paraId="5ECC08A0" w14:textId="77777777" w:rsidR="002016BA" w:rsidRDefault="002016BA" w:rsidP="00377F3A">
            <w:pPr>
              <w:pStyle w:val="TableText"/>
            </w:pPr>
          </w:p>
        </w:tc>
        <w:tc>
          <w:tcPr>
            <w:tcW w:w="0" w:type="auto"/>
            <w:tcBorders>
              <w:top w:val="nil"/>
              <w:left w:val="nil"/>
              <w:bottom w:val="nil"/>
            </w:tcBorders>
          </w:tcPr>
          <w:p w14:paraId="5473D2AB" w14:textId="1E300D29" w:rsidR="002016BA" w:rsidRDefault="002016BA" w:rsidP="00377F3A">
            <w:pPr>
              <w:pStyle w:val="TableText"/>
            </w:pPr>
            <w:r>
              <w:t>Inherently biodegradable</w:t>
            </w:r>
          </w:p>
        </w:tc>
        <w:tc>
          <w:tcPr>
            <w:tcW w:w="0" w:type="auto"/>
            <w:tcBorders>
              <w:top w:val="nil"/>
              <w:bottom w:val="nil"/>
            </w:tcBorders>
          </w:tcPr>
          <w:p w14:paraId="7A65BD37" w14:textId="34758D53" w:rsidR="002016BA" w:rsidRDefault="002016BA" w:rsidP="00377F3A">
            <w:pPr>
              <w:pStyle w:val="TableText"/>
            </w:pPr>
            <w:r>
              <w:t>No</w:t>
            </w:r>
          </w:p>
        </w:tc>
        <w:tc>
          <w:tcPr>
            <w:tcW w:w="0" w:type="auto"/>
            <w:tcBorders>
              <w:top w:val="nil"/>
              <w:bottom w:val="nil"/>
            </w:tcBorders>
          </w:tcPr>
          <w:p w14:paraId="2C18D1AE" w14:textId="1CBB822B" w:rsidR="002016BA" w:rsidRDefault="002016BA" w:rsidP="00377F3A">
            <w:pPr>
              <w:pStyle w:val="TableText"/>
            </w:pPr>
            <w:r>
              <w:t>Drake 2005d</w:t>
            </w:r>
          </w:p>
        </w:tc>
      </w:tr>
      <w:tr w:rsidR="002016BA" w:rsidRPr="008B4AF6" w14:paraId="71B8AD2B" w14:textId="77777777" w:rsidTr="00E4418A">
        <w:trPr>
          <w:cantSplit/>
        </w:trPr>
        <w:tc>
          <w:tcPr>
            <w:tcW w:w="0" w:type="auto"/>
            <w:tcBorders>
              <w:top w:val="nil"/>
              <w:left w:val="nil"/>
              <w:bottom w:val="single" w:sz="4" w:space="0" w:color="auto"/>
            </w:tcBorders>
          </w:tcPr>
          <w:p w14:paraId="1565E22F" w14:textId="322F6698" w:rsidR="002016BA" w:rsidRDefault="002016BA" w:rsidP="00377F3A">
            <w:pPr>
              <w:pStyle w:val="TableText"/>
            </w:pPr>
          </w:p>
        </w:tc>
        <w:tc>
          <w:tcPr>
            <w:tcW w:w="0" w:type="auto"/>
            <w:tcBorders>
              <w:top w:val="nil"/>
              <w:left w:val="nil"/>
              <w:bottom w:val="single" w:sz="4" w:space="0" w:color="auto"/>
            </w:tcBorders>
          </w:tcPr>
          <w:p w14:paraId="00A2F16E" w14:textId="04EFBE1D" w:rsidR="002016BA" w:rsidRDefault="002016BA" w:rsidP="00377F3A">
            <w:pPr>
              <w:pStyle w:val="TableText"/>
            </w:pPr>
            <w:r>
              <w:t>Anaerobic biodegradable</w:t>
            </w:r>
          </w:p>
        </w:tc>
        <w:tc>
          <w:tcPr>
            <w:tcW w:w="0" w:type="auto"/>
            <w:tcBorders>
              <w:top w:val="nil"/>
              <w:bottom w:val="single" w:sz="4" w:space="0" w:color="auto"/>
            </w:tcBorders>
          </w:tcPr>
          <w:p w14:paraId="0614BFF6" w14:textId="7C5D245D" w:rsidR="002016BA" w:rsidRDefault="002016BA" w:rsidP="00377F3A">
            <w:pPr>
              <w:pStyle w:val="TableText"/>
            </w:pPr>
            <w:r>
              <w:t>No</w:t>
            </w:r>
          </w:p>
        </w:tc>
        <w:tc>
          <w:tcPr>
            <w:tcW w:w="0" w:type="auto"/>
            <w:tcBorders>
              <w:top w:val="nil"/>
              <w:bottom w:val="single" w:sz="4" w:space="0" w:color="auto"/>
            </w:tcBorders>
          </w:tcPr>
          <w:p w14:paraId="65150048" w14:textId="1C490F14" w:rsidR="002016BA" w:rsidRDefault="002016BA" w:rsidP="00377F3A">
            <w:pPr>
              <w:pStyle w:val="TableText"/>
            </w:pPr>
            <w:r>
              <w:t>Drake 2005e</w:t>
            </w:r>
          </w:p>
        </w:tc>
      </w:tr>
      <w:tr w:rsidR="002016BA" w:rsidRPr="008B4AF6" w14:paraId="2BE96796" w14:textId="77777777" w:rsidTr="00E4418A">
        <w:trPr>
          <w:cantSplit/>
        </w:trPr>
        <w:tc>
          <w:tcPr>
            <w:tcW w:w="0" w:type="auto"/>
            <w:tcBorders>
              <w:top w:val="single" w:sz="4" w:space="0" w:color="auto"/>
              <w:left w:val="nil"/>
              <w:bottom w:val="single" w:sz="4" w:space="0" w:color="auto"/>
            </w:tcBorders>
          </w:tcPr>
          <w:p w14:paraId="0097F7C1" w14:textId="5DDAE927" w:rsidR="002016BA" w:rsidRDefault="002016BA" w:rsidP="00377F3A">
            <w:pPr>
              <w:pStyle w:val="TableText"/>
            </w:pPr>
            <w:r>
              <w:t>Air</w:t>
            </w:r>
          </w:p>
        </w:tc>
        <w:tc>
          <w:tcPr>
            <w:tcW w:w="0" w:type="auto"/>
            <w:tcBorders>
              <w:top w:val="single" w:sz="4" w:space="0" w:color="auto"/>
              <w:left w:val="nil"/>
              <w:bottom w:val="single" w:sz="4" w:space="0" w:color="auto"/>
            </w:tcBorders>
          </w:tcPr>
          <w:p w14:paraId="610855B8" w14:textId="7A82A853" w:rsidR="002016BA" w:rsidRDefault="002016BA" w:rsidP="00377F3A">
            <w:pPr>
              <w:pStyle w:val="TableText"/>
            </w:pPr>
            <w:r>
              <w:t>Tropospheric degradation</w:t>
            </w:r>
          </w:p>
        </w:tc>
        <w:tc>
          <w:tcPr>
            <w:tcW w:w="0" w:type="auto"/>
            <w:tcBorders>
              <w:top w:val="single" w:sz="4" w:space="0" w:color="auto"/>
              <w:bottom w:val="single" w:sz="4" w:space="0" w:color="auto"/>
            </w:tcBorders>
          </w:tcPr>
          <w:p w14:paraId="018066AD" w14:textId="77777777" w:rsidR="002016BA" w:rsidRDefault="002016BA" w:rsidP="00377F3A">
            <w:pPr>
              <w:pStyle w:val="TableText"/>
            </w:pPr>
            <w:r>
              <w:t>DT</w:t>
            </w:r>
            <w:r w:rsidRPr="00642D1D">
              <w:rPr>
                <w:vertAlign w:val="subscript"/>
              </w:rPr>
              <w:t>50</w:t>
            </w:r>
            <w:r>
              <w:t xml:space="preserve"> 2.2 h (OH radical reaction)</w:t>
            </w:r>
          </w:p>
          <w:p w14:paraId="17CD4CF0" w14:textId="35EFAB54" w:rsidR="002016BA" w:rsidRDefault="002016BA" w:rsidP="00377F3A">
            <w:pPr>
              <w:pStyle w:val="TableText"/>
            </w:pPr>
            <w:r>
              <w:t>DT</w:t>
            </w:r>
            <w:r w:rsidRPr="00642D1D">
              <w:rPr>
                <w:vertAlign w:val="subscript"/>
              </w:rPr>
              <w:t>50</w:t>
            </w:r>
            <w:r>
              <w:t xml:space="preserve"> 2.0 h (ozone reaction)</w:t>
            </w:r>
          </w:p>
        </w:tc>
        <w:tc>
          <w:tcPr>
            <w:tcW w:w="0" w:type="auto"/>
            <w:tcBorders>
              <w:top w:val="single" w:sz="4" w:space="0" w:color="auto"/>
              <w:bottom w:val="single" w:sz="4" w:space="0" w:color="auto"/>
            </w:tcBorders>
          </w:tcPr>
          <w:p w14:paraId="3A0D5101" w14:textId="468C7D00" w:rsidR="002016BA" w:rsidRDefault="002016BA" w:rsidP="00377F3A">
            <w:pPr>
              <w:pStyle w:val="TableText"/>
            </w:pPr>
            <w:r>
              <w:t>Worthington 2007</w:t>
            </w:r>
          </w:p>
        </w:tc>
      </w:tr>
      <w:tr w:rsidR="002016BA" w:rsidRPr="008B4AF6" w14:paraId="02212D1B" w14:textId="77777777" w:rsidTr="00E4418A">
        <w:trPr>
          <w:cantSplit/>
        </w:trPr>
        <w:tc>
          <w:tcPr>
            <w:tcW w:w="0" w:type="auto"/>
            <w:tcBorders>
              <w:top w:val="single" w:sz="4" w:space="0" w:color="auto"/>
              <w:left w:val="nil"/>
              <w:bottom w:val="nil"/>
            </w:tcBorders>
          </w:tcPr>
          <w:p w14:paraId="67358855" w14:textId="4D0C30B4" w:rsidR="002016BA" w:rsidRDefault="002016BA" w:rsidP="00377F3A">
            <w:pPr>
              <w:pStyle w:val="TableText"/>
            </w:pPr>
            <w:r>
              <w:t>Biota</w:t>
            </w:r>
          </w:p>
        </w:tc>
        <w:tc>
          <w:tcPr>
            <w:tcW w:w="0" w:type="auto"/>
            <w:tcBorders>
              <w:top w:val="single" w:sz="4" w:space="0" w:color="auto"/>
              <w:left w:val="nil"/>
              <w:bottom w:val="nil"/>
            </w:tcBorders>
          </w:tcPr>
          <w:p w14:paraId="0BBC01A5" w14:textId="09D40D8E" w:rsidR="002016BA" w:rsidRPr="00E4418A" w:rsidRDefault="00E4418A" w:rsidP="00377F3A">
            <w:pPr>
              <w:pStyle w:val="TableText"/>
            </w:pPr>
            <w:r w:rsidRPr="00E4418A">
              <w:t>Rat</w:t>
            </w:r>
          </w:p>
        </w:tc>
        <w:tc>
          <w:tcPr>
            <w:tcW w:w="0" w:type="auto"/>
            <w:tcBorders>
              <w:top w:val="single" w:sz="4" w:space="0" w:color="auto"/>
              <w:bottom w:val="nil"/>
            </w:tcBorders>
          </w:tcPr>
          <w:p w14:paraId="4697C579" w14:textId="7155DD7C" w:rsidR="002016BA" w:rsidRDefault="002016BA" w:rsidP="00377F3A">
            <w:pPr>
              <w:pStyle w:val="TableText"/>
            </w:pPr>
            <w:r>
              <w:t>Liver DT</w:t>
            </w:r>
            <w:r w:rsidRPr="00F855FB">
              <w:rPr>
                <w:vertAlign w:val="subscript"/>
              </w:rPr>
              <w:t>50</w:t>
            </w:r>
            <w:r>
              <w:t xml:space="preserve"> 130 d</w:t>
            </w:r>
          </w:p>
        </w:tc>
        <w:tc>
          <w:tcPr>
            <w:tcW w:w="0" w:type="auto"/>
            <w:tcBorders>
              <w:top w:val="single" w:sz="4" w:space="0" w:color="auto"/>
              <w:bottom w:val="nil"/>
            </w:tcBorders>
          </w:tcPr>
          <w:p w14:paraId="477F8514" w14:textId="0DC30548" w:rsidR="002016BA" w:rsidRDefault="002016BA" w:rsidP="00377F3A">
            <w:pPr>
              <w:pStyle w:val="TableText"/>
            </w:pPr>
            <w:r>
              <w:t xml:space="preserve">Parmar </w:t>
            </w:r>
            <w:r w:rsidR="00B7183A" w:rsidRPr="00B7183A">
              <w:rPr>
                <w:i/>
                <w:iCs/>
              </w:rPr>
              <w:t>et al</w:t>
            </w:r>
            <w:r>
              <w:t>. 1987</w:t>
            </w:r>
          </w:p>
        </w:tc>
      </w:tr>
      <w:tr w:rsidR="002016BA" w:rsidRPr="008B4AF6" w14:paraId="58439997" w14:textId="77777777" w:rsidTr="00E4418A">
        <w:trPr>
          <w:cantSplit/>
        </w:trPr>
        <w:tc>
          <w:tcPr>
            <w:tcW w:w="0" w:type="auto"/>
            <w:tcBorders>
              <w:top w:val="nil"/>
              <w:left w:val="nil"/>
              <w:bottom w:val="nil"/>
            </w:tcBorders>
          </w:tcPr>
          <w:p w14:paraId="0A2FCE27" w14:textId="77777777" w:rsidR="002016BA" w:rsidRDefault="002016BA" w:rsidP="00377F3A">
            <w:pPr>
              <w:pStyle w:val="TableText"/>
            </w:pPr>
          </w:p>
        </w:tc>
        <w:tc>
          <w:tcPr>
            <w:tcW w:w="0" w:type="auto"/>
            <w:tcBorders>
              <w:top w:val="nil"/>
              <w:left w:val="nil"/>
              <w:bottom w:val="nil"/>
            </w:tcBorders>
          </w:tcPr>
          <w:p w14:paraId="670460D1" w14:textId="77777777" w:rsidR="002016BA" w:rsidRPr="00E4418A" w:rsidRDefault="002016BA" w:rsidP="00377F3A">
            <w:pPr>
              <w:pStyle w:val="TableText"/>
            </w:pPr>
          </w:p>
        </w:tc>
        <w:tc>
          <w:tcPr>
            <w:tcW w:w="0" w:type="auto"/>
            <w:tcBorders>
              <w:top w:val="nil"/>
              <w:bottom w:val="nil"/>
            </w:tcBorders>
          </w:tcPr>
          <w:p w14:paraId="2E032A0A" w14:textId="34682859" w:rsidR="002016BA" w:rsidRDefault="002016BA" w:rsidP="00377F3A">
            <w:pPr>
              <w:pStyle w:val="TableText"/>
            </w:pPr>
            <w:r>
              <w:t>Liver DT</w:t>
            </w:r>
            <w:r w:rsidRPr="00F855FB">
              <w:rPr>
                <w:vertAlign w:val="subscript"/>
              </w:rPr>
              <w:t>50</w:t>
            </w:r>
            <w:r>
              <w:t xml:space="preserve"> 114 d</w:t>
            </w:r>
          </w:p>
        </w:tc>
        <w:tc>
          <w:tcPr>
            <w:tcW w:w="0" w:type="auto"/>
            <w:tcBorders>
              <w:top w:val="nil"/>
              <w:bottom w:val="nil"/>
            </w:tcBorders>
          </w:tcPr>
          <w:p w14:paraId="4A707BA1" w14:textId="0DAE60D8" w:rsidR="002016BA" w:rsidRDefault="002016BA" w:rsidP="00377F3A">
            <w:pPr>
              <w:pStyle w:val="TableText"/>
            </w:pPr>
            <w:r>
              <w:t xml:space="preserve">Fisher </w:t>
            </w:r>
            <w:r w:rsidR="00B7183A" w:rsidRPr="00B7183A">
              <w:rPr>
                <w:i/>
                <w:iCs/>
              </w:rPr>
              <w:t>et al</w:t>
            </w:r>
            <w:r>
              <w:t>. 2003</w:t>
            </w:r>
          </w:p>
        </w:tc>
      </w:tr>
      <w:tr w:rsidR="002016BA" w:rsidRPr="008B4AF6" w14:paraId="12E513DF" w14:textId="77777777" w:rsidTr="00E4418A">
        <w:trPr>
          <w:cantSplit/>
        </w:trPr>
        <w:tc>
          <w:tcPr>
            <w:tcW w:w="0" w:type="auto"/>
            <w:tcBorders>
              <w:top w:val="nil"/>
              <w:left w:val="nil"/>
              <w:bottom w:val="nil"/>
            </w:tcBorders>
          </w:tcPr>
          <w:p w14:paraId="03E22373" w14:textId="77777777" w:rsidR="002016BA" w:rsidRDefault="002016BA" w:rsidP="00377F3A">
            <w:pPr>
              <w:pStyle w:val="TableText"/>
            </w:pPr>
          </w:p>
        </w:tc>
        <w:tc>
          <w:tcPr>
            <w:tcW w:w="0" w:type="auto"/>
            <w:tcBorders>
              <w:top w:val="nil"/>
              <w:left w:val="nil"/>
              <w:bottom w:val="nil"/>
            </w:tcBorders>
          </w:tcPr>
          <w:p w14:paraId="1576A0B6" w14:textId="77777777" w:rsidR="002016BA" w:rsidRPr="00E4418A" w:rsidRDefault="002016BA" w:rsidP="00377F3A">
            <w:pPr>
              <w:pStyle w:val="TableText"/>
            </w:pPr>
          </w:p>
        </w:tc>
        <w:tc>
          <w:tcPr>
            <w:tcW w:w="0" w:type="auto"/>
            <w:tcBorders>
              <w:top w:val="nil"/>
              <w:bottom w:val="nil"/>
            </w:tcBorders>
          </w:tcPr>
          <w:p w14:paraId="030026DC" w14:textId="79380675" w:rsidR="002016BA" w:rsidRDefault="002016BA" w:rsidP="00377F3A">
            <w:pPr>
              <w:pStyle w:val="TableText"/>
            </w:pPr>
            <w:r>
              <w:t>Liver DT</w:t>
            </w:r>
            <w:r w:rsidRPr="00873DE1">
              <w:rPr>
                <w:vertAlign w:val="subscript"/>
              </w:rPr>
              <w:t>50</w:t>
            </w:r>
            <w:r>
              <w:t xml:space="preserve"> 282 d</w:t>
            </w:r>
          </w:p>
        </w:tc>
        <w:tc>
          <w:tcPr>
            <w:tcW w:w="0" w:type="auto"/>
            <w:tcBorders>
              <w:top w:val="nil"/>
              <w:bottom w:val="nil"/>
            </w:tcBorders>
          </w:tcPr>
          <w:p w14:paraId="37DF7700" w14:textId="75C5EF18" w:rsidR="002016BA" w:rsidRDefault="002016BA" w:rsidP="00377F3A">
            <w:pPr>
              <w:pStyle w:val="TableText"/>
            </w:pPr>
            <w:r>
              <w:t xml:space="preserve">Hawkins </w:t>
            </w:r>
            <w:r w:rsidR="00B7183A" w:rsidRPr="00B7183A">
              <w:rPr>
                <w:i/>
                <w:iCs/>
              </w:rPr>
              <w:t>et al</w:t>
            </w:r>
            <w:r>
              <w:t>. 1991</w:t>
            </w:r>
          </w:p>
        </w:tc>
      </w:tr>
      <w:tr w:rsidR="002016BA" w:rsidRPr="008B4AF6" w14:paraId="3A1247D9" w14:textId="77777777" w:rsidTr="00E4418A">
        <w:trPr>
          <w:cantSplit/>
        </w:trPr>
        <w:tc>
          <w:tcPr>
            <w:tcW w:w="0" w:type="auto"/>
            <w:tcBorders>
              <w:top w:val="nil"/>
              <w:left w:val="nil"/>
              <w:bottom w:val="nil"/>
            </w:tcBorders>
          </w:tcPr>
          <w:p w14:paraId="4A1F2758" w14:textId="77777777" w:rsidR="002016BA" w:rsidRDefault="002016BA" w:rsidP="00377F3A">
            <w:pPr>
              <w:pStyle w:val="TableText"/>
            </w:pPr>
          </w:p>
        </w:tc>
        <w:tc>
          <w:tcPr>
            <w:tcW w:w="0" w:type="auto"/>
            <w:tcBorders>
              <w:top w:val="nil"/>
              <w:left w:val="nil"/>
              <w:bottom w:val="nil"/>
            </w:tcBorders>
          </w:tcPr>
          <w:p w14:paraId="28354525" w14:textId="3DCEDE75" w:rsidR="002016BA" w:rsidRPr="00E4418A" w:rsidRDefault="00E4418A" w:rsidP="00377F3A">
            <w:pPr>
              <w:pStyle w:val="TableText"/>
            </w:pPr>
            <w:r w:rsidRPr="00E4418A">
              <w:t>Mouse</w:t>
            </w:r>
          </w:p>
        </w:tc>
        <w:tc>
          <w:tcPr>
            <w:tcW w:w="0" w:type="auto"/>
            <w:tcBorders>
              <w:top w:val="nil"/>
              <w:bottom w:val="nil"/>
            </w:tcBorders>
          </w:tcPr>
          <w:p w14:paraId="1EAA5EAE" w14:textId="442CD63F" w:rsidR="002016BA" w:rsidRDefault="002016BA" w:rsidP="00377F3A">
            <w:pPr>
              <w:pStyle w:val="TableText"/>
            </w:pPr>
            <w:r>
              <w:t>Liver DT</w:t>
            </w:r>
            <w:r w:rsidRPr="00F855FB">
              <w:rPr>
                <w:vertAlign w:val="subscript"/>
              </w:rPr>
              <w:t>50</w:t>
            </w:r>
            <w:r>
              <w:t xml:space="preserve"> 307 d</w:t>
            </w:r>
          </w:p>
        </w:tc>
        <w:tc>
          <w:tcPr>
            <w:tcW w:w="0" w:type="auto"/>
            <w:tcBorders>
              <w:top w:val="nil"/>
              <w:bottom w:val="nil"/>
            </w:tcBorders>
          </w:tcPr>
          <w:p w14:paraId="08FF0292" w14:textId="45726780" w:rsidR="002016BA" w:rsidRDefault="002016BA" w:rsidP="00377F3A">
            <w:pPr>
              <w:pStyle w:val="TableText"/>
            </w:pPr>
            <w:r>
              <w:t xml:space="preserve">Vandenbroucke </w:t>
            </w:r>
            <w:r w:rsidR="00B7183A" w:rsidRPr="00B7183A">
              <w:rPr>
                <w:i/>
                <w:iCs/>
              </w:rPr>
              <w:t>et al</w:t>
            </w:r>
            <w:r>
              <w:t>. 2008</w:t>
            </w:r>
          </w:p>
        </w:tc>
      </w:tr>
      <w:tr w:rsidR="002016BA" w:rsidRPr="008B4AF6" w14:paraId="11D4BDAA" w14:textId="77777777" w:rsidTr="00E4418A">
        <w:trPr>
          <w:cantSplit/>
        </w:trPr>
        <w:tc>
          <w:tcPr>
            <w:tcW w:w="0" w:type="auto"/>
            <w:tcBorders>
              <w:top w:val="nil"/>
              <w:left w:val="nil"/>
              <w:bottom w:val="nil"/>
            </w:tcBorders>
          </w:tcPr>
          <w:p w14:paraId="3565A16F" w14:textId="77777777" w:rsidR="002016BA" w:rsidRDefault="002016BA" w:rsidP="00377F3A">
            <w:pPr>
              <w:pStyle w:val="TableText"/>
            </w:pPr>
          </w:p>
        </w:tc>
        <w:tc>
          <w:tcPr>
            <w:tcW w:w="0" w:type="auto"/>
            <w:tcBorders>
              <w:top w:val="nil"/>
              <w:left w:val="nil"/>
              <w:bottom w:val="nil"/>
            </w:tcBorders>
          </w:tcPr>
          <w:p w14:paraId="16EEF4D2" w14:textId="473AE564" w:rsidR="002016BA" w:rsidRPr="00E4418A" w:rsidRDefault="00E4418A" w:rsidP="00377F3A">
            <w:pPr>
              <w:pStyle w:val="TableText"/>
            </w:pPr>
            <w:r w:rsidRPr="00E4418A">
              <w:t>Brushtail possum</w:t>
            </w:r>
          </w:p>
        </w:tc>
        <w:tc>
          <w:tcPr>
            <w:tcW w:w="0" w:type="auto"/>
            <w:tcBorders>
              <w:top w:val="nil"/>
              <w:bottom w:val="nil"/>
            </w:tcBorders>
          </w:tcPr>
          <w:p w14:paraId="6832D96E" w14:textId="34F46751" w:rsidR="002016BA" w:rsidRDefault="002016BA" w:rsidP="00377F3A">
            <w:pPr>
              <w:pStyle w:val="TableText"/>
            </w:pPr>
            <w:r>
              <w:t>Liver DT</w:t>
            </w:r>
            <w:r w:rsidRPr="00F855FB">
              <w:rPr>
                <w:vertAlign w:val="subscript"/>
              </w:rPr>
              <w:t>50</w:t>
            </w:r>
            <w:r>
              <w:t xml:space="preserve"> &gt;252 d</w:t>
            </w:r>
          </w:p>
        </w:tc>
        <w:tc>
          <w:tcPr>
            <w:tcW w:w="0" w:type="auto"/>
            <w:tcBorders>
              <w:top w:val="nil"/>
              <w:bottom w:val="nil"/>
            </w:tcBorders>
          </w:tcPr>
          <w:p w14:paraId="01CC3332" w14:textId="50F97609" w:rsidR="002016BA" w:rsidRDefault="002016BA" w:rsidP="00377F3A">
            <w:pPr>
              <w:pStyle w:val="TableText"/>
            </w:pPr>
            <w:r>
              <w:t xml:space="preserve">Eason </w:t>
            </w:r>
            <w:r w:rsidR="00B7183A" w:rsidRPr="00B7183A">
              <w:rPr>
                <w:i/>
                <w:iCs/>
              </w:rPr>
              <w:t>et al</w:t>
            </w:r>
            <w:r>
              <w:t>. 1996</w:t>
            </w:r>
          </w:p>
        </w:tc>
      </w:tr>
      <w:tr w:rsidR="002016BA" w:rsidRPr="008B4AF6" w14:paraId="18BABA70" w14:textId="77777777" w:rsidTr="00E4418A">
        <w:trPr>
          <w:cantSplit/>
        </w:trPr>
        <w:tc>
          <w:tcPr>
            <w:tcW w:w="0" w:type="auto"/>
            <w:tcBorders>
              <w:top w:val="nil"/>
              <w:left w:val="nil"/>
              <w:bottom w:val="nil"/>
            </w:tcBorders>
          </w:tcPr>
          <w:p w14:paraId="27D3D771" w14:textId="77777777" w:rsidR="002016BA" w:rsidRDefault="002016BA" w:rsidP="00377F3A">
            <w:pPr>
              <w:pStyle w:val="TableText"/>
            </w:pPr>
          </w:p>
        </w:tc>
        <w:tc>
          <w:tcPr>
            <w:tcW w:w="0" w:type="auto"/>
            <w:tcBorders>
              <w:top w:val="nil"/>
              <w:left w:val="nil"/>
              <w:bottom w:val="nil"/>
            </w:tcBorders>
          </w:tcPr>
          <w:p w14:paraId="04FCC001" w14:textId="27E32345" w:rsidR="002016BA" w:rsidRPr="00E4418A" w:rsidRDefault="00E4418A" w:rsidP="00377F3A">
            <w:pPr>
              <w:pStyle w:val="TableText"/>
            </w:pPr>
            <w:r w:rsidRPr="00E4418A">
              <w:t>Sheep</w:t>
            </w:r>
          </w:p>
        </w:tc>
        <w:tc>
          <w:tcPr>
            <w:tcW w:w="0" w:type="auto"/>
            <w:tcBorders>
              <w:top w:val="nil"/>
              <w:bottom w:val="nil"/>
            </w:tcBorders>
          </w:tcPr>
          <w:p w14:paraId="6F5EA873" w14:textId="659FDF11" w:rsidR="002016BA" w:rsidRDefault="002016BA" w:rsidP="00377F3A">
            <w:pPr>
              <w:pStyle w:val="TableText"/>
            </w:pPr>
            <w:r>
              <w:t>Liver DT</w:t>
            </w:r>
            <w:r w:rsidRPr="001D5217">
              <w:rPr>
                <w:vertAlign w:val="subscript"/>
              </w:rPr>
              <w:t>50</w:t>
            </w:r>
            <w:r>
              <w:t xml:space="preserve"> &gt;250 d</w:t>
            </w:r>
          </w:p>
        </w:tc>
        <w:tc>
          <w:tcPr>
            <w:tcW w:w="0" w:type="auto"/>
            <w:tcBorders>
              <w:top w:val="nil"/>
              <w:bottom w:val="nil"/>
            </w:tcBorders>
          </w:tcPr>
          <w:p w14:paraId="1D712590" w14:textId="0D321DA0" w:rsidR="002016BA" w:rsidRDefault="002016BA" w:rsidP="00377F3A">
            <w:pPr>
              <w:pStyle w:val="TableText"/>
            </w:pPr>
            <w:r>
              <w:t xml:space="preserve">Laas </w:t>
            </w:r>
            <w:r w:rsidR="00B7183A" w:rsidRPr="00B7183A">
              <w:rPr>
                <w:i/>
                <w:iCs/>
              </w:rPr>
              <w:t>et al</w:t>
            </w:r>
            <w:r>
              <w:t>. 1985</w:t>
            </w:r>
          </w:p>
        </w:tc>
      </w:tr>
      <w:tr w:rsidR="002016BA" w:rsidRPr="008B4AF6" w14:paraId="5BFD408D" w14:textId="77777777" w:rsidTr="00E4418A">
        <w:trPr>
          <w:cantSplit/>
        </w:trPr>
        <w:tc>
          <w:tcPr>
            <w:tcW w:w="0" w:type="auto"/>
            <w:tcBorders>
              <w:top w:val="nil"/>
              <w:left w:val="nil"/>
              <w:bottom w:val="nil"/>
            </w:tcBorders>
          </w:tcPr>
          <w:p w14:paraId="539C0AE3" w14:textId="67B55330" w:rsidR="002016BA" w:rsidRDefault="002016BA" w:rsidP="00377F3A">
            <w:pPr>
              <w:pStyle w:val="TableText"/>
            </w:pPr>
          </w:p>
        </w:tc>
        <w:tc>
          <w:tcPr>
            <w:tcW w:w="0" w:type="auto"/>
            <w:tcBorders>
              <w:top w:val="nil"/>
              <w:left w:val="nil"/>
              <w:bottom w:val="nil"/>
            </w:tcBorders>
          </w:tcPr>
          <w:p w14:paraId="245A7BA9" w14:textId="1E161ABB" w:rsidR="002016BA" w:rsidRPr="00E4418A" w:rsidRDefault="00E4418A" w:rsidP="00377F3A">
            <w:pPr>
              <w:pStyle w:val="TableText"/>
            </w:pPr>
            <w:r w:rsidRPr="00E4418A">
              <w:t>American kestrel</w:t>
            </w:r>
          </w:p>
        </w:tc>
        <w:tc>
          <w:tcPr>
            <w:tcW w:w="0" w:type="auto"/>
            <w:tcBorders>
              <w:top w:val="nil"/>
              <w:bottom w:val="nil"/>
            </w:tcBorders>
          </w:tcPr>
          <w:p w14:paraId="3E46CA07" w14:textId="42686649" w:rsidR="002016BA" w:rsidRDefault="002016BA" w:rsidP="00377F3A">
            <w:pPr>
              <w:pStyle w:val="TableText"/>
            </w:pPr>
            <w:r>
              <w:t>Liver DT</w:t>
            </w:r>
            <w:r w:rsidRPr="00A52BFC">
              <w:rPr>
                <w:vertAlign w:val="subscript"/>
              </w:rPr>
              <w:t>50</w:t>
            </w:r>
            <w:r>
              <w:t xml:space="preserve"> &gt;50 d</w:t>
            </w:r>
          </w:p>
        </w:tc>
        <w:tc>
          <w:tcPr>
            <w:tcW w:w="0" w:type="auto"/>
            <w:tcBorders>
              <w:top w:val="nil"/>
              <w:bottom w:val="nil"/>
            </w:tcBorders>
          </w:tcPr>
          <w:p w14:paraId="3CC13AE5" w14:textId="56A73B3F" w:rsidR="002016BA" w:rsidRDefault="002016BA" w:rsidP="00377F3A">
            <w:pPr>
              <w:pStyle w:val="TableText"/>
            </w:pPr>
            <w:r>
              <w:t xml:space="preserve">Rattner </w:t>
            </w:r>
            <w:r w:rsidR="00B7183A" w:rsidRPr="00B7183A">
              <w:rPr>
                <w:i/>
                <w:iCs/>
              </w:rPr>
              <w:t>et al</w:t>
            </w:r>
            <w:r>
              <w:t>. 2020</w:t>
            </w:r>
          </w:p>
        </w:tc>
      </w:tr>
      <w:tr w:rsidR="002016BA" w:rsidRPr="008B4AF6" w14:paraId="5C717EBC" w14:textId="77777777" w:rsidTr="00E4418A">
        <w:trPr>
          <w:cantSplit/>
        </w:trPr>
        <w:tc>
          <w:tcPr>
            <w:tcW w:w="0" w:type="auto"/>
            <w:tcBorders>
              <w:top w:val="nil"/>
              <w:left w:val="nil"/>
              <w:bottom w:val="single" w:sz="4" w:space="0" w:color="auto"/>
            </w:tcBorders>
          </w:tcPr>
          <w:p w14:paraId="001AAED6" w14:textId="32455006" w:rsidR="002016BA" w:rsidRDefault="002016BA" w:rsidP="00377F3A">
            <w:pPr>
              <w:pStyle w:val="TableText"/>
            </w:pPr>
          </w:p>
        </w:tc>
        <w:tc>
          <w:tcPr>
            <w:tcW w:w="0" w:type="auto"/>
            <w:tcBorders>
              <w:top w:val="nil"/>
              <w:left w:val="nil"/>
              <w:bottom w:val="single" w:sz="4" w:space="0" w:color="auto"/>
            </w:tcBorders>
          </w:tcPr>
          <w:p w14:paraId="1AB20290" w14:textId="3C8007F3" w:rsidR="002016BA" w:rsidRPr="00E4418A" w:rsidRDefault="00E4418A" w:rsidP="00377F3A">
            <w:pPr>
              <w:pStyle w:val="TableText"/>
            </w:pPr>
            <w:r w:rsidRPr="00E4418A">
              <w:t>Garden slug</w:t>
            </w:r>
          </w:p>
        </w:tc>
        <w:tc>
          <w:tcPr>
            <w:tcW w:w="0" w:type="auto"/>
            <w:tcBorders>
              <w:top w:val="nil"/>
              <w:bottom w:val="single" w:sz="4" w:space="0" w:color="auto"/>
            </w:tcBorders>
          </w:tcPr>
          <w:p w14:paraId="3A191858" w14:textId="7A89FA7A" w:rsidR="002016BA" w:rsidRDefault="002016BA" w:rsidP="00377F3A">
            <w:pPr>
              <w:pStyle w:val="TableText"/>
            </w:pPr>
            <w:r>
              <w:t>Elimination DT</w:t>
            </w:r>
            <w:r w:rsidRPr="00DC1FCA">
              <w:rPr>
                <w:vertAlign w:val="subscript"/>
              </w:rPr>
              <w:t>50</w:t>
            </w:r>
            <w:r>
              <w:t xml:space="preserve"> 2.5 d</w:t>
            </w:r>
          </w:p>
        </w:tc>
        <w:tc>
          <w:tcPr>
            <w:tcW w:w="0" w:type="auto"/>
            <w:tcBorders>
              <w:top w:val="nil"/>
              <w:bottom w:val="single" w:sz="4" w:space="0" w:color="auto"/>
            </w:tcBorders>
          </w:tcPr>
          <w:p w14:paraId="6FC7BB83" w14:textId="6898BB99" w:rsidR="002016BA" w:rsidRDefault="002016BA" w:rsidP="00377F3A">
            <w:pPr>
              <w:pStyle w:val="TableText"/>
            </w:pPr>
            <w:r>
              <w:t xml:space="preserve">Alomar </w:t>
            </w:r>
            <w:r w:rsidR="00B7183A" w:rsidRPr="00B7183A">
              <w:rPr>
                <w:i/>
                <w:iCs/>
              </w:rPr>
              <w:t>et al</w:t>
            </w:r>
            <w:r>
              <w:t>. 2018</w:t>
            </w:r>
          </w:p>
        </w:tc>
      </w:tr>
    </w:tbl>
    <w:p w14:paraId="4B32F4A2" w14:textId="08C2402D" w:rsidR="00A12A97" w:rsidRPr="00122CA9" w:rsidRDefault="00BA7F5F" w:rsidP="00377F3A">
      <w:pPr>
        <w:pStyle w:val="Caption"/>
      </w:pPr>
      <w:bookmarkStart w:id="2032" w:name="_Toc213946080"/>
      <w:bookmarkStart w:id="2033" w:name="_Toc216695771"/>
      <w:r>
        <w:t xml:space="preserve">Table </w:t>
      </w:r>
      <w:r>
        <w:fldChar w:fldCharType="begin"/>
      </w:r>
      <w:r>
        <w:instrText xml:space="preserve"> SEQ Table \* ARABIC </w:instrText>
      </w:r>
      <w:r>
        <w:fldChar w:fldCharType="separate"/>
      </w:r>
      <w:r w:rsidR="003861AC">
        <w:rPr>
          <w:noProof/>
        </w:rPr>
        <w:t>109</w:t>
      </w:r>
      <w:r>
        <w:fldChar w:fldCharType="end"/>
      </w:r>
      <w:r>
        <w:t xml:space="preserve">: </w:t>
      </w:r>
      <w:r w:rsidR="002016BA">
        <w:t xml:space="preserve">Brodifacoum – </w:t>
      </w:r>
      <w:r w:rsidR="006A5695">
        <w:t>Residues m</w:t>
      </w:r>
      <w:r w:rsidR="00A12A97">
        <w:t>onitoring data</w:t>
      </w:r>
      <w:bookmarkEnd w:id="2032"/>
      <w:bookmarkEnd w:id="2033"/>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73"/>
        <w:gridCol w:w="896"/>
        <w:gridCol w:w="5854"/>
        <w:gridCol w:w="1567"/>
      </w:tblGrid>
      <w:tr w:rsidR="0071004A" w:rsidRPr="003B5A86" w14:paraId="3C57A1AD" w14:textId="77777777" w:rsidTr="0017134F">
        <w:trPr>
          <w:cantSplit/>
          <w:tblHeader/>
        </w:trPr>
        <w:tc>
          <w:tcPr>
            <w:tcW w:w="0" w:type="auto"/>
            <w:tcBorders>
              <w:bottom w:val="single" w:sz="4" w:space="0" w:color="auto"/>
            </w:tcBorders>
            <w:shd w:val="clear" w:color="auto" w:fill="53284F"/>
          </w:tcPr>
          <w:p w14:paraId="3010A5E5" w14:textId="77777777" w:rsidR="0071004A" w:rsidRPr="0071004A" w:rsidRDefault="0071004A"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09B919C9" w14:textId="77777777" w:rsidR="0071004A" w:rsidRPr="0071004A" w:rsidRDefault="0071004A"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1D1EF476" w14:textId="1C78E51E" w:rsidR="0071004A" w:rsidRPr="0071004A" w:rsidRDefault="002016BA" w:rsidP="00377F3A">
            <w:pPr>
              <w:pStyle w:val="TableHead"/>
              <w:rPr>
                <w:lang w:eastAsia="en-AU"/>
              </w:rPr>
            </w:pPr>
            <w:r>
              <w:rPr>
                <w:lang w:eastAsia="en-AU"/>
              </w:rPr>
              <w:t>Result</w:t>
            </w:r>
          </w:p>
        </w:tc>
        <w:tc>
          <w:tcPr>
            <w:tcW w:w="0" w:type="auto"/>
            <w:tcBorders>
              <w:bottom w:val="single" w:sz="4" w:space="0" w:color="auto"/>
            </w:tcBorders>
            <w:shd w:val="clear" w:color="auto" w:fill="53284F"/>
          </w:tcPr>
          <w:p w14:paraId="47950E6F" w14:textId="77777777" w:rsidR="0071004A" w:rsidRPr="0071004A" w:rsidRDefault="0071004A" w:rsidP="00377F3A">
            <w:pPr>
              <w:pStyle w:val="TableHead"/>
              <w:rPr>
                <w:lang w:eastAsia="en-AU"/>
              </w:rPr>
            </w:pPr>
            <w:r w:rsidRPr="0071004A">
              <w:rPr>
                <w:lang w:eastAsia="en-AU"/>
              </w:rPr>
              <w:t>Reference</w:t>
            </w:r>
          </w:p>
        </w:tc>
      </w:tr>
      <w:tr w:rsidR="0071004A" w:rsidRPr="003B5A86" w14:paraId="5DFC2181" w14:textId="77777777" w:rsidTr="002016BA">
        <w:trPr>
          <w:cantSplit/>
          <w:trHeight w:val="13"/>
        </w:trPr>
        <w:tc>
          <w:tcPr>
            <w:tcW w:w="0" w:type="auto"/>
            <w:tcBorders>
              <w:top w:val="single" w:sz="4" w:space="0" w:color="auto"/>
              <w:left w:val="nil"/>
              <w:bottom w:val="single" w:sz="4" w:space="0" w:color="auto"/>
              <w:right w:val="nil"/>
            </w:tcBorders>
          </w:tcPr>
          <w:p w14:paraId="41BF56F6" w14:textId="77777777" w:rsidR="0071004A" w:rsidRPr="00E673EB" w:rsidRDefault="0071004A"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6477FC8C"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6A207740" w14:textId="77777777" w:rsidR="0071004A" w:rsidRPr="00E673EB" w:rsidRDefault="0071004A" w:rsidP="00377F3A">
            <w:pPr>
              <w:pStyle w:val="TableText"/>
            </w:pPr>
            <w:r w:rsidRPr="00E673EB">
              <w:t>&lt;LOQ (2.0 µg/kg) in suspended particulate matter at 16 sampling locations in German rivers in 2015</w:t>
            </w:r>
          </w:p>
        </w:tc>
        <w:tc>
          <w:tcPr>
            <w:tcW w:w="0" w:type="auto"/>
            <w:tcBorders>
              <w:top w:val="single" w:sz="4" w:space="0" w:color="auto"/>
              <w:left w:val="nil"/>
              <w:bottom w:val="single" w:sz="4" w:space="0" w:color="auto"/>
              <w:right w:val="nil"/>
            </w:tcBorders>
          </w:tcPr>
          <w:p w14:paraId="7A8BBDC5" w14:textId="4661C302"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7F405407" w14:textId="77777777" w:rsidTr="002016BA">
        <w:trPr>
          <w:cantSplit/>
          <w:trHeight w:val="13"/>
        </w:trPr>
        <w:tc>
          <w:tcPr>
            <w:tcW w:w="0" w:type="auto"/>
            <w:tcBorders>
              <w:top w:val="single" w:sz="4" w:space="0" w:color="auto"/>
              <w:left w:val="nil"/>
              <w:bottom w:val="nil"/>
              <w:right w:val="nil"/>
            </w:tcBorders>
          </w:tcPr>
          <w:p w14:paraId="4EAE3FA5" w14:textId="77777777" w:rsidR="0071004A" w:rsidRPr="00E673EB" w:rsidRDefault="0071004A" w:rsidP="00377F3A">
            <w:pPr>
              <w:pStyle w:val="TableText"/>
              <w:rPr>
                <w:lang w:eastAsia="en-AU"/>
              </w:rPr>
            </w:pPr>
            <w:r w:rsidRPr="00E673EB">
              <w:rPr>
                <w:lang w:eastAsia="en-AU"/>
              </w:rPr>
              <w:t>Terrestrial invertebrates</w:t>
            </w:r>
          </w:p>
        </w:tc>
        <w:tc>
          <w:tcPr>
            <w:tcW w:w="0" w:type="auto"/>
            <w:tcBorders>
              <w:top w:val="single" w:sz="4" w:space="0" w:color="auto"/>
              <w:left w:val="nil"/>
              <w:bottom w:val="nil"/>
              <w:right w:val="nil"/>
            </w:tcBorders>
          </w:tcPr>
          <w:p w14:paraId="0DCC6D58" w14:textId="77777777" w:rsidR="0071004A" w:rsidRPr="00E673EB" w:rsidRDefault="0071004A" w:rsidP="00377F3A">
            <w:pPr>
              <w:pStyle w:val="TableText"/>
            </w:pPr>
            <w:r w:rsidRPr="00E673EB">
              <w:t>New Zealand</w:t>
            </w:r>
          </w:p>
        </w:tc>
        <w:tc>
          <w:tcPr>
            <w:tcW w:w="0" w:type="auto"/>
            <w:tcBorders>
              <w:top w:val="single" w:sz="4" w:space="0" w:color="auto"/>
              <w:left w:val="nil"/>
              <w:bottom w:val="nil"/>
              <w:right w:val="nil"/>
            </w:tcBorders>
          </w:tcPr>
          <w:p w14:paraId="768B789F" w14:textId="77777777" w:rsidR="0071004A" w:rsidRPr="00E673EB" w:rsidRDefault="0071004A" w:rsidP="00377F3A">
            <w:pPr>
              <w:pStyle w:val="TableText"/>
            </w:pPr>
            <w:r w:rsidRPr="00E673EB">
              <w:t>Mean residues 760 µg/kg in cockroaches, 860 µg/kg in weta, 210 µg/kg in beetles, 260 µg/kg in all others captured up to 10m from bait stations containing 20 mg/kg brodifacoum in three forest sites in New Zealand; residues eliminated to background levels within 5 weeks</w:t>
            </w:r>
          </w:p>
        </w:tc>
        <w:tc>
          <w:tcPr>
            <w:tcW w:w="0" w:type="auto"/>
            <w:tcBorders>
              <w:top w:val="single" w:sz="4" w:space="0" w:color="auto"/>
              <w:left w:val="nil"/>
              <w:bottom w:val="nil"/>
              <w:right w:val="nil"/>
            </w:tcBorders>
          </w:tcPr>
          <w:p w14:paraId="5F9F59AE" w14:textId="77777777" w:rsidR="0071004A" w:rsidRPr="00E673EB" w:rsidRDefault="0071004A" w:rsidP="00377F3A">
            <w:pPr>
              <w:pStyle w:val="TableText"/>
            </w:pPr>
            <w:r w:rsidRPr="00E673EB">
              <w:t>Craddock 2003</w:t>
            </w:r>
          </w:p>
        </w:tc>
      </w:tr>
      <w:tr w:rsidR="0071004A" w14:paraId="6C3ADF52" w14:textId="77777777" w:rsidTr="002016BA">
        <w:trPr>
          <w:cantSplit/>
          <w:trHeight w:val="13"/>
        </w:trPr>
        <w:tc>
          <w:tcPr>
            <w:tcW w:w="0" w:type="auto"/>
            <w:tcBorders>
              <w:top w:val="nil"/>
              <w:left w:val="nil"/>
              <w:bottom w:val="single" w:sz="4" w:space="0" w:color="auto"/>
              <w:right w:val="nil"/>
            </w:tcBorders>
          </w:tcPr>
          <w:p w14:paraId="1AC247FE"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2A509E43" w14:textId="77777777" w:rsidR="0071004A" w:rsidRPr="00E673EB" w:rsidRDefault="0071004A" w:rsidP="00377F3A">
            <w:pPr>
              <w:pStyle w:val="TableText"/>
            </w:pPr>
            <w:r>
              <w:t>North America</w:t>
            </w:r>
          </w:p>
        </w:tc>
        <w:tc>
          <w:tcPr>
            <w:tcW w:w="0" w:type="auto"/>
            <w:tcBorders>
              <w:top w:val="nil"/>
              <w:left w:val="nil"/>
              <w:bottom w:val="single" w:sz="4" w:space="0" w:color="auto"/>
              <w:right w:val="nil"/>
            </w:tcBorders>
          </w:tcPr>
          <w:p w14:paraId="71D432A6" w14:textId="77777777" w:rsidR="0071004A" w:rsidRPr="00E673EB" w:rsidRDefault="0071004A" w:rsidP="00377F3A">
            <w:pPr>
              <w:pStyle w:val="TableText"/>
            </w:pPr>
            <w:r w:rsidRPr="00E673EB">
              <w:t>70 µg/kg in slugs; not detected in carrion beetles, carabid beetles, wasps, snails, worms, or maggots in bromadialone or brodifacoum baited farms or farms in area of intensive poultry farming in Canada</w:t>
            </w:r>
          </w:p>
        </w:tc>
        <w:tc>
          <w:tcPr>
            <w:tcW w:w="0" w:type="auto"/>
            <w:tcBorders>
              <w:top w:val="nil"/>
              <w:left w:val="nil"/>
              <w:bottom w:val="single" w:sz="4" w:space="0" w:color="auto"/>
              <w:right w:val="nil"/>
            </w:tcBorders>
          </w:tcPr>
          <w:p w14:paraId="74A800FD" w14:textId="2F83092E"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14:paraId="6C37791C" w14:textId="77777777" w:rsidTr="002016BA">
        <w:trPr>
          <w:cantSplit/>
          <w:trHeight w:val="13"/>
        </w:trPr>
        <w:tc>
          <w:tcPr>
            <w:tcW w:w="0" w:type="auto"/>
            <w:tcBorders>
              <w:top w:val="single" w:sz="4" w:space="0" w:color="auto"/>
              <w:left w:val="nil"/>
              <w:bottom w:val="nil"/>
              <w:right w:val="nil"/>
            </w:tcBorders>
          </w:tcPr>
          <w:p w14:paraId="03F81656" w14:textId="77777777" w:rsidR="0071004A" w:rsidRPr="00E673EB" w:rsidRDefault="0071004A" w:rsidP="00377F3A">
            <w:pPr>
              <w:pStyle w:val="TableText"/>
              <w:rPr>
                <w:lang w:eastAsia="en-AU"/>
              </w:rPr>
            </w:pPr>
            <w:r w:rsidRPr="00E673EB">
              <w:rPr>
                <w:lang w:eastAsia="en-AU"/>
              </w:rPr>
              <w:t>Target rodents</w:t>
            </w:r>
          </w:p>
        </w:tc>
        <w:tc>
          <w:tcPr>
            <w:tcW w:w="0" w:type="auto"/>
            <w:tcBorders>
              <w:top w:val="single" w:sz="4" w:space="0" w:color="auto"/>
              <w:left w:val="nil"/>
              <w:bottom w:val="nil"/>
              <w:right w:val="nil"/>
            </w:tcBorders>
          </w:tcPr>
          <w:p w14:paraId="5F7DA2BA" w14:textId="77777777" w:rsidR="0071004A" w:rsidRPr="00E673EB" w:rsidRDefault="0071004A" w:rsidP="00377F3A">
            <w:pPr>
              <w:pStyle w:val="TableText"/>
            </w:pPr>
            <w:r>
              <w:t>North America</w:t>
            </w:r>
          </w:p>
        </w:tc>
        <w:tc>
          <w:tcPr>
            <w:tcW w:w="0" w:type="auto"/>
            <w:tcBorders>
              <w:top w:val="single" w:sz="4" w:space="0" w:color="auto"/>
              <w:left w:val="nil"/>
              <w:bottom w:val="nil"/>
              <w:right w:val="nil"/>
            </w:tcBorders>
          </w:tcPr>
          <w:p w14:paraId="71D8B054" w14:textId="77777777" w:rsidR="0071004A" w:rsidRPr="00E673EB" w:rsidRDefault="0071004A" w:rsidP="00377F3A">
            <w:pPr>
              <w:pStyle w:val="TableText"/>
            </w:pPr>
            <w:r w:rsidRPr="00E673EB">
              <w:t>Max liver residues 150 µg/kg in 2/5 rats in bromadialone baited farm, 410 µg/kg in 1/2 rats in two farms in area of intensive poultry farming in Canada</w:t>
            </w:r>
          </w:p>
        </w:tc>
        <w:tc>
          <w:tcPr>
            <w:tcW w:w="0" w:type="auto"/>
            <w:tcBorders>
              <w:top w:val="single" w:sz="4" w:space="0" w:color="auto"/>
              <w:left w:val="nil"/>
              <w:bottom w:val="nil"/>
              <w:right w:val="nil"/>
            </w:tcBorders>
          </w:tcPr>
          <w:p w14:paraId="20F182E6" w14:textId="5104014D"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03753E2A" w14:textId="77777777" w:rsidTr="002016BA">
        <w:trPr>
          <w:cantSplit/>
          <w:trHeight w:val="13"/>
        </w:trPr>
        <w:tc>
          <w:tcPr>
            <w:tcW w:w="0" w:type="auto"/>
            <w:tcBorders>
              <w:top w:val="nil"/>
              <w:left w:val="nil"/>
              <w:bottom w:val="single" w:sz="4" w:space="0" w:color="auto"/>
              <w:right w:val="nil"/>
            </w:tcBorders>
          </w:tcPr>
          <w:p w14:paraId="2D98A301"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3B22AD7" w14:textId="77777777" w:rsidR="0071004A" w:rsidRPr="00E673EB" w:rsidRDefault="0071004A" w:rsidP="00377F3A">
            <w:pPr>
              <w:pStyle w:val="TableText"/>
            </w:pPr>
            <w:r>
              <w:t>Europe</w:t>
            </w:r>
          </w:p>
        </w:tc>
        <w:tc>
          <w:tcPr>
            <w:tcW w:w="0" w:type="auto"/>
            <w:tcBorders>
              <w:top w:val="nil"/>
              <w:left w:val="nil"/>
              <w:bottom w:val="single" w:sz="4" w:space="0" w:color="auto"/>
              <w:right w:val="nil"/>
            </w:tcBorders>
          </w:tcPr>
          <w:p w14:paraId="75224CE6" w14:textId="77777777" w:rsidR="0071004A" w:rsidRPr="00E673EB" w:rsidRDefault="0071004A" w:rsidP="00377F3A">
            <w:pPr>
              <w:pStyle w:val="TableText"/>
            </w:pPr>
            <w:r w:rsidRPr="00E673EB">
              <w:t>Max liver residues 22 µg/kg in 1/12 house mice from farms in Northern Ireland within 30m from buildings (no brodifacoum usage)</w:t>
            </w:r>
          </w:p>
        </w:tc>
        <w:tc>
          <w:tcPr>
            <w:tcW w:w="0" w:type="auto"/>
            <w:tcBorders>
              <w:top w:val="nil"/>
              <w:left w:val="nil"/>
              <w:bottom w:val="single" w:sz="4" w:space="0" w:color="auto"/>
              <w:right w:val="nil"/>
            </w:tcBorders>
          </w:tcPr>
          <w:p w14:paraId="3FED08BE" w14:textId="21B2CDC7"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1A7E3E7F" w14:textId="77777777" w:rsidTr="002016BA">
        <w:trPr>
          <w:cantSplit/>
          <w:trHeight w:val="13"/>
        </w:trPr>
        <w:tc>
          <w:tcPr>
            <w:tcW w:w="0" w:type="auto"/>
            <w:tcBorders>
              <w:top w:val="single" w:sz="4" w:space="0" w:color="auto"/>
              <w:left w:val="nil"/>
              <w:bottom w:val="nil"/>
              <w:right w:val="nil"/>
            </w:tcBorders>
          </w:tcPr>
          <w:p w14:paraId="49522095" w14:textId="77777777" w:rsidR="0071004A" w:rsidRPr="00E673EB" w:rsidRDefault="0071004A"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6EB8D2D6"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437D4C5C" w14:textId="77777777" w:rsidR="0071004A" w:rsidRPr="00E673EB" w:rsidRDefault="0071004A" w:rsidP="00377F3A">
            <w:pPr>
              <w:pStyle w:val="TableText"/>
            </w:pPr>
            <w:r w:rsidRPr="00E673EB">
              <w:t>Mean liver residues 655 µg/kg in 3/9 western quolls, 16 µg/kg in 1/3 northern quolls, 137 µg/kg in 2/5 tiger quolls, 520 µg/kg in 8/15 eastern quolls, and 162 µg/kg in 7/20 Tasmanian devils in Tasmania, Western Australia, NSW, and ACT</w:t>
            </w:r>
          </w:p>
        </w:tc>
        <w:tc>
          <w:tcPr>
            <w:tcW w:w="0" w:type="auto"/>
            <w:tcBorders>
              <w:top w:val="single" w:sz="4" w:space="0" w:color="auto"/>
              <w:left w:val="nil"/>
              <w:bottom w:val="nil"/>
              <w:right w:val="nil"/>
            </w:tcBorders>
          </w:tcPr>
          <w:p w14:paraId="38E73F90" w14:textId="77777777" w:rsidR="0071004A" w:rsidRPr="00E673EB" w:rsidRDefault="0071004A" w:rsidP="00377F3A">
            <w:pPr>
              <w:pStyle w:val="TableText"/>
            </w:pPr>
            <w:r w:rsidRPr="00E673EB">
              <w:t>Lohr 2022</w:t>
            </w:r>
          </w:p>
        </w:tc>
      </w:tr>
      <w:tr w:rsidR="0071004A" w:rsidRPr="003B5A86" w14:paraId="5873287C" w14:textId="77777777" w:rsidTr="002016BA">
        <w:trPr>
          <w:cantSplit/>
          <w:trHeight w:val="13"/>
        </w:trPr>
        <w:tc>
          <w:tcPr>
            <w:tcW w:w="0" w:type="auto"/>
            <w:tcBorders>
              <w:top w:val="nil"/>
              <w:left w:val="nil"/>
              <w:bottom w:val="nil"/>
              <w:right w:val="nil"/>
            </w:tcBorders>
          </w:tcPr>
          <w:p w14:paraId="718810B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BF646E0" w14:textId="77777777" w:rsidR="0071004A" w:rsidRPr="00E673EB" w:rsidRDefault="0071004A" w:rsidP="00377F3A">
            <w:pPr>
              <w:pStyle w:val="TableText"/>
            </w:pPr>
          </w:p>
        </w:tc>
        <w:tc>
          <w:tcPr>
            <w:tcW w:w="0" w:type="auto"/>
            <w:tcBorders>
              <w:top w:val="nil"/>
              <w:left w:val="nil"/>
              <w:bottom w:val="nil"/>
              <w:right w:val="nil"/>
            </w:tcBorders>
          </w:tcPr>
          <w:p w14:paraId="0209C5BD" w14:textId="77777777" w:rsidR="0071004A" w:rsidRPr="00E673EB" w:rsidRDefault="0071004A" w:rsidP="00377F3A">
            <w:pPr>
              <w:pStyle w:val="TableText"/>
            </w:pPr>
            <w:r w:rsidRPr="00E673EB">
              <w:t>Max liver residues 770 µg/kg brushtail possum in rural &amp; urban areas across Australia between 2006 and 2021</w:t>
            </w:r>
          </w:p>
        </w:tc>
        <w:tc>
          <w:tcPr>
            <w:tcW w:w="0" w:type="auto"/>
            <w:tcBorders>
              <w:top w:val="nil"/>
              <w:left w:val="nil"/>
              <w:bottom w:val="nil"/>
              <w:right w:val="nil"/>
            </w:tcBorders>
          </w:tcPr>
          <w:p w14:paraId="4BF38647" w14:textId="77777777" w:rsidR="0071004A" w:rsidRPr="00E673EB" w:rsidRDefault="0071004A" w:rsidP="00377F3A">
            <w:pPr>
              <w:pStyle w:val="TableText"/>
            </w:pPr>
            <w:r w:rsidRPr="00E673EB">
              <w:t>WHA 2022</w:t>
            </w:r>
          </w:p>
        </w:tc>
      </w:tr>
      <w:tr w:rsidR="0071004A" w14:paraId="35310AC0" w14:textId="77777777" w:rsidTr="002016BA">
        <w:trPr>
          <w:cantSplit/>
          <w:trHeight w:val="13"/>
        </w:trPr>
        <w:tc>
          <w:tcPr>
            <w:tcW w:w="0" w:type="auto"/>
            <w:tcBorders>
              <w:top w:val="nil"/>
              <w:left w:val="nil"/>
              <w:bottom w:val="nil"/>
              <w:right w:val="nil"/>
            </w:tcBorders>
          </w:tcPr>
          <w:p w14:paraId="733B81F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CF579AE" w14:textId="77777777" w:rsidR="0071004A" w:rsidRPr="00E673EB" w:rsidRDefault="0071004A" w:rsidP="00377F3A">
            <w:pPr>
              <w:pStyle w:val="TableText"/>
            </w:pPr>
          </w:p>
        </w:tc>
        <w:tc>
          <w:tcPr>
            <w:tcW w:w="0" w:type="auto"/>
            <w:tcBorders>
              <w:top w:val="nil"/>
              <w:left w:val="nil"/>
              <w:bottom w:val="nil"/>
              <w:right w:val="nil"/>
            </w:tcBorders>
          </w:tcPr>
          <w:p w14:paraId="0049F4C9" w14:textId="77777777" w:rsidR="0071004A" w:rsidRPr="00E673EB" w:rsidRDefault="0071004A" w:rsidP="00377F3A">
            <w:pPr>
              <w:pStyle w:val="TableText"/>
            </w:pPr>
            <w:r w:rsidRPr="00E673EB">
              <w:t>Max liver residues 1708 µg/kg in 47/53 (89%) brushtail possums, 45 µg/kg in 29/82 (35%) ringtail possums in Victoria in 2022</w:t>
            </w:r>
          </w:p>
        </w:tc>
        <w:tc>
          <w:tcPr>
            <w:tcW w:w="0" w:type="auto"/>
            <w:tcBorders>
              <w:top w:val="nil"/>
              <w:left w:val="nil"/>
              <w:bottom w:val="nil"/>
              <w:right w:val="nil"/>
            </w:tcBorders>
          </w:tcPr>
          <w:p w14:paraId="30407E10" w14:textId="638D06DC" w:rsidR="0071004A" w:rsidRPr="00E673EB" w:rsidRDefault="0071004A" w:rsidP="00377F3A">
            <w:pPr>
              <w:pStyle w:val="TableText"/>
            </w:pPr>
            <w:r w:rsidRPr="00E673EB">
              <w:t xml:space="preserve">Scammell </w:t>
            </w:r>
            <w:r w:rsidR="00B7183A" w:rsidRPr="00B7183A">
              <w:rPr>
                <w:i/>
                <w:iCs/>
              </w:rPr>
              <w:t>et al</w:t>
            </w:r>
            <w:r w:rsidRPr="00E673EB">
              <w:t>. 2024</w:t>
            </w:r>
          </w:p>
        </w:tc>
      </w:tr>
      <w:tr w:rsidR="0071004A" w:rsidRPr="003B5A86" w14:paraId="342C7E18" w14:textId="77777777" w:rsidTr="002016BA">
        <w:trPr>
          <w:cantSplit/>
          <w:trHeight w:val="13"/>
        </w:trPr>
        <w:tc>
          <w:tcPr>
            <w:tcW w:w="0" w:type="auto"/>
            <w:tcBorders>
              <w:top w:val="nil"/>
              <w:left w:val="nil"/>
              <w:bottom w:val="nil"/>
              <w:right w:val="nil"/>
            </w:tcBorders>
          </w:tcPr>
          <w:p w14:paraId="11F34FB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E4688A8" w14:textId="77777777" w:rsidR="0071004A" w:rsidRPr="00E673EB" w:rsidRDefault="0071004A" w:rsidP="00377F3A">
            <w:pPr>
              <w:pStyle w:val="TableText"/>
            </w:pPr>
            <w:r>
              <w:t>North America</w:t>
            </w:r>
          </w:p>
        </w:tc>
        <w:tc>
          <w:tcPr>
            <w:tcW w:w="0" w:type="auto"/>
            <w:tcBorders>
              <w:top w:val="nil"/>
              <w:left w:val="nil"/>
              <w:bottom w:val="nil"/>
              <w:right w:val="nil"/>
            </w:tcBorders>
          </w:tcPr>
          <w:p w14:paraId="32F57910" w14:textId="77777777" w:rsidR="0071004A" w:rsidRPr="00E673EB" w:rsidRDefault="0071004A" w:rsidP="00377F3A">
            <w:pPr>
              <w:pStyle w:val="TableText"/>
            </w:pPr>
            <w:r w:rsidRPr="00E673EB">
              <w:t>Liver residue 18600 µg/kg in 1/23 voles; not detected in 6 shrews, 3 deer mice in bromadialone or brodifacoum baited farms or farms in area of intensive poultry farming in Canada</w:t>
            </w:r>
          </w:p>
        </w:tc>
        <w:tc>
          <w:tcPr>
            <w:tcW w:w="0" w:type="auto"/>
            <w:tcBorders>
              <w:top w:val="nil"/>
              <w:left w:val="nil"/>
              <w:bottom w:val="nil"/>
              <w:right w:val="nil"/>
            </w:tcBorders>
          </w:tcPr>
          <w:p w14:paraId="0E322119" w14:textId="344D0F46"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0DD2BB2E" w14:textId="77777777" w:rsidTr="002016BA">
        <w:trPr>
          <w:cantSplit/>
          <w:trHeight w:val="13"/>
        </w:trPr>
        <w:tc>
          <w:tcPr>
            <w:tcW w:w="0" w:type="auto"/>
            <w:tcBorders>
              <w:top w:val="nil"/>
              <w:left w:val="nil"/>
              <w:bottom w:val="nil"/>
              <w:right w:val="nil"/>
            </w:tcBorders>
          </w:tcPr>
          <w:p w14:paraId="3321F5F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8E4E8BB" w14:textId="77777777" w:rsidR="0071004A" w:rsidRDefault="0071004A" w:rsidP="00377F3A">
            <w:pPr>
              <w:pStyle w:val="TableText"/>
            </w:pPr>
            <w:r>
              <w:t>Europe</w:t>
            </w:r>
          </w:p>
        </w:tc>
        <w:tc>
          <w:tcPr>
            <w:tcW w:w="0" w:type="auto"/>
            <w:tcBorders>
              <w:top w:val="nil"/>
              <w:left w:val="nil"/>
              <w:bottom w:val="nil"/>
              <w:right w:val="nil"/>
            </w:tcBorders>
          </w:tcPr>
          <w:p w14:paraId="40C12108" w14:textId="77777777" w:rsidR="0071004A" w:rsidRPr="00E673EB" w:rsidRDefault="0071004A" w:rsidP="00377F3A">
            <w:pPr>
              <w:pStyle w:val="TableText"/>
            </w:pPr>
            <w:r w:rsidRPr="00E673EB">
              <w:t>Max liver residues 120 µg/kg in 1/45 stoat and not detected in 10 weasel following open area baiting in English estates between 1996-97</w:t>
            </w:r>
          </w:p>
        </w:tc>
        <w:tc>
          <w:tcPr>
            <w:tcW w:w="0" w:type="auto"/>
            <w:tcBorders>
              <w:top w:val="nil"/>
              <w:left w:val="nil"/>
              <w:bottom w:val="nil"/>
              <w:right w:val="nil"/>
            </w:tcBorders>
          </w:tcPr>
          <w:p w14:paraId="4C1CF43E" w14:textId="0B4FB2BF" w:rsidR="0071004A" w:rsidRPr="00E673EB" w:rsidRDefault="0071004A" w:rsidP="00377F3A">
            <w:pPr>
              <w:pStyle w:val="TableText"/>
            </w:pPr>
            <w:r w:rsidRPr="00E673EB">
              <w:t xml:space="preserve">McDonald </w:t>
            </w:r>
            <w:r w:rsidR="00B7183A" w:rsidRPr="00B7183A">
              <w:rPr>
                <w:i/>
                <w:iCs/>
              </w:rPr>
              <w:t>et al</w:t>
            </w:r>
            <w:r w:rsidRPr="00E673EB">
              <w:t>. 1998</w:t>
            </w:r>
          </w:p>
        </w:tc>
      </w:tr>
      <w:tr w:rsidR="0071004A" w:rsidRPr="003B5A86" w14:paraId="5E410E24" w14:textId="77777777" w:rsidTr="002016BA">
        <w:trPr>
          <w:cantSplit/>
          <w:trHeight w:val="13"/>
        </w:trPr>
        <w:tc>
          <w:tcPr>
            <w:tcW w:w="0" w:type="auto"/>
            <w:tcBorders>
              <w:top w:val="nil"/>
              <w:left w:val="nil"/>
              <w:bottom w:val="nil"/>
              <w:right w:val="nil"/>
            </w:tcBorders>
          </w:tcPr>
          <w:p w14:paraId="4C3ABA2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403A9BC" w14:textId="77777777" w:rsidR="0071004A" w:rsidRPr="00E673EB" w:rsidRDefault="0071004A" w:rsidP="00377F3A">
            <w:pPr>
              <w:pStyle w:val="TableText"/>
            </w:pPr>
          </w:p>
        </w:tc>
        <w:tc>
          <w:tcPr>
            <w:tcW w:w="0" w:type="auto"/>
            <w:tcBorders>
              <w:top w:val="nil"/>
              <w:left w:val="nil"/>
              <w:bottom w:val="nil"/>
              <w:right w:val="nil"/>
            </w:tcBorders>
          </w:tcPr>
          <w:p w14:paraId="1B933CAF" w14:textId="77777777" w:rsidR="0071004A" w:rsidRPr="00E673EB" w:rsidRDefault="0071004A" w:rsidP="00377F3A">
            <w:pPr>
              <w:pStyle w:val="TableText"/>
            </w:pPr>
            <w:r w:rsidRPr="00E673EB">
              <w:t>Mean liver residues 110 µg/kg in 24/51 wild boars in urban area, 20 µg/kg in 7/20 wild boars in suburban area, and 8.7 µg/kg in 1/13 wild boars in rural area of Spain; mean muscle residue 12 µg/kg in 4 wild boars in urban area; not detected in muscle of wild boars in suburban or rural areas</w:t>
            </w:r>
          </w:p>
        </w:tc>
        <w:tc>
          <w:tcPr>
            <w:tcW w:w="0" w:type="auto"/>
            <w:tcBorders>
              <w:top w:val="nil"/>
              <w:left w:val="nil"/>
              <w:bottom w:val="nil"/>
              <w:right w:val="nil"/>
            </w:tcBorders>
          </w:tcPr>
          <w:p w14:paraId="7A8BBF91" w14:textId="0B88F35A" w:rsidR="0071004A" w:rsidRPr="00E673EB" w:rsidRDefault="0071004A" w:rsidP="00377F3A">
            <w:pPr>
              <w:pStyle w:val="TableText"/>
            </w:pPr>
            <w:r w:rsidRPr="00E673EB">
              <w:t xml:space="preserve">Alabau </w:t>
            </w:r>
            <w:r w:rsidR="00B7183A" w:rsidRPr="00B7183A">
              <w:rPr>
                <w:i/>
                <w:iCs/>
              </w:rPr>
              <w:t>et al</w:t>
            </w:r>
            <w:r w:rsidRPr="00E673EB">
              <w:t>. 2020</w:t>
            </w:r>
          </w:p>
        </w:tc>
      </w:tr>
      <w:tr w:rsidR="0071004A" w:rsidRPr="003B5A86" w14:paraId="0AF553D8" w14:textId="77777777" w:rsidTr="002016BA">
        <w:trPr>
          <w:cantSplit/>
          <w:trHeight w:val="13"/>
        </w:trPr>
        <w:tc>
          <w:tcPr>
            <w:tcW w:w="0" w:type="auto"/>
            <w:tcBorders>
              <w:top w:val="nil"/>
              <w:left w:val="nil"/>
              <w:bottom w:val="nil"/>
              <w:right w:val="nil"/>
            </w:tcBorders>
          </w:tcPr>
          <w:p w14:paraId="2423225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2EA384E" w14:textId="77777777" w:rsidR="0071004A" w:rsidRPr="00E673EB" w:rsidRDefault="0071004A" w:rsidP="00377F3A">
            <w:pPr>
              <w:pStyle w:val="TableText"/>
            </w:pPr>
          </w:p>
        </w:tc>
        <w:tc>
          <w:tcPr>
            <w:tcW w:w="0" w:type="auto"/>
            <w:tcBorders>
              <w:top w:val="nil"/>
              <w:left w:val="nil"/>
              <w:bottom w:val="nil"/>
              <w:right w:val="nil"/>
            </w:tcBorders>
          </w:tcPr>
          <w:p w14:paraId="1E7EEA9B" w14:textId="77777777" w:rsidR="0071004A" w:rsidRPr="00E673EB" w:rsidRDefault="0071004A" w:rsidP="00377F3A">
            <w:pPr>
              <w:pStyle w:val="TableText"/>
            </w:pPr>
            <w:r w:rsidRPr="00E673EB">
              <w:t>Max liver residues 1533 µg/kg in 18/106 Algerian hedgehogs, 1390 µg/kg in 24/48 European hedgehogs in Mediterranean region of Spain between 2011 and 2013</w:t>
            </w:r>
          </w:p>
        </w:tc>
        <w:tc>
          <w:tcPr>
            <w:tcW w:w="0" w:type="auto"/>
            <w:tcBorders>
              <w:top w:val="nil"/>
              <w:left w:val="nil"/>
              <w:bottom w:val="nil"/>
              <w:right w:val="nil"/>
            </w:tcBorders>
          </w:tcPr>
          <w:p w14:paraId="05FB0B83" w14:textId="1FEC6C62"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rsidRPr="003B5A86" w14:paraId="41C216B7" w14:textId="77777777" w:rsidTr="002016BA">
        <w:trPr>
          <w:cantSplit/>
          <w:trHeight w:val="13"/>
        </w:trPr>
        <w:tc>
          <w:tcPr>
            <w:tcW w:w="0" w:type="auto"/>
            <w:tcBorders>
              <w:top w:val="nil"/>
              <w:left w:val="nil"/>
              <w:bottom w:val="nil"/>
              <w:right w:val="nil"/>
            </w:tcBorders>
          </w:tcPr>
          <w:p w14:paraId="525FDD8C" w14:textId="11AD55CD" w:rsidR="0071004A" w:rsidRPr="00E673EB" w:rsidRDefault="0071004A" w:rsidP="00377F3A">
            <w:pPr>
              <w:pStyle w:val="TableText"/>
              <w:rPr>
                <w:lang w:eastAsia="en-AU"/>
              </w:rPr>
            </w:pPr>
          </w:p>
        </w:tc>
        <w:tc>
          <w:tcPr>
            <w:tcW w:w="0" w:type="auto"/>
            <w:tcBorders>
              <w:top w:val="nil"/>
              <w:left w:val="nil"/>
              <w:bottom w:val="nil"/>
              <w:right w:val="nil"/>
            </w:tcBorders>
          </w:tcPr>
          <w:p w14:paraId="42C33753" w14:textId="2C99D84E" w:rsidR="0071004A" w:rsidRPr="00E673EB" w:rsidRDefault="0071004A" w:rsidP="00377F3A">
            <w:pPr>
              <w:pStyle w:val="TableText"/>
            </w:pPr>
          </w:p>
        </w:tc>
        <w:tc>
          <w:tcPr>
            <w:tcW w:w="0" w:type="auto"/>
            <w:tcBorders>
              <w:top w:val="nil"/>
              <w:left w:val="nil"/>
              <w:bottom w:val="nil"/>
              <w:right w:val="nil"/>
            </w:tcBorders>
          </w:tcPr>
          <w:p w14:paraId="562E4CEF" w14:textId="77777777" w:rsidR="0071004A" w:rsidRPr="00E673EB" w:rsidRDefault="0071004A" w:rsidP="00377F3A">
            <w:pPr>
              <w:pStyle w:val="TableText"/>
            </w:pPr>
            <w:r w:rsidRPr="00E673EB">
              <w:t>Max liver residues 270 µg/kg in 2/29 herbivores, 92 µg/kg in 1/3 insectivores, 4500 µg/kg in 15/96 carnivores in Spain between 2005 and 2010</w:t>
            </w:r>
          </w:p>
        </w:tc>
        <w:tc>
          <w:tcPr>
            <w:tcW w:w="0" w:type="auto"/>
            <w:tcBorders>
              <w:top w:val="nil"/>
              <w:left w:val="nil"/>
              <w:bottom w:val="nil"/>
              <w:right w:val="nil"/>
            </w:tcBorders>
          </w:tcPr>
          <w:p w14:paraId="494A483D" w14:textId="4C06B747"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00227E9C" w14:textId="77777777" w:rsidTr="002016BA">
        <w:trPr>
          <w:cantSplit/>
          <w:trHeight w:val="13"/>
        </w:trPr>
        <w:tc>
          <w:tcPr>
            <w:tcW w:w="0" w:type="auto"/>
            <w:tcBorders>
              <w:top w:val="nil"/>
              <w:left w:val="nil"/>
              <w:bottom w:val="nil"/>
              <w:right w:val="nil"/>
            </w:tcBorders>
          </w:tcPr>
          <w:p w14:paraId="4736012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DD8103B" w14:textId="77777777" w:rsidR="0071004A" w:rsidRPr="00E673EB" w:rsidRDefault="0071004A" w:rsidP="00377F3A">
            <w:pPr>
              <w:pStyle w:val="TableText"/>
            </w:pPr>
          </w:p>
        </w:tc>
        <w:tc>
          <w:tcPr>
            <w:tcW w:w="0" w:type="auto"/>
            <w:tcBorders>
              <w:top w:val="nil"/>
              <w:left w:val="nil"/>
              <w:bottom w:val="nil"/>
              <w:right w:val="nil"/>
            </w:tcBorders>
          </w:tcPr>
          <w:p w14:paraId="64F3B56C" w14:textId="77777777" w:rsidR="0071004A" w:rsidRPr="00E673EB" w:rsidRDefault="0071004A" w:rsidP="00377F3A">
            <w:pPr>
              <w:pStyle w:val="TableText"/>
            </w:pPr>
            <w:r w:rsidRPr="00E673EB">
              <w:t>Detected in 3 foxes in Hertfordshire, UK in 2002 (unspecified source)</w:t>
            </w:r>
          </w:p>
        </w:tc>
        <w:tc>
          <w:tcPr>
            <w:tcW w:w="0" w:type="auto"/>
            <w:tcBorders>
              <w:top w:val="nil"/>
              <w:left w:val="nil"/>
              <w:bottom w:val="nil"/>
              <w:right w:val="nil"/>
            </w:tcBorders>
          </w:tcPr>
          <w:p w14:paraId="7483D22A" w14:textId="38B20A2A" w:rsidR="0071004A" w:rsidRPr="00E673EB" w:rsidRDefault="0071004A" w:rsidP="00377F3A">
            <w:pPr>
              <w:pStyle w:val="TableText"/>
            </w:pPr>
            <w:r w:rsidRPr="00E673EB">
              <w:t xml:space="preserve">Barnett </w:t>
            </w:r>
            <w:r w:rsidR="00B7183A" w:rsidRPr="00B7183A">
              <w:rPr>
                <w:i/>
                <w:iCs/>
              </w:rPr>
              <w:t>et al</w:t>
            </w:r>
            <w:r w:rsidRPr="00E673EB">
              <w:t>. 2003</w:t>
            </w:r>
          </w:p>
        </w:tc>
      </w:tr>
      <w:tr w:rsidR="0071004A" w14:paraId="5D415568" w14:textId="77777777" w:rsidTr="002016BA">
        <w:trPr>
          <w:cantSplit/>
          <w:trHeight w:val="13"/>
        </w:trPr>
        <w:tc>
          <w:tcPr>
            <w:tcW w:w="0" w:type="auto"/>
            <w:tcBorders>
              <w:top w:val="nil"/>
              <w:left w:val="nil"/>
              <w:bottom w:val="nil"/>
              <w:right w:val="nil"/>
            </w:tcBorders>
          </w:tcPr>
          <w:p w14:paraId="687F9B9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281AB3C" w14:textId="77777777" w:rsidR="0071004A" w:rsidRPr="00E673EB" w:rsidRDefault="0071004A" w:rsidP="00377F3A">
            <w:pPr>
              <w:pStyle w:val="TableText"/>
            </w:pPr>
          </w:p>
        </w:tc>
        <w:tc>
          <w:tcPr>
            <w:tcW w:w="0" w:type="auto"/>
            <w:tcBorders>
              <w:top w:val="nil"/>
              <w:left w:val="nil"/>
              <w:bottom w:val="nil"/>
              <w:right w:val="nil"/>
            </w:tcBorders>
          </w:tcPr>
          <w:p w14:paraId="4392BE11" w14:textId="77777777" w:rsidR="0071004A" w:rsidRPr="00E673EB" w:rsidRDefault="0071004A" w:rsidP="00377F3A">
            <w:pPr>
              <w:pStyle w:val="TableText"/>
            </w:pPr>
            <w:r w:rsidRPr="00E673EB">
              <w:t>Not detected in liver of polecat that made heavy use of agricultural premises using anticoagulant rodenticides in UK between 1993-95</w:t>
            </w:r>
          </w:p>
        </w:tc>
        <w:tc>
          <w:tcPr>
            <w:tcW w:w="0" w:type="auto"/>
            <w:tcBorders>
              <w:top w:val="nil"/>
              <w:left w:val="nil"/>
              <w:bottom w:val="nil"/>
              <w:right w:val="nil"/>
            </w:tcBorders>
          </w:tcPr>
          <w:p w14:paraId="6F925E87" w14:textId="77777777" w:rsidR="0071004A" w:rsidRPr="00E673EB" w:rsidRDefault="0071004A" w:rsidP="00377F3A">
            <w:pPr>
              <w:pStyle w:val="TableText"/>
            </w:pPr>
            <w:r w:rsidRPr="00E673EB">
              <w:t>Birks 1998</w:t>
            </w:r>
          </w:p>
        </w:tc>
      </w:tr>
      <w:tr w:rsidR="0071004A" w14:paraId="718B61E6" w14:textId="77777777" w:rsidTr="002016BA">
        <w:trPr>
          <w:cantSplit/>
          <w:trHeight w:val="13"/>
        </w:trPr>
        <w:tc>
          <w:tcPr>
            <w:tcW w:w="0" w:type="auto"/>
            <w:tcBorders>
              <w:top w:val="nil"/>
              <w:left w:val="nil"/>
              <w:bottom w:val="nil"/>
              <w:right w:val="nil"/>
            </w:tcBorders>
          </w:tcPr>
          <w:p w14:paraId="0C83EF7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C8743AF" w14:textId="77777777" w:rsidR="0071004A" w:rsidRPr="00E673EB" w:rsidRDefault="0071004A" w:rsidP="00377F3A">
            <w:pPr>
              <w:pStyle w:val="TableText"/>
            </w:pPr>
          </w:p>
        </w:tc>
        <w:tc>
          <w:tcPr>
            <w:tcW w:w="0" w:type="auto"/>
            <w:tcBorders>
              <w:top w:val="nil"/>
              <w:left w:val="nil"/>
              <w:bottom w:val="nil"/>
              <w:right w:val="nil"/>
            </w:tcBorders>
          </w:tcPr>
          <w:p w14:paraId="2C3C7009" w14:textId="77777777" w:rsidR="0071004A" w:rsidRPr="00E673EB" w:rsidRDefault="0071004A" w:rsidP="00377F3A">
            <w:pPr>
              <w:pStyle w:val="TableText"/>
            </w:pPr>
            <w:r w:rsidRPr="00E673EB">
              <w:t>Liver residues 8 µg/kg in 1/29 polecats from west Midlands of England between 1992 and 1994</w:t>
            </w:r>
          </w:p>
        </w:tc>
        <w:tc>
          <w:tcPr>
            <w:tcW w:w="0" w:type="auto"/>
            <w:tcBorders>
              <w:top w:val="nil"/>
              <w:left w:val="nil"/>
              <w:bottom w:val="nil"/>
              <w:right w:val="nil"/>
            </w:tcBorders>
          </w:tcPr>
          <w:p w14:paraId="25A2CC7B" w14:textId="213CD243" w:rsidR="0071004A" w:rsidRPr="00E673EB" w:rsidRDefault="0071004A" w:rsidP="00377F3A">
            <w:pPr>
              <w:pStyle w:val="TableText"/>
            </w:pPr>
            <w:r w:rsidRPr="00E673EB">
              <w:t xml:space="preserve">Shore </w:t>
            </w:r>
            <w:r w:rsidR="00B7183A" w:rsidRPr="00B7183A">
              <w:rPr>
                <w:i/>
                <w:iCs/>
              </w:rPr>
              <w:t>et al</w:t>
            </w:r>
            <w:r w:rsidRPr="00E673EB">
              <w:t>. 1996</w:t>
            </w:r>
          </w:p>
        </w:tc>
      </w:tr>
      <w:tr w:rsidR="0071004A" w14:paraId="15121F14" w14:textId="77777777" w:rsidTr="002016BA">
        <w:trPr>
          <w:cantSplit/>
          <w:trHeight w:val="13"/>
        </w:trPr>
        <w:tc>
          <w:tcPr>
            <w:tcW w:w="0" w:type="auto"/>
            <w:tcBorders>
              <w:top w:val="nil"/>
              <w:left w:val="nil"/>
              <w:bottom w:val="nil"/>
              <w:right w:val="nil"/>
            </w:tcBorders>
          </w:tcPr>
          <w:p w14:paraId="6FD6EDF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374CAFE" w14:textId="77777777" w:rsidR="0071004A" w:rsidRPr="00E673EB" w:rsidRDefault="0071004A" w:rsidP="00377F3A">
            <w:pPr>
              <w:pStyle w:val="TableText"/>
            </w:pPr>
          </w:p>
        </w:tc>
        <w:tc>
          <w:tcPr>
            <w:tcW w:w="0" w:type="auto"/>
            <w:tcBorders>
              <w:top w:val="nil"/>
              <w:left w:val="nil"/>
              <w:bottom w:val="nil"/>
              <w:right w:val="nil"/>
            </w:tcBorders>
          </w:tcPr>
          <w:p w14:paraId="529C4239" w14:textId="77777777" w:rsidR="0071004A" w:rsidRPr="00E673EB" w:rsidRDefault="0071004A" w:rsidP="00377F3A">
            <w:pPr>
              <w:pStyle w:val="TableText"/>
            </w:pPr>
            <w:r w:rsidRPr="00E673EB">
              <w:t>Max liver residues 70 µg/kg in 2/50 polecats from recolonised areas in central and eastern Britain between 1993 and 1999</w:t>
            </w:r>
          </w:p>
        </w:tc>
        <w:tc>
          <w:tcPr>
            <w:tcW w:w="0" w:type="auto"/>
            <w:tcBorders>
              <w:top w:val="nil"/>
              <w:left w:val="nil"/>
              <w:bottom w:val="nil"/>
              <w:right w:val="nil"/>
            </w:tcBorders>
          </w:tcPr>
          <w:p w14:paraId="4FA55747" w14:textId="355B287C" w:rsidR="0071004A" w:rsidRPr="00E673EB" w:rsidRDefault="0071004A" w:rsidP="00377F3A">
            <w:pPr>
              <w:pStyle w:val="TableText"/>
            </w:pPr>
            <w:r w:rsidRPr="00E673EB">
              <w:t xml:space="preserve">Shore </w:t>
            </w:r>
            <w:r w:rsidR="00B7183A" w:rsidRPr="00B7183A">
              <w:rPr>
                <w:i/>
                <w:iCs/>
              </w:rPr>
              <w:t>et al</w:t>
            </w:r>
            <w:r w:rsidRPr="00E673EB">
              <w:t>. 2003</w:t>
            </w:r>
          </w:p>
        </w:tc>
      </w:tr>
      <w:tr w:rsidR="0071004A" w:rsidRPr="003B5A86" w14:paraId="2F09EDA1" w14:textId="77777777" w:rsidTr="002016BA">
        <w:trPr>
          <w:cantSplit/>
          <w:trHeight w:val="13"/>
        </w:trPr>
        <w:tc>
          <w:tcPr>
            <w:tcW w:w="0" w:type="auto"/>
            <w:tcBorders>
              <w:top w:val="nil"/>
              <w:left w:val="nil"/>
              <w:bottom w:val="nil"/>
              <w:right w:val="nil"/>
            </w:tcBorders>
          </w:tcPr>
          <w:p w14:paraId="53BF10A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3EF3846" w14:textId="77777777" w:rsidR="0071004A" w:rsidRPr="00E673EB" w:rsidRDefault="0071004A" w:rsidP="00377F3A">
            <w:pPr>
              <w:pStyle w:val="TableText"/>
            </w:pPr>
          </w:p>
        </w:tc>
        <w:tc>
          <w:tcPr>
            <w:tcW w:w="0" w:type="auto"/>
            <w:tcBorders>
              <w:top w:val="nil"/>
              <w:left w:val="nil"/>
              <w:bottom w:val="nil"/>
              <w:right w:val="nil"/>
            </w:tcBorders>
          </w:tcPr>
          <w:p w14:paraId="6B4ED28F" w14:textId="77777777" w:rsidR="0071004A" w:rsidRPr="00E673EB" w:rsidRDefault="0071004A" w:rsidP="00377F3A">
            <w:pPr>
              <w:pStyle w:val="TableText"/>
            </w:pPr>
            <w:r w:rsidRPr="00E673EB">
              <w:t>Max liver residues 640 µg/kg in 4/55 wood mice from farms in Northern Ireland more than 30m from buildings (no brodifacoum usage)</w:t>
            </w:r>
          </w:p>
        </w:tc>
        <w:tc>
          <w:tcPr>
            <w:tcW w:w="0" w:type="auto"/>
            <w:tcBorders>
              <w:top w:val="nil"/>
              <w:left w:val="nil"/>
              <w:bottom w:val="nil"/>
              <w:right w:val="nil"/>
            </w:tcBorders>
          </w:tcPr>
          <w:p w14:paraId="49F09ED3" w14:textId="052CF637"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6665C1C0" w14:textId="77777777" w:rsidTr="002016BA">
        <w:trPr>
          <w:cantSplit/>
          <w:trHeight w:val="13"/>
        </w:trPr>
        <w:tc>
          <w:tcPr>
            <w:tcW w:w="0" w:type="auto"/>
            <w:tcBorders>
              <w:top w:val="nil"/>
              <w:left w:val="nil"/>
              <w:bottom w:val="single" w:sz="4" w:space="0" w:color="auto"/>
              <w:right w:val="nil"/>
            </w:tcBorders>
          </w:tcPr>
          <w:p w14:paraId="0768D1B9"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B424D05" w14:textId="77777777" w:rsidR="0071004A" w:rsidRPr="00E673EB" w:rsidRDefault="0071004A" w:rsidP="00377F3A">
            <w:pPr>
              <w:pStyle w:val="TableText"/>
            </w:pPr>
            <w:r w:rsidRPr="00E673EB">
              <w:t>South Africa</w:t>
            </w:r>
          </w:p>
        </w:tc>
        <w:tc>
          <w:tcPr>
            <w:tcW w:w="0" w:type="auto"/>
            <w:tcBorders>
              <w:top w:val="nil"/>
              <w:left w:val="nil"/>
              <w:bottom w:val="single" w:sz="4" w:space="0" w:color="auto"/>
              <w:right w:val="nil"/>
            </w:tcBorders>
          </w:tcPr>
          <w:p w14:paraId="1991961B" w14:textId="77777777" w:rsidR="0071004A" w:rsidRPr="00E673EB" w:rsidRDefault="0071004A" w:rsidP="00377F3A">
            <w:pPr>
              <w:pStyle w:val="TableText"/>
            </w:pPr>
            <w:r w:rsidRPr="00E673EB">
              <w:t>Mean liver residues 250 µg/kg in 22/24 caracals in Greater Cape Town, South Africa between 2014 and 2017</w:t>
            </w:r>
          </w:p>
        </w:tc>
        <w:tc>
          <w:tcPr>
            <w:tcW w:w="0" w:type="auto"/>
            <w:tcBorders>
              <w:top w:val="nil"/>
              <w:left w:val="nil"/>
              <w:bottom w:val="single" w:sz="4" w:space="0" w:color="auto"/>
              <w:right w:val="nil"/>
            </w:tcBorders>
          </w:tcPr>
          <w:p w14:paraId="013842C2" w14:textId="28EE554D" w:rsidR="0071004A" w:rsidRPr="00E673EB" w:rsidRDefault="0071004A" w:rsidP="00377F3A">
            <w:pPr>
              <w:pStyle w:val="TableText"/>
            </w:pPr>
            <w:r w:rsidRPr="00E673EB">
              <w:t xml:space="preserve">Serieys </w:t>
            </w:r>
            <w:r w:rsidR="00B7183A" w:rsidRPr="00B7183A">
              <w:rPr>
                <w:i/>
                <w:iCs/>
              </w:rPr>
              <w:t>et al</w:t>
            </w:r>
            <w:r w:rsidRPr="00E673EB">
              <w:t>. 2019</w:t>
            </w:r>
          </w:p>
        </w:tc>
      </w:tr>
      <w:tr w:rsidR="0071004A" w:rsidRPr="003B5A86" w14:paraId="018FC23E" w14:textId="77777777" w:rsidTr="002016BA">
        <w:trPr>
          <w:cantSplit/>
          <w:trHeight w:val="13"/>
        </w:trPr>
        <w:tc>
          <w:tcPr>
            <w:tcW w:w="0" w:type="auto"/>
            <w:tcBorders>
              <w:top w:val="single" w:sz="4" w:space="0" w:color="auto"/>
              <w:left w:val="nil"/>
              <w:bottom w:val="nil"/>
              <w:right w:val="nil"/>
            </w:tcBorders>
          </w:tcPr>
          <w:p w14:paraId="2C15604B"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4B1BEC72"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094AAB08" w14:textId="77777777" w:rsidR="0071004A" w:rsidRPr="00E673EB" w:rsidRDefault="0071004A" w:rsidP="00377F3A">
            <w:pPr>
              <w:pStyle w:val="TableText"/>
            </w:pPr>
            <w:r w:rsidRPr="00E673EB">
              <w:t>Max liver residues 240 µg/kg little ravens, 310 µg/kg Torresian crows, ~100 µg/kg Australian magpies, 84 µg/kg Australian kestrels, 38 µg/kg barking owls, 552 µg/kg southern boobooks, 600 µg/kg powerful owls, 120 µg/kg tawny frogmouths, 2950 µg/kg barn owls in rural &amp; urban areas across Australia between 2006 and 2021</w:t>
            </w:r>
          </w:p>
        </w:tc>
        <w:tc>
          <w:tcPr>
            <w:tcW w:w="0" w:type="auto"/>
            <w:tcBorders>
              <w:top w:val="single" w:sz="4" w:space="0" w:color="auto"/>
              <w:left w:val="nil"/>
              <w:bottom w:val="nil"/>
              <w:right w:val="nil"/>
            </w:tcBorders>
          </w:tcPr>
          <w:p w14:paraId="10900EAD" w14:textId="77777777" w:rsidR="0071004A" w:rsidRPr="00E673EB" w:rsidRDefault="0071004A" w:rsidP="00377F3A">
            <w:pPr>
              <w:pStyle w:val="TableText"/>
            </w:pPr>
            <w:r w:rsidRPr="00E673EB">
              <w:t>WHA 2022</w:t>
            </w:r>
          </w:p>
        </w:tc>
      </w:tr>
      <w:tr w:rsidR="0071004A" w:rsidRPr="003B5A86" w14:paraId="18F5EE8C" w14:textId="77777777" w:rsidTr="002016BA">
        <w:trPr>
          <w:cantSplit/>
          <w:trHeight w:val="13"/>
        </w:trPr>
        <w:tc>
          <w:tcPr>
            <w:tcW w:w="0" w:type="auto"/>
            <w:tcBorders>
              <w:top w:val="nil"/>
              <w:left w:val="nil"/>
              <w:bottom w:val="nil"/>
              <w:right w:val="nil"/>
            </w:tcBorders>
          </w:tcPr>
          <w:p w14:paraId="4DEEBFA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B3B7EF5" w14:textId="77777777" w:rsidR="0071004A" w:rsidRPr="00E673EB" w:rsidRDefault="0071004A" w:rsidP="00377F3A">
            <w:pPr>
              <w:pStyle w:val="TableText"/>
            </w:pPr>
          </w:p>
        </w:tc>
        <w:tc>
          <w:tcPr>
            <w:tcW w:w="0" w:type="auto"/>
            <w:tcBorders>
              <w:top w:val="nil"/>
              <w:left w:val="nil"/>
              <w:bottom w:val="nil"/>
              <w:right w:val="nil"/>
            </w:tcBorders>
          </w:tcPr>
          <w:p w14:paraId="14827651" w14:textId="77777777" w:rsidR="0071004A" w:rsidRPr="00E673EB" w:rsidRDefault="0071004A" w:rsidP="00377F3A">
            <w:pPr>
              <w:pStyle w:val="TableText"/>
            </w:pPr>
            <w:r w:rsidRPr="00E673EB">
              <w:t>Max liver residues 448 µg/kg in 34/38 powerful owls in Sydney basin urban areas between 2015 and 2021</w:t>
            </w:r>
          </w:p>
        </w:tc>
        <w:tc>
          <w:tcPr>
            <w:tcW w:w="0" w:type="auto"/>
            <w:tcBorders>
              <w:top w:val="nil"/>
              <w:left w:val="nil"/>
              <w:bottom w:val="nil"/>
              <w:right w:val="nil"/>
            </w:tcBorders>
          </w:tcPr>
          <w:p w14:paraId="6C01B7D2" w14:textId="77777777" w:rsidR="0071004A" w:rsidRPr="00E673EB" w:rsidRDefault="0071004A" w:rsidP="00377F3A">
            <w:pPr>
              <w:pStyle w:val="TableText"/>
            </w:pPr>
            <w:r w:rsidRPr="00E673EB">
              <w:t>Birdlife Australia 2022</w:t>
            </w:r>
          </w:p>
        </w:tc>
      </w:tr>
      <w:tr w:rsidR="0071004A" w:rsidRPr="003B5A86" w14:paraId="6730E843" w14:textId="77777777" w:rsidTr="002016BA">
        <w:trPr>
          <w:cantSplit/>
          <w:trHeight w:val="13"/>
        </w:trPr>
        <w:tc>
          <w:tcPr>
            <w:tcW w:w="0" w:type="auto"/>
            <w:tcBorders>
              <w:top w:val="nil"/>
              <w:left w:val="nil"/>
              <w:bottom w:val="nil"/>
              <w:right w:val="nil"/>
            </w:tcBorders>
          </w:tcPr>
          <w:p w14:paraId="369253E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6A92992" w14:textId="77777777" w:rsidR="0071004A" w:rsidRPr="00E673EB" w:rsidRDefault="0071004A" w:rsidP="00377F3A">
            <w:pPr>
              <w:pStyle w:val="TableText"/>
            </w:pPr>
          </w:p>
        </w:tc>
        <w:tc>
          <w:tcPr>
            <w:tcW w:w="0" w:type="auto"/>
            <w:tcBorders>
              <w:top w:val="nil"/>
              <w:left w:val="nil"/>
              <w:bottom w:val="nil"/>
              <w:right w:val="nil"/>
            </w:tcBorders>
          </w:tcPr>
          <w:p w14:paraId="42AC946A" w14:textId="77777777" w:rsidR="0071004A" w:rsidRPr="00E673EB" w:rsidRDefault="0071004A" w:rsidP="00377F3A">
            <w:pPr>
              <w:pStyle w:val="TableText"/>
            </w:pPr>
            <w:r w:rsidRPr="00E673EB">
              <w:t xml:space="preserve">Max liver residues 55 µg/kg in 5/5 eastern barn owls, 1034 µg/kg in 11/12 southern boobooks, 1014 µg/kg in 18/19 tawny frogmouths, 600 µg/kg in 21/24 powerful owls in urban, forest, &amp; agricultural areas of Vic, SA &amp; NSW between 2003 and 2022 </w:t>
            </w:r>
          </w:p>
        </w:tc>
        <w:tc>
          <w:tcPr>
            <w:tcW w:w="0" w:type="auto"/>
            <w:tcBorders>
              <w:top w:val="nil"/>
              <w:left w:val="nil"/>
              <w:bottom w:val="nil"/>
              <w:right w:val="nil"/>
            </w:tcBorders>
          </w:tcPr>
          <w:p w14:paraId="71C68032" w14:textId="5A4B4316" w:rsidR="0071004A" w:rsidRPr="00E673EB" w:rsidRDefault="0071004A" w:rsidP="00377F3A">
            <w:pPr>
              <w:pStyle w:val="TableText"/>
            </w:pPr>
            <w:r w:rsidRPr="00E673EB">
              <w:t xml:space="preserve">Cooke </w:t>
            </w:r>
            <w:r w:rsidR="00B7183A" w:rsidRPr="00B7183A">
              <w:rPr>
                <w:i/>
                <w:iCs/>
              </w:rPr>
              <w:t>et al</w:t>
            </w:r>
            <w:r w:rsidRPr="00E673EB">
              <w:t>. 2023</w:t>
            </w:r>
          </w:p>
        </w:tc>
      </w:tr>
      <w:tr w:rsidR="0071004A" w:rsidRPr="003B5A86" w14:paraId="4834D1DC" w14:textId="77777777" w:rsidTr="002016BA">
        <w:trPr>
          <w:cantSplit/>
          <w:trHeight w:val="13"/>
        </w:trPr>
        <w:tc>
          <w:tcPr>
            <w:tcW w:w="0" w:type="auto"/>
            <w:tcBorders>
              <w:top w:val="nil"/>
              <w:left w:val="nil"/>
              <w:bottom w:val="nil"/>
              <w:right w:val="nil"/>
            </w:tcBorders>
          </w:tcPr>
          <w:p w14:paraId="1215A4F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365379E" w14:textId="77777777" w:rsidR="0071004A" w:rsidRPr="00E673EB" w:rsidRDefault="0071004A" w:rsidP="00377F3A">
            <w:pPr>
              <w:pStyle w:val="TableText"/>
            </w:pPr>
          </w:p>
        </w:tc>
        <w:tc>
          <w:tcPr>
            <w:tcW w:w="0" w:type="auto"/>
            <w:tcBorders>
              <w:top w:val="nil"/>
              <w:left w:val="nil"/>
              <w:bottom w:val="nil"/>
              <w:right w:val="nil"/>
            </w:tcBorders>
          </w:tcPr>
          <w:p w14:paraId="3D139D96" w14:textId="77777777" w:rsidR="0071004A" w:rsidRPr="00E673EB" w:rsidRDefault="0071004A" w:rsidP="00377F3A">
            <w:pPr>
              <w:pStyle w:val="TableText"/>
            </w:pPr>
            <w:r w:rsidRPr="00E673EB">
              <w:t>Liver residues 439 µg/kg in 1/5 Carnaby’s cockatoos in Kalamunda WA in 2024</w:t>
            </w:r>
          </w:p>
        </w:tc>
        <w:tc>
          <w:tcPr>
            <w:tcW w:w="0" w:type="auto"/>
            <w:tcBorders>
              <w:top w:val="nil"/>
              <w:left w:val="nil"/>
              <w:bottom w:val="nil"/>
              <w:right w:val="nil"/>
            </w:tcBorders>
          </w:tcPr>
          <w:p w14:paraId="349160A1" w14:textId="14599436" w:rsidR="0071004A" w:rsidRPr="00E673EB" w:rsidRDefault="0071004A" w:rsidP="00377F3A">
            <w:pPr>
              <w:pStyle w:val="TableText"/>
            </w:pPr>
            <w:r w:rsidRPr="00E673EB">
              <w:t xml:space="preserve">Le Souëf </w:t>
            </w:r>
            <w:r w:rsidR="00B7183A" w:rsidRPr="00B7183A">
              <w:rPr>
                <w:i/>
                <w:iCs/>
              </w:rPr>
              <w:t>et al</w:t>
            </w:r>
            <w:r w:rsidRPr="00E673EB">
              <w:t>. 2024</w:t>
            </w:r>
          </w:p>
        </w:tc>
      </w:tr>
      <w:tr w:rsidR="0071004A" w:rsidRPr="003B5A86" w14:paraId="33E188BD" w14:textId="77777777" w:rsidTr="002016BA">
        <w:trPr>
          <w:cantSplit/>
          <w:trHeight w:val="13"/>
        </w:trPr>
        <w:tc>
          <w:tcPr>
            <w:tcW w:w="0" w:type="auto"/>
            <w:tcBorders>
              <w:top w:val="nil"/>
              <w:left w:val="nil"/>
              <w:bottom w:val="nil"/>
              <w:right w:val="nil"/>
            </w:tcBorders>
          </w:tcPr>
          <w:p w14:paraId="681B3F2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853B853" w14:textId="77777777" w:rsidR="0071004A" w:rsidRPr="00E673EB" w:rsidRDefault="0071004A" w:rsidP="00377F3A">
            <w:pPr>
              <w:pStyle w:val="TableText"/>
            </w:pPr>
          </w:p>
        </w:tc>
        <w:tc>
          <w:tcPr>
            <w:tcW w:w="0" w:type="auto"/>
            <w:tcBorders>
              <w:top w:val="nil"/>
              <w:left w:val="nil"/>
              <w:bottom w:val="nil"/>
              <w:right w:val="nil"/>
            </w:tcBorders>
          </w:tcPr>
          <w:p w14:paraId="3ED34894" w14:textId="77777777" w:rsidR="0071004A" w:rsidRPr="00E673EB" w:rsidRDefault="0071004A" w:rsidP="00377F3A">
            <w:pPr>
              <w:pStyle w:val="TableText"/>
            </w:pPr>
            <w:r w:rsidRPr="00E673EB">
              <w:t>Max liver residues 4002 µg/kg in 53/73 southern boobooks (73%) in urban &amp; peri-urban areas of WA</w:t>
            </w:r>
          </w:p>
        </w:tc>
        <w:tc>
          <w:tcPr>
            <w:tcW w:w="0" w:type="auto"/>
            <w:tcBorders>
              <w:top w:val="nil"/>
              <w:left w:val="nil"/>
              <w:bottom w:val="nil"/>
              <w:right w:val="nil"/>
            </w:tcBorders>
          </w:tcPr>
          <w:p w14:paraId="4A943C7E" w14:textId="77777777" w:rsidR="0071004A" w:rsidRPr="00E673EB" w:rsidRDefault="0071004A" w:rsidP="00377F3A">
            <w:pPr>
              <w:pStyle w:val="TableText"/>
            </w:pPr>
            <w:r w:rsidRPr="00E673EB">
              <w:t>Lohr 2018</w:t>
            </w:r>
          </w:p>
        </w:tc>
      </w:tr>
      <w:tr w:rsidR="0071004A" w:rsidRPr="003B5A86" w14:paraId="41D118E5" w14:textId="77777777" w:rsidTr="002016BA">
        <w:trPr>
          <w:cantSplit/>
          <w:trHeight w:val="13"/>
        </w:trPr>
        <w:tc>
          <w:tcPr>
            <w:tcW w:w="0" w:type="auto"/>
            <w:tcBorders>
              <w:top w:val="nil"/>
              <w:left w:val="nil"/>
              <w:bottom w:val="nil"/>
              <w:right w:val="nil"/>
            </w:tcBorders>
          </w:tcPr>
          <w:p w14:paraId="484A248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F673CB5" w14:textId="77777777" w:rsidR="0071004A" w:rsidRPr="00E673EB" w:rsidRDefault="0071004A" w:rsidP="00377F3A">
            <w:pPr>
              <w:pStyle w:val="TableText"/>
            </w:pPr>
          </w:p>
        </w:tc>
        <w:tc>
          <w:tcPr>
            <w:tcW w:w="0" w:type="auto"/>
            <w:tcBorders>
              <w:top w:val="nil"/>
              <w:left w:val="nil"/>
              <w:bottom w:val="nil"/>
              <w:right w:val="nil"/>
            </w:tcBorders>
          </w:tcPr>
          <w:p w14:paraId="1690CF69" w14:textId="77777777" w:rsidR="0071004A" w:rsidRPr="00E673EB" w:rsidRDefault="0071004A" w:rsidP="00377F3A">
            <w:pPr>
              <w:pStyle w:val="TableText"/>
            </w:pPr>
            <w:r w:rsidRPr="00E673EB">
              <w:t>Max liver residues 635 µg/kg in 28/50 (56%) wedge-tailed eagles across Tasmania between 1996 and 2018</w:t>
            </w:r>
          </w:p>
        </w:tc>
        <w:tc>
          <w:tcPr>
            <w:tcW w:w="0" w:type="auto"/>
            <w:tcBorders>
              <w:top w:val="nil"/>
              <w:left w:val="nil"/>
              <w:bottom w:val="nil"/>
              <w:right w:val="nil"/>
            </w:tcBorders>
          </w:tcPr>
          <w:p w14:paraId="4C71B8F3" w14:textId="4B97A0B3" w:rsidR="0071004A" w:rsidRPr="00E673EB" w:rsidRDefault="0071004A" w:rsidP="00377F3A">
            <w:pPr>
              <w:pStyle w:val="TableText"/>
            </w:pPr>
            <w:r w:rsidRPr="00E673EB">
              <w:t xml:space="preserve">Pay </w:t>
            </w:r>
            <w:r w:rsidR="00B7183A" w:rsidRPr="00B7183A">
              <w:rPr>
                <w:i/>
                <w:iCs/>
              </w:rPr>
              <w:t>et al</w:t>
            </w:r>
            <w:r w:rsidRPr="00E673EB">
              <w:t>. 2021</w:t>
            </w:r>
          </w:p>
        </w:tc>
      </w:tr>
      <w:tr w:rsidR="0071004A" w:rsidRPr="003B5A86" w14:paraId="45774A6D" w14:textId="77777777" w:rsidTr="002016BA">
        <w:trPr>
          <w:cantSplit/>
          <w:trHeight w:val="13"/>
        </w:trPr>
        <w:tc>
          <w:tcPr>
            <w:tcW w:w="0" w:type="auto"/>
            <w:tcBorders>
              <w:top w:val="nil"/>
              <w:left w:val="nil"/>
              <w:bottom w:val="nil"/>
              <w:right w:val="nil"/>
            </w:tcBorders>
          </w:tcPr>
          <w:p w14:paraId="6F53FD2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422BF79" w14:textId="77777777" w:rsidR="0071004A" w:rsidRPr="00E673EB" w:rsidRDefault="0071004A" w:rsidP="00377F3A">
            <w:pPr>
              <w:pStyle w:val="TableText"/>
            </w:pPr>
            <w:r w:rsidRPr="00E673EB">
              <w:t>New Zealand</w:t>
            </w:r>
          </w:p>
        </w:tc>
        <w:tc>
          <w:tcPr>
            <w:tcW w:w="0" w:type="auto"/>
            <w:tcBorders>
              <w:top w:val="nil"/>
              <w:left w:val="nil"/>
              <w:bottom w:val="nil"/>
              <w:right w:val="nil"/>
            </w:tcBorders>
          </w:tcPr>
          <w:p w14:paraId="44182866" w14:textId="0822FF81" w:rsidR="0071004A" w:rsidRPr="00E673EB" w:rsidRDefault="0071004A" w:rsidP="00377F3A">
            <w:pPr>
              <w:pStyle w:val="TableText"/>
            </w:pPr>
            <w:r w:rsidRPr="00E673EB">
              <w:t>Max liver residues 4000 µg/kg in 1 paradise duck, 1500 µg/kg in 2 seagulls, 340 µg/kg in 2 hawks, 480 µg/kg in 1 magpie, 8100 µg/kg in 1 passerine bird following open area baiting at 1245-3320 kg bait/ha (50 mg a</w:t>
            </w:r>
            <w:r w:rsidR="00C874AD">
              <w:t>.</w:t>
            </w:r>
            <w:r w:rsidRPr="00E673EB">
              <w:t>c</w:t>
            </w:r>
            <w:r w:rsidR="00C874AD">
              <w:t>.</w:t>
            </w:r>
            <w:r w:rsidRPr="00E673EB">
              <w:t>/kg bait) in Canterbury &amp; Browns Island, NZ</w:t>
            </w:r>
          </w:p>
        </w:tc>
        <w:tc>
          <w:tcPr>
            <w:tcW w:w="0" w:type="auto"/>
            <w:tcBorders>
              <w:top w:val="nil"/>
              <w:left w:val="nil"/>
              <w:bottom w:val="nil"/>
              <w:right w:val="nil"/>
            </w:tcBorders>
          </w:tcPr>
          <w:p w14:paraId="6DD2A7AB" w14:textId="12FCDF01" w:rsidR="0071004A" w:rsidRPr="00E673EB" w:rsidRDefault="0071004A" w:rsidP="00377F3A">
            <w:pPr>
              <w:pStyle w:val="TableText"/>
            </w:pPr>
            <w:r w:rsidRPr="00E673EB">
              <w:t xml:space="preserve">Rammell </w:t>
            </w:r>
            <w:r w:rsidR="00B7183A" w:rsidRPr="00B7183A">
              <w:rPr>
                <w:i/>
                <w:iCs/>
              </w:rPr>
              <w:t>et al</w:t>
            </w:r>
            <w:r w:rsidRPr="00E673EB">
              <w:t>. 1984</w:t>
            </w:r>
          </w:p>
        </w:tc>
      </w:tr>
      <w:tr w:rsidR="0071004A" w:rsidRPr="003B5A86" w14:paraId="2B391468" w14:textId="77777777" w:rsidTr="002016BA">
        <w:trPr>
          <w:cantSplit/>
          <w:trHeight w:val="13"/>
        </w:trPr>
        <w:tc>
          <w:tcPr>
            <w:tcW w:w="0" w:type="auto"/>
            <w:tcBorders>
              <w:top w:val="nil"/>
              <w:left w:val="nil"/>
              <w:bottom w:val="nil"/>
              <w:right w:val="nil"/>
            </w:tcBorders>
          </w:tcPr>
          <w:p w14:paraId="19BDE13A" w14:textId="148BBC02" w:rsidR="0071004A" w:rsidRPr="00E673EB" w:rsidRDefault="0071004A" w:rsidP="00377F3A">
            <w:pPr>
              <w:pStyle w:val="TableText"/>
              <w:rPr>
                <w:lang w:eastAsia="en-AU"/>
              </w:rPr>
            </w:pPr>
          </w:p>
        </w:tc>
        <w:tc>
          <w:tcPr>
            <w:tcW w:w="0" w:type="auto"/>
            <w:tcBorders>
              <w:top w:val="nil"/>
              <w:left w:val="nil"/>
              <w:bottom w:val="nil"/>
              <w:right w:val="nil"/>
            </w:tcBorders>
          </w:tcPr>
          <w:p w14:paraId="247633AE" w14:textId="4FB85F9C" w:rsidR="0071004A" w:rsidRPr="00E673EB" w:rsidRDefault="0071004A" w:rsidP="00377F3A">
            <w:pPr>
              <w:pStyle w:val="TableText"/>
            </w:pPr>
          </w:p>
        </w:tc>
        <w:tc>
          <w:tcPr>
            <w:tcW w:w="0" w:type="auto"/>
            <w:tcBorders>
              <w:top w:val="nil"/>
              <w:left w:val="nil"/>
              <w:bottom w:val="nil"/>
              <w:right w:val="nil"/>
            </w:tcBorders>
          </w:tcPr>
          <w:p w14:paraId="65A96A3B" w14:textId="77777777" w:rsidR="0071004A" w:rsidRPr="00E673EB" w:rsidRDefault="0071004A" w:rsidP="00377F3A">
            <w:pPr>
              <w:pStyle w:val="TableText"/>
            </w:pPr>
            <w:r w:rsidRPr="00E673EB">
              <w:t>Max liver residues 1230 µg/kg in 7 ducks, 660 µg/kg in Australasian harrier, 1350 µg/kg in 9 pukeko, 580 µg/kg in 1 gull, 780 µg/kg in 2 blackbirds, 2310 µg/kg in 3 chaffinch, 1270 in 3 myna, 990 µg/kg in 2 magpies following two aerial broadcasts at 8 + 3.5 kg bait/ha in Motuihe Island, NZ</w:t>
            </w:r>
          </w:p>
        </w:tc>
        <w:tc>
          <w:tcPr>
            <w:tcW w:w="0" w:type="auto"/>
            <w:tcBorders>
              <w:top w:val="nil"/>
              <w:left w:val="nil"/>
              <w:bottom w:val="nil"/>
              <w:right w:val="nil"/>
            </w:tcBorders>
          </w:tcPr>
          <w:p w14:paraId="2F5D5956" w14:textId="0A03D307" w:rsidR="0071004A" w:rsidRPr="00E673EB" w:rsidRDefault="0071004A" w:rsidP="00377F3A">
            <w:pPr>
              <w:pStyle w:val="TableText"/>
            </w:pPr>
            <w:r w:rsidRPr="00E673EB">
              <w:t xml:space="preserve">Dowding </w:t>
            </w:r>
            <w:r w:rsidR="00B7183A" w:rsidRPr="00B7183A">
              <w:rPr>
                <w:i/>
                <w:iCs/>
              </w:rPr>
              <w:t>et al</w:t>
            </w:r>
            <w:r w:rsidRPr="00E673EB">
              <w:t>. 1999</w:t>
            </w:r>
          </w:p>
        </w:tc>
      </w:tr>
      <w:tr w:rsidR="0071004A" w:rsidRPr="003B5A86" w14:paraId="4B832129" w14:textId="77777777" w:rsidTr="002016BA">
        <w:trPr>
          <w:cantSplit/>
          <w:trHeight w:val="13"/>
        </w:trPr>
        <w:tc>
          <w:tcPr>
            <w:tcW w:w="0" w:type="auto"/>
            <w:tcBorders>
              <w:top w:val="nil"/>
              <w:left w:val="nil"/>
              <w:bottom w:val="nil"/>
              <w:right w:val="nil"/>
            </w:tcBorders>
          </w:tcPr>
          <w:p w14:paraId="292F12F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DF7B44D" w14:textId="77777777" w:rsidR="0071004A" w:rsidRPr="00E673EB" w:rsidRDefault="0071004A" w:rsidP="00377F3A">
            <w:pPr>
              <w:pStyle w:val="TableText"/>
            </w:pPr>
          </w:p>
        </w:tc>
        <w:tc>
          <w:tcPr>
            <w:tcW w:w="0" w:type="auto"/>
            <w:tcBorders>
              <w:top w:val="nil"/>
              <w:left w:val="nil"/>
              <w:bottom w:val="nil"/>
              <w:right w:val="nil"/>
            </w:tcBorders>
          </w:tcPr>
          <w:p w14:paraId="72CC9947" w14:textId="1EB2911E" w:rsidR="0071004A" w:rsidRPr="00E673EB" w:rsidRDefault="0071004A" w:rsidP="00377F3A">
            <w:pPr>
              <w:pStyle w:val="TableText"/>
            </w:pPr>
            <w:r w:rsidRPr="00E673EB">
              <w:t>Max liver residues 770 µg/kg in dotterels (&gt;50% mortality) feeding on sandhoppers, 920 µg/kg in pied stilt following two aerial broadcasts at 8 + 7 bait/ha (20 mg a</w:t>
            </w:r>
            <w:r w:rsidR="00C874AD">
              <w:t>.</w:t>
            </w:r>
            <w:r w:rsidRPr="00E673EB">
              <w:t>c</w:t>
            </w:r>
            <w:r w:rsidR="00C874AD">
              <w:t>.</w:t>
            </w:r>
            <w:r w:rsidRPr="00E673EB">
              <w:t>/kg bait) in Tawharanui Regional Part, NZ</w:t>
            </w:r>
          </w:p>
        </w:tc>
        <w:tc>
          <w:tcPr>
            <w:tcW w:w="0" w:type="auto"/>
            <w:tcBorders>
              <w:top w:val="nil"/>
              <w:left w:val="nil"/>
              <w:bottom w:val="nil"/>
              <w:right w:val="nil"/>
            </w:tcBorders>
          </w:tcPr>
          <w:p w14:paraId="2E21388C" w14:textId="4FC366B8" w:rsidR="0071004A" w:rsidRPr="00E673EB" w:rsidRDefault="0071004A" w:rsidP="00377F3A">
            <w:pPr>
              <w:pStyle w:val="TableText"/>
            </w:pPr>
            <w:r w:rsidRPr="00E673EB">
              <w:t xml:space="preserve">Dowding </w:t>
            </w:r>
            <w:r w:rsidR="00B7183A" w:rsidRPr="00B7183A">
              <w:rPr>
                <w:i/>
                <w:iCs/>
              </w:rPr>
              <w:t>et al</w:t>
            </w:r>
            <w:r w:rsidRPr="00E673EB">
              <w:t>. 2006</w:t>
            </w:r>
          </w:p>
        </w:tc>
      </w:tr>
      <w:tr w:rsidR="0071004A" w:rsidRPr="003B5A86" w14:paraId="48D2F11A" w14:textId="77777777" w:rsidTr="002016BA">
        <w:trPr>
          <w:cantSplit/>
          <w:trHeight w:val="13"/>
        </w:trPr>
        <w:tc>
          <w:tcPr>
            <w:tcW w:w="0" w:type="auto"/>
            <w:tcBorders>
              <w:top w:val="nil"/>
              <w:left w:val="nil"/>
              <w:bottom w:val="nil"/>
              <w:right w:val="nil"/>
            </w:tcBorders>
          </w:tcPr>
          <w:p w14:paraId="7A04194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A49B3E0" w14:textId="77777777" w:rsidR="0071004A" w:rsidRPr="00E673EB" w:rsidRDefault="0071004A" w:rsidP="00377F3A">
            <w:pPr>
              <w:pStyle w:val="TableText"/>
            </w:pPr>
            <w:r w:rsidRPr="00E673EB">
              <w:t>Tawain</w:t>
            </w:r>
          </w:p>
        </w:tc>
        <w:tc>
          <w:tcPr>
            <w:tcW w:w="0" w:type="auto"/>
            <w:tcBorders>
              <w:top w:val="nil"/>
              <w:left w:val="nil"/>
              <w:bottom w:val="nil"/>
              <w:right w:val="nil"/>
            </w:tcBorders>
          </w:tcPr>
          <w:p w14:paraId="48864E8C" w14:textId="77777777" w:rsidR="0071004A" w:rsidRPr="00E673EB" w:rsidRDefault="0071004A" w:rsidP="00377F3A">
            <w:pPr>
              <w:pStyle w:val="TableText"/>
            </w:pPr>
            <w:r w:rsidRPr="00E673EB">
              <w:t>Geomean liver residues 73 µg/kg in 61/74 black-winged kite, 28 µg/kg in 18/46 crested goshawk, 34 µg/kg in 17/42 collared scops-owl, 18 µg/kg in 4/12 crested serpent-eagle, 43 µg/kg in 6/8 black kite, 10 µg/kg in 1/6 short-eared owl, 111 µg/kg in 2/3 eastern grass-owl, 483 µg/kg in 1/3 eurasian kestrel; not detected in 6 oriental honey-buzzard or 1 common buzzard or 11 other raptor species in Taiwan between 2010 and 2018</w:t>
            </w:r>
          </w:p>
        </w:tc>
        <w:tc>
          <w:tcPr>
            <w:tcW w:w="0" w:type="auto"/>
            <w:tcBorders>
              <w:top w:val="nil"/>
              <w:left w:val="nil"/>
              <w:bottom w:val="nil"/>
              <w:right w:val="nil"/>
            </w:tcBorders>
          </w:tcPr>
          <w:p w14:paraId="63803736" w14:textId="16487D02" w:rsidR="0071004A" w:rsidRPr="00E673EB" w:rsidRDefault="0071004A" w:rsidP="00377F3A">
            <w:pPr>
              <w:pStyle w:val="TableText"/>
            </w:pPr>
            <w:r w:rsidRPr="00E673EB">
              <w:t xml:space="preserve">Hong </w:t>
            </w:r>
            <w:r w:rsidR="00B7183A" w:rsidRPr="00B7183A">
              <w:rPr>
                <w:i/>
                <w:iCs/>
              </w:rPr>
              <w:t>et al</w:t>
            </w:r>
            <w:r w:rsidRPr="00E673EB">
              <w:t>. 2019</w:t>
            </w:r>
          </w:p>
        </w:tc>
      </w:tr>
      <w:tr w:rsidR="0071004A" w:rsidRPr="003B5A86" w14:paraId="0C5AB940" w14:textId="77777777" w:rsidTr="002016BA">
        <w:trPr>
          <w:cantSplit/>
          <w:trHeight w:val="13"/>
        </w:trPr>
        <w:tc>
          <w:tcPr>
            <w:tcW w:w="0" w:type="auto"/>
            <w:tcBorders>
              <w:top w:val="nil"/>
              <w:left w:val="nil"/>
              <w:bottom w:val="nil"/>
              <w:right w:val="nil"/>
            </w:tcBorders>
          </w:tcPr>
          <w:p w14:paraId="255B3AF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7F1AE75" w14:textId="77777777" w:rsidR="0071004A" w:rsidRDefault="0071004A" w:rsidP="00377F3A">
            <w:pPr>
              <w:pStyle w:val="TableText"/>
            </w:pPr>
          </w:p>
        </w:tc>
        <w:tc>
          <w:tcPr>
            <w:tcW w:w="0" w:type="auto"/>
            <w:tcBorders>
              <w:top w:val="nil"/>
              <w:left w:val="nil"/>
              <w:bottom w:val="nil"/>
              <w:right w:val="nil"/>
            </w:tcBorders>
          </w:tcPr>
          <w:p w14:paraId="4DBE9618" w14:textId="77777777" w:rsidR="0071004A" w:rsidRPr="00E673EB" w:rsidRDefault="0071004A" w:rsidP="00377F3A">
            <w:pPr>
              <w:pStyle w:val="TableText"/>
            </w:pPr>
            <w:r w:rsidRPr="00E673EB">
              <w:t>Max liver residues 590 µg/kg in 90/112 black-winged kites from Taiwan airports between 2013 and 2016</w:t>
            </w:r>
          </w:p>
        </w:tc>
        <w:tc>
          <w:tcPr>
            <w:tcW w:w="0" w:type="auto"/>
            <w:tcBorders>
              <w:top w:val="nil"/>
              <w:left w:val="nil"/>
              <w:bottom w:val="nil"/>
              <w:right w:val="nil"/>
            </w:tcBorders>
          </w:tcPr>
          <w:p w14:paraId="2390FD86" w14:textId="75F0793C" w:rsidR="0071004A" w:rsidRPr="00E673EB" w:rsidRDefault="0071004A" w:rsidP="00377F3A">
            <w:pPr>
              <w:pStyle w:val="TableText"/>
            </w:pPr>
            <w:r w:rsidRPr="00E673EB">
              <w:t xml:space="preserve">Lin </w:t>
            </w:r>
            <w:r w:rsidR="00B7183A" w:rsidRPr="00B7183A">
              <w:rPr>
                <w:i/>
                <w:iCs/>
              </w:rPr>
              <w:t>et al</w:t>
            </w:r>
            <w:r w:rsidRPr="00E673EB">
              <w:t>. 2022</w:t>
            </w:r>
          </w:p>
        </w:tc>
      </w:tr>
      <w:tr w:rsidR="0071004A" w:rsidRPr="003B5A86" w14:paraId="6727E5FB" w14:textId="77777777" w:rsidTr="002016BA">
        <w:trPr>
          <w:cantSplit/>
          <w:trHeight w:val="13"/>
        </w:trPr>
        <w:tc>
          <w:tcPr>
            <w:tcW w:w="0" w:type="auto"/>
            <w:tcBorders>
              <w:top w:val="nil"/>
              <w:left w:val="nil"/>
              <w:bottom w:val="nil"/>
              <w:right w:val="nil"/>
            </w:tcBorders>
          </w:tcPr>
          <w:p w14:paraId="7860D97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683C748" w14:textId="77777777" w:rsidR="0071004A" w:rsidRPr="00E673EB" w:rsidRDefault="0071004A" w:rsidP="00377F3A">
            <w:pPr>
              <w:pStyle w:val="TableText"/>
            </w:pPr>
            <w:r>
              <w:t>North America</w:t>
            </w:r>
          </w:p>
        </w:tc>
        <w:tc>
          <w:tcPr>
            <w:tcW w:w="0" w:type="auto"/>
            <w:tcBorders>
              <w:top w:val="nil"/>
              <w:left w:val="nil"/>
              <w:bottom w:val="nil"/>
              <w:right w:val="nil"/>
            </w:tcBorders>
          </w:tcPr>
          <w:p w14:paraId="7880E434" w14:textId="77777777" w:rsidR="0071004A" w:rsidRPr="00E673EB" w:rsidRDefault="0071004A" w:rsidP="00377F3A">
            <w:pPr>
              <w:pStyle w:val="TableText"/>
            </w:pPr>
            <w:r w:rsidRPr="00E673EB">
              <w:t>Liver residue 73 µg/kg in 1 sparrow; not detected in 7 starlings in bromadialone or brodifacoum baited farms or farms in area of intensive poultry farming; not detected in pellets of 9 rat-eating barn owls from agricultural barn sites in Canada</w:t>
            </w:r>
          </w:p>
        </w:tc>
        <w:tc>
          <w:tcPr>
            <w:tcW w:w="0" w:type="auto"/>
            <w:tcBorders>
              <w:top w:val="nil"/>
              <w:left w:val="nil"/>
              <w:bottom w:val="nil"/>
              <w:right w:val="nil"/>
            </w:tcBorders>
          </w:tcPr>
          <w:p w14:paraId="03BF90EF" w14:textId="2567E5E4"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76C1D097" w14:textId="77777777" w:rsidTr="002016BA">
        <w:trPr>
          <w:cantSplit/>
          <w:trHeight w:val="13"/>
        </w:trPr>
        <w:tc>
          <w:tcPr>
            <w:tcW w:w="0" w:type="auto"/>
            <w:tcBorders>
              <w:top w:val="nil"/>
              <w:left w:val="nil"/>
              <w:bottom w:val="nil"/>
              <w:right w:val="nil"/>
            </w:tcBorders>
          </w:tcPr>
          <w:p w14:paraId="4B33B48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9A178F6" w14:textId="77777777" w:rsidR="0071004A" w:rsidRPr="00E673EB" w:rsidRDefault="0071004A" w:rsidP="00377F3A">
            <w:pPr>
              <w:pStyle w:val="TableText"/>
            </w:pPr>
          </w:p>
        </w:tc>
        <w:tc>
          <w:tcPr>
            <w:tcW w:w="0" w:type="auto"/>
            <w:tcBorders>
              <w:top w:val="nil"/>
              <w:left w:val="nil"/>
              <w:bottom w:val="nil"/>
              <w:right w:val="nil"/>
            </w:tcBorders>
          </w:tcPr>
          <w:p w14:paraId="62AA331B" w14:textId="77777777" w:rsidR="0071004A" w:rsidRPr="00E673EB" w:rsidRDefault="0071004A" w:rsidP="00377F3A">
            <w:pPr>
              <w:pStyle w:val="TableText"/>
            </w:pPr>
            <w:r w:rsidRPr="00E673EB">
              <w:t>Mean liver residues before &amp; after implementation of risk mitigation measures in Canada (barred owl, barn owl, great-horned owl):</w:t>
            </w:r>
          </w:p>
          <w:p w14:paraId="3677866D" w14:textId="20983C01" w:rsidR="0071004A" w:rsidRPr="00E673EB" w:rsidRDefault="0071004A" w:rsidP="00377F3A">
            <w:pPr>
              <w:pStyle w:val="TableText"/>
            </w:pPr>
            <w:r w:rsidRPr="00E673EB">
              <w:t>1988-2013: 100, 30, 90 µg/kg</w:t>
            </w:r>
          </w:p>
          <w:p w14:paraId="226CC17E" w14:textId="77777777" w:rsidR="0071004A" w:rsidRPr="00E673EB" w:rsidRDefault="0071004A" w:rsidP="00377F3A">
            <w:pPr>
              <w:pStyle w:val="TableText"/>
            </w:pPr>
            <w:r w:rsidRPr="00E673EB">
              <w:t>2014-2018: 40, 50, 100 µg/kg</w:t>
            </w:r>
          </w:p>
        </w:tc>
        <w:tc>
          <w:tcPr>
            <w:tcW w:w="0" w:type="auto"/>
            <w:tcBorders>
              <w:top w:val="nil"/>
              <w:left w:val="nil"/>
              <w:bottom w:val="nil"/>
              <w:right w:val="nil"/>
            </w:tcBorders>
          </w:tcPr>
          <w:p w14:paraId="4147B399" w14:textId="1DEB0F4E" w:rsidR="0071004A" w:rsidRPr="00E673EB" w:rsidRDefault="0071004A" w:rsidP="00377F3A">
            <w:pPr>
              <w:pStyle w:val="TableText"/>
            </w:pPr>
            <w:r w:rsidRPr="00E673EB">
              <w:t xml:space="preserve">Elliott </w:t>
            </w:r>
            <w:r w:rsidR="00B7183A" w:rsidRPr="00B7183A">
              <w:rPr>
                <w:i/>
                <w:iCs/>
              </w:rPr>
              <w:t>et al</w:t>
            </w:r>
            <w:r w:rsidRPr="00E673EB">
              <w:t>. 2022</w:t>
            </w:r>
          </w:p>
        </w:tc>
      </w:tr>
      <w:tr w:rsidR="0071004A" w:rsidRPr="003B5A86" w14:paraId="028E8CA5" w14:textId="77777777" w:rsidTr="002016BA">
        <w:trPr>
          <w:cantSplit/>
          <w:trHeight w:val="13"/>
        </w:trPr>
        <w:tc>
          <w:tcPr>
            <w:tcW w:w="0" w:type="auto"/>
            <w:tcBorders>
              <w:top w:val="nil"/>
              <w:left w:val="nil"/>
              <w:bottom w:val="nil"/>
              <w:right w:val="nil"/>
            </w:tcBorders>
          </w:tcPr>
          <w:p w14:paraId="45F35A9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3E69976" w14:textId="77777777" w:rsidR="0071004A" w:rsidRDefault="0071004A" w:rsidP="00377F3A">
            <w:pPr>
              <w:pStyle w:val="TableText"/>
            </w:pPr>
          </w:p>
        </w:tc>
        <w:tc>
          <w:tcPr>
            <w:tcW w:w="0" w:type="auto"/>
            <w:tcBorders>
              <w:top w:val="nil"/>
              <w:left w:val="nil"/>
              <w:bottom w:val="nil"/>
              <w:right w:val="nil"/>
            </w:tcBorders>
          </w:tcPr>
          <w:p w14:paraId="609A1876" w14:textId="77777777" w:rsidR="0071004A" w:rsidRPr="00E673EB" w:rsidRDefault="0071004A" w:rsidP="00377F3A">
            <w:pPr>
              <w:pStyle w:val="TableText"/>
            </w:pPr>
            <w:r w:rsidRPr="00E673EB">
              <w:t>50 µg/kg residue in 1 barn owl, not detected in 33 barn owls in following 50 mg/kg bait (in &amp; around buildings) in NJ, USA farms and other areas</w:t>
            </w:r>
          </w:p>
        </w:tc>
        <w:tc>
          <w:tcPr>
            <w:tcW w:w="0" w:type="auto"/>
            <w:tcBorders>
              <w:top w:val="nil"/>
              <w:left w:val="nil"/>
              <w:bottom w:val="nil"/>
              <w:right w:val="nil"/>
            </w:tcBorders>
          </w:tcPr>
          <w:p w14:paraId="12A9437B" w14:textId="77777777" w:rsidR="0071004A" w:rsidRPr="00E673EB" w:rsidRDefault="0071004A" w:rsidP="00377F3A">
            <w:pPr>
              <w:pStyle w:val="TableText"/>
            </w:pPr>
            <w:r w:rsidRPr="00E673EB">
              <w:t>Hegdal &amp; Blaskiewski 1981, Morris &amp; Kakeinen 1980</w:t>
            </w:r>
          </w:p>
        </w:tc>
      </w:tr>
      <w:tr w:rsidR="0071004A" w:rsidRPr="003B5A86" w14:paraId="421283A8" w14:textId="77777777" w:rsidTr="002016BA">
        <w:trPr>
          <w:cantSplit/>
          <w:trHeight w:val="13"/>
        </w:trPr>
        <w:tc>
          <w:tcPr>
            <w:tcW w:w="0" w:type="auto"/>
            <w:tcBorders>
              <w:top w:val="nil"/>
              <w:left w:val="nil"/>
              <w:bottom w:val="nil"/>
              <w:right w:val="nil"/>
            </w:tcBorders>
          </w:tcPr>
          <w:p w14:paraId="393F7EA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3EA2D1F" w14:textId="77777777" w:rsidR="0071004A" w:rsidRDefault="0071004A" w:rsidP="00377F3A">
            <w:pPr>
              <w:pStyle w:val="TableText"/>
            </w:pPr>
          </w:p>
        </w:tc>
        <w:tc>
          <w:tcPr>
            <w:tcW w:w="0" w:type="auto"/>
            <w:tcBorders>
              <w:top w:val="nil"/>
              <w:left w:val="nil"/>
              <w:bottom w:val="nil"/>
              <w:right w:val="nil"/>
            </w:tcBorders>
          </w:tcPr>
          <w:p w14:paraId="59D1EC68" w14:textId="77777777" w:rsidR="0071004A" w:rsidRPr="00E673EB" w:rsidRDefault="0071004A" w:rsidP="00377F3A">
            <w:pPr>
              <w:pStyle w:val="TableText"/>
            </w:pPr>
            <w:r w:rsidRPr="00E673EB">
              <w:t xml:space="preserve">Detected in 0/20 in 2013 and 1/77 in 2015 red-tailed hawk blood samples from Marin Headland, California </w:t>
            </w:r>
          </w:p>
        </w:tc>
        <w:tc>
          <w:tcPr>
            <w:tcW w:w="0" w:type="auto"/>
            <w:tcBorders>
              <w:top w:val="nil"/>
              <w:left w:val="nil"/>
              <w:bottom w:val="nil"/>
              <w:right w:val="nil"/>
            </w:tcBorders>
          </w:tcPr>
          <w:p w14:paraId="65672C11" w14:textId="5DB6F502" w:rsidR="0071004A" w:rsidRPr="00E673EB" w:rsidRDefault="0071004A" w:rsidP="00377F3A">
            <w:pPr>
              <w:pStyle w:val="TableText"/>
            </w:pPr>
            <w:r w:rsidRPr="00E673EB">
              <w:t xml:space="preserve">Abernathy </w:t>
            </w:r>
            <w:r w:rsidR="00B7183A" w:rsidRPr="00B7183A">
              <w:rPr>
                <w:i/>
                <w:iCs/>
              </w:rPr>
              <w:t>et al</w:t>
            </w:r>
            <w:r w:rsidRPr="00E673EB">
              <w:t>. 2018</w:t>
            </w:r>
          </w:p>
        </w:tc>
      </w:tr>
      <w:tr w:rsidR="0071004A" w:rsidRPr="003B5A86" w14:paraId="0ABADFFE" w14:textId="77777777" w:rsidTr="002016BA">
        <w:trPr>
          <w:cantSplit/>
          <w:trHeight w:val="13"/>
        </w:trPr>
        <w:tc>
          <w:tcPr>
            <w:tcW w:w="0" w:type="auto"/>
            <w:tcBorders>
              <w:top w:val="nil"/>
              <w:left w:val="nil"/>
              <w:bottom w:val="nil"/>
              <w:right w:val="nil"/>
            </w:tcBorders>
          </w:tcPr>
          <w:p w14:paraId="671C2EE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F40F0B9" w14:textId="77777777" w:rsidR="0071004A" w:rsidRDefault="0071004A" w:rsidP="00377F3A">
            <w:pPr>
              <w:pStyle w:val="TableText"/>
            </w:pPr>
          </w:p>
        </w:tc>
        <w:tc>
          <w:tcPr>
            <w:tcW w:w="0" w:type="auto"/>
            <w:tcBorders>
              <w:top w:val="nil"/>
              <w:left w:val="nil"/>
              <w:bottom w:val="nil"/>
              <w:right w:val="nil"/>
            </w:tcBorders>
          </w:tcPr>
          <w:p w14:paraId="395FACA5" w14:textId="77777777" w:rsidR="0071004A" w:rsidRPr="00E673EB" w:rsidRDefault="0071004A" w:rsidP="00377F3A">
            <w:pPr>
              <w:pStyle w:val="TableText"/>
            </w:pPr>
            <w:r w:rsidRPr="00E673EB">
              <w:t>Max liver residues 220 µg/kg in 12/50 Cooper’s hawk, 1280 µg/kg in 42/78 red-tailed hawk, 470 µg/kg in 8/22 screech owls, 970 µg/kg in 42/53 great horned owl in New York between 1998 and 2001</w:t>
            </w:r>
          </w:p>
        </w:tc>
        <w:tc>
          <w:tcPr>
            <w:tcW w:w="0" w:type="auto"/>
            <w:tcBorders>
              <w:top w:val="nil"/>
              <w:left w:val="nil"/>
              <w:bottom w:val="nil"/>
              <w:right w:val="nil"/>
            </w:tcBorders>
          </w:tcPr>
          <w:p w14:paraId="266EFBB4" w14:textId="4EE2271E"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rsidRPr="003B5A86" w14:paraId="1E82296C" w14:textId="77777777" w:rsidTr="002016BA">
        <w:trPr>
          <w:cantSplit/>
          <w:trHeight w:val="13"/>
        </w:trPr>
        <w:tc>
          <w:tcPr>
            <w:tcW w:w="0" w:type="auto"/>
            <w:tcBorders>
              <w:top w:val="nil"/>
              <w:left w:val="nil"/>
              <w:bottom w:val="nil"/>
              <w:right w:val="nil"/>
            </w:tcBorders>
          </w:tcPr>
          <w:p w14:paraId="48A0D42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CF83216" w14:textId="77777777" w:rsidR="0071004A" w:rsidRDefault="0071004A" w:rsidP="00377F3A">
            <w:pPr>
              <w:pStyle w:val="TableText"/>
            </w:pPr>
          </w:p>
        </w:tc>
        <w:tc>
          <w:tcPr>
            <w:tcW w:w="0" w:type="auto"/>
            <w:tcBorders>
              <w:top w:val="nil"/>
              <w:left w:val="nil"/>
              <w:bottom w:val="nil"/>
              <w:right w:val="nil"/>
            </w:tcBorders>
          </w:tcPr>
          <w:p w14:paraId="38A6663C" w14:textId="77777777" w:rsidR="0071004A" w:rsidRPr="00E673EB" w:rsidRDefault="0071004A" w:rsidP="00377F3A">
            <w:pPr>
              <w:pStyle w:val="TableText"/>
            </w:pPr>
            <w:r w:rsidRPr="00E673EB">
              <w:t>Max liver residues 609 µg/kg in 28/61 great horned owls, 927 µg/kg in 17/25 barred owls, 470 µg/kg in 35/78 barn owls in BC &amp; Yukon Territory of Canada between 1988 and 2003</w:t>
            </w:r>
          </w:p>
        </w:tc>
        <w:tc>
          <w:tcPr>
            <w:tcW w:w="0" w:type="auto"/>
            <w:tcBorders>
              <w:top w:val="nil"/>
              <w:left w:val="nil"/>
              <w:bottom w:val="nil"/>
              <w:right w:val="nil"/>
            </w:tcBorders>
          </w:tcPr>
          <w:p w14:paraId="62ACE961" w14:textId="5503781F" w:rsidR="0071004A" w:rsidRPr="00E673EB" w:rsidRDefault="0071004A" w:rsidP="00377F3A">
            <w:pPr>
              <w:pStyle w:val="TableText"/>
            </w:pPr>
            <w:r w:rsidRPr="00E673EB">
              <w:t xml:space="preserve">Albert </w:t>
            </w:r>
            <w:r w:rsidR="00B7183A" w:rsidRPr="00B7183A">
              <w:rPr>
                <w:i/>
                <w:iCs/>
              </w:rPr>
              <w:t>et al</w:t>
            </w:r>
            <w:r w:rsidRPr="00E673EB">
              <w:t>. 2010</w:t>
            </w:r>
          </w:p>
        </w:tc>
      </w:tr>
      <w:tr w:rsidR="0071004A" w:rsidRPr="003B5A86" w14:paraId="20FD135E" w14:textId="77777777" w:rsidTr="002016BA">
        <w:trPr>
          <w:cantSplit/>
          <w:trHeight w:val="13"/>
        </w:trPr>
        <w:tc>
          <w:tcPr>
            <w:tcW w:w="0" w:type="auto"/>
            <w:tcBorders>
              <w:top w:val="nil"/>
              <w:left w:val="nil"/>
              <w:bottom w:val="nil"/>
              <w:right w:val="nil"/>
            </w:tcBorders>
          </w:tcPr>
          <w:p w14:paraId="6535B9E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92A6E39" w14:textId="77777777" w:rsidR="0071004A" w:rsidRDefault="0071004A" w:rsidP="00377F3A">
            <w:pPr>
              <w:pStyle w:val="TableText"/>
            </w:pPr>
          </w:p>
        </w:tc>
        <w:tc>
          <w:tcPr>
            <w:tcW w:w="0" w:type="auto"/>
            <w:tcBorders>
              <w:top w:val="nil"/>
              <w:left w:val="nil"/>
              <w:bottom w:val="nil"/>
              <w:right w:val="nil"/>
            </w:tcBorders>
          </w:tcPr>
          <w:p w14:paraId="4BD3693B" w14:textId="77777777" w:rsidR="0071004A" w:rsidRPr="00E673EB" w:rsidRDefault="0071004A" w:rsidP="00377F3A">
            <w:pPr>
              <w:pStyle w:val="TableText"/>
            </w:pPr>
            <w:r w:rsidRPr="00E673EB">
              <w:t>Detected in 36/37 red-tailed hawks, 21/24 barred owls, 16/17 great horned owls, 16/16 eastern screech-owls in Massachusetts between 2012 and 2016</w:t>
            </w:r>
          </w:p>
        </w:tc>
        <w:tc>
          <w:tcPr>
            <w:tcW w:w="0" w:type="auto"/>
            <w:tcBorders>
              <w:top w:val="nil"/>
              <w:left w:val="nil"/>
              <w:bottom w:val="nil"/>
              <w:right w:val="nil"/>
            </w:tcBorders>
          </w:tcPr>
          <w:p w14:paraId="0878E530" w14:textId="77777777" w:rsidR="0071004A" w:rsidRPr="00E673EB" w:rsidRDefault="0071004A" w:rsidP="00377F3A">
            <w:pPr>
              <w:pStyle w:val="TableText"/>
            </w:pPr>
            <w:r w:rsidRPr="00E673EB">
              <w:t>Murray 2017</w:t>
            </w:r>
          </w:p>
        </w:tc>
      </w:tr>
      <w:tr w:rsidR="0071004A" w:rsidRPr="003B5A86" w14:paraId="0828C6D9" w14:textId="77777777" w:rsidTr="002016BA">
        <w:trPr>
          <w:cantSplit/>
          <w:trHeight w:val="13"/>
        </w:trPr>
        <w:tc>
          <w:tcPr>
            <w:tcW w:w="0" w:type="auto"/>
            <w:tcBorders>
              <w:top w:val="nil"/>
              <w:left w:val="nil"/>
              <w:bottom w:val="nil"/>
              <w:right w:val="nil"/>
            </w:tcBorders>
          </w:tcPr>
          <w:p w14:paraId="5BF47351" w14:textId="6DD3E762" w:rsidR="0071004A" w:rsidRPr="00E673EB" w:rsidRDefault="0071004A" w:rsidP="00377F3A">
            <w:pPr>
              <w:pStyle w:val="TableText"/>
              <w:rPr>
                <w:lang w:eastAsia="en-AU"/>
              </w:rPr>
            </w:pPr>
          </w:p>
        </w:tc>
        <w:tc>
          <w:tcPr>
            <w:tcW w:w="0" w:type="auto"/>
            <w:tcBorders>
              <w:top w:val="nil"/>
              <w:left w:val="nil"/>
              <w:bottom w:val="nil"/>
              <w:right w:val="nil"/>
            </w:tcBorders>
          </w:tcPr>
          <w:p w14:paraId="4BF8D247" w14:textId="6F38B711" w:rsidR="0071004A" w:rsidRDefault="0071004A" w:rsidP="00377F3A">
            <w:pPr>
              <w:pStyle w:val="TableText"/>
            </w:pPr>
          </w:p>
        </w:tc>
        <w:tc>
          <w:tcPr>
            <w:tcW w:w="0" w:type="auto"/>
            <w:tcBorders>
              <w:top w:val="nil"/>
              <w:left w:val="nil"/>
              <w:bottom w:val="nil"/>
              <w:right w:val="nil"/>
            </w:tcBorders>
          </w:tcPr>
          <w:p w14:paraId="23A7BE31" w14:textId="77777777" w:rsidR="0071004A" w:rsidRPr="00E673EB" w:rsidRDefault="0071004A" w:rsidP="00377F3A">
            <w:pPr>
              <w:pStyle w:val="TableText"/>
            </w:pPr>
            <w:r w:rsidRPr="00E673EB">
              <w:t>Max liver residues 930 µg/kg in 43/43 red-tailed hawks in Massachusetts between 2017 and 2019</w:t>
            </w:r>
          </w:p>
        </w:tc>
        <w:tc>
          <w:tcPr>
            <w:tcW w:w="0" w:type="auto"/>
            <w:tcBorders>
              <w:top w:val="nil"/>
              <w:left w:val="nil"/>
              <w:bottom w:val="nil"/>
              <w:right w:val="nil"/>
            </w:tcBorders>
          </w:tcPr>
          <w:p w14:paraId="753833D1" w14:textId="77777777" w:rsidR="0071004A" w:rsidRPr="00E673EB" w:rsidRDefault="0071004A" w:rsidP="00377F3A">
            <w:pPr>
              <w:pStyle w:val="TableText"/>
            </w:pPr>
            <w:r w:rsidRPr="00E673EB">
              <w:t>Murray 2020</w:t>
            </w:r>
          </w:p>
        </w:tc>
      </w:tr>
      <w:tr w:rsidR="0071004A" w:rsidRPr="003B5A86" w14:paraId="29459394" w14:textId="77777777" w:rsidTr="002016BA">
        <w:trPr>
          <w:cantSplit/>
          <w:trHeight w:val="13"/>
        </w:trPr>
        <w:tc>
          <w:tcPr>
            <w:tcW w:w="0" w:type="auto"/>
            <w:tcBorders>
              <w:top w:val="nil"/>
              <w:left w:val="nil"/>
              <w:bottom w:val="nil"/>
              <w:right w:val="nil"/>
            </w:tcBorders>
          </w:tcPr>
          <w:p w14:paraId="6FB9575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45839A9" w14:textId="77777777" w:rsidR="0071004A" w:rsidRPr="00E673EB" w:rsidRDefault="0071004A" w:rsidP="00377F3A">
            <w:pPr>
              <w:pStyle w:val="TableText"/>
            </w:pPr>
            <w:r>
              <w:t>Europe</w:t>
            </w:r>
          </w:p>
        </w:tc>
        <w:tc>
          <w:tcPr>
            <w:tcW w:w="0" w:type="auto"/>
            <w:tcBorders>
              <w:top w:val="nil"/>
              <w:left w:val="nil"/>
              <w:bottom w:val="nil"/>
              <w:right w:val="nil"/>
            </w:tcBorders>
          </w:tcPr>
          <w:p w14:paraId="37A8E3E2" w14:textId="77777777" w:rsidR="0071004A" w:rsidRPr="00E673EB" w:rsidRDefault="0071004A" w:rsidP="00377F3A">
            <w:pPr>
              <w:pStyle w:val="TableText"/>
            </w:pPr>
            <w:r w:rsidRPr="00E673EB">
              <w:t>Max liver residues 107 µg/kg in 29/48 northern goshawk, 72 µg/kg in 19/41 red kite, 15 µg/kg in 11/60 white-tailed eagle; not detected in 23 Eurasian sparrowhawk or 13 osprey in Germany between 1996 and 2018</w:t>
            </w:r>
          </w:p>
        </w:tc>
        <w:tc>
          <w:tcPr>
            <w:tcW w:w="0" w:type="auto"/>
            <w:tcBorders>
              <w:top w:val="nil"/>
              <w:left w:val="nil"/>
              <w:bottom w:val="nil"/>
              <w:right w:val="nil"/>
            </w:tcBorders>
          </w:tcPr>
          <w:p w14:paraId="653B269F" w14:textId="01242F62" w:rsidR="0071004A" w:rsidRPr="00E673EB" w:rsidRDefault="0071004A" w:rsidP="00377F3A">
            <w:pPr>
              <w:pStyle w:val="TableText"/>
            </w:pPr>
            <w:r w:rsidRPr="00E673EB">
              <w:t xml:space="preserve">Badry </w:t>
            </w:r>
            <w:r w:rsidR="00B7183A" w:rsidRPr="00B7183A">
              <w:rPr>
                <w:i/>
                <w:iCs/>
              </w:rPr>
              <w:t>et al</w:t>
            </w:r>
            <w:r w:rsidRPr="00E673EB">
              <w:t>. 2021</w:t>
            </w:r>
          </w:p>
        </w:tc>
      </w:tr>
      <w:tr w:rsidR="0071004A" w14:paraId="7447BBE9" w14:textId="77777777" w:rsidTr="002016BA">
        <w:trPr>
          <w:cantSplit/>
          <w:trHeight w:val="13"/>
        </w:trPr>
        <w:tc>
          <w:tcPr>
            <w:tcW w:w="0" w:type="auto"/>
            <w:tcBorders>
              <w:top w:val="nil"/>
              <w:left w:val="nil"/>
              <w:bottom w:val="nil"/>
              <w:right w:val="nil"/>
            </w:tcBorders>
          </w:tcPr>
          <w:p w14:paraId="1B8DA7C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46B3692" w14:textId="77777777" w:rsidR="0071004A" w:rsidRPr="00E673EB" w:rsidRDefault="0071004A" w:rsidP="00377F3A">
            <w:pPr>
              <w:pStyle w:val="TableText"/>
            </w:pPr>
          </w:p>
        </w:tc>
        <w:tc>
          <w:tcPr>
            <w:tcW w:w="0" w:type="auto"/>
            <w:tcBorders>
              <w:top w:val="nil"/>
              <w:left w:val="nil"/>
              <w:bottom w:val="nil"/>
              <w:right w:val="nil"/>
            </w:tcBorders>
          </w:tcPr>
          <w:p w14:paraId="40194360" w14:textId="77777777" w:rsidR="0071004A" w:rsidRPr="00E673EB" w:rsidRDefault="0071004A" w:rsidP="00377F3A">
            <w:pPr>
              <w:pStyle w:val="TableText"/>
            </w:pPr>
            <w:r w:rsidRPr="00E673EB">
              <w:t>Max liver residues 957 µg/kg in 50/80 barn owls, 613 µg/kg in 78/141 buzzards, 298 µg/kg in 32/66 kestrels, 40 µg/kg in 20/38 long-eared owls, 34 µg/kg in 19/31 rough-legged buzzards, 220 µg/kg in 24/44 tawny owls from intensively managed landscapes in Denmark</w:t>
            </w:r>
          </w:p>
        </w:tc>
        <w:tc>
          <w:tcPr>
            <w:tcW w:w="0" w:type="auto"/>
            <w:tcBorders>
              <w:top w:val="nil"/>
              <w:left w:val="nil"/>
              <w:bottom w:val="nil"/>
              <w:right w:val="nil"/>
            </w:tcBorders>
          </w:tcPr>
          <w:p w14:paraId="243A8687" w14:textId="643A6837" w:rsidR="0071004A" w:rsidRPr="00E673EB" w:rsidRDefault="0071004A" w:rsidP="00377F3A">
            <w:pPr>
              <w:pStyle w:val="TableText"/>
            </w:pPr>
            <w:r w:rsidRPr="00E673EB">
              <w:t xml:space="preserve">Christensen </w:t>
            </w:r>
            <w:r w:rsidR="00B7183A" w:rsidRPr="00B7183A">
              <w:rPr>
                <w:i/>
                <w:iCs/>
              </w:rPr>
              <w:t>et al</w:t>
            </w:r>
            <w:r w:rsidRPr="00E673EB">
              <w:t>. 2012</w:t>
            </w:r>
          </w:p>
        </w:tc>
      </w:tr>
      <w:tr w:rsidR="0071004A" w:rsidRPr="003B5A86" w14:paraId="7FFA0998" w14:textId="77777777" w:rsidTr="002016BA">
        <w:trPr>
          <w:cantSplit/>
          <w:trHeight w:val="13"/>
        </w:trPr>
        <w:tc>
          <w:tcPr>
            <w:tcW w:w="0" w:type="auto"/>
            <w:tcBorders>
              <w:top w:val="nil"/>
              <w:left w:val="nil"/>
              <w:bottom w:val="nil"/>
              <w:right w:val="nil"/>
            </w:tcBorders>
          </w:tcPr>
          <w:p w14:paraId="5E16F29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164571B" w14:textId="77777777" w:rsidR="0071004A" w:rsidRPr="00E673EB" w:rsidRDefault="0071004A" w:rsidP="00377F3A">
            <w:pPr>
              <w:pStyle w:val="TableText"/>
            </w:pPr>
          </w:p>
        </w:tc>
        <w:tc>
          <w:tcPr>
            <w:tcW w:w="0" w:type="auto"/>
            <w:tcBorders>
              <w:top w:val="nil"/>
              <w:left w:val="nil"/>
              <w:bottom w:val="nil"/>
              <w:right w:val="nil"/>
            </w:tcBorders>
          </w:tcPr>
          <w:p w14:paraId="716E63A6" w14:textId="77777777" w:rsidR="0071004A" w:rsidRPr="00E673EB" w:rsidRDefault="0071004A" w:rsidP="00377F3A">
            <w:pPr>
              <w:pStyle w:val="TableText"/>
            </w:pPr>
            <w:r w:rsidRPr="00E673EB">
              <w:t>Max liver residues 110 µg/kg in 7/16 golden eagles, 158 µg/kg in 4/8 eagle owls; not detected in 3 osprey, 2 peregrine falcon, 1 gryfalcon across Norway between 2009 and 2011</w:t>
            </w:r>
          </w:p>
        </w:tc>
        <w:tc>
          <w:tcPr>
            <w:tcW w:w="0" w:type="auto"/>
            <w:tcBorders>
              <w:top w:val="nil"/>
              <w:left w:val="nil"/>
              <w:bottom w:val="nil"/>
              <w:right w:val="nil"/>
            </w:tcBorders>
          </w:tcPr>
          <w:p w14:paraId="32F1C407" w14:textId="2FBCE6DE" w:rsidR="0071004A" w:rsidRPr="00E673EB" w:rsidRDefault="0071004A" w:rsidP="00377F3A">
            <w:pPr>
              <w:pStyle w:val="TableText"/>
            </w:pPr>
            <w:r w:rsidRPr="00E673EB">
              <w:t xml:space="preserve">Langford </w:t>
            </w:r>
            <w:r w:rsidR="00B7183A" w:rsidRPr="00B7183A">
              <w:rPr>
                <w:i/>
                <w:iCs/>
              </w:rPr>
              <w:t>et al</w:t>
            </w:r>
            <w:r w:rsidRPr="00E673EB">
              <w:t>. 2013</w:t>
            </w:r>
          </w:p>
        </w:tc>
      </w:tr>
      <w:tr w:rsidR="0071004A" w:rsidRPr="003B5A86" w14:paraId="08B2C7F6" w14:textId="77777777" w:rsidTr="002016BA">
        <w:trPr>
          <w:cantSplit/>
          <w:trHeight w:val="13"/>
        </w:trPr>
        <w:tc>
          <w:tcPr>
            <w:tcW w:w="0" w:type="auto"/>
            <w:tcBorders>
              <w:top w:val="nil"/>
              <w:left w:val="nil"/>
              <w:bottom w:val="nil"/>
              <w:right w:val="nil"/>
            </w:tcBorders>
          </w:tcPr>
          <w:p w14:paraId="122EF67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EB1E1D6" w14:textId="77777777" w:rsidR="0071004A" w:rsidRPr="00E673EB" w:rsidRDefault="0071004A" w:rsidP="00377F3A">
            <w:pPr>
              <w:pStyle w:val="TableText"/>
            </w:pPr>
          </w:p>
        </w:tc>
        <w:tc>
          <w:tcPr>
            <w:tcW w:w="0" w:type="auto"/>
            <w:tcBorders>
              <w:top w:val="nil"/>
              <w:left w:val="nil"/>
              <w:bottom w:val="nil"/>
              <w:right w:val="nil"/>
            </w:tcBorders>
          </w:tcPr>
          <w:p w14:paraId="7931A7D4" w14:textId="77777777" w:rsidR="0071004A" w:rsidRPr="00E673EB" w:rsidRDefault="0071004A" w:rsidP="00377F3A">
            <w:pPr>
              <w:pStyle w:val="TableText"/>
            </w:pPr>
            <w:r w:rsidRPr="00E673EB">
              <w:t>Max liver residues 158 µg/kg in 9/33 scops owls, 839 µg/kg in 22/41 barn owls, 1582 µg/kg in 17/27 tawny owls, 2008 µg/kg in 13/14 eagle owls, 42 µg/kg in 4/12 long-eared owls, 574 µg/kg in 5/7 little owls, 1356 µg/kg in 26/56 common buzzards in Mediterranean region of Spain between 2011 and 2013</w:t>
            </w:r>
          </w:p>
        </w:tc>
        <w:tc>
          <w:tcPr>
            <w:tcW w:w="0" w:type="auto"/>
            <w:tcBorders>
              <w:top w:val="nil"/>
              <w:left w:val="nil"/>
              <w:bottom w:val="nil"/>
              <w:right w:val="nil"/>
            </w:tcBorders>
          </w:tcPr>
          <w:p w14:paraId="01006F19" w14:textId="7CF18C44"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rsidRPr="003B5A86" w14:paraId="7AC6D38B" w14:textId="77777777" w:rsidTr="002016BA">
        <w:trPr>
          <w:cantSplit/>
          <w:trHeight w:val="13"/>
        </w:trPr>
        <w:tc>
          <w:tcPr>
            <w:tcW w:w="0" w:type="auto"/>
            <w:tcBorders>
              <w:top w:val="nil"/>
              <w:left w:val="nil"/>
              <w:bottom w:val="nil"/>
              <w:right w:val="nil"/>
            </w:tcBorders>
          </w:tcPr>
          <w:p w14:paraId="1F8A852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0231212" w14:textId="77777777" w:rsidR="0071004A" w:rsidRPr="00E673EB" w:rsidRDefault="0071004A" w:rsidP="00377F3A">
            <w:pPr>
              <w:pStyle w:val="TableText"/>
            </w:pPr>
          </w:p>
        </w:tc>
        <w:tc>
          <w:tcPr>
            <w:tcW w:w="0" w:type="auto"/>
            <w:tcBorders>
              <w:top w:val="nil"/>
              <w:left w:val="nil"/>
              <w:bottom w:val="nil"/>
              <w:right w:val="nil"/>
            </w:tcBorders>
          </w:tcPr>
          <w:p w14:paraId="7C78FB67" w14:textId="77777777" w:rsidR="0071004A" w:rsidRPr="00E673EB" w:rsidRDefault="0071004A" w:rsidP="00377F3A">
            <w:pPr>
              <w:pStyle w:val="TableText"/>
            </w:pPr>
            <w:r w:rsidRPr="00E673EB">
              <w:t>Max liver residues 830 µg/kg in 9/129 predatory birds; not detected in 142 granivorous birds in Spain between 2005 and 2010</w:t>
            </w:r>
          </w:p>
        </w:tc>
        <w:tc>
          <w:tcPr>
            <w:tcW w:w="0" w:type="auto"/>
            <w:tcBorders>
              <w:top w:val="nil"/>
              <w:left w:val="nil"/>
              <w:bottom w:val="nil"/>
              <w:right w:val="nil"/>
            </w:tcBorders>
          </w:tcPr>
          <w:p w14:paraId="48518778" w14:textId="599F00B1"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2894B742" w14:textId="77777777" w:rsidTr="002016BA">
        <w:trPr>
          <w:cantSplit/>
          <w:trHeight w:val="13"/>
        </w:trPr>
        <w:tc>
          <w:tcPr>
            <w:tcW w:w="0" w:type="auto"/>
            <w:tcBorders>
              <w:top w:val="nil"/>
              <w:left w:val="nil"/>
              <w:bottom w:val="nil"/>
              <w:right w:val="nil"/>
            </w:tcBorders>
          </w:tcPr>
          <w:p w14:paraId="162E91F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3A332A3" w14:textId="77777777" w:rsidR="0071004A" w:rsidRPr="00E673EB" w:rsidRDefault="0071004A" w:rsidP="00377F3A">
            <w:pPr>
              <w:pStyle w:val="TableText"/>
            </w:pPr>
          </w:p>
        </w:tc>
        <w:tc>
          <w:tcPr>
            <w:tcW w:w="0" w:type="auto"/>
            <w:tcBorders>
              <w:top w:val="nil"/>
              <w:left w:val="nil"/>
              <w:bottom w:val="nil"/>
              <w:right w:val="nil"/>
            </w:tcBorders>
          </w:tcPr>
          <w:p w14:paraId="76DA52A1" w14:textId="77777777" w:rsidR="0071004A" w:rsidRPr="00E673EB" w:rsidRDefault="0071004A" w:rsidP="00377F3A">
            <w:pPr>
              <w:pStyle w:val="TableText"/>
            </w:pPr>
            <w:r w:rsidRPr="00E673EB">
              <w:t xml:space="preserve">Detectable residues in 8/172 tawny owls, 9/431 barn owls, 8/73 kestrels across Britain between 1990-93 or 2003-05 </w:t>
            </w:r>
          </w:p>
        </w:tc>
        <w:tc>
          <w:tcPr>
            <w:tcW w:w="0" w:type="auto"/>
            <w:tcBorders>
              <w:top w:val="nil"/>
              <w:left w:val="nil"/>
              <w:bottom w:val="nil"/>
              <w:right w:val="nil"/>
            </w:tcBorders>
          </w:tcPr>
          <w:p w14:paraId="30A0EC44" w14:textId="43EA6709" w:rsidR="0071004A" w:rsidRPr="00E673EB" w:rsidRDefault="0071004A" w:rsidP="00377F3A">
            <w:pPr>
              <w:pStyle w:val="TableText"/>
            </w:pPr>
            <w:r w:rsidRPr="00E673EB">
              <w:t xml:space="preserve">Walker </w:t>
            </w:r>
            <w:r w:rsidR="00B7183A" w:rsidRPr="00B7183A">
              <w:rPr>
                <w:i/>
                <w:iCs/>
              </w:rPr>
              <w:t>et al</w:t>
            </w:r>
            <w:r w:rsidRPr="00E673EB">
              <w:t>. 2008</w:t>
            </w:r>
          </w:p>
        </w:tc>
      </w:tr>
      <w:tr w:rsidR="0071004A" w:rsidRPr="003B5A86" w14:paraId="601804F5" w14:textId="77777777" w:rsidTr="002016BA">
        <w:trPr>
          <w:cantSplit/>
          <w:trHeight w:val="13"/>
        </w:trPr>
        <w:tc>
          <w:tcPr>
            <w:tcW w:w="0" w:type="auto"/>
            <w:tcBorders>
              <w:top w:val="nil"/>
              <w:left w:val="nil"/>
              <w:bottom w:val="nil"/>
              <w:right w:val="nil"/>
            </w:tcBorders>
          </w:tcPr>
          <w:p w14:paraId="01D1AD5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3F2CB06" w14:textId="77777777" w:rsidR="0071004A" w:rsidRPr="00E673EB" w:rsidRDefault="0071004A" w:rsidP="00377F3A">
            <w:pPr>
              <w:pStyle w:val="TableText"/>
            </w:pPr>
          </w:p>
        </w:tc>
        <w:tc>
          <w:tcPr>
            <w:tcW w:w="0" w:type="auto"/>
            <w:tcBorders>
              <w:top w:val="nil"/>
              <w:left w:val="nil"/>
              <w:bottom w:val="nil"/>
              <w:right w:val="nil"/>
            </w:tcBorders>
          </w:tcPr>
          <w:p w14:paraId="746393C6" w14:textId="77777777" w:rsidR="0071004A" w:rsidRPr="00E673EB" w:rsidRDefault="0071004A" w:rsidP="00377F3A">
            <w:pPr>
              <w:pStyle w:val="TableText"/>
            </w:pPr>
            <w:r w:rsidRPr="00E673EB">
              <w:t>Not detected in &gt;97% of 89 barn owl pellets collected winter of 1988-1989 over five counties in southern Eire, UK</w:t>
            </w:r>
          </w:p>
        </w:tc>
        <w:tc>
          <w:tcPr>
            <w:tcW w:w="0" w:type="auto"/>
            <w:tcBorders>
              <w:top w:val="nil"/>
              <w:left w:val="nil"/>
              <w:bottom w:val="nil"/>
              <w:right w:val="nil"/>
            </w:tcBorders>
          </w:tcPr>
          <w:p w14:paraId="2B2907AB" w14:textId="127F8ADB" w:rsidR="0071004A" w:rsidRPr="00E673EB" w:rsidRDefault="0071004A" w:rsidP="00377F3A">
            <w:pPr>
              <w:pStyle w:val="TableText"/>
            </w:pPr>
            <w:r w:rsidRPr="00E673EB">
              <w:t xml:space="preserve">Eadsforth </w:t>
            </w:r>
            <w:r w:rsidR="00B7183A" w:rsidRPr="00B7183A">
              <w:rPr>
                <w:i/>
                <w:iCs/>
              </w:rPr>
              <w:t>et al</w:t>
            </w:r>
            <w:r w:rsidRPr="00E673EB">
              <w:t>. 1996</w:t>
            </w:r>
          </w:p>
        </w:tc>
      </w:tr>
      <w:tr w:rsidR="0071004A" w14:paraId="2E016445" w14:textId="77777777" w:rsidTr="002016BA">
        <w:trPr>
          <w:cantSplit/>
          <w:trHeight w:val="13"/>
        </w:trPr>
        <w:tc>
          <w:tcPr>
            <w:tcW w:w="0" w:type="auto"/>
            <w:tcBorders>
              <w:top w:val="nil"/>
              <w:left w:val="nil"/>
              <w:bottom w:val="nil"/>
              <w:right w:val="nil"/>
            </w:tcBorders>
          </w:tcPr>
          <w:p w14:paraId="05E4100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9478468" w14:textId="77777777" w:rsidR="0071004A" w:rsidRPr="00E673EB" w:rsidRDefault="0071004A" w:rsidP="00377F3A">
            <w:pPr>
              <w:pStyle w:val="TableText"/>
            </w:pPr>
          </w:p>
        </w:tc>
        <w:tc>
          <w:tcPr>
            <w:tcW w:w="0" w:type="auto"/>
            <w:tcBorders>
              <w:top w:val="nil"/>
              <w:left w:val="nil"/>
              <w:bottom w:val="nil"/>
              <w:right w:val="nil"/>
            </w:tcBorders>
          </w:tcPr>
          <w:p w14:paraId="67AF5588" w14:textId="77777777" w:rsidR="0071004A" w:rsidRPr="00E673EB" w:rsidRDefault="0071004A" w:rsidP="00377F3A">
            <w:pPr>
              <w:pStyle w:val="TableText"/>
            </w:pPr>
            <w:r w:rsidRPr="00E673EB">
              <w:t>Detected in 17/449 barn owls in Britain between 1988 and 1994</w:t>
            </w:r>
          </w:p>
        </w:tc>
        <w:tc>
          <w:tcPr>
            <w:tcW w:w="0" w:type="auto"/>
            <w:tcBorders>
              <w:top w:val="nil"/>
              <w:left w:val="nil"/>
              <w:bottom w:val="nil"/>
              <w:right w:val="nil"/>
            </w:tcBorders>
          </w:tcPr>
          <w:p w14:paraId="4C7134BF" w14:textId="41FEAB15" w:rsidR="0071004A" w:rsidRPr="00E673EB" w:rsidRDefault="0071004A" w:rsidP="00377F3A">
            <w:pPr>
              <w:pStyle w:val="TableText"/>
            </w:pPr>
            <w:r w:rsidRPr="00E673EB">
              <w:t xml:space="preserve">Newton </w:t>
            </w:r>
            <w:r w:rsidR="00B7183A" w:rsidRPr="00B7183A">
              <w:rPr>
                <w:i/>
                <w:iCs/>
              </w:rPr>
              <w:t>et al</w:t>
            </w:r>
            <w:r w:rsidRPr="00E673EB">
              <w:t>. 1997</w:t>
            </w:r>
          </w:p>
        </w:tc>
      </w:tr>
      <w:tr w:rsidR="0071004A" w:rsidRPr="003B5A86" w14:paraId="1E74D16E" w14:textId="77777777" w:rsidTr="002016BA">
        <w:trPr>
          <w:cantSplit/>
          <w:trHeight w:val="13"/>
        </w:trPr>
        <w:tc>
          <w:tcPr>
            <w:tcW w:w="0" w:type="auto"/>
            <w:tcBorders>
              <w:top w:val="nil"/>
              <w:left w:val="nil"/>
              <w:bottom w:val="single" w:sz="4" w:space="0" w:color="auto"/>
              <w:right w:val="nil"/>
            </w:tcBorders>
          </w:tcPr>
          <w:p w14:paraId="24DB7323"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11DCD0CC"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5F42D5BC" w14:textId="77777777" w:rsidR="0071004A" w:rsidRPr="00E673EB" w:rsidRDefault="0071004A" w:rsidP="00377F3A">
            <w:pPr>
              <w:pStyle w:val="TableText"/>
            </w:pPr>
            <w:r w:rsidRPr="00E673EB">
              <w:t>Mean liver residues 116-155 µg/kg in 41/241 common kestrels in UK between 1997 and 2011</w:t>
            </w:r>
          </w:p>
        </w:tc>
        <w:tc>
          <w:tcPr>
            <w:tcW w:w="0" w:type="auto"/>
            <w:tcBorders>
              <w:top w:val="nil"/>
              <w:left w:val="nil"/>
              <w:bottom w:val="single" w:sz="4" w:space="0" w:color="auto"/>
              <w:right w:val="nil"/>
            </w:tcBorders>
          </w:tcPr>
          <w:p w14:paraId="220E6CE8" w14:textId="61F60EF5" w:rsidR="0071004A" w:rsidRPr="00E673EB" w:rsidRDefault="0071004A" w:rsidP="00377F3A">
            <w:pPr>
              <w:pStyle w:val="TableText"/>
            </w:pPr>
            <w:r w:rsidRPr="00E673EB">
              <w:t xml:space="preserve">Roos </w:t>
            </w:r>
            <w:r w:rsidR="00B7183A" w:rsidRPr="00B7183A">
              <w:rPr>
                <w:i/>
                <w:iCs/>
              </w:rPr>
              <w:t>et al</w:t>
            </w:r>
            <w:r w:rsidRPr="00E673EB">
              <w:t>. 2021</w:t>
            </w:r>
          </w:p>
        </w:tc>
      </w:tr>
      <w:tr w:rsidR="0071004A" w:rsidRPr="003B5A86" w14:paraId="15A02F89" w14:textId="77777777" w:rsidTr="002016BA">
        <w:trPr>
          <w:cantSplit/>
          <w:trHeight w:val="13"/>
        </w:trPr>
        <w:tc>
          <w:tcPr>
            <w:tcW w:w="0" w:type="auto"/>
            <w:tcBorders>
              <w:top w:val="single" w:sz="4" w:space="0" w:color="auto"/>
              <w:left w:val="nil"/>
              <w:bottom w:val="nil"/>
              <w:right w:val="nil"/>
            </w:tcBorders>
          </w:tcPr>
          <w:p w14:paraId="64D5B6E5" w14:textId="77777777" w:rsidR="0071004A" w:rsidRPr="00E673EB" w:rsidRDefault="0071004A" w:rsidP="00377F3A">
            <w:pPr>
              <w:pStyle w:val="TableText"/>
              <w:rPr>
                <w:lang w:eastAsia="en-AU"/>
              </w:rPr>
            </w:pPr>
            <w:r w:rsidRPr="00E673EB">
              <w:rPr>
                <w:lang w:eastAsia="en-AU"/>
              </w:rPr>
              <w:t>Reptiles</w:t>
            </w:r>
          </w:p>
        </w:tc>
        <w:tc>
          <w:tcPr>
            <w:tcW w:w="0" w:type="auto"/>
            <w:tcBorders>
              <w:top w:val="single" w:sz="4" w:space="0" w:color="auto"/>
              <w:left w:val="nil"/>
              <w:bottom w:val="nil"/>
              <w:right w:val="nil"/>
            </w:tcBorders>
          </w:tcPr>
          <w:p w14:paraId="75D65EAF"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3BFB5B35" w14:textId="77777777" w:rsidR="0071004A" w:rsidRPr="00E673EB" w:rsidRDefault="0071004A" w:rsidP="00377F3A">
            <w:pPr>
              <w:pStyle w:val="TableText"/>
            </w:pPr>
            <w:r w:rsidRPr="00E673EB">
              <w:t>Max liver residues 330 µg/kg in 7/11 dugites, 109 µg/kg in 6/10 bobtails from 2014-18, and 14 µg/kg in 5/11 tiger snakes from 2018-19 in Greater Perth, WA</w:t>
            </w:r>
          </w:p>
        </w:tc>
        <w:tc>
          <w:tcPr>
            <w:tcW w:w="0" w:type="auto"/>
            <w:tcBorders>
              <w:top w:val="single" w:sz="4" w:space="0" w:color="auto"/>
              <w:left w:val="nil"/>
              <w:bottom w:val="nil"/>
              <w:right w:val="nil"/>
            </w:tcBorders>
          </w:tcPr>
          <w:p w14:paraId="34E6CF01" w14:textId="37A8AE09" w:rsidR="0071004A" w:rsidRPr="00E673EB" w:rsidRDefault="0071004A" w:rsidP="00377F3A">
            <w:pPr>
              <w:pStyle w:val="TableText"/>
            </w:pPr>
            <w:r w:rsidRPr="00E673EB">
              <w:t xml:space="preserve">Lettoof </w:t>
            </w:r>
            <w:r w:rsidR="00B7183A" w:rsidRPr="00B7183A">
              <w:rPr>
                <w:i/>
                <w:iCs/>
              </w:rPr>
              <w:t>et al</w:t>
            </w:r>
            <w:r w:rsidRPr="00E673EB">
              <w:t>. 2020</w:t>
            </w:r>
          </w:p>
        </w:tc>
      </w:tr>
      <w:tr w:rsidR="0071004A" w:rsidRPr="003B5A86" w14:paraId="6D23407F" w14:textId="77777777" w:rsidTr="002016BA">
        <w:trPr>
          <w:cantSplit/>
          <w:trHeight w:val="13"/>
        </w:trPr>
        <w:tc>
          <w:tcPr>
            <w:tcW w:w="0" w:type="auto"/>
            <w:tcBorders>
              <w:top w:val="nil"/>
              <w:left w:val="nil"/>
              <w:bottom w:val="single" w:sz="4" w:space="0" w:color="auto"/>
              <w:right w:val="nil"/>
            </w:tcBorders>
          </w:tcPr>
          <w:p w14:paraId="32BBE010"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C8F81AE" w14:textId="77777777" w:rsidR="0071004A" w:rsidRPr="00E673EB" w:rsidRDefault="0071004A" w:rsidP="00377F3A">
            <w:pPr>
              <w:pStyle w:val="TableText"/>
            </w:pPr>
            <w:r>
              <w:t>Europe</w:t>
            </w:r>
          </w:p>
        </w:tc>
        <w:tc>
          <w:tcPr>
            <w:tcW w:w="0" w:type="auto"/>
            <w:tcBorders>
              <w:top w:val="nil"/>
              <w:left w:val="nil"/>
              <w:bottom w:val="single" w:sz="4" w:space="0" w:color="auto"/>
              <w:right w:val="nil"/>
            </w:tcBorders>
          </w:tcPr>
          <w:p w14:paraId="586ECF12"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nil"/>
              <w:left w:val="nil"/>
              <w:bottom w:val="single" w:sz="4" w:space="0" w:color="auto"/>
              <w:right w:val="nil"/>
            </w:tcBorders>
          </w:tcPr>
          <w:p w14:paraId="2E0ABDE2" w14:textId="5D2971B9"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58147479" w14:textId="77777777" w:rsidTr="002016BA">
        <w:trPr>
          <w:cantSplit/>
          <w:trHeight w:val="13"/>
        </w:trPr>
        <w:tc>
          <w:tcPr>
            <w:tcW w:w="0" w:type="auto"/>
            <w:tcBorders>
              <w:top w:val="single" w:sz="4" w:space="0" w:color="auto"/>
              <w:left w:val="nil"/>
              <w:bottom w:val="single" w:sz="4" w:space="0" w:color="auto"/>
              <w:right w:val="nil"/>
            </w:tcBorders>
          </w:tcPr>
          <w:p w14:paraId="28E37C84" w14:textId="77777777" w:rsidR="0071004A" w:rsidRPr="00E673EB" w:rsidRDefault="0071004A" w:rsidP="00377F3A">
            <w:pPr>
              <w:pStyle w:val="TableText"/>
              <w:rPr>
                <w:lang w:eastAsia="en-AU"/>
              </w:rPr>
            </w:pPr>
            <w:r w:rsidRPr="00E673EB">
              <w:rPr>
                <w:lang w:eastAsia="en-AU"/>
              </w:rPr>
              <w:t>Amphibians</w:t>
            </w:r>
          </w:p>
        </w:tc>
        <w:tc>
          <w:tcPr>
            <w:tcW w:w="0" w:type="auto"/>
            <w:tcBorders>
              <w:top w:val="single" w:sz="4" w:space="0" w:color="auto"/>
              <w:left w:val="nil"/>
              <w:bottom w:val="single" w:sz="4" w:space="0" w:color="auto"/>
              <w:right w:val="nil"/>
            </w:tcBorders>
          </w:tcPr>
          <w:p w14:paraId="3A2CA075" w14:textId="77777777" w:rsidR="0071004A" w:rsidRPr="00E673EB" w:rsidRDefault="0071004A" w:rsidP="00377F3A">
            <w:pPr>
              <w:pStyle w:val="TableText"/>
            </w:pPr>
            <w:r w:rsidRPr="00E673EB">
              <w:t>Australia</w:t>
            </w:r>
          </w:p>
        </w:tc>
        <w:tc>
          <w:tcPr>
            <w:tcW w:w="0" w:type="auto"/>
            <w:tcBorders>
              <w:top w:val="single" w:sz="4" w:space="0" w:color="auto"/>
              <w:left w:val="nil"/>
              <w:bottom w:val="single" w:sz="4" w:space="0" w:color="auto"/>
              <w:right w:val="nil"/>
            </w:tcBorders>
          </w:tcPr>
          <w:p w14:paraId="5D146D70" w14:textId="77777777" w:rsidR="0071004A" w:rsidRPr="00E673EB" w:rsidRDefault="0071004A" w:rsidP="00377F3A">
            <w:pPr>
              <w:pStyle w:val="TableText"/>
            </w:pPr>
            <w:r w:rsidRPr="00E673EB">
              <w:t>Max 1000 µg/kg in 13/77 frogs (1/3 eastern banjo frog, striped marsh frog, 10/55 green tree frog, 1/9 Person’s tree frog, 1/4 cane toad) across eastern NSW between 2021 and 2022</w:t>
            </w:r>
          </w:p>
        </w:tc>
        <w:tc>
          <w:tcPr>
            <w:tcW w:w="0" w:type="auto"/>
            <w:tcBorders>
              <w:top w:val="single" w:sz="4" w:space="0" w:color="auto"/>
              <w:left w:val="nil"/>
              <w:bottom w:val="single" w:sz="4" w:space="0" w:color="auto"/>
              <w:right w:val="nil"/>
            </w:tcBorders>
          </w:tcPr>
          <w:p w14:paraId="73B73FB8" w14:textId="19FCB9F9" w:rsidR="0071004A" w:rsidRPr="00E673EB" w:rsidRDefault="0071004A" w:rsidP="00377F3A">
            <w:pPr>
              <w:pStyle w:val="TableText"/>
            </w:pPr>
            <w:r w:rsidRPr="00E673EB">
              <w:t xml:space="preserve">Rowley </w:t>
            </w:r>
            <w:r w:rsidR="00B7183A" w:rsidRPr="00B7183A">
              <w:rPr>
                <w:i/>
                <w:iCs/>
              </w:rPr>
              <w:t>et al</w:t>
            </w:r>
            <w:r w:rsidRPr="00E673EB">
              <w:t>. 2024</w:t>
            </w:r>
          </w:p>
        </w:tc>
      </w:tr>
      <w:tr w:rsidR="0071004A" w:rsidRPr="003B5A86" w14:paraId="421111FD" w14:textId="77777777" w:rsidTr="002016BA">
        <w:trPr>
          <w:cantSplit/>
          <w:trHeight w:val="13"/>
        </w:trPr>
        <w:tc>
          <w:tcPr>
            <w:tcW w:w="0" w:type="auto"/>
            <w:tcBorders>
              <w:top w:val="single" w:sz="4" w:space="0" w:color="auto"/>
              <w:left w:val="nil"/>
              <w:bottom w:val="nil"/>
              <w:right w:val="nil"/>
            </w:tcBorders>
          </w:tcPr>
          <w:p w14:paraId="5C3F2855" w14:textId="77777777" w:rsidR="0071004A" w:rsidRPr="00E673EB" w:rsidRDefault="0071004A"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7DFB295B" w14:textId="77777777" w:rsidR="0071004A" w:rsidRPr="00E673EB" w:rsidDel="000A2973" w:rsidRDefault="0071004A" w:rsidP="00377F3A">
            <w:pPr>
              <w:pStyle w:val="TableText"/>
            </w:pPr>
            <w:r>
              <w:t>Europe</w:t>
            </w:r>
          </w:p>
        </w:tc>
        <w:tc>
          <w:tcPr>
            <w:tcW w:w="0" w:type="auto"/>
            <w:tcBorders>
              <w:top w:val="single" w:sz="4" w:space="0" w:color="auto"/>
              <w:left w:val="nil"/>
              <w:bottom w:val="nil"/>
              <w:right w:val="nil"/>
            </w:tcBorders>
          </w:tcPr>
          <w:p w14:paraId="276E7827" w14:textId="77777777" w:rsidR="0071004A" w:rsidRPr="00E673EB" w:rsidRDefault="0071004A" w:rsidP="00377F3A">
            <w:pPr>
              <w:pStyle w:val="TableText"/>
            </w:pPr>
            <w:r w:rsidRPr="00E673EB">
              <w:t>Max liver residues 13 µg/kg in bream from two German rivers between 1992 and 2015</w:t>
            </w:r>
          </w:p>
        </w:tc>
        <w:tc>
          <w:tcPr>
            <w:tcW w:w="0" w:type="auto"/>
            <w:tcBorders>
              <w:top w:val="single" w:sz="4" w:space="0" w:color="auto"/>
              <w:left w:val="nil"/>
              <w:bottom w:val="nil"/>
              <w:right w:val="nil"/>
            </w:tcBorders>
          </w:tcPr>
          <w:p w14:paraId="54043FD1" w14:textId="0F77514A"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03CD0008" w14:textId="77777777" w:rsidTr="002016BA">
        <w:trPr>
          <w:cantSplit/>
          <w:trHeight w:val="13"/>
        </w:trPr>
        <w:tc>
          <w:tcPr>
            <w:tcW w:w="0" w:type="auto"/>
            <w:tcBorders>
              <w:top w:val="nil"/>
              <w:left w:val="nil"/>
              <w:bottom w:val="nil"/>
              <w:right w:val="nil"/>
            </w:tcBorders>
          </w:tcPr>
          <w:p w14:paraId="2B2FA211" w14:textId="40E10BBA" w:rsidR="0071004A" w:rsidRPr="00E673EB" w:rsidRDefault="0071004A" w:rsidP="00377F3A">
            <w:pPr>
              <w:pStyle w:val="TableText"/>
              <w:rPr>
                <w:lang w:eastAsia="en-AU"/>
              </w:rPr>
            </w:pPr>
          </w:p>
        </w:tc>
        <w:tc>
          <w:tcPr>
            <w:tcW w:w="0" w:type="auto"/>
            <w:tcBorders>
              <w:top w:val="nil"/>
              <w:left w:val="nil"/>
              <w:bottom w:val="nil"/>
              <w:right w:val="nil"/>
            </w:tcBorders>
          </w:tcPr>
          <w:p w14:paraId="5D691E25" w14:textId="75607D21" w:rsidR="0071004A" w:rsidRPr="00E673EB" w:rsidRDefault="0071004A" w:rsidP="00377F3A">
            <w:pPr>
              <w:pStyle w:val="TableText"/>
            </w:pPr>
          </w:p>
        </w:tc>
        <w:tc>
          <w:tcPr>
            <w:tcW w:w="0" w:type="auto"/>
            <w:tcBorders>
              <w:top w:val="nil"/>
              <w:left w:val="nil"/>
              <w:bottom w:val="nil"/>
              <w:right w:val="nil"/>
            </w:tcBorders>
          </w:tcPr>
          <w:p w14:paraId="24B66595" w14:textId="77777777" w:rsidR="0071004A" w:rsidRPr="00E673EB" w:rsidRDefault="0071004A" w:rsidP="00377F3A">
            <w:pPr>
              <w:pStyle w:val="TableText"/>
            </w:pPr>
            <w:r w:rsidRPr="00E673EB">
              <w:t>Max liver residues 1.9 µg/kg in 11/32 fish in bioaccumulation ponds and 6.4 µg/kg in 8/12 fish in receiving streams of municipal wastewater treatment plants in Germany between 2013 and 2016</w:t>
            </w:r>
          </w:p>
        </w:tc>
        <w:tc>
          <w:tcPr>
            <w:tcW w:w="0" w:type="auto"/>
            <w:tcBorders>
              <w:top w:val="nil"/>
              <w:left w:val="nil"/>
              <w:bottom w:val="nil"/>
              <w:right w:val="nil"/>
            </w:tcBorders>
          </w:tcPr>
          <w:p w14:paraId="0463CD70" w14:textId="6F763076" w:rsidR="0071004A" w:rsidRPr="00E673EB" w:rsidRDefault="0071004A" w:rsidP="00377F3A">
            <w:pPr>
              <w:pStyle w:val="TableText"/>
            </w:pPr>
            <w:r w:rsidRPr="00E673EB">
              <w:t xml:space="preserve">Regnery </w:t>
            </w:r>
            <w:r w:rsidR="00B7183A" w:rsidRPr="00B7183A">
              <w:rPr>
                <w:i/>
                <w:iCs/>
              </w:rPr>
              <w:t>et al</w:t>
            </w:r>
            <w:r w:rsidRPr="00E673EB">
              <w:t>. 2019</w:t>
            </w:r>
          </w:p>
        </w:tc>
      </w:tr>
      <w:tr w:rsidR="0071004A" w:rsidRPr="003B5A86" w14:paraId="1F9BEFBF" w14:textId="77777777" w:rsidTr="002016BA">
        <w:trPr>
          <w:cantSplit/>
          <w:trHeight w:val="13"/>
        </w:trPr>
        <w:tc>
          <w:tcPr>
            <w:tcW w:w="0" w:type="auto"/>
            <w:tcBorders>
              <w:top w:val="nil"/>
              <w:left w:val="nil"/>
              <w:bottom w:val="single" w:sz="4" w:space="0" w:color="auto"/>
              <w:right w:val="nil"/>
            </w:tcBorders>
          </w:tcPr>
          <w:p w14:paraId="54F906FF"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708E42D2"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1CA6587E" w14:textId="77777777" w:rsidR="0071004A" w:rsidRPr="00E673EB" w:rsidRDefault="0071004A" w:rsidP="00377F3A">
            <w:pPr>
              <w:pStyle w:val="TableText"/>
            </w:pPr>
            <w:r w:rsidRPr="00E673EB">
              <w:t>Max liver residues 30 µg/kg in 46/46 fish in receiving streams of municipal wastewater treatment plants in Germany in 2019</w:t>
            </w:r>
          </w:p>
        </w:tc>
        <w:tc>
          <w:tcPr>
            <w:tcW w:w="0" w:type="auto"/>
            <w:tcBorders>
              <w:top w:val="nil"/>
              <w:left w:val="nil"/>
              <w:bottom w:val="single" w:sz="4" w:space="0" w:color="auto"/>
              <w:right w:val="nil"/>
            </w:tcBorders>
          </w:tcPr>
          <w:p w14:paraId="349DAA53" w14:textId="242E21FE" w:rsidR="0071004A" w:rsidRPr="00E673EB" w:rsidRDefault="0071004A" w:rsidP="00377F3A">
            <w:pPr>
              <w:pStyle w:val="TableText"/>
            </w:pPr>
            <w:r w:rsidRPr="00E673EB">
              <w:t xml:space="preserve">Regnery </w:t>
            </w:r>
            <w:r w:rsidR="00B7183A" w:rsidRPr="00B7183A">
              <w:rPr>
                <w:i/>
                <w:iCs/>
              </w:rPr>
              <w:t>et al</w:t>
            </w:r>
            <w:r w:rsidRPr="00E673EB">
              <w:t>. 2020</w:t>
            </w:r>
          </w:p>
        </w:tc>
      </w:tr>
    </w:tbl>
    <w:p w14:paraId="62ABA46D" w14:textId="77777777" w:rsidR="00EE24E4" w:rsidRDefault="00EE24E4" w:rsidP="00377F3A">
      <w:pPr>
        <w:pStyle w:val="APVMAAppendixH3"/>
      </w:pPr>
      <w:bookmarkStart w:id="2034" w:name="_Toc214025618"/>
      <w:bookmarkStart w:id="2035" w:name="_Toc216695639"/>
      <w:r>
        <w:t>Effects on non-target species</w:t>
      </w:r>
      <w:bookmarkEnd w:id="2034"/>
      <w:bookmarkEnd w:id="2035"/>
    </w:p>
    <w:p w14:paraId="7F1BDFC1" w14:textId="2C1D0E58" w:rsidR="00980B2F" w:rsidRPr="00861CA0" w:rsidRDefault="00BA7F5F" w:rsidP="00377F3A">
      <w:pPr>
        <w:pStyle w:val="Caption"/>
      </w:pPr>
      <w:bookmarkStart w:id="2036" w:name="_Toc213946081"/>
      <w:bookmarkStart w:id="2037" w:name="_Toc216695772"/>
      <w:r>
        <w:t xml:space="preserve">Table </w:t>
      </w:r>
      <w:r>
        <w:fldChar w:fldCharType="begin"/>
      </w:r>
      <w:r>
        <w:instrText xml:space="preserve"> SEQ Table \* ARABIC </w:instrText>
      </w:r>
      <w:r>
        <w:fldChar w:fldCharType="separate"/>
      </w:r>
      <w:r w:rsidR="003861AC">
        <w:rPr>
          <w:noProof/>
        </w:rPr>
        <w:t>110</w:t>
      </w:r>
      <w:r>
        <w:fldChar w:fldCharType="end"/>
      </w:r>
      <w:r>
        <w:t xml:space="preserve">: </w:t>
      </w:r>
      <w:r w:rsidR="00437439">
        <w:t xml:space="preserve">Brodifacoum – </w:t>
      </w:r>
      <w:r w:rsidR="00980B2F">
        <w:t>Primary poisoning studies on terrestrial vertebrates</w:t>
      </w:r>
      <w:bookmarkEnd w:id="2036"/>
      <w:bookmarkEnd w:id="2037"/>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19"/>
        <w:gridCol w:w="987"/>
        <w:gridCol w:w="3437"/>
        <w:gridCol w:w="2079"/>
        <w:gridCol w:w="2106"/>
      </w:tblGrid>
      <w:tr w:rsidR="00A3563C" w:rsidRPr="000B2FA7" w14:paraId="5C663C7B" w14:textId="77777777" w:rsidTr="0017134F">
        <w:trPr>
          <w:cantSplit/>
          <w:tblHeader/>
        </w:trPr>
        <w:tc>
          <w:tcPr>
            <w:tcW w:w="0" w:type="auto"/>
            <w:tcBorders>
              <w:bottom w:val="single" w:sz="4" w:space="0" w:color="auto"/>
            </w:tcBorders>
            <w:shd w:val="clear" w:color="auto" w:fill="53284F"/>
          </w:tcPr>
          <w:p w14:paraId="759E5433" w14:textId="77777777" w:rsidR="00A3563C" w:rsidRDefault="00A3563C" w:rsidP="00377F3A">
            <w:pPr>
              <w:pStyle w:val="TableHead"/>
            </w:pPr>
            <w:r>
              <w:t>Group</w:t>
            </w:r>
          </w:p>
        </w:tc>
        <w:tc>
          <w:tcPr>
            <w:tcW w:w="0" w:type="auto"/>
            <w:tcBorders>
              <w:bottom w:val="single" w:sz="4" w:space="0" w:color="auto"/>
            </w:tcBorders>
            <w:shd w:val="clear" w:color="auto" w:fill="53284F"/>
          </w:tcPr>
          <w:p w14:paraId="56111D57" w14:textId="77777777" w:rsidR="00A3563C" w:rsidRDefault="00A3563C" w:rsidP="00377F3A">
            <w:pPr>
              <w:pStyle w:val="TableHead"/>
            </w:pPr>
            <w:r>
              <w:t>Exposure</w:t>
            </w:r>
          </w:p>
        </w:tc>
        <w:tc>
          <w:tcPr>
            <w:tcW w:w="0" w:type="auto"/>
            <w:tcBorders>
              <w:bottom w:val="single" w:sz="4" w:space="0" w:color="auto"/>
            </w:tcBorders>
            <w:shd w:val="clear" w:color="auto" w:fill="53284F"/>
          </w:tcPr>
          <w:p w14:paraId="699F7356" w14:textId="77777777" w:rsidR="00A3563C" w:rsidRPr="00CA558C" w:rsidRDefault="00A3563C" w:rsidP="00377F3A">
            <w:pPr>
              <w:pStyle w:val="TableHead"/>
            </w:pPr>
            <w:r>
              <w:t>Species</w:t>
            </w:r>
          </w:p>
        </w:tc>
        <w:tc>
          <w:tcPr>
            <w:tcW w:w="0" w:type="auto"/>
            <w:tcBorders>
              <w:bottom w:val="single" w:sz="4" w:space="0" w:color="auto"/>
            </w:tcBorders>
            <w:shd w:val="clear" w:color="auto" w:fill="53284F"/>
          </w:tcPr>
          <w:p w14:paraId="25189731" w14:textId="77777777" w:rsidR="00A3563C" w:rsidRPr="00CA558C" w:rsidRDefault="00A3563C" w:rsidP="00377F3A">
            <w:pPr>
              <w:pStyle w:val="TableHead"/>
            </w:pPr>
            <w:r>
              <w:t>Toxicity v</w:t>
            </w:r>
            <w:r w:rsidRPr="00CA558C">
              <w:t>alue</w:t>
            </w:r>
            <w:r>
              <w:rPr>
                <w:rStyle w:val="FootnoteReference"/>
                <w:rFonts w:ascii="Arial" w:hAnsi="Arial"/>
                <w:b/>
                <w:sz w:val="17"/>
                <w:szCs w:val="17"/>
              </w:rPr>
              <w:footnoteReference w:id="29"/>
            </w:r>
          </w:p>
        </w:tc>
        <w:tc>
          <w:tcPr>
            <w:tcW w:w="0" w:type="auto"/>
            <w:tcBorders>
              <w:bottom w:val="single" w:sz="4" w:space="0" w:color="auto"/>
            </w:tcBorders>
            <w:shd w:val="clear" w:color="auto" w:fill="53284F"/>
          </w:tcPr>
          <w:p w14:paraId="3B6CEA53" w14:textId="77777777" w:rsidR="00A3563C" w:rsidRPr="00CA558C" w:rsidRDefault="00A3563C" w:rsidP="00377F3A">
            <w:pPr>
              <w:pStyle w:val="TableHead"/>
            </w:pPr>
            <w:r>
              <w:t>Reference</w:t>
            </w:r>
          </w:p>
        </w:tc>
      </w:tr>
      <w:tr w:rsidR="00A3563C" w:rsidRPr="000B2FA7" w14:paraId="78517F9A" w14:textId="77777777" w:rsidTr="00A3563C">
        <w:trPr>
          <w:cantSplit/>
        </w:trPr>
        <w:tc>
          <w:tcPr>
            <w:tcW w:w="0" w:type="auto"/>
            <w:tcBorders>
              <w:top w:val="single" w:sz="4" w:space="0" w:color="auto"/>
              <w:left w:val="nil"/>
              <w:bottom w:val="nil"/>
              <w:right w:val="nil"/>
            </w:tcBorders>
          </w:tcPr>
          <w:p w14:paraId="0B106B4F" w14:textId="77777777" w:rsidR="00A3563C" w:rsidRDefault="00A3563C" w:rsidP="00377F3A">
            <w:pPr>
              <w:pStyle w:val="TableText"/>
            </w:pPr>
            <w:r>
              <w:t>Mammals</w:t>
            </w:r>
          </w:p>
        </w:tc>
        <w:tc>
          <w:tcPr>
            <w:tcW w:w="0" w:type="auto"/>
            <w:tcBorders>
              <w:top w:val="single" w:sz="4" w:space="0" w:color="auto"/>
              <w:left w:val="nil"/>
              <w:bottom w:val="nil"/>
              <w:right w:val="nil"/>
            </w:tcBorders>
          </w:tcPr>
          <w:p w14:paraId="0FF159F8" w14:textId="77777777" w:rsidR="00A3563C" w:rsidRDefault="00A3563C" w:rsidP="00377F3A">
            <w:pPr>
              <w:pStyle w:val="TableText"/>
            </w:pPr>
            <w:r>
              <w:t>Acute</w:t>
            </w:r>
          </w:p>
        </w:tc>
        <w:tc>
          <w:tcPr>
            <w:tcW w:w="0" w:type="auto"/>
            <w:tcBorders>
              <w:top w:val="single" w:sz="4" w:space="0" w:color="auto"/>
              <w:left w:val="nil"/>
              <w:bottom w:val="nil"/>
              <w:right w:val="nil"/>
            </w:tcBorders>
          </w:tcPr>
          <w:p w14:paraId="39152F46" w14:textId="77777777" w:rsidR="00A3563C" w:rsidRPr="00F8691E" w:rsidRDefault="00A3563C" w:rsidP="00377F3A">
            <w:pPr>
              <w:pStyle w:val="TableText"/>
            </w:pPr>
            <w:r w:rsidRPr="004249C4">
              <w:t>Oryctolagus cuniculus</w:t>
            </w:r>
          </w:p>
        </w:tc>
        <w:tc>
          <w:tcPr>
            <w:tcW w:w="0" w:type="auto"/>
            <w:tcBorders>
              <w:top w:val="single" w:sz="4" w:space="0" w:color="auto"/>
              <w:left w:val="nil"/>
              <w:bottom w:val="nil"/>
              <w:right w:val="nil"/>
            </w:tcBorders>
          </w:tcPr>
          <w:p w14:paraId="7CC36266" w14:textId="77777777" w:rsidR="00A3563C" w:rsidRDefault="00A3563C" w:rsidP="00377F3A">
            <w:pPr>
              <w:pStyle w:val="TableText"/>
            </w:pPr>
            <w:r>
              <w:t>LD</w:t>
            </w:r>
            <w:r w:rsidRPr="00807AE0">
              <w:rPr>
                <w:vertAlign w:val="subscript"/>
              </w:rPr>
              <w:t>50</w:t>
            </w:r>
            <w:r>
              <w:t xml:space="preserve"> 0.20 mg/kg bw</w:t>
            </w:r>
          </w:p>
        </w:tc>
        <w:tc>
          <w:tcPr>
            <w:tcW w:w="0" w:type="auto"/>
            <w:tcBorders>
              <w:top w:val="single" w:sz="4" w:space="0" w:color="auto"/>
              <w:left w:val="nil"/>
              <w:bottom w:val="nil"/>
              <w:right w:val="nil"/>
            </w:tcBorders>
          </w:tcPr>
          <w:p w14:paraId="6EA2D851" w14:textId="18DAE252" w:rsidR="00A3563C" w:rsidRPr="001616E7" w:rsidRDefault="00A3563C" w:rsidP="00377F3A">
            <w:pPr>
              <w:pStyle w:val="TableText"/>
            </w:pPr>
            <w:r>
              <w:t xml:space="preserve">Godfrey </w:t>
            </w:r>
            <w:r w:rsidR="00B7183A" w:rsidRPr="00B7183A">
              <w:rPr>
                <w:i/>
                <w:iCs/>
              </w:rPr>
              <w:t>et al</w:t>
            </w:r>
            <w:r>
              <w:t>. 1981</w:t>
            </w:r>
          </w:p>
        </w:tc>
      </w:tr>
      <w:tr w:rsidR="00A3563C" w14:paraId="1BBD0270" w14:textId="77777777" w:rsidTr="00A3563C">
        <w:trPr>
          <w:cantSplit/>
        </w:trPr>
        <w:tc>
          <w:tcPr>
            <w:tcW w:w="0" w:type="auto"/>
            <w:tcBorders>
              <w:top w:val="nil"/>
              <w:left w:val="nil"/>
              <w:bottom w:val="nil"/>
              <w:right w:val="nil"/>
            </w:tcBorders>
          </w:tcPr>
          <w:p w14:paraId="3510C81F" w14:textId="77777777" w:rsidR="00A3563C" w:rsidRDefault="00A3563C" w:rsidP="00377F3A">
            <w:pPr>
              <w:pStyle w:val="TableText"/>
            </w:pPr>
          </w:p>
        </w:tc>
        <w:tc>
          <w:tcPr>
            <w:tcW w:w="0" w:type="auto"/>
            <w:tcBorders>
              <w:top w:val="nil"/>
              <w:left w:val="nil"/>
              <w:bottom w:val="nil"/>
              <w:right w:val="nil"/>
            </w:tcBorders>
          </w:tcPr>
          <w:p w14:paraId="5FDA2BAB" w14:textId="77777777" w:rsidR="00A3563C" w:rsidRDefault="00A3563C" w:rsidP="00377F3A">
            <w:pPr>
              <w:pStyle w:val="TableText"/>
            </w:pPr>
          </w:p>
        </w:tc>
        <w:tc>
          <w:tcPr>
            <w:tcW w:w="0" w:type="auto"/>
            <w:tcBorders>
              <w:top w:val="nil"/>
              <w:left w:val="nil"/>
              <w:bottom w:val="nil"/>
              <w:right w:val="nil"/>
            </w:tcBorders>
          </w:tcPr>
          <w:p w14:paraId="4FCA3A3A" w14:textId="77777777" w:rsidR="00A3563C" w:rsidRDefault="00A3563C" w:rsidP="00377F3A">
            <w:pPr>
              <w:pStyle w:val="TableText"/>
            </w:pPr>
            <w:r>
              <w:t>Rattus norvegicus</w:t>
            </w:r>
          </w:p>
        </w:tc>
        <w:tc>
          <w:tcPr>
            <w:tcW w:w="0" w:type="auto"/>
            <w:tcBorders>
              <w:top w:val="nil"/>
              <w:left w:val="nil"/>
              <w:bottom w:val="nil"/>
              <w:right w:val="nil"/>
            </w:tcBorders>
          </w:tcPr>
          <w:p w14:paraId="1C28AD9F" w14:textId="77777777" w:rsidR="00A3563C" w:rsidRPr="00CA558C" w:rsidRDefault="00A3563C" w:rsidP="00377F3A">
            <w:pPr>
              <w:pStyle w:val="TableText"/>
            </w:pPr>
            <w:r>
              <w:t>LD</w:t>
            </w:r>
            <w:r w:rsidRPr="001A4B6E">
              <w:rPr>
                <w:vertAlign w:val="subscript"/>
              </w:rPr>
              <w:t>50</w:t>
            </w:r>
            <w:r>
              <w:t xml:space="preserve"> 0.27 mg/kg bw</w:t>
            </w:r>
          </w:p>
        </w:tc>
        <w:tc>
          <w:tcPr>
            <w:tcW w:w="0" w:type="auto"/>
            <w:tcBorders>
              <w:top w:val="nil"/>
              <w:left w:val="nil"/>
              <w:bottom w:val="nil"/>
              <w:right w:val="nil"/>
            </w:tcBorders>
          </w:tcPr>
          <w:p w14:paraId="5F996B7A" w14:textId="77777777" w:rsidR="00A3563C" w:rsidRDefault="00A3563C" w:rsidP="00377F3A">
            <w:pPr>
              <w:pStyle w:val="TableText"/>
            </w:pPr>
            <w:r>
              <w:t>Hadler 1974</w:t>
            </w:r>
          </w:p>
        </w:tc>
      </w:tr>
      <w:tr w:rsidR="00A3563C" w14:paraId="64E737E0" w14:textId="77777777" w:rsidTr="00A3563C">
        <w:trPr>
          <w:cantSplit/>
        </w:trPr>
        <w:tc>
          <w:tcPr>
            <w:tcW w:w="0" w:type="auto"/>
            <w:tcBorders>
              <w:top w:val="nil"/>
              <w:left w:val="nil"/>
              <w:bottom w:val="nil"/>
              <w:right w:val="nil"/>
            </w:tcBorders>
          </w:tcPr>
          <w:p w14:paraId="2459C335" w14:textId="77777777" w:rsidR="00A3563C" w:rsidRDefault="00A3563C" w:rsidP="00377F3A">
            <w:pPr>
              <w:pStyle w:val="TableText"/>
            </w:pPr>
          </w:p>
        </w:tc>
        <w:tc>
          <w:tcPr>
            <w:tcW w:w="0" w:type="auto"/>
            <w:tcBorders>
              <w:top w:val="nil"/>
              <w:left w:val="nil"/>
              <w:bottom w:val="nil"/>
              <w:right w:val="nil"/>
            </w:tcBorders>
          </w:tcPr>
          <w:p w14:paraId="22A29CDA" w14:textId="77777777" w:rsidR="00A3563C" w:rsidRDefault="00A3563C" w:rsidP="00377F3A">
            <w:pPr>
              <w:pStyle w:val="TableText"/>
            </w:pPr>
          </w:p>
        </w:tc>
        <w:tc>
          <w:tcPr>
            <w:tcW w:w="0" w:type="auto"/>
            <w:gridSpan w:val="2"/>
            <w:tcBorders>
              <w:top w:val="nil"/>
              <w:left w:val="nil"/>
              <w:bottom w:val="nil"/>
              <w:right w:val="nil"/>
            </w:tcBorders>
          </w:tcPr>
          <w:p w14:paraId="53680D71" w14:textId="77777777" w:rsidR="00A3563C" w:rsidRPr="00CA558C" w:rsidRDefault="00A3563C" w:rsidP="00377F3A">
            <w:pPr>
              <w:pStyle w:val="TableText"/>
            </w:pPr>
            <w:r>
              <w:t>0.05 g/kg paste: LD</w:t>
            </w:r>
            <w:r w:rsidRPr="00E73DC2">
              <w:rPr>
                <w:vertAlign w:val="subscript"/>
              </w:rPr>
              <w:t>50</w:t>
            </w:r>
            <w:r>
              <w:t xml:space="preserve"> &gt;10 mg/kg bw</w:t>
            </w:r>
          </w:p>
        </w:tc>
        <w:tc>
          <w:tcPr>
            <w:tcW w:w="0" w:type="auto"/>
            <w:tcBorders>
              <w:top w:val="nil"/>
              <w:left w:val="nil"/>
              <w:bottom w:val="nil"/>
              <w:right w:val="nil"/>
            </w:tcBorders>
          </w:tcPr>
          <w:p w14:paraId="59D8955F" w14:textId="77777777" w:rsidR="00A3563C" w:rsidRDefault="00A3563C" w:rsidP="00377F3A">
            <w:pPr>
              <w:pStyle w:val="TableText"/>
            </w:pPr>
            <w:r>
              <w:t>Vaze 2011</w:t>
            </w:r>
          </w:p>
        </w:tc>
      </w:tr>
      <w:tr w:rsidR="00A3563C" w14:paraId="1F6A3841" w14:textId="77777777" w:rsidTr="00A3563C">
        <w:trPr>
          <w:cantSplit/>
        </w:trPr>
        <w:tc>
          <w:tcPr>
            <w:tcW w:w="0" w:type="auto"/>
            <w:tcBorders>
              <w:top w:val="nil"/>
              <w:left w:val="nil"/>
              <w:bottom w:val="nil"/>
              <w:right w:val="nil"/>
            </w:tcBorders>
          </w:tcPr>
          <w:p w14:paraId="554F59C6" w14:textId="77777777" w:rsidR="00A3563C" w:rsidRDefault="00A3563C" w:rsidP="00377F3A">
            <w:pPr>
              <w:pStyle w:val="TableText"/>
            </w:pPr>
          </w:p>
        </w:tc>
        <w:tc>
          <w:tcPr>
            <w:tcW w:w="0" w:type="auto"/>
            <w:tcBorders>
              <w:top w:val="nil"/>
              <w:left w:val="nil"/>
              <w:bottom w:val="nil"/>
              <w:right w:val="nil"/>
            </w:tcBorders>
          </w:tcPr>
          <w:p w14:paraId="6033D1C7" w14:textId="77777777" w:rsidR="00A3563C" w:rsidRDefault="00A3563C" w:rsidP="00377F3A">
            <w:pPr>
              <w:pStyle w:val="TableText"/>
            </w:pPr>
          </w:p>
        </w:tc>
        <w:tc>
          <w:tcPr>
            <w:tcW w:w="0" w:type="auto"/>
            <w:tcBorders>
              <w:top w:val="nil"/>
              <w:left w:val="nil"/>
              <w:bottom w:val="nil"/>
              <w:right w:val="nil"/>
            </w:tcBorders>
          </w:tcPr>
          <w:p w14:paraId="3F0398C2" w14:textId="77777777" w:rsidR="00A3563C" w:rsidRDefault="00A3563C" w:rsidP="00377F3A">
            <w:pPr>
              <w:pStyle w:val="TableText"/>
            </w:pPr>
            <w:r>
              <w:t>Sus scrofa</w:t>
            </w:r>
          </w:p>
        </w:tc>
        <w:tc>
          <w:tcPr>
            <w:tcW w:w="0" w:type="auto"/>
            <w:tcBorders>
              <w:top w:val="nil"/>
              <w:left w:val="nil"/>
              <w:bottom w:val="nil"/>
              <w:right w:val="nil"/>
            </w:tcBorders>
          </w:tcPr>
          <w:p w14:paraId="08081FAC" w14:textId="77777777" w:rsidR="00A3563C" w:rsidRDefault="00A3563C" w:rsidP="00377F3A">
            <w:pPr>
              <w:pStyle w:val="TableText"/>
            </w:pPr>
            <w:r>
              <w:t>LD</w:t>
            </w:r>
            <w:r w:rsidRPr="00807AE0">
              <w:rPr>
                <w:vertAlign w:val="subscript"/>
              </w:rPr>
              <w:t>50</w:t>
            </w:r>
            <w:r>
              <w:t xml:space="preserve"> &gt;0.50 mg/kg bw</w:t>
            </w:r>
          </w:p>
        </w:tc>
        <w:tc>
          <w:tcPr>
            <w:tcW w:w="0" w:type="auto"/>
            <w:tcBorders>
              <w:top w:val="nil"/>
              <w:left w:val="nil"/>
              <w:bottom w:val="nil"/>
              <w:right w:val="nil"/>
            </w:tcBorders>
          </w:tcPr>
          <w:p w14:paraId="3AB3D11E" w14:textId="77777777" w:rsidR="00A3563C" w:rsidRDefault="00A3563C" w:rsidP="00377F3A">
            <w:pPr>
              <w:pStyle w:val="TableText"/>
            </w:pPr>
            <w:r>
              <w:t>Ross &amp; Roberts 1976</w:t>
            </w:r>
          </w:p>
        </w:tc>
      </w:tr>
      <w:tr w:rsidR="00A3563C" w14:paraId="03EE0CCC" w14:textId="77777777" w:rsidTr="00A3563C">
        <w:trPr>
          <w:cantSplit/>
        </w:trPr>
        <w:tc>
          <w:tcPr>
            <w:tcW w:w="0" w:type="auto"/>
            <w:tcBorders>
              <w:top w:val="nil"/>
              <w:left w:val="nil"/>
              <w:bottom w:val="nil"/>
              <w:right w:val="nil"/>
            </w:tcBorders>
          </w:tcPr>
          <w:p w14:paraId="254262F3" w14:textId="77777777" w:rsidR="00A3563C" w:rsidRDefault="00A3563C" w:rsidP="00377F3A">
            <w:pPr>
              <w:pStyle w:val="TableText"/>
            </w:pPr>
          </w:p>
        </w:tc>
        <w:tc>
          <w:tcPr>
            <w:tcW w:w="0" w:type="auto"/>
            <w:tcBorders>
              <w:top w:val="nil"/>
              <w:left w:val="nil"/>
              <w:bottom w:val="nil"/>
              <w:right w:val="nil"/>
            </w:tcBorders>
          </w:tcPr>
          <w:p w14:paraId="7EDADBCA" w14:textId="77777777" w:rsidR="00A3563C" w:rsidRDefault="00A3563C" w:rsidP="00377F3A">
            <w:pPr>
              <w:pStyle w:val="TableText"/>
            </w:pPr>
          </w:p>
        </w:tc>
        <w:tc>
          <w:tcPr>
            <w:tcW w:w="0" w:type="auto"/>
            <w:tcBorders>
              <w:top w:val="nil"/>
              <w:left w:val="nil"/>
              <w:bottom w:val="nil"/>
              <w:right w:val="nil"/>
            </w:tcBorders>
          </w:tcPr>
          <w:p w14:paraId="2D2EDA95" w14:textId="77777777" w:rsidR="00A3563C" w:rsidRDefault="00A3563C" w:rsidP="00377F3A">
            <w:pPr>
              <w:pStyle w:val="TableText"/>
            </w:pPr>
            <w:r>
              <w:t>Canis familiaris</w:t>
            </w:r>
          </w:p>
        </w:tc>
        <w:tc>
          <w:tcPr>
            <w:tcW w:w="0" w:type="auto"/>
            <w:tcBorders>
              <w:top w:val="nil"/>
              <w:left w:val="nil"/>
              <w:bottom w:val="nil"/>
              <w:right w:val="nil"/>
            </w:tcBorders>
          </w:tcPr>
          <w:p w14:paraId="798445E4" w14:textId="77777777" w:rsidR="00A3563C" w:rsidRPr="00CA558C" w:rsidRDefault="00A3563C" w:rsidP="00377F3A">
            <w:pPr>
              <w:pStyle w:val="TableText"/>
            </w:pPr>
            <w:r>
              <w:t>LD</w:t>
            </w:r>
            <w:r w:rsidRPr="00807AE0">
              <w:rPr>
                <w:vertAlign w:val="subscript"/>
              </w:rPr>
              <w:t>50</w:t>
            </w:r>
            <w:r>
              <w:t xml:space="preserve"> 1.1 mg/kg bw</w:t>
            </w:r>
          </w:p>
        </w:tc>
        <w:tc>
          <w:tcPr>
            <w:tcW w:w="0" w:type="auto"/>
            <w:tcBorders>
              <w:top w:val="nil"/>
              <w:left w:val="nil"/>
              <w:bottom w:val="nil"/>
              <w:right w:val="nil"/>
            </w:tcBorders>
          </w:tcPr>
          <w:p w14:paraId="627A2BC5" w14:textId="20291D7C" w:rsidR="00A3563C" w:rsidRDefault="00A3563C" w:rsidP="00377F3A">
            <w:pPr>
              <w:pStyle w:val="TableText"/>
            </w:pPr>
            <w:r>
              <w:t xml:space="preserve">Godfrey </w:t>
            </w:r>
            <w:r w:rsidR="00B7183A" w:rsidRPr="00B7183A">
              <w:rPr>
                <w:i/>
                <w:iCs/>
              </w:rPr>
              <w:t>et al</w:t>
            </w:r>
            <w:r>
              <w:t>. 1981</w:t>
            </w:r>
          </w:p>
        </w:tc>
      </w:tr>
      <w:tr w:rsidR="00A3563C" w14:paraId="45B9D52C" w14:textId="77777777" w:rsidTr="00A3563C">
        <w:trPr>
          <w:cantSplit/>
        </w:trPr>
        <w:tc>
          <w:tcPr>
            <w:tcW w:w="0" w:type="auto"/>
            <w:tcBorders>
              <w:top w:val="nil"/>
              <w:left w:val="nil"/>
              <w:bottom w:val="nil"/>
              <w:right w:val="nil"/>
            </w:tcBorders>
          </w:tcPr>
          <w:p w14:paraId="2CEB7F8A" w14:textId="77777777" w:rsidR="00A3563C" w:rsidRDefault="00A3563C" w:rsidP="00377F3A">
            <w:pPr>
              <w:pStyle w:val="TableText"/>
            </w:pPr>
          </w:p>
        </w:tc>
        <w:tc>
          <w:tcPr>
            <w:tcW w:w="0" w:type="auto"/>
            <w:tcBorders>
              <w:top w:val="nil"/>
              <w:left w:val="nil"/>
              <w:bottom w:val="nil"/>
              <w:right w:val="nil"/>
            </w:tcBorders>
          </w:tcPr>
          <w:p w14:paraId="61889A90" w14:textId="77777777" w:rsidR="00A3563C" w:rsidRDefault="00A3563C" w:rsidP="00377F3A">
            <w:pPr>
              <w:pStyle w:val="TableText"/>
            </w:pPr>
          </w:p>
        </w:tc>
        <w:tc>
          <w:tcPr>
            <w:tcW w:w="0" w:type="auto"/>
            <w:tcBorders>
              <w:top w:val="nil"/>
              <w:left w:val="nil"/>
              <w:bottom w:val="nil"/>
              <w:right w:val="nil"/>
            </w:tcBorders>
          </w:tcPr>
          <w:p w14:paraId="509E6073" w14:textId="77777777" w:rsidR="00A3563C" w:rsidRPr="005A1240" w:rsidRDefault="00A3563C" w:rsidP="00377F3A">
            <w:pPr>
              <w:pStyle w:val="TableText"/>
            </w:pPr>
            <w:r>
              <w:t>Macropus rufogriseus</w:t>
            </w:r>
          </w:p>
        </w:tc>
        <w:tc>
          <w:tcPr>
            <w:tcW w:w="0" w:type="auto"/>
            <w:tcBorders>
              <w:top w:val="nil"/>
              <w:left w:val="nil"/>
              <w:bottom w:val="nil"/>
              <w:right w:val="nil"/>
            </w:tcBorders>
          </w:tcPr>
          <w:p w14:paraId="66E70952" w14:textId="77777777" w:rsidR="00A3563C" w:rsidRDefault="00A3563C" w:rsidP="00377F3A">
            <w:pPr>
              <w:pStyle w:val="TableText"/>
            </w:pPr>
            <w:r>
              <w:t>LD</w:t>
            </w:r>
            <w:r w:rsidRPr="00807AE0">
              <w:rPr>
                <w:vertAlign w:val="subscript"/>
              </w:rPr>
              <w:t>50</w:t>
            </w:r>
            <w:r>
              <w:t xml:space="preserve"> 1.3 mg/kg bw</w:t>
            </w:r>
          </w:p>
        </w:tc>
        <w:tc>
          <w:tcPr>
            <w:tcW w:w="0" w:type="auto"/>
            <w:tcBorders>
              <w:top w:val="nil"/>
              <w:left w:val="nil"/>
              <w:bottom w:val="nil"/>
              <w:right w:val="nil"/>
            </w:tcBorders>
          </w:tcPr>
          <w:p w14:paraId="485D7E0F" w14:textId="77777777" w:rsidR="00A3563C" w:rsidRDefault="00A3563C" w:rsidP="00377F3A">
            <w:pPr>
              <w:pStyle w:val="TableText"/>
            </w:pPr>
            <w:r>
              <w:t>Godfrey 1984</w:t>
            </w:r>
          </w:p>
        </w:tc>
      </w:tr>
      <w:tr w:rsidR="00A3563C" w14:paraId="57D323DB" w14:textId="77777777" w:rsidTr="00B24917">
        <w:trPr>
          <w:cantSplit/>
        </w:trPr>
        <w:tc>
          <w:tcPr>
            <w:tcW w:w="0" w:type="auto"/>
            <w:tcBorders>
              <w:top w:val="nil"/>
              <w:left w:val="nil"/>
              <w:bottom w:val="nil"/>
              <w:right w:val="nil"/>
            </w:tcBorders>
          </w:tcPr>
          <w:p w14:paraId="31B2A8BD" w14:textId="77777777" w:rsidR="00A3563C" w:rsidRDefault="00A3563C" w:rsidP="00377F3A">
            <w:pPr>
              <w:pStyle w:val="TableText"/>
            </w:pPr>
          </w:p>
        </w:tc>
        <w:tc>
          <w:tcPr>
            <w:tcW w:w="0" w:type="auto"/>
            <w:tcBorders>
              <w:top w:val="nil"/>
              <w:left w:val="nil"/>
              <w:bottom w:val="nil"/>
              <w:right w:val="nil"/>
            </w:tcBorders>
          </w:tcPr>
          <w:p w14:paraId="2E001CAC" w14:textId="77777777" w:rsidR="00A3563C" w:rsidRDefault="00A3563C" w:rsidP="00377F3A">
            <w:pPr>
              <w:pStyle w:val="TableText"/>
            </w:pPr>
          </w:p>
        </w:tc>
        <w:tc>
          <w:tcPr>
            <w:tcW w:w="0" w:type="auto"/>
            <w:tcBorders>
              <w:top w:val="nil"/>
              <w:left w:val="nil"/>
              <w:bottom w:val="nil"/>
              <w:right w:val="nil"/>
            </w:tcBorders>
          </w:tcPr>
          <w:p w14:paraId="5558CD4C" w14:textId="77777777" w:rsidR="00A3563C" w:rsidRDefault="00A3563C" w:rsidP="00377F3A">
            <w:pPr>
              <w:pStyle w:val="TableText"/>
            </w:pPr>
            <w:r w:rsidRPr="005A1240">
              <w:t>Ovis aries</w:t>
            </w:r>
          </w:p>
        </w:tc>
        <w:tc>
          <w:tcPr>
            <w:tcW w:w="0" w:type="auto"/>
            <w:tcBorders>
              <w:top w:val="nil"/>
              <w:left w:val="nil"/>
              <w:bottom w:val="nil"/>
              <w:right w:val="nil"/>
            </w:tcBorders>
          </w:tcPr>
          <w:p w14:paraId="4AC8BC25" w14:textId="77777777" w:rsidR="00A3563C" w:rsidRDefault="00A3563C" w:rsidP="00377F3A">
            <w:pPr>
              <w:pStyle w:val="TableText"/>
            </w:pPr>
            <w:r>
              <w:t>LD</w:t>
            </w:r>
            <w:r w:rsidRPr="00807AE0">
              <w:rPr>
                <w:vertAlign w:val="subscript"/>
              </w:rPr>
              <w:t>50</w:t>
            </w:r>
            <w:r>
              <w:t xml:space="preserve"> 11 mg/kg bw</w:t>
            </w:r>
          </w:p>
        </w:tc>
        <w:tc>
          <w:tcPr>
            <w:tcW w:w="0" w:type="auto"/>
            <w:tcBorders>
              <w:top w:val="nil"/>
              <w:left w:val="nil"/>
              <w:bottom w:val="nil"/>
              <w:right w:val="nil"/>
            </w:tcBorders>
          </w:tcPr>
          <w:p w14:paraId="11E6A1A0" w14:textId="645CF2A4" w:rsidR="00A3563C" w:rsidRDefault="00A3563C" w:rsidP="00377F3A">
            <w:pPr>
              <w:pStyle w:val="TableText"/>
            </w:pPr>
            <w:r>
              <w:t xml:space="preserve">Godfrey </w:t>
            </w:r>
            <w:r w:rsidR="00B7183A" w:rsidRPr="00B7183A">
              <w:rPr>
                <w:i/>
                <w:iCs/>
              </w:rPr>
              <w:t>et al</w:t>
            </w:r>
            <w:r>
              <w:t>. 1985</w:t>
            </w:r>
          </w:p>
        </w:tc>
      </w:tr>
      <w:tr w:rsidR="00A3563C" w14:paraId="4BE566F5" w14:textId="77777777" w:rsidTr="00B24917">
        <w:trPr>
          <w:cantSplit/>
        </w:trPr>
        <w:tc>
          <w:tcPr>
            <w:tcW w:w="0" w:type="auto"/>
            <w:tcBorders>
              <w:top w:val="nil"/>
              <w:left w:val="nil"/>
              <w:bottom w:val="single" w:sz="4" w:space="0" w:color="auto"/>
              <w:right w:val="nil"/>
            </w:tcBorders>
          </w:tcPr>
          <w:p w14:paraId="373977A1" w14:textId="77777777" w:rsidR="00A3563C" w:rsidRDefault="00A3563C" w:rsidP="00377F3A">
            <w:pPr>
              <w:pStyle w:val="TableText"/>
            </w:pPr>
          </w:p>
        </w:tc>
        <w:tc>
          <w:tcPr>
            <w:tcW w:w="0" w:type="auto"/>
            <w:tcBorders>
              <w:top w:val="nil"/>
              <w:left w:val="nil"/>
              <w:bottom w:val="single" w:sz="4" w:space="0" w:color="auto"/>
              <w:right w:val="nil"/>
            </w:tcBorders>
          </w:tcPr>
          <w:p w14:paraId="32AF2E5C" w14:textId="77777777" w:rsidR="00A3563C" w:rsidRDefault="00A3563C" w:rsidP="00377F3A">
            <w:pPr>
              <w:pStyle w:val="TableText"/>
            </w:pPr>
          </w:p>
        </w:tc>
        <w:tc>
          <w:tcPr>
            <w:tcW w:w="0" w:type="auto"/>
            <w:tcBorders>
              <w:top w:val="nil"/>
              <w:left w:val="nil"/>
              <w:bottom w:val="single" w:sz="4" w:space="0" w:color="auto"/>
              <w:right w:val="nil"/>
            </w:tcBorders>
          </w:tcPr>
          <w:p w14:paraId="05925538" w14:textId="77777777" w:rsidR="00A3563C" w:rsidRDefault="00A3563C" w:rsidP="00377F3A">
            <w:pPr>
              <w:pStyle w:val="TableText"/>
            </w:pPr>
            <w:r>
              <w:t>Felis catus</w:t>
            </w:r>
          </w:p>
        </w:tc>
        <w:tc>
          <w:tcPr>
            <w:tcW w:w="0" w:type="auto"/>
            <w:tcBorders>
              <w:top w:val="nil"/>
              <w:left w:val="nil"/>
              <w:bottom w:val="single" w:sz="4" w:space="0" w:color="auto"/>
              <w:right w:val="nil"/>
            </w:tcBorders>
          </w:tcPr>
          <w:p w14:paraId="59DBF7FE" w14:textId="77777777" w:rsidR="00A3563C" w:rsidRDefault="00A3563C" w:rsidP="00377F3A">
            <w:pPr>
              <w:pStyle w:val="TableText"/>
            </w:pPr>
            <w:r>
              <w:t>LD</w:t>
            </w:r>
            <w:r w:rsidRPr="00807AE0">
              <w:rPr>
                <w:vertAlign w:val="subscript"/>
              </w:rPr>
              <w:t>50</w:t>
            </w:r>
            <w:r>
              <w:t xml:space="preserve"> 25 mg/kg bw</w:t>
            </w:r>
          </w:p>
        </w:tc>
        <w:tc>
          <w:tcPr>
            <w:tcW w:w="0" w:type="auto"/>
            <w:tcBorders>
              <w:top w:val="nil"/>
              <w:left w:val="nil"/>
              <w:bottom w:val="single" w:sz="4" w:space="0" w:color="auto"/>
              <w:right w:val="nil"/>
            </w:tcBorders>
          </w:tcPr>
          <w:p w14:paraId="66C5C362" w14:textId="77777777" w:rsidR="00A3563C" w:rsidRDefault="00A3563C" w:rsidP="00377F3A">
            <w:pPr>
              <w:pStyle w:val="TableText"/>
            </w:pPr>
            <w:r>
              <w:t>Parkinson 1979</w:t>
            </w:r>
          </w:p>
        </w:tc>
      </w:tr>
      <w:tr w:rsidR="00A3563C" w14:paraId="08697EBD" w14:textId="77777777" w:rsidTr="00B24917">
        <w:trPr>
          <w:cantSplit/>
        </w:trPr>
        <w:tc>
          <w:tcPr>
            <w:tcW w:w="0" w:type="auto"/>
            <w:tcBorders>
              <w:top w:val="single" w:sz="4" w:space="0" w:color="auto"/>
              <w:left w:val="nil"/>
              <w:bottom w:val="nil"/>
              <w:right w:val="nil"/>
            </w:tcBorders>
          </w:tcPr>
          <w:p w14:paraId="685DAF15" w14:textId="77777777" w:rsidR="00A3563C" w:rsidRDefault="00A3563C" w:rsidP="00377F3A">
            <w:pPr>
              <w:pStyle w:val="TableText"/>
            </w:pPr>
            <w:r>
              <w:t>Birds</w:t>
            </w:r>
          </w:p>
        </w:tc>
        <w:tc>
          <w:tcPr>
            <w:tcW w:w="0" w:type="auto"/>
            <w:tcBorders>
              <w:top w:val="single" w:sz="4" w:space="0" w:color="auto"/>
              <w:left w:val="nil"/>
              <w:bottom w:val="nil"/>
              <w:right w:val="nil"/>
            </w:tcBorders>
          </w:tcPr>
          <w:p w14:paraId="6D12A772" w14:textId="77777777" w:rsidR="00A3563C" w:rsidRDefault="00A3563C" w:rsidP="00377F3A">
            <w:pPr>
              <w:pStyle w:val="TableText"/>
            </w:pPr>
            <w:r>
              <w:t>Acute</w:t>
            </w:r>
          </w:p>
        </w:tc>
        <w:tc>
          <w:tcPr>
            <w:tcW w:w="0" w:type="auto"/>
            <w:tcBorders>
              <w:top w:val="single" w:sz="4" w:space="0" w:color="auto"/>
              <w:left w:val="nil"/>
              <w:bottom w:val="nil"/>
              <w:right w:val="nil"/>
            </w:tcBorders>
          </w:tcPr>
          <w:p w14:paraId="7FAEB30D" w14:textId="77777777" w:rsidR="00A3563C" w:rsidRDefault="00A3563C" w:rsidP="00377F3A">
            <w:pPr>
              <w:pStyle w:val="TableText"/>
            </w:pPr>
            <w:r>
              <w:t>Porphyris melanotus</w:t>
            </w:r>
          </w:p>
          <w:p w14:paraId="6C17F6A0" w14:textId="77777777" w:rsidR="00A3563C" w:rsidRDefault="00A3563C" w:rsidP="00377F3A">
            <w:pPr>
              <w:pStyle w:val="TableText"/>
            </w:pPr>
            <w:r>
              <w:t>Prunella occidentalis</w:t>
            </w:r>
          </w:p>
          <w:p w14:paraId="6E5D5088" w14:textId="77777777" w:rsidR="00A3563C" w:rsidRDefault="00A3563C" w:rsidP="00377F3A">
            <w:pPr>
              <w:pStyle w:val="TableText"/>
            </w:pPr>
            <w:r>
              <w:t>Turdus merula</w:t>
            </w:r>
          </w:p>
          <w:p w14:paraId="0CE76DB7" w14:textId="77777777" w:rsidR="00A3563C" w:rsidRDefault="00A3563C" w:rsidP="00377F3A">
            <w:pPr>
              <w:pStyle w:val="TableText"/>
            </w:pPr>
            <w:r>
              <w:t>Lophortyx californicus</w:t>
            </w:r>
          </w:p>
          <w:p w14:paraId="2568C625" w14:textId="77777777" w:rsidR="00A3563C" w:rsidRDefault="00A3563C" w:rsidP="00377F3A">
            <w:pPr>
              <w:pStyle w:val="TableText"/>
            </w:pPr>
            <w:r>
              <w:t>Passer domesticus</w:t>
            </w:r>
          </w:p>
          <w:p w14:paraId="3F8649EA" w14:textId="77777777" w:rsidR="00A3563C" w:rsidRDefault="00A3563C" w:rsidP="00377F3A">
            <w:pPr>
              <w:pStyle w:val="TableText"/>
            </w:pPr>
            <w:r>
              <w:t>Zosterops lateralis</w:t>
            </w:r>
          </w:p>
          <w:p w14:paraId="1DCE72FF" w14:textId="77777777" w:rsidR="00A3563C" w:rsidRDefault="00A3563C" w:rsidP="00377F3A">
            <w:pPr>
              <w:pStyle w:val="TableText"/>
            </w:pPr>
            <w:r>
              <w:t>Circus approximans</w:t>
            </w:r>
          </w:p>
          <w:p w14:paraId="141E6413" w14:textId="77777777" w:rsidR="00A3563C" w:rsidRDefault="00A3563C" w:rsidP="00377F3A">
            <w:pPr>
              <w:pStyle w:val="TableText"/>
            </w:pPr>
            <w:r>
              <w:t>Phasianus colchicus</w:t>
            </w:r>
          </w:p>
          <w:p w14:paraId="6CF1F2A8" w14:textId="77777777" w:rsidR="00A3563C" w:rsidRDefault="00A3563C" w:rsidP="00377F3A">
            <w:pPr>
              <w:pStyle w:val="TableText"/>
            </w:pPr>
            <w:r>
              <w:t>Tadorna variegata</w:t>
            </w:r>
          </w:p>
        </w:tc>
        <w:tc>
          <w:tcPr>
            <w:tcW w:w="0" w:type="auto"/>
            <w:tcBorders>
              <w:top w:val="single" w:sz="4" w:space="0" w:color="auto"/>
              <w:left w:val="nil"/>
              <w:bottom w:val="nil"/>
              <w:right w:val="nil"/>
            </w:tcBorders>
          </w:tcPr>
          <w:p w14:paraId="18F71B5B" w14:textId="77777777" w:rsidR="00A3563C" w:rsidRDefault="00A3563C" w:rsidP="00377F3A">
            <w:pPr>
              <w:pStyle w:val="TableText"/>
            </w:pPr>
            <w:r>
              <w:t>LD</w:t>
            </w:r>
            <w:r w:rsidRPr="00DD6F1A">
              <w:rPr>
                <w:vertAlign w:val="subscript"/>
              </w:rPr>
              <w:t>50</w:t>
            </w:r>
            <w:r>
              <w:t xml:space="preserve"> 0.95 mg/kg bw</w:t>
            </w:r>
          </w:p>
          <w:p w14:paraId="5AE14381" w14:textId="77777777" w:rsidR="00A3563C" w:rsidRDefault="00A3563C" w:rsidP="00377F3A">
            <w:pPr>
              <w:pStyle w:val="TableText"/>
            </w:pPr>
            <w:r>
              <w:t>LD</w:t>
            </w:r>
            <w:r w:rsidRPr="00DD6F1A">
              <w:rPr>
                <w:vertAlign w:val="subscript"/>
              </w:rPr>
              <w:t>50</w:t>
            </w:r>
            <w:r>
              <w:t xml:space="preserve"> &gt;3.0 mg/kg bw</w:t>
            </w:r>
          </w:p>
          <w:p w14:paraId="0EE796B7" w14:textId="77777777" w:rsidR="00A3563C" w:rsidRDefault="00A3563C" w:rsidP="00377F3A">
            <w:pPr>
              <w:pStyle w:val="TableText"/>
            </w:pPr>
            <w:r>
              <w:t>LD</w:t>
            </w:r>
            <w:r w:rsidRPr="00DD6F1A">
              <w:rPr>
                <w:vertAlign w:val="subscript"/>
              </w:rPr>
              <w:t>50</w:t>
            </w:r>
            <w:r>
              <w:t xml:space="preserve"> &gt;3.0 mg/kg bw</w:t>
            </w:r>
          </w:p>
          <w:p w14:paraId="658D9EB4" w14:textId="77777777" w:rsidR="00A3563C" w:rsidRDefault="00A3563C" w:rsidP="00377F3A">
            <w:pPr>
              <w:pStyle w:val="TableText"/>
            </w:pPr>
            <w:r>
              <w:t>LD</w:t>
            </w:r>
            <w:r w:rsidRPr="00DD6F1A">
              <w:rPr>
                <w:vertAlign w:val="subscript"/>
              </w:rPr>
              <w:t>50</w:t>
            </w:r>
            <w:r>
              <w:t xml:space="preserve"> 3.3 mg/kg bw</w:t>
            </w:r>
          </w:p>
          <w:p w14:paraId="050E5063" w14:textId="77777777" w:rsidR="00A3563C" w:rsidRDefault="00A3563C" w:rsidP="00377F3A">
            <w:pPr>
              <w:pStyle w:val="TableText"/>
            </w:pPr>
            <w:r>
              <w:t>LD</w:t>
            </w:r>
            <w:r w:rsidRPr="00DD6F1A">
              <w:rPr>
                <w:vertAlign w:val="subscript"/>
              </w:rPr>
              <w:t>50</w:t>
            </w:r>
            <w:r>
              <w:t xml:space="preserve"> &gt;6.0 mg/kg bw</w:t>
            </w:r>
          </w:p>
          <w:p w14:paraId="112E9626" w14:textId="77777777" w:rsidR="00A3563C" w:rsidRDefault="00A3563C" w:rsidP="00377F3A">
            <w:pPr>
              <w:pStyle w:val="TableText"/>
            </w:pPr>
            <w:r>
              <w:t>LD</w:t>
            </w:r>
            <w:r w:rsidRPr="00DD6F1A">
              <w:rPr>
                <w:vertAlign w:val="subscript"/>
              </w:rPr>
              <w:t>50</w:t>
            </w:r>
            <w:r>
              <w:t xml:space="preserve"> &gt;6.0 mg/kg bw</w:t>
            </w:r>
          </w:p>
          <w:p w14:paraId="4342DB6A" w14:textId="77777777" w:rsidR="00A3563C" w:rsidRDefault="00A3563C" w:rsidP="00377F3A">
            <w:pPr>
              <w:pStyle w:val="TableText"/>
            </w:pPr>
            <w:r>
              <w:t>LD</w:t>
            </w:r>
            <w:r w:rsidRPr="00DD6F1A">
              <w:rPr>
                <w:vertAlign w:val="subscript"/>
              </w:rPr>
              <w:t>50</w:t>
            </w:r>
            <w:r>
              <w:t xml:space="preserve"> 10 mg/kg bw</w:t>
            </w:r>
          </w:p>
          <w:p w14:paraId="76E84067" w14:textId="77777777" w:rsidR="00A3563C" w:rsidRDefault="00A3563C" w:rsidP="00377F3A">
            <w:pPr>
              <w:pStyle w:val="TableText"/>
            </w:pPr>
            <w:r>
              <w:t>LD</w:t>
            </w:r>
            <w:r w:rsidRPr="00DD6F1A">
              <w:rPr>
                <w:vertAlign w:val="subscript"/>
              </w:rPr>
              <w:t>50</w:t>
            </w:r>
            <w:r>
              <w:t xml:space="preserve"> 10 mg/kg bw</w:t>
            </w:r>
          </w:p>
          <w:p w14:paraId="46FBB9E3" w14:textId="77777777" w:rsidR="00A3563C" w:rsidRDefault="00A3563C" w:rsidP="00377F3A">
            <w:pPr>
              <w:pStyle w:val="TableText"/>
            </w:pPr>
            <w:r>
              <w:t>LD</w:t>
            </w:r>
            <w:r w:rsidRPr="00DD6F1A">
              <w:rPr>
                <w:vertAlign w:val="subscript"/>
              </w:rPr>
              <w:t>50</w:t>
            </w:r>
            <w:r>
              <w:t xml:space="preserve"> &gt;20 mg/kg bw</w:t>
            </w:r>
          </w:p>
        </w:tc>
        <w:tc>
          <w:tcPr>
            <w:tcW w:w="0" w:type="auto"/>
            <w:tcBorders>
              <w:top w:val="single" w:sz="4" w:space="0" w:color="auto"/>
              <w:left w:val="nil"/>
              <w:bottom w:val="nil"/>
              <w:right w:val="nil"/>
            </w:tcBorders>
          </w:tcPr>
          <w:p w14:paraId="421706B7" w14:textId="77777777" w:rsidR="00A3563C" w:rsidRDefault="00A3563C" w:rsidP="00377F3A">
            <w:pPr>
              <w:pStyle w:val="TableText"/>
            </w:pPr>
            <w:r>
              <w:t>Godfrey 1985</w:t>
            </w:r>
          </w:p>
        </w:tc>
      </w:tr>
      <w:tr w:rsidR="00A3563C" w14:paraId="21FEEA72" w14:textId="77777777" w:rsidTr="00A3563C">
        <w:trPr>
          <w:cantSplit/>
        </w:trPr>
        <w:tc>
          <w:tcPr>
            <w:tcW w:w="0" w:type="auto"/>
            <w:tcBorders>
              <w:top w:val="nil"/>
              <w:left w:val="nil"/>
              <w:bottom w:val="nil"/>
              <w:right w:val="nil"/>
            </w:tcBorders>
          </w:tcPr>
          <w:p w14:paraId="0EEAEA10" w14:textId="77777777" w:rsidR="00A3563C" w:rsidRDefault="00A3563C" w:rsidP="00377F3A">
            <w:pPr>
              <w:pStyle w:val="TableText"/>
            </w:pPr>
          </w:p>
        </w:tc>
        <w:tc>
          <w:tcPr>
            <w:tcW w:w="0" w:type="auto"/>
            <w:tcBorders>
              <w:top w:val="nil"/>
              <w:left w:val="nil"/>
              <w:bottom w:val="nil"/>
              <w:right w:val="nil"/>
            </w:tcBorders>
          </w:tcPr>
          <w:p w14:paraId="65221D62" w14:textId="77777777" w:rsidR="00A3563C" w:rsidRDefault="00A3563C" w:rsidP="00377F3A">
            <w:pPr>
              <w:pStyle w:val="TableText"/>
            </w:pPr>
          </w:p>
        </w:tc>
        <w:tc>
          <w:tcPr>
            <w:tcW w:w="0" w:type="auto"/>
            <w:tcBorders>
              <w:top w:val="nil"/>
              <w:left w:val="nil"/>
              <w:bottom w:val="nil"/>
              <w:right w:val="nil"/>
            </w:tcBorders>
          </w:tcPr>
          <w:p w14:paraId="68CE33EE" w14:textId="77777777" w:rsidR="00A3563C" w:rsidRDefault="00A3563C" w:rsidP="00377F3A">
            <w:pPr>
              <w:pStyle w:val="TableText"/>
            </w:pPr>
            <w:r>
              <w:t>Anas platyrhynchos</w:t>
            </w:r>
          </w:p>
        </w:tc>
        <w:tc>
          <w:tcPr>
            <w:tcW w:w="0" w:type="auto"/>
            <w:tcBorders>
              <w:top w:val="nil"/>
              <w:left w:val="nil"/>
              <w:bottom w:val="nil"/>
              <w:right w:val="nil"/>
            </w:tcBorders>
          </w:tcPr>
          <w:p w14:paraId="49AB30EA" w14:textId="77777777" w:rsidR="00A3563C" w:rsidRDefault="00A3563C" w:rsidP="00377F3A">
            <w:pPr>
              <w:pStyle w:val="TableText"/>
            </w:pPr>
            <w:r>
              <w:t>LD</w:t>
            </w:r>
            <w:r w:rsidRPr="005A1240">
              <w:rPr>
                <w:vertAlign w:val="subscript"/>
              </w:rPr>
              <w:t>50</w:t>
            </w:r>
            <w:r>
              <w:t xml:space="preserve"> 0.31 mg/kg bw</w:t>
            </w:r>
          </w:p>
        </w:tc>
        <w:tc>
          <w:tcPr>
            <w:tcW w:w="0" w:type="auto"/>
            <w:tcBorders>
              <w:top w:val="nil"/>
              <w:left w:val="nil"/>
              <w:bottom w:val="nil"/>
              <w:right w:val="nil"/>
            </w:tcBorders>
          </w:tcPr>
          <w:p w14:paraId="478059B9" w14:textId="5CD55A30" w:rsidR="00A3563C" w:rsidRDefault="00A3563C" w:rsidP="00377F3A">
            <w:pPr>
              <w:pStyle w:val="TableText"/>
            </w:pPr>
            <w:r>
              <w:t xml:space="preserve">Ross </w:t>
            </w:r>
            <w:r w:rsidR="00B7183A" w:rsidRPr="00B7183A">
              <w:rPr>
                <w:i/>
                <w:iCs/>
              </w:rPr>
              <w:t>et al</w:t>
            </w:r>
            <w:r>
              <w:t>. 1980</w:t>
            </w:r>
          </w:p>
        </w:tc>
      </w:tr>
      <w:tr w:rsidR="00A3563C" w14:paraId="217047AC" w14:textId="77777777" w:rsidTr="00A3563C">
        <w:trPr>
          <w:cantSplit/>
        </w:trPr>
        <w:tc>
          <w:tcPr>
            <w:tcW w:w="0" w:type="auto"/>
            <w:tcBorders>
              <w:top w:val="nil"/>
              <w:left w:val="nil"/>
              <w:bottom w:val="nil"/>
              <w:right w:val="nil"/>
            </w:tcBorders>
          </w:tcPr>
          <w:p w14:paraId="5E0AD6CC" w14:textId="77777777" w:rsidR="00A3563C" w:rsidRDefault="00A3563C" w:rsidP="00377F3A">
            <w:pPr>
              <w:pStyle w:val="TableText"/>
            </w:pPr>
          </w:p>
        </w:tc>
        <w:tc>
          <w:tcPr>
            <w:tcW w:w="0" w:type="auto"/>
            <w:tcBorders>
              <w:top w:val="nil"/>
              <w:left w:val="nil"/>
              <w:bottom w:val="nil"/>
              <w:right w:val="nil"/>
            </w:tcBorders>
          </w:tcPr>
          <w:p w14:paraId="60DF2A52" w14:textId="77777777" w:rsidR="00A3563C" w:rsidRDefault="00A3563C" w:rsidP="00377F3A">
            <w:pPr>
              <w:pStyle w:val="TableText"/>
            </w:pPr>
          </w:p>
        </w:tc>
        <w:tc>
          <w:tcPr>
            <w:tcW w:w="0" w:type="auto"/>
            <w:tcBorders>
              <w:top w:val="nil"/>
              <w:left w:val="nil"/>
              <w:bottom w:val="nil"/>
              <w:right w:val="nil"/>
            </w:tcBorders>
          </w:tcPr>
          <w:p w14:paraId="6C67804D" w14:textId="77777777" w:rsidR="00A3563C" w:rsidRDefault="00A3563C" w:rsidP="00377F3A">
            <w:pPr>
              <w:pStyle w:val="TableText"/>
            </w:pPr>
          </w:p>
        </w:tc>
        <w:tc>
          <w:tcPr>
            <w:tcW w:w="0" w:type="auto"/>
            <w:tcBorders>
              <w:top w:val="nil"/>
              <w:left w:val="nil"/>
              <w:bottom w:val="nil"/>
              <w:right w:val="nil"/>
            </w:tcBorders>
          </w:tcPr>
          <w:p w14:paraId="59B1F51E" w14:textId="77777777" w:rsidR="00A3563C" w:rsidRDefault="00A3563C" w:rsidP="00377F3A">
            <w:pPr>
              <w:pStyle w:val="TableText"/>
            </w:pPr>
            <w:r>
              <w:t>LD</w:t>
            </w:r>
            <w:r w:rsidRPr="00DD6F1A">
              <w:rPr>
                <w:vertAlign w:val="subscript"/>
              </w:rPr>
              <w:t>50</w:t>
            </w:r>
            <w:r>
              <w:t xml:space="preserve"> 4.6 mg/kg bw</w:t>
            </w:r>
          </w:p>
        </w:tc>
        <w:tc>
          <w:tcPr>
            <w:tcW w:w="0" w:type="auto"/>
            <w:tcBorders>
              <w:top w:val="nil"/>
              <w:left w:val="nil"/>
              <w:bottom w:val="nil"/>
              <w:right w:val="nil"/>
            </w:tcBorders>
          </w:tcPr>
          <w:p w14:paraId="1B157683" w14:textId="77777777" w:rsidR="00A3563C" w:rsidRDefault="00A3563C" w:rsidP="00377F3A">
            <w:pPr>
              <w:pStyle w:val="TableText"/>
            </w:pPr>
            <w:r>
              <w:t>Godfrey 1985</w:t>
            </w:r>
          </w:p>
        </w:tc>
      </w:tr>
      <w:tr w:rsidR="00A3563C" w14:paraId="1B3D5EA8" w14:textId="77777777" w:rsidTr="00A3563C">
        <w:trPr>
          <w:cantSplit/>
        </w:trPr>
        <w:tc>
          <w:tcPr>
            <w:tcW w:w="0" w:type="auto"/>
            <w:tcBorders>
              <w:top w:val="nil"/>
              <w:left w:val="nil"/>
              <w:bottom w:val="nil"/>
              <w:right w:val="nil"/>
            </w:tcBorders>
          </w:tcPr>
          <w:p w14:paraId="50F2F227" w14:textId="77777777" w:rsidR="00A3563C" w:rsidRDefault="00A3563C" w:rsidP="00377F3A">
            <w:pPr>
              <w:pStyle w:val="TableText"/>
            </w:pPr>
          </w:p>
        </w:tc>
        <w:tc>
          <w:tcPr>
            <w:tcW w:w="0" w:type="auto"/>
            <w:tcBorders>
              <w:top w:val="nil"/>
              <w:left w:val="nil"/>
              <w:bottom w:val="nil"/>
              <w:right w:val="nil"/>
            </w:tcBorders>
          </w:tcPr>
          <w:p w14:paraId="1340AAB2" w14:textId="77777777" w:rsidR="00A3563C" w:rsidRDefault="00A3563C" w:rsidP="00377F3A">
            <w:pPr>
              <w:pStyle w:val="TableText"/>
            </w:pPr>
          </w:p>
        </w:tc>
        <w:tc>
          <w:tcPr>
            <w:tcW w:w="0" w:type="auto"/>
            <w:tcBorders>
              <w:top w:val="nil"/>
              <w:left w:val="nil"/>
              <w:bottom w:val="nil"/>
              <w:right w:val="nil"/>
            </w:tcBorders>
          </w:tcPr>
          <w:p w14:paraId="32E1310D" w14:textId="77777777" w:rsidR="00A3563C" w:rsidRDefault="00A3563C" w:rsidP="00377F3A">
            <w:pPr>
              <w:pStyle w:val="TableText"/>
            </w:pPr>
            <w:r>
              <w:t>Gallus domesticus</w:t>
            </w:r>
          </w:p>
        </w:tc>
        <w:tc>
          <w:tcPr>
            <w:tcW w:w="0" w:type="auto"/>
            <w:tcBorders>
              <w:top w:val="nil"/>
              <w:left w:val="nil"/>
              <w:bottom w:val="nil"/>
              <w:right w:val="nil"/>
            </w:tcBorders>
          </w:tcPr>
          <w:p w14:paraId="04239705" w14:textId="77777777" w:rsidR="00A3563C" w:rsidRDefault="00A3563C" w:rsidP="00377F3A">
            <w:pPr>
              <w:pStyle w:val="TableText"/>
            </w:pPr>
            <w:r>
              <w:t>LD</w:t>
            </w:r>
            <w:r w:rsidRPr="00807AE0">
              <w:rPr>
                <w:vertAlign w:val="subscript"/>
              </w:rPr>
              <w:t>50</w:t>
            </w:r>
            <w:r>
              <w:t xml:space="preserve"> 4.5 mg/kg bw</w:t>
            </w:r>
          </w:p>
        </w:tc>
        <w:tc>
          <w:tcPr>
            <w:tcW w:w="0" w:type="auto"/>
            <w:tcBorders>
              <w:top w:val="nil"/>
              <w:left w:val="nil"/>
              <w:bottom w:val="nil"/>
              <w:right w:val="nil"/>
            </w:tcBorders>
          </w:tcPr>
          <w:p w14:paraId="64653F61" w14:textId="7FF1D0C1" w:rsidR="00A3563C" w:rsidRDefault="00A3563C" w:rsidP="00377F3A">
            <w:pPr>
              <w:pStyle w:val="TableText"/>
            </w:pPr>
            <w:r>
              <w:t xml:space="preserve">Ross </w:t>
            </w:r>
            <w:r w:rsidR="00B7183A" w:rsidRPr="00B7183A">
              <w:rPr>
                <w:i/>
                <w:iCs/>
              </w:rPr>
              <w:t>et al</w:t>
            </w:r>
            <w:r>
              <w:t>. 1977a</w:t>
            </w:r>
          </w:p>
        </w:tc>
      </w:tr>
      <w:tr w:rsidR="00A3563C" w:rsidRPr="000B2FA7" w14:paraId="68ACA7D2" w14:textId="77777777" w:rsidTr="00A3563C">
        <w:trPr>
          <w:cantSplit/>
        </w:trPr>
        <w:tc>
          <w:tcPr>
            <w:tcW w:w="0" w:type="auto"/>
            <w:tcBorders>
              <w:top w:val="nil"/>
              <w:left w:val="nil"/>
              <w:bottom w:val="nil"/>
              <w:right w:val="nil"/>
            </w:tcBorders>
          </w:tcPr>
          <w:p w14:paraId="6CD102B6" w14:textId="77777777" w:rsidR="00A3563C" w:rsidRDefault="00A3563C" w:rsidP="00377F3A">
            <w:pPr>
              <w:pStyle w:val="TableText"/>
            </w:pPr>
          </w:p>
        </w:tc>
        <w:tc>
          <w:tcPr>
            <w:tcW w:w="0" w:type="auto"/>
            <w:tcBorders>
              <w:top w:val="nil"/>
              <w:left w:val="nil"/>
              <w:bottom w:val="nil"/>
              <w:right w:val="nil"/>
            </w:tcBorders>
          </w:tcPr>
          <w:p w14:paraId="2961FC80" w14:textId="77777777" w:rsidR="00A3563C" w:rsidRDefault="00A3563C" w:rsidP="00377F3A">
            <w:pPr>
              <w:pStyle w:val="TableText"/>
            </w:pPr>
          </w:p>
        </w:tc>
        <w:tc>
          <w:tcPr>
            <w:tcW w:w="0" w:type="auto"/>
            <w:tcBorders>
              <w:top w:val="nil"/>
              <w:left w:val="nil"/>
              <w:bottom w:val="nil"/>
              <w:right w:val="nil"/>
            </w:tcBorders>
          </w:tcPr>
          <w:p w14:paraId="2F20820F" w14:textId="77777777" w:rsidR="00A3563C" w:rsidRDefault="00A3563C" w:rsidP="00377F3A">
            <w:pPr>
              <w:pStyle w:val="TableText"/>
            </w:pPr>
            <w:r>
              <w:t>Coturnix japonica</w:t>
            </w:r>
          </w:p>
        </w:tc>
        <w:tc>
          <w:tcPr>
            <w:tcW w:w="0" w:type="auto"/>
            <w:tcBorders>
              <w:top w:val="nil"/>
              <w:left w:val="nil"/>
              <w:bottom w:val="nil"/>
              <w:right w:val="nil"/>
            </w:tcBorders>
          </w:tcPr>
          <w:p w14:paraId="0D2A3ED6" w14:textId="77777777" w:rsidR="00A3563C" w:rsidRDefault="00A3563C" w:rsidP="00377F3A">
            <w:pPr>
              <w:pStyle w:val="TableText"/>
            </w:pPr>
            <w:r>
              <w:t>LD</w:t>
            </w:r>
            <w:r w:rsidRPr="002D0398">
              <w:rPr>
                <w:vertAlign w:val="subscript"/>
              </w:rPr>
              <w:t>50</w:t>
            </w:r>
            <w:r>
              <w:t xml:space="preserve"> 12 mg/kg bw</w:t>
            </w:r>
          </w:p>
        </w:tc>
        <w:tc>
          <w:tcPr>
            <w:tcW w:w="0" w:type="auto"/>
            <w:tcBorders>
              <w:top w:val="nil"/>
              <w:left w:val="nil"/>
              <w:bottom w:val="nil"/>
              <w:right w:val="nil"/>
            </w:tcBorders>
          </w:tcPr>
          <w:p w14:paraId="28B952DD" w14:textId="7AE27CD6" w:rsidR="00A3563C" w:rsidRPr="001616E7" w:rsidRDefault="00A3563C" w:rsidP="00377F3A">
            <w:pPr>
              <w:pStyle w:val="TableText"/>
            </w:pPr>
            <w:r>
              <w:t xml:space="preserve">Ross </w:t>
            </w:r>
            <w:r w:rsidR="00B7183A" w:rsidRPr="00B7183A">
              <w:rPr>
                <w:i/>
                <w:iCs/>
              </w:rPr>
              <w:t>et al</w:t>
            </w:r>
            <w:r>
              <w:t>. 1977b</w:t>
            </w:r>
          </w:p>
        </w:tc>
      </w:tr>
      <w:tr w:rsidR="00A3563C" w:rsidRPr="000B2FA7" w14:paraId="0585E22D" w14:textId="77777777" w:rsidTr="00A3563C">
        <w:trPr>
          <w:cantSplit/>
        </w:trPr>
        <w:tc>
          <w:tcPr>
            <w:tcW w:w="0" w:type="auto"/>
            <w:tcBorders>
              <w:top w:val="nil"/>
              <w:left w:val="nil"/>
              <w:bottom w:val="nil"/>
              <w:right w:val="nil"/>
            </w:tcBorders>
          </w:tcPr>
          <w:p w14:paraId="541F6860" w14:textId="77777777" w:rsidR="00A3563C" w:rsidRDefault="00A3563C" w:rsidP="00377F3A">
            <w:pPr>
              <w:pStyle w:val="TableText"/>
            </w:pPr>
          </w:p>
        </w:tc>
        <w:tc>
          <w:tcPr>
            <w:tcW w:w="0" w:type="auto"/>
            <w:tcBorders>
              <w:top w:val="nil"/>
              <w:left w:val="nil"/>
              <w:bottom w:val="nil"/>
              <w:right w:val="nil"/>
            </w:tcBorders>
          </w:tcPr>
          <w:p w14:paraId="53F40F0E" w14:textId="77777777" w:rsidR="00A3563C" w:rsidRDefault="00A3563C" w:rsidP="00377F3A">
            <w:pPr>
              <w:pStyle w:val="TableText"/>
            </w:pPr>
          </w:p>
        </w:tc>
        <w:tc>
          <w:tcPr>
            <w:tcW w:w="0" w:type="auto"/>
            <w:tcBorders>
              <w:top w:val="nil"/>
              <w:left w:val="nil"/>
              <w:bottom w:val="nil"/>
              <w:right w:val="nil"/>
            </w:tcBorders>
          </w:tcPr>
          <w:p w14:paraId="54F2604E" w14:textId="77777777" w:rsidR="00A3563C" w:rsidRDefault="00A3563C" w:rsidP="00377F3A">
            <w:pPr>
              <w:pStyle w:val="TableText"/>
            </w:pPr>
          </w:p>
        </w:tc>
        <w:tc>
          <w:tcPr>
            <w:tcW w:w="0" w:type="auto"/>
            <w:tcBorders>
              <w:top w:val="nil"/>
              <w:left w:val="nil"/>
              <w:bottom w:val="nil"/>
              <w:right w:val="nil"/>
            </w:tcBorders>
          </w:tcPr>
          <w:p w14:paraId="71657077" w14:textId="77777777" w:rsidR="00A3563C" w:rsidRPr="00CA558C" w:rsidRDefault="00A3563C" w:rsidP="00377F3A">
            <w:pPr>
              <w:pStyle w:val="TableText"/>
            </w:pPr>
            <w:r>
              <w:t>LD</w:t>
            </w:r>
            <w:r w:rsidRPr="002D0398">
              <w:rPr>
                <w:vertAlign w:val="subscript"/>
              </w:rPr>
              <w:t>50</w:t>
            </w:r>
            <w:r>
              <w:t xml:space="preserve"> 19 mg/kg bw</w:t>
            </w:r>
          </w:p>
        </w:tc>
        <w:tc>
          <w:tcPr>
            <w:tcW w:w="0" w:type="auto"/>
            <w:tcBorders>
              <w:top w:val="nil"/>
              <w:left w:val="nil"/>
              <w:bottom w:val="nil"/>
              <w:right w:val="nil"/>
            </w:tcBorders>
          </w:tcPr>
          <w:p w14:paraId="5B988728" w14:textId="77777777" w:rsidR="00A3563C" w:rsidRDefault="00A3563C" w:rsidP="00377F3A">
            <w:pPr>
              <w:pStyle w:val="TableText"/>
            </w:pPr>
            <w:r w:rsidRPr="001616E7">
              <w:t>Gáty</w:t>
            </w:r>
            <w:r>
              <w:t xml:space="preserve"> 2005a</w:t>
            </w:r>
          </w:p>
        </w:tc>
      </w:tr>
      <w:tr w:rsidR="00A3563C" w:rsidRPr="000B2FA7" w14:paraId="5B3C2DCC" w14:textId="77777777" w:rsidTr="00A3563C">
        <w:trPr>
          <w:cantSplit/>
        </w:trPr>
        <w:tc>
          <w:tcPr>
            <w:tcW w:w="0" w:type="auto"/>
            <w:tcBorders>
              <w:top w:val="nil"/>
              <w:left w:val="nil"/>
              <w:bottom w:val="nil"/>
              <w:right w:val="nil"/>
            </w:tcBorders>
          </w:tcPr>
          <w:p w14:paraId="1F4B9737" w14:textId="77777777" w:rsidR="00A3563C" w:rsidRDefault="00A3563C" w:rsidP="00377F3A">
            <w:pPr>
              <w:pStyle w:val="TableText"/>
            </w:pPr>
          </w:p>
        </w:tc>
        <w:tc>
          <w:tcPr>
            <w:tcW w:w="0" w:type="auto"/>
            <w:tcBorders>
              <w:top w:val="nil"/>
              <w:left w:val="nil"/>
              <w:bottom w:val="nil"/>
              <w:right w:val="nil"/>
            </w:tcBorders>
          </w:tcPr>
          <w:p w14:paraId="31F4E14A" w14:textId="77777777" w:rsidR="00A3563C" w:rsidRDefault="00A3563C" w:rsidP="00377F3A">
            <w:pPr>
              <w:pStyle w:val="TableText"/>
            </w:pPr>
            <w:r>
              <w:t>Dietary</w:t>
            </w:r>
          </w:p>
        </w:tc>
        <w:tc>
          <w:tcPr>
            <w:tcW w:w="0" w:type="auto"/>
            <w:tcBorders>
              <w:top w:val="nil"/>
              <w:left w:val="nil"/>
              <w:bottom w:val="nil"/>
              <w:right w:val="nil"/>
            </w:tcBorders>
          </w:tcPr>
          <w:p w14:paraId="1A73923A" w14:textId="77777777" w:rsidR="00A3563C" w:rsidRDefault="00A3563C" w:rsidP="00377F3A">
            <w:pPr>
              <w:pStyle w:val="TableText"/>
            </w:pPr>
            <w:r>
              <w:t>Larus atricilla</w:t>
            </w:r>
          </w:p>
        </w:tc>
        <w:tc>
          <w:tcPr>
            <w:tcW w:w="0" w:type="auto"/>
            <w:tcBorders>
              <w:top w:val="nil"/>
              <w:left w:val="nil"/>
              <w:bottom w:val="nil"/>
              <w:right w:val="nil"/>
            </w:tcBorders>
          </w:tcPr>
          <w:p w14:paraId="5EBD7357" w14:textId="77777777" w:rsidR="00A3563C" w:rsidRDefault="00A3563C" w:rsidP="00377F3A">
            <w:pPr>
              <w:pStyle w:val="TableText"/>
            </w:pPr>
            <w:r>
              <w:t>LC</w:t>
            </w:r>
            <w:r w:rsidRPr="005A1240">
              <w:rPr>
                <w:vertAlign w:val="subscript"/>
              </w:rPr>
              <w:t>50</w:t>
            </w:r>
            <w:r>
              <w:t xml:space="preserve"> 1.6 mg/kg food</w:t>
            </w:r>
          </w:p>
        </w:tc>
        <w:tc>
          <w:tcPr>
            <w:tcW w:w="0" w:type="auto"/>
            <w:tcBorders>
              <w:top w:val="nil"/>
              <w:left w:val="nil"/>
              <w:bottom w:val="nil"/>
              <w:right w:val="nil"/>
            </w:tcBorders>
          </w:tcPr>
          <w:p w14:paraId="24FEBA42" w14:textId="77777777" w:rsidR="00A3563C" w:rsidRDefault="00A3563C" w:rsidP="00377F3A">
            <w:pPr>
              <w:pStyle w:val="TableText"/>
            </w:pPr>
            <w:r>
              <w:t>Grimes &amp; Fink 1979</w:t>
            </w:r>
          </w:p>
        </w:tc>
      </w:tr>
      <w:tr w:rsidR="00A3563C" w:rsidRPr="000B2FA7" w14:paraId="247DF75B" w14:textId="77777777" w:rsidTr="00A3563C">
        <w:trPr>
          <w:cantSplit/>
        </w:trPr>
        <w:tc>
          <w:tcPr>
            <w:tcW w:w="0" w:type="auto"/>
            <w:tcBorders>
              <w:top w:val="nil"/>
              <w:left w:val="nil"/>
              <w:bottom w:val="nil"/>
              <w:right w:val="nil"/>
            </w:tcBorders>
          </w:tcPr>
          <w:p w14:paraId="102BBA9D" w14:textId="77777777" w:rsidR="00A3563C" w:rsidRDefault="00A3563C" w:rsidP="00377F3A">
            <w:pPr>
              <w:pStyle w:val="TableText"/>
            </w:pPr>
          </w:p>
        </w:tc>
        <w:tc>
          <w:tcPr>
            <w:tcW w:w="0" w:type="auto"/>
            <w:tcBorders>
              <w:top w:val="nil"/>
              <w:left w:val="nil"/>
              <w:bottom w:val="nil"/>
              <w:right w:val="nil"/>
            </w:tcBorders>
          </w:tcPr>
          <w:p w14:paraId="78A2D6A0" w14:textId="77777777" w:rsidR="00A3563C" w:rsidRDefault="00A3563C" w:rsidP="00377F3A">
            <w:pPr>
              <w:pStyle w:val="TableText"/>
            </w:pPr>
          </w:p>
        </w:tc>
        <w:tc>
          <w:tcPr>
            <w:tcW w:w="0" w:type="auto"/>
            <w:tcBorders>
              <w:top w:val="nil"/>
              <w:left w:val="nil"/>
              <w:bottom w:val="nil"/>
              <w:right w:val="nil"/>
            </w:tcBorders>
          </w:tcPr>
          <w:p w14:paraId="1A109DCE" w14:textId="77777777" w:rsidR="00A3563C" w:rsidRDefault="00A3563C" w:rsidP="00377F3A">
            <w:pPr>
              <w:pStyle w:val="TableText"/>
            </w:pPr>
            <w:r>
              <w:t>Colinus virginianus</w:t>
            </w:r>
          </w:p>
        </w:tc>
        <w:tc>
          <w:tcPr>
            <w:tcW w:w="0" w:type="auto"/>
            <w:tcBorders>
              <w:top w:val="nil"/>
              <w:left w:val="nil"/>
              <w:bottom w:val="nil"/>
              <w:right w:val="nil"/>
            </w:tcBorders>
          </w:tcPr>
          <w:p w14:paraId="0A82AE0C" w14:textId="77777777" w:rsidR="00A3563C" w:rsidRDefault="00A3563C" w:rsidP="00377F3A">
            <w:pPr>
              <w:pStyle w:val="TableText"/>
            </w:pPr>
            <w:r>
              <w:t>LC</w:t>
            </w:r>
            <w:r w:rsidRPr="000E2FCF">
              <w:rPr>
                <w:vertAlign w:val="subscript"/>
              </w:rPr>
              <w:t>50</w:t>
            </w:r>
            <w:r>
              <w:t xml:space="preserve"> 201 mg/kg food</w:t>
            </w:r>
          </w:p>
        </w:tc>
        <w:tc>
          <w:tcPr>
            <w:tcW w:w="0" w:type="auto"/>
            <w:tcBorders>
              <w:top w:val="nil"/>
              <w:left w:val="nil"/>
              <w:bottom w:val="nil"/>
              <w:right w:val="nil"/>
            </w:tcBorders>
          </w:tcPr>
          <w:p w14:paraId="525BBD67" w14:textId="77777777" w:rsidR="00A3563C" w:rsidRDefault="00A3563C" w:rsidP="00377F3A">
            <w:pPr>
              <w:pStyle w:val="TableText"/>
            </w:pPr>
            <w:r>
              <w:t>Fink 1976d</w:t>
            </w:r>
          </w:p>
        </w:tc>
      </w:tr>
      <w:tr w:rsidR="00A3563C" w:rsidRPr="000B2FA7" w14:paraId="59371955" w14:textId="77777777" w:rsidTr="00B24917">
        <w:trPr>
          <w:cantSplit/>
        </w:trPr>
        <w:tc>
          <w:tcPr>
            <w:tcW w:w="0" w:type="auto"/>
            <w:tcBorders>
              <w:top w:val="nil"/>
              <w:left w:val="nil"/>
              <w:bottom w:val="nil"/>
              <w:right w:val="nil"/>
            </w:tcBorders>
          </w:tcPr>
          <w:p w14:paraId="4C849D42" w14:textId="77777777"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nil"/>
              <w:right w:val="nil"/>
            </w:tcBorders>
          </w:tcPr>
          <w:p w14:paraId="1691D4AE" w14:textId="77777777"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nil"/>
              <w:right w:val="nil"/>
            </w:tcBorders>
          </w:tcPr>
          <w:p w14:paraId="7398D9AB" w14:textId="77777777" w:rsidR="00A3563C" w:rsidRDefault="00A3563C" w:rsidP="000B24BE">
            <w:pPr>
              <w:pStyle w:val="BodyText"/>
              <w:widowControl w:val="0"/>
              <w:spacing w:after="0"/>
              <w:rPr>
                <w:rFonts w:ascii="Arial" w:hAnsi="Arial" w:cs="Arial"/>
                <w:i/>
                <w:iCs/>
                <w:sz w:val="17"/>
                <w:szCs w:val="17"/>
              </w:rPr>
            </w:pPr>
            <w:r>
              <w:rPr>
                <w:rFonts w:ascii="Arial" w:hAnsi="Arial" w:cs="Arial"/>
                <w:i/>
                <w:iCs/>
                <w:sz w:val="17"/>
                <w:szCs w:val="17"/>
              </w:rPr>
              <w:t>Anas platyrhynchos</w:t>
            </w:r>
          </w:p>
        </w:tc>
        <w:tc>
          <w:tcPr>
            <w:tcW w:w="0" w:type="auto"/>
            <w:tcBorders>
              <w:top w:val="nil"/>
              <w:left w:val="nil"/>
              <w:bottom w:val="nil"/>
              <w:right w:val="nil"/>
            </w:tcBorders>
          </w:tcPr>
          <w:p w14:paraId="49E379BE" w14:textId="77777777" w:rsidR="00A3563C" w:rsidRDefault="00A3563C" w:rsidP="000B24BE">
            <w:pPr>
              <w:pStyle w:val="BodyText"/>
              <w:widowControl w:val="0"/>
              <w:spacing w:after="0"/>
              <w:jc w:val="right"/>
              <w:rPr>
                <w:rFonts w:ascii="Arial" w:hAnsi="Arial" w:cs="Arial"/>
                <w:sz w:val="17"/>
                <w:szCs w:val="17"/>
              </w:rPr>
            </w:pPr>
            <w:r>
              <w:rPr>
                <w:rFonts w:ascii="Arial" w:hAnsi="Arial" w:cs="Arial"/>
                <w:sz w:val="17"/>
                <w:szCs w:val="17"/>
              </w:rPr>
              <w:t>LC</w:t>
            </w:r>
            <w:r w:rsidRPr="00327592">
              <w:rPr>
                <w:rFonts w:ascii="Arial" w:hAnsi="Arial" w:cs="Arial"/>
                <w:sz w:val="17"/>
                <w:szCs w:val="17"/>
                <w:vertAlign w:val="subscript"/>
              </w:rPr>
              <w:t>50</w:t>
            </w:r>
            <w:r>
              <w:rPr>
                <w:rFonts w:ascii="Arial" w:hAnsi="Arial" w:cs="Arial"/>
                <w:sz w:val="17"/>
                <w:szCs w:val="17"/>
              </w:rPr>
              <w:t xml:space="preserve"> 2.7 mg/kg food</w:t>
            </w:r>
          </w:p>
        </w:tc>
        <w:tc>
          <w:tcPr>
            <w:tcW w:w="0" w:type="auto"/>
            <w:tcBorders>
              <w:top w:val="nil"/>
              <w:left w:val="nil"/>
              <w:bottom w:val="nil"/>
              <w:right w:val="nil"/>
            </w:tcBorders>
          </w:tcPr>
          <w:p w14:paraId="36C25B58" w14:textId="77777777" w:rsidR="00A3563C" w:rsidRPr="001616E7" w:rsidRDefault="00A3563C" w:rsidP="000B24BE">
            <w:pPr>
              <w:pStyle w:val="BodyText"/>
              <w:widowControl w:val="0"/>
              <w:spacing w:after="0"/>
              <w:rPr>
                <w:rFonts w:ascii="Arial" w:hAnsi="Arial" w:cs="Arial"/>
                <w:sz w:val="17"/>
                <w:szCs w:val="17"/>
              </w:rPr>
            </w:pPr>
            <w:r>
              <w:rPr>
                <w:rFonts w:ascii="Arial" w:hAnsi="Arial" w:cs="Arial"/>
                <w:sz w:val="17"/>
                <w:szCs w:val="17"/>
              </w:rPr>
              <w:t>Beavers &amp; Fink 1978</w:t>
            </w:r>
          </w:p>
        </w:tc>
      </w:tr>
      <w:tr w:rsidR="00A3563C" w:rsidRPr="000B2FA7" w14:paraId="480AD1D9" w14:textId="77777777" w:rsidTr="00B24917">
        <w:trPr>
          <w:cantSplit/>
        </w:trPr>
        <w:tc>
          <w:tcPr>
            <w:tcW w:w="0" w:type="auto"/>
            <w:tcBorders>
              <w:top w:val="nil"/>
              <w:left w:val="nil"/>
              <w:bottom w:val="single" w:sz="4" w:space="0" w:color="auto"/>
              <w:right w:val="nil"/>
            </w:tcBorders>
          </w:tcPr>
          <w:p w14:paraId="20C5BFA3" w14:textId="77777777"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5D55A110" w14:textId="77777777"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3910BC47" w14:textId="77777777" w:rsidR="00A3563C" w:rsidRDefault="00A3563C" w:rsidP="000B24BE">
            <w:pPr>
              <w:pStyle w:val="BodyText"/>
              <w:widowControl w:val="0"/>
              <w:spacing w:after="0"/>
              <w:rPr>
                <w:rFonts w:ascii="Arial" w:hAnsi="Arial" w:cs="Arial"/>
                <w:i/>
                <w:iCs/>
                <w:sz w:val="17"/>
                <w:szCs w:val="17"/>
              </w:rPr>
            </w:pPr>
          </w:p>
        </w:tc>
        <w:tc>
          <w:tcPr>
            <w:tcW w:w="0" w:type="auto"/>
            <w:tcBorders>
              <w:top w:val="nil"/>
              <w:left w:val="nil"/>
              <w:bottom w:val="single" w:sz="4" w:space="0" w:color="auto"/>
              <w:right w:val="nil"/>
            </w:tcBorders>
          </w:tcPr>
          <w:p w14:paraId="5213C4FC" w14:textId="77777777" w:rsidR="00A3563C" w:rsidRDefault="00A3563C" w:rsidP="000B24BE">
            <w:pPr>
              <w:pStyle w:val="BodyText"/>
              <w:widowControl w:val="0"/>
              <w:tabs>
                <w:tab w:val="left" w:pos="1368"/>
              </w:tabs>
              <w:spacing w:after="0"/>
              <w:jc w:val="right"/>
              <w:rPr>
                <w:rFonts w:ascii="Arial" w:hAnsi="Arial" w:cs="Arial"/>
                <w:sz w:val="17"/>
                <w:szCs w:val="17"/>
              </w:rPr>
            </w:pPr>
            <w:r>
              <w:rPr>
                <w:rFonts w:ascii="Arial" w:hAnsi="Arial" w:cs="Arial"/>
                <w:sz w:val="17"/>
                <w:szCs w:val="17"/>
              </w:rPr>
              <w:t>LC</w:t>
            </w:r>
            <w:r w:rsidRPr="000E2FCF">
              <w:rPr>
                <w:rFonts w:ascii="Arial" w:hAnsi="Arial" w:cs="Arial"/>
                <w:sz w:val="17"/>
                <w:szCs w:val="17"/>
                <w:vertAlign w:val="subscript"/>
              </w:rPr>
              <w:t>50</w:t>
            </w:r>
            <w:r>
              <w:rPr>
                <w:rFonts w:ascii="Arial" w:hAnsi="Arial" w:cs="Arial"/>
                <w:sz w:val="17"/>
                <w:szCs w:val="17"/>
              </w:rPr>
              <w:t xml:space="preserve"> 778 mg/kg food</w:t>
            </w:r>
          </w:p>
        </w:tc>
        <w:tc>
          <w:tcPr>
            <w:tcW w:w="0" w:type="auto"/>
            <w:tcBorders>
              <w:top w:val="nil"/>
              <w:left w:val="nil"/>
              <w:bottom w:val="single" w:sz="4" w:space="0" w:color="auto"/>
              <w:right w:val="nil"/>
            </w:tcBorders>
          </w:tcPr>
          <w:p w14:paraId="5B78E58A" w14:textId="77777777" w:rsidR="00A3563C" w:rsidRDefault="00A3563C" w:rsidP="000B24BE">
            <w:pPr>
              <w:pStyle w:val="BodyText"/>
              <w:widowControl w:val="0"/>
              <w:spacing w:after="0"/>
              <w:rPr>
                <w:rFonts w:ascii="Arial" w:hAnsi="Arial" w:cs="Arial"/>
                <w:sz w:val="17"/>
                <w:szCs w:val="17"/>
              </w:rPr>
            </w:pPr>
            <w:r>
              <w:rPr>
                <w:rFonts w:ascii="Arial" w:hAnsi="Arial" w:cs="Arial"/>
                <w:sz w:val="17"/>
                <w:szCs w:val="17"/>
              </w:rPr>
              <w:t>Fink 1976e</w:t>
            </w:r>
          </w:p>
        </w:tc>
      </w:tr>
      <w:tr w:rsidR="00A3563C" w:rsidRPr="000B2FA7" w14:paraId="1C6105B9" w14:textId="77777777" w:rsidTr="00B24917">
        <w:trPr>
          <w:cantSplit/>
        </w:trPr>
        <w:tc>
          <w:tcPr>
            <w:tcW w:w="0" w:type="auto"/>
            <w:tcBorders>
              <w:top w:val="single" w:sz="4" w:space="0" w:color="auto"/>
              <w:left w:val="nil"/>
              <w:bottom w:val="nil"/>
              <w:right w:val="nil"/>
            </w:tcBorders>
          </w:tcPr>
          <w:p w14:paraId="32E7F114" w14:textId="77777777" w:rsidR="00A3563C" w:rsidRDefault="00A3563C" w:rsidP="000B24BE">
            <w:pPr>
              <w:pStyle w:val="BodyText"/>
              <w:widowControl w:val="0"/>
              <w:spacing w:after="0"/>
              <w:rPr>
                <w:rFonts w:ascii="Arial" w:hAnsi="Arial" w:cs="Arial"/>
                <w:sz w:val="17"/>
                <w:szCs w:val="17"/>
              </w:rPr>
            </w:pPr>
            <w:r>
              <w:rPr>
                <w:rFonts w:ascii="Arial" w:hAnsi="Arial" w:cs="Arial"/>
                <w:sz w:val="17"/>
                <w:szCs w:val="17"/>
              </w:rPr>
              <w:t>Reptiles</w:t>
            </w:r>
          </w:p>
        </w:tc>
        <w:tc>
          <w:tcPr>
            <w:tcW w:w="0" w:type="auto"/>
            <w:tcBorders>
              <w:top w:val="single" w:sz="4" w:space="0" w:color="auto"/>
              <w:left w:val="nil"/>
              <w:bottom w:val="nil"/>
              <w:right w:val="nil"/>
            </w:tcBorders>
          </w:tcPr>
          <w:p w14:paraId="071863C9" w14:textId="77777777" w:rsidR="00A3563C" w:rsidRDefault="00A3563C" w:rsidP="000B24BE">
            <w:pPr>
              <w:pStyle w:val="BodyText"/>
              <w:widowControl w:val="0"/>
              <w:spacing w:after="0"/>
              <w:rPr>
                <w:rFonts w:ascii="Arial" w:hAnsi="Arial" w:cs="Arial"/>
                <w:sz w:val="17"/>
                <w:szCs w:val="17"/>
              </w:rPr>
            </w:pPr>
            <w:r>
              <w:rPr>
                <w:rFonts w:ascii="Arial" w:hAnsi="Arial" w:cs="Arial"/>
                <w:sz w:val="17"/>
                <w:szCs w:val="17"/>
              </w:rPr>
              <w:t>Acute</w:t>
            </w:r>
          </w:p>
        </w:tc>
        <w:tc>
          <w:tcPr>
            <w:tcW w:w="0" w:type="auto"/>
            <w:tcBorders>
              <w:top w:val="single" w:sz="4" w:space="0" w:color="auto"/>
              <w:left w:val="nil"/>
              <w:bottom w:val="nil"/>
              <w:right w:val="nil"/>
            </w:tcBorders>
          </w:tcPr>
          <w:p w14:paraId="4DB8CF7D" w14:textId="77777777" w:rsidR="00A3563C" w:rsidRDefault="00A3563C" w:rsidP="000B24BE">
            <w:pPr>
              <w:pStyle w:val="BodyText"/>
              <w:widowControl w:val="0"/>
              <w:spacing w:after="0"/>
              <w:rPr>
                <w:rFonts w:ascii="Arial" w:hAnsi="Arial" w:cs="Arial"/>
                <w:i/>
                <w:iCs/>
                <w:sz w:val="17"/>
                <w:szCs w:val="17"/>
              </w:rPr>
            </w:pPr>
            <w:r>
              <w:rPr>
                <w:rFonts w:ascii="Arial" w:hAnsi="Arial" w:cs="Arial"/>
                <w:i/>
                <w:iCs/>
                <w:sz w:val="17"/>
                <w:szCs w:val="17"/>
              </w:rPr>
              <w:t>Ameiva ameiva</w:t>
            </w:r>
          </w:p>
          <w:p w14:paraId="45FCD476" w14:textId="77777777" w:rsidR="00A3563C" w:rsidRDefault="00A3563C" w:rsidP="000B24BE">
            <w:pPr>
              <w:pStyle w:val="BodyText"/>
              <w:widowControl w:val="0"/>
              <w:spacing w:after="0"/>
              <w:rPr>
                <w:rFonts w:ascii="Arial" w:hAnsi="Arial" w:cs="Arial"/>
                <w:i/>
                <w:iCs/>
                <w:sz w:val="17"/>
                <w:szCs w:val="17"/>
              </w:rPr>
            </w:pPr>
            <w:r>
              <w:rPr>
                <w:rFonts w:ascii="Arial" w:hAnsi="Arial" w:cs="Arial"/>
                <w:i/>
                <w:iCs/>
                <w:sz w:val="17"/>
                <w:szCs w:val="17"/>
              </w:rPr>
              <w:t>Boa constrictor</w:t>
            </w:r>
          </w:p>
          <w:p w14:paraId="0F6F9BD8" w14:textId="77777777" w:rsidR="00A3563C" w:rsidRPr="00D36DCF" w:rsidRDefault="00A3563C" w:rsidP="000B24BE">
            <w:pPr>
              <w:pStyle w:val="BodyText"/>
              <w:widowControl w:val="0"/>
              <w:spacing w:after="0"/>
              <w:rPr>
                <w:rFonts w:ascii="Arial" w:hAnsi="Arial" w:cs="Arial"/>
                <w:i/>
                <w:iCs/>
                <w:szCs w:val="16"/>
              </w:rPr>
            </w:pPr>
            <w:r w:rsidRPr="00D36DCF">
              <w:rPr>
                <w:rFonts w:ascii="Arial" w:hAnsi="Arial" w:cs="Arial"/>
                <w:i/>
                <w:iCs/>
                <w:szCs w:val="16"/>
              </w:rPr>
              <w:t>Rhinoclemmys pulcherrima</w:t>
            </w:r>
          </w:p>
          <w:p w14:paraId="47BA734D" w14:textId="77777777" w:rsidR="00A3563C" w:rsidRDefault="00A3563C" w:rsidP="000B24BE">
            <w:pPr>
              <w:pStyle w:val="BodyText"/>
              <w:widowControl w:val="0"/>
              <w:spacing w:after="0"/>
              <w:rPr>
                <w:rFonts w:ascii="Arial" w:hAnsi="Arial" w:cs="Arial"/>
                <w:i/>
                <w:iCs/>
                <w:sz w:val="17"/>
                <w:szCs w:val="17"/>
              </w:rPr>
            </w:pPr>
            <w:r>
              <w:rPr>
                <w:rFonts w:ascii="Arial" w:hAnsi="Arial" w:cs="Arial"/>
                <w:i/>
                <w:iCs/>
                <w:sz w:val="17"/>
                <w:szCs w:val="17"/>
              </w:rPr>
              <w:t>Iguana iguana</w:t>
            </w:r>
          </w:p>
        </w:tc>
        <w:tc>
          <w:tcPr>
            <w:tcW w:w="0" w:type="auto"/>
            <w:tcBorders>
              <w:top w:val="single" w:sz="4" w:space="0" w:color="auto"/>
              <w:left w:val="nil"/>
              <w:bottom w:val="nil"/>
              <w:right w:val="nil"/>
            </w:tcBorders>
          </w:tcPr>
          <w:p w14:paraId="56E635E6" w14:textId="77777777" w:rsidR="00A3563C" w:rsidRDefault="00A3563C" w:rsidP="000B24BE">
            <w:pPr>
              <w:pStyle w:val="BodyText"/>
              <w:widowControl w:val="0"/>
              <w:spacing w:after="0"/>
              <w:jc w:val="right"/>
              <w:rPr>
                <w:rFonts w:ascii="Arial" w:hAnsi="Arial" w:cs="Arial"/>
                <w:sz w:val="17"/>
                <w:szCs w:val="17"/>
              </w:rPr>
            </w:pPr>
            <w:r>
              <w:rPr>
                <w:rFonts w:ascii="Arial" w:hAnsi="Arial" w:cs="Arial"/>
                <w:sz w:val="17"/>
                <w:szCs w:val="17"/>
              </w:rPr>
              <w:t>LD</w:t>
            </w:r>
            <w:r w:rsidRPr="00D36DCF">
              <w:rPr>
                <w:rFonts w:ascii="Arial" w:hAnsi="Arial" w:cs="Arial"/>
                <w:sz w:val="17"/>
                <w:szCs w:val="17"/>
                <w:vertAlign w:val="subscript"/>
              </w:rPr>
              <w:t>50</w:t>
            </w:r>
            <w:r>
              <w:rPr>
                <w:rFonts w:ascii="Arial" w:hAnsi="Arial" w:cs="Arial"/>
                <w:sz w:val="17"/>
                <w:szCs w:val="17"/>
              </w:rPr>
              <w:t xml:space="preserve"> &gt;1.3 mg/kg bw</w:t>
            </w:r>
          </w:p>
          <w:p w14:paraId="58AEAC18" w14:textId="77777777" w:rsidR="00A3563C" w:rsidRDefault="00A3563C" w:rsidP="000B24BE">
            <w:pPr>
              <w:pStyle w:val="BodyText"/>
              <w:widowControl w:val="0"/>
              <w:spacing w:after="0"/>
              <w:jc w:val="right"/>
              <w:rPr>
                <w:rFonts w:ascii="Arial" w:hAnsi="Arial" w:cs="Arial"/>
                <w:sz w:val="17"/>
                <w:szCs w:val="17"/>
              </w:rPr>
            </w:pPr>
            <w:r>
              <w:rPr>
                <w:rFonts w:ascii="Arial" w:hAnsi="Arial" w:cs="Arial"/>
                <w:sz w:val="17"/>
                <w:szCs w:val="17"/>
              </w:rPr>
              <w:t>LD</w:t>
            </w:r>
            <w:r w:rsidRPr="00D36DCF">
              <w:rPr>
                <w:rFonts w:ascii="Arial" w:hAnsi="Arial" w:cs="Arial"/>
                <w:sz w:val="17"/>
                <w:szCs w:val="17"/>
                <w:vertAlign w:val="subscript"/>
              </w:rPr>
              <w:t>50</w:t>
            </w:r>
            <w:r>
              <w:rPr>
                <w:rFonts w:ascii="Arial" w:hAnsi="Arial" w:cs="Arial"/>
                <w:sz w:val="17"/>
                <w:szCs w:val="17"/>
              </w:rPr>
              <w:t xml:space="preserve"> &gt;0.62 mg/kg bw</w:t>
            </w:r>
          </w:p>
          <w:p w14:paraId="400CF201" w14:textId="77777777" w:rsidR="00A3563C" w:rsidRDefault="00A3563C" w:rsidP="000B24BE">
            <w:pPr>
              <w:pStyle w:val="BodyText"/>
              <w:widowControl w:val="0"/>
              <w:spacing w:after="0"/>
              <w:jc w:val="right"/>
              <w:rPr>
                <w:rFonts w:ascii="Arial" w:hAnsi="Arial" w:cs="Arial"/>
                <w:sz w:val="17"/>
                <w:szCs w:val="17"/>
              </w:rPr>
            </w:pPr>
            <w:r>
              <w:rPr>
                <w:rFonts w:ascii="Arial" w:hAnsi="Arial" w:cs="Arial"/>
                <w:sz w:val="17"/>
                <w:szCs w:val="17"/>
              </w:rPr>
              <w:t>LD</w:t>
            </w:r>
            <w:r w:rsidRPr="00D36DCF">
              <w:rPr>
                <w:rFonts w:ascii="Arial" w:hAnsi="Arial" w:cs="Arial"/>
                <w:sz w:val="17"/>
                <w:szCs w:val="17"/>
                <w:vertAlign w:val="subscript"/>
              </w:rPr>
              <w:t>50</w:t>
            </w:r>
            <w:r>
              <w:rPr>
                <w:rFonts w:ascii="Arial" w:hAnsi="Arial" w:cs="Arial"/>
                <w:sz w:val="17"/>
                <w:szCs w:val="17"/>
              </w:rPr>
              <w:t xml:space="preserve"> &gt;0.89 mg/kg bw</w:t>
            </w:r>
          </w:p>
          <w:p w14:paraId="4BACEFAC" w14:textId="77777777" w:rsidR="00A3563C" w:rsidRDefault="00A3563C" w:rsidP="000B24BE">
            <w:pPr>
              <w:pStyle w:val="BodyText"/>
              <w:widowControl w:val="0"/>
              <w:tabs>
                <w:tab w:val="left" w:pos="1368"/>
              </w:tabs>
              <w:spacing w:after="0"/>
              <w:jc w:val="right"/>
              <w:rPr>
                <w:rFonts w:ascii="Arial" w:hAnsi="Arial" w:cs="Arial"/>
                <w:sz w:val="17"/>
                <w:szCs w:val="17"/>
              </w:rPr>
            </w:pPr>
            <w:r>
              <w:rPr>
                <w:rFonts w:ascii="Arial" w:hAnsi="Arial" w:cs="Arial"/>
                <w:sz w:val="17"/>
                <w:szCs w:val="17"/>
              </w:rPr>
              <w:t>LD</w:t>
            </w:r>
            <w:r w:rsidRPr="00D36DCF">
              <w:rPr>
                <w:rFonts w:ascii="Arial" w:hAnsi="Arial" w:cs="Arial"/>
                <w:sz w:val="17"/>
                <w:szCs w:val="17"/>
                <w:vertAlign w:val="subscript"/>
              </w:rPr>
              <w:t>50</w:t>
            </w:r>
            <w:r>
              <w:rPr>
                <w:rFonts w:ascii="Arial" w:hAnsi="Arial" w:cs="Arial"/>
                <w:sz w:val="17"/>
                <w:szCs w:val="17"/>
              </w:rPr>
              <w:t xml:space="preserve"> &gt;2.3 mg/kg bw</w:t>
            </w:r>
          </w:p>
        </w:tc>
        <w:tc>
          <w:tcPr>
            <w:tcW w:w="0" w:type="auto"/>
            <w:tcBorders>
              <w:top w:val="single" w:sz="4" w:space="0" w:color="auto"/>
              <w:left w:val="nil"/>
              <w:bottom w:val="nil"/>
              <w:right w:val="nil"/>
            </w:tcBorders>
          </w:tcPr>
          <w:p w14:paraId="4473751F" w14:textId="5DDC2057" w:rsidR="00A3563C" w:rsidRDefault="00A3563C" w:rsidP="000B24BE">
            <w:pPr>
              <w:pStyle w:val="BodyText"/>
              <w:widowControl w:val="0"/>
              <w:spacing w:after="0"/>
              <w:rPr>
                <w:rFonts w:ascii="Arial" w:hAnsi="Arial" w:cs="Arial"/>
                <w:sz w:val="17"/>
                <w:szCs w:val="17"/>
              </w:rPr>
            </w:pPr>
            <w:r>
              <w:rPr>
                <w:rFonts w:ascii="Arial" w:hAnsi="Arial" w:cs="Arial"/>
                <w:sz w:val="17"/>
                <w:szCs w:val="17"/>
              </w:rPr>
              <w:t xml:space="preserve">Mauldin </w:t>
            </w:r>
            <w:r w:rsidR="00B7183A" w:rsidRPr="00B7183A">
              <w:rPr>
                <w:rFonts w:ascii="Arial" w:hAnsi="Arial" w:cs="Arial"/>
                <w:i/>
                <w:iCs/>
                <w:sz w:val="17"/>
                <w:szCs w:val="17"/>
              </w:rPr>
              <w:t>et al</w:t>
            </w:r>
            <w:r>
              <w:rPr>
                <w:rFonts w:ascii="Arial" w:hAnsi="Arial" w:cs="Arial"/>
                <w:sz w:val="17"/>
                <w:szCs w:val="17"/>
              </w:rPr>
              <w:t>. 2020</w:t>
            </w:r>
          </w:p>
        </w:tc>
      </w:tr>
      <w:tr w:rsidR="00A3563C" w:rsidRPr="000B2FA7" w14:paraId="2E11B28E" w14:textId="77777777" w:rsidTr="00A3563C">
        <w:trPr>
          <w:cantSplit/>
        </w:trPr>
        <w:tc>
          <w:tcPr>
            <w:tcW w:w="0" w:type="auto"/>
            <w:tcBorders>
              <w:top w:val="nil"/>
              <w:left w:val="nil"/>
              <w:bottom w:val="single" w:sz="4" w:space="0" w:color="auto"/>
              <w:right w:val="nil"/>
            </w:tcBorders>
          </w:tcPr>
          <w:p w14:paraId="1F17D917" w14:textId="68DB6A0A"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70F00B50" w14:textId="6986864F" w:rsidR="00A3563C" w:rsidRDefault="00A3563C" w:rsidP="000B24BE">
            <w:pPr>
              <w:pStyle w:val="BodyText"/>
              <w:widowControl w:val="0"/>
              <w:spacing w:after="0"/>
              <w:rPr>
                <w:rFonts w:ascii="Arial" w:hAnsi="Arial" w:cs="Arial"/>
                <w:sz w:val="17"/>
                <w:szCs w:val="17"/>
              </w:rPr>
            </w:pPr>
          </w:p>
        </w:tc>
        <w:tc>
          <w:tcPr>
            <w:tcW w:w="0" w:type="auto"/>
            <w:tcBorders>
              <w:top w:val="nil"/>
              <w:left w:val="nil"/>
              <w:bottom w:val="single" w:sz="4" w:space="0" w:color="auto"/>
              <w:right w:val="nil"/>
            </w:tcBorders>
          </w:tcPr>
          <w:p w14:paraId="43EEF299" w14:textId="77777777" w:rsidR="00A3563C" w:rsidRDefault="00A3563C" w:rsidP="000B24BE">
            <w:pPr>
              <w:pStyle w:val="BodyText"/>
              <w:widowControl w:val="0"/>
              <w:spacing w:after="0"/>
              <w:rPr>
                <w:rFonts w:ascii="Arial" w:hAnsi="Arial" w:cs="Arial"/>
                <w:i/>
                <w:iCs/>
                <w:sz w:val="17"/>
                <w:szCs w:val="17"/>
              </w:rPr>
            </w:pPr>
            <w:r>
              <w:rPr>
                <w:rFonts w:ascii="Arial" w:hAnsi="Arial" w:cs="Arial"/>
                <w:i/>
                <w:iCs/>
                <w:sz w:val="17"/>
                <w:szCs w:val="17"/>
              </w:rPr>
              <w:t>Sceloporus occidentalis</w:t>
            </w:r>
          </w:p>
        </w:tc>
        <w:tc>
          <w:tcPr>
            <w:tcW w:w="0" w:type="auto"/>
            <w:tcBorders>
              <w:top w:val="nil"/>
              <w:left w:val="nil"/>
              <w:bottom w:val="single" w:sz="4" w:space="0" w:color="auto"/>
              <w:right w:val="nil"/>
            </w:tcBorders>
          </w:tcPr>
          <w:p w14:paraId="40DDBF35" w14:textId="77777777" w:rsidR="00A3563C" w:rsidRDefault="00A3563C" w:rsidP="000B24BE">
            <w:pPr>
              <w:pStyle w:val="BodyText"/>
              <w:widowControl w:val="0"/>
              <w:spacing w:after="0"/>
              <w:jc w:val="right"/>
              <w:rPr>
                <w:rFonts w:ascii="Arial" w:hAnsi="Arial" w:cs="Arial"/>
                <w:sz w:val="17"/>
                <w:szCs w:val="17"/>
              </w:rPr>
            </w:pPr>
            <w:r>
              <w:rPr>
                <w:rFonts w:ascii="Arial" w:hAnsi="Arial" w:cs="Arial"/>
                <w:sz w:val="17"/>
                <w:szCs w:val="17"/>
              </w:rPr>
              <w:t>LD</w:t>
            </w:r>
            <w:r w:rsidRPr="00347AC9">
              <w:rPr>
                <w:rFonts w:ascii="Arial" w:hAnsi="Arial" w:cs="Arial"/>
                <w:sz w:val="17"/>
                <w:szCs w:val="17"/>
                <w:vertAlign w:val="subscript"/>
              </w:rPr>
              <w:t>50</w:t>
            </w:r>
            <w:r>
              <w:rPr>
                <w:rFonts w:ascii="Arial" w:hAnsi="Arial" w:cs="Arial"/>
                <w:sz w:val="17"/>
                <w:szCs w:val="17"/>
              </w:rPr>
              <w:t xml:space="preserve"> &gt;1750 mg/kg bw</w:t>
            </w:r>
          </w:p>
        </w:tc>
        <w:tc>
          <w:tcPr>
            <w:tcW w:w="0" w:type="auto"/>
            <w:tcBorders>
              <w:top w:val="nil"/>
              <w:left w:val="nil"/>
              <w:bottom w:val="single" w:sz="4" w:space="0" w:color="auto"/>
              <w:right w:val="nil"/>
            </w:tcBorders>
          </w:tcPr>
          <w:p w14:paraId="15FD361D" w14:textId="60D19A85" w:rsidR="00A3563C" w:rsidRDefault="00A3563C" w:rsidP="000B24BE">
            <w:pPr>
              <w:pStyle w:val="BodyText"/>
              <w:widowControl w:val="0"/>
              <w:spacing w:after="0"/>
              <w:rPr>
                <w:rFonts w:ascii="Arial" w:hAnsi="Arial" w:cs="Arial"/>
                <w:sz w:val="17"/>
                <w:szCs w:val="17"/>
              </w:rPr>
            </w:pPr>
            <w:r>
              <w:rPr>
                <w:rFonts w:ascii="Arial" w:hAnsi="Arial" w:cs="Arial"/>
                <w:sz w:val="17"/>
                <w:szCs w:val="17"/>
              </w:rPr>
              <w:t xml:space="preserve">Weir </w:t>
            </w:r>
            <w:r w:rsidR="00B7183A" w:rsidRPr="00B7183A">
              <w:rPr>
                <w:rFonts w:ascii="Arial" w:hAnsi="Arial" w:cs="Arial"/>
                <w:i/>
                <w:iCs/>
                <w:sz w:val="17"/>
                <w:szCs w:val="17"/>
              </w:rPr>
              <w:t>et al</w:t>
            </w:r>
            <w:r>
              <w:rPr>
                <w:rFonts w:ascii="Arial" w:hAnsi="Arial" w:cs="Arial"/>
                <w:sz w:val="17"/>
                <w:szCs w:val="17"/>
              </w:rPr>
              <w:t>. 2016</w:t>
            </w:r>
          </w:p>
        </w:tc>
      </w:tr>
    </w:tbl>
    <w:p w14:paraId="34A0F59E"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1DFB8DC9" w14:textId="47D607D7" w:rsidR="00980B2F" w:rsidRPr="00861CA0" w:rsidRDefault="00BA7F5F" w:rsidP="00377F3A">
      <w:pPr>
        <w:pStyle w:val="Caption"/>
      </w:pPr>
      <w:bookmarkStart w:id="2038" w:name="_Toc213946082"/>
      <w:bookmarkStart w:id="2039" w:name="_Toc216695773"/>
      <w:r>
        <w:t xml:space="preserve">Table </w:t>
      </w:r>
      <w:r>
        <w:fldChar w:fldCharType="begin"/>
      </w:r>
      <w:r>
        <w:instrText xml:space="preserve"> SEQ Table \* ARABIC </w:instrText>
      </w:r>
      <w:r>
        <w:fldChar w:fldCharType="separate"/>
      </w:r>
      <w:r w:rsidR="003861AC">
        <w:rPr>
          <w:noProof/>
        </w:rPr>
        <w:t>111</w:t>
      </w:r>
      <w:r>
        <w:fldChar w:fldCharType="end"/>
      </w:r>
      <w:r>
        <w:t xml:space="preserve">: </w:t>
      </w:r>
      <w:r w:rsidR="00437439">
        <w:t xml:space="preserve">Brodifacoum – </w:t>
      </w:r>
      <w:r w:rsidR="00980B2F">
        <w:t>Secondary poisoning studies on terrestrial vertebrates</w:t>
      </w:r>
      <w:bookmarkEnd w:id="2038"/>
      <w:bookmarkEnd w:id="20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0"/>
        <w:gridCol w:w="781"/>
        <w:gridCol w:w="1199"/>
        <w:gridCol w:w="5346"/>
        <w:gridCol w:w="1692"/>
      </w:tblGrid>
      <w:tr w:rsidR="00A3563C" w:rsidRPr="000B2FA7" w14:paraId="04A529B9" w14:textId="77777777" w:rsidTr="0017134F">
        <w:trPr>
          <w:cantSplit/>
          <w:tblHeader/>
        </w:trPr>
        <w:tc>
          <w:tcPr>
            <w:tcW w:w="0" w:type="auto"/>
            <w:tcBorders>
              <w:bottom w:val="single" w:sz="4" w:space="0" w:color="auto"/>
            </w:tcBorders>
            <w:shd w:val="clear" w:color="auto" w:fill="53284F"/>
          </w:tcPr>
          <w:p w14:paraId="4AC529AD" w14:textId="77777777" w:rsidR="00A3563C" w:rsidRDefault="00A3563C" w:rsidP="00377F3A">
            <w:pPr>
              <w:pStyle w:val="TableHead"/>
            </w:pPr>
            <w:r>
              <w:t>Group</w:t>
            </w:r>
          </w:p>
        </w:tc>
        <w:tc>
          <w:tcPr>
            <w:tcW w:w="0" w:type="auto"/>
            <w:tcBorders>
              <w:bottom w:val="single" w:sz="4" w:space="0" w:color="auto"/>
            </w:tcBorders>
            <w:shd w:val="clear" w:color="auto" w:fill="53284F"/>
          </w:tcPr>
          <w:p w14:paraId="08DCBBCD" w14:textId="77777777" w:rsidR="00A3563C" w:rsidRDefault="00A3563C" w:rsidP="00377F3A">
            <w:pPr>
              <w:pStyle w:val="TableHead"/>
            </w:pPr>
            <w:r>
              <w:t>Species</w:t>
            </w:r>
          </w:p>
        </w:tc>
        <w:tc>
          <w:tcPr>
            <w:tcW w:w="0" w:type="auto"/>
            <w:tcBorders>
              <w:bottom w:val="single" w:sz="4" w:space="0" w:color="auto"/>
            </w:tcBorders>
            <w:shd w:val="clear" w:color="auto" w:fill="53284F"/>
          </w:tcPr>
          <w:p w14:paraId="171D54CF" w14:textId="77777777" w:rsidR="00A3563C" w:rsidRPr="00CA558C" w:rsidRDefault="00A3563C" w:rsidP="00377F3A">
            <w:pPr>
              <w:pStyle w:val="TableHead"/>
            </w:pPr>
            <w:r>
              <w:t>Poisoned food</w:t>
            </w:r>
          </w:p>
        </w:tc>
        <w:tc>
          <w:tcPr>
            <w:tcW w:w="0" w:type="auto"/>
            <w:tcBorders>
              <w:bottom w:val="single" w:sz="4" w:space="0" w:color="auto"/>
            </w:tcBorders>
            <w:shd w:val="clear" w:color="auto" w:fill="53284F"/>
          </w:tcPr>
          <w:p w14:paraId="5B4B388D" w14:textId="77777777" w:rsidR="00A3563C" w:rsidRPr="00CA558C" w:rsidRDefault="00A3563C" w:rsidP="00377F3A">
            <w:pPr>
              <w:pStyle w:val="TableHead"/>
            </w:pPr>
            <w:r>
              <w:t>Study details &amp; result</w:t>
            </w:r>
          </w:p>
        </w:tc>
        <w:tc>
          <w:tcPr>
            <w:tcW w:w="0" w:type="auto"/>
            <w:tcBorders>
              <w:bottom w:val="single" w:sz="4" w:space="0" w:color="auto"/>
            </w:tcBorders>
            <w:shd w:val="clear" w:color="auto" w:fill="53284F"/>
          </w:tcPr>
          <w:p w14:paraId="6FC571A1" w14:textId="77777777" w:rsidR="00A3563C" w:rsidRPr="00CA558C" w:rsidRDefault="00A3563C" w:rsidP="00377F3A">
            <w:pPr>
              <w:pStyle w:val="TableHead"/>
            </w:pPr>
            <w:r>
              <w:t>Reference</w:t>
            </w:r>
          </w:p>
        </w:tc>
      </w:tr>
      <w:tr w:rsidR="00A3563C" w:rsidRPr="000B2FA7" w14:paraId="1363CEE4" w14:textId="77777777" w:rsidTr="00A3563C">
        <w:trPr>
          <w:cantSplit/>
        </w:trPr>
        <w:tc>
          <w:tcPr>
            <w:tcW w:w="0" w:type="auto"/>
            <w:tcBorders>
              <w:top w:val="nil"/>
              <w:left w:val="nil"/>
              <w:bottom w:val="nil"/>
              <w:right w:val="nil"/>
            </w:tcBorders>
          </w:tcPr>
          <w:p w14:paraId="49B2A8F5" w14:textId="77777777" w:rsidR="00A3563C" w:rsidRPr="00F85B76" w:rsidRDefault="00A3563C" w:rsidP="00377F3A">
            <w:pPr>
              <w:pStyle w:val="TableText"/>
            </w:pPr>
            <w:r w:rsidRPr="00F85B76">
              <w:t>Birds</w:t>
            </w:r>
          </w:p>
        </w:tc>
        <w:tc>
          <w:tcPr>
            <w:tcW w:w="0" w:type="auto"/>
            <w:tcBorders>
              <w:top w:val="nil"/>
              <w:left w:val="nil"/>
              <w:bottom w:val="nil"/>
              <w:right w:val="nil"/>
            </w:tcBorders>
          </w:tcPr>
          <w:p w14:paraId="66088FED" w14:textId="77777777" w:rsidR="00A3563C" w:rsidRPr="00F85B76" w:rsidRDefault="00A3563C" w:rsidP="00377F3A">
            <w:pPr>
              <w:pStyle w:val="TableText"/>
            </w:pPr>
            <w:r w:rsidRPr="00F85B76">
              <w:t>Tyto alba</w:t>
            </w:r>
          </w:p>
        </w:tc>
        <w:tc>
          <w:tcPr>
            <w:tcW w:w="0" w:type="auto"/>
            <w:tcBorders>
              <w:top w:val="nil"/>
              <w:left w:val="nil"/>
              <w:bottom w:val="nil"/>
              <w:right w:val="nil"/>
            </w:tcBorders>
          </w:tcPr>
          <w:p w14:paraId="71865787" w14:textId="77777777" w:rsidR="00A3563C" w:rsidRPr="00F85B76" w:rsidRDefault="00A3563C" w:rsidP="00377F3A">
            <w:pPr>
              <w:pStyle w:val="TableText"/>
            </w:pPr>
            <w:r w:rsidRPr="00F85B76">
              <w:t>6.9 mg/kg rats</w:t>
            </w:r>
          </w:p>
          <w:p w14:paraId="49D8CD7A" w14:textId="77777777" w:rsidR="00A3563C" w:rsidRPr="00F85B76" w:rsidRDefault="00A3563C" w:rsidP="00377F3A">
            <w:pPr>
              <w:pStyle w:val="TableText"/>
            </w:pPr>
            <w:r w:rsidRPr="00F85B76">
              <w:t xml:space="preserve">for 1, 3, 6 or 10d </w:t>
            </w:r>
          </w:p>
        </w:tc>
        <w:tc>
          <w:tcPr>
            <w:tcW w:w="0" w:type="auto"/>
            <w:tcBorders>
              <w:top w:val="nil"/>
              <w:left w:val="nil"/>
              <w:bottom w:val="nil"/>
              <w:right w:val="nil"/>
            </w:tcBorders>
          </w:tcPr>
          <w:p w14:paraId="1D4FAFD8" w14:textId="77777777" w:rsidR="00A3563C" w:rsidRPr="00F85B76" w:rsidRDefault="00A3563C" w:rsidP="00377F3A">
            <w:pPr>
              <w:pStyle w:val="TableText"/>
            </w:pPr>
            <w:r w:rsidRPr="00F85B76">
              <w:t>No mortality or haemorrhage in 1d exposure group after 20d (1.4 mg/kg/d). All owls haemorrhaged and died in remaining exposure groups after 8-11d (0.33-1.4 mg/kg/d)</w:t>
            </w:r>
          </w:p>
        </w:tc>
        <w:tc>
          <w:tcPr>
            <w:tcW w:w="0" w:type="auto"/>
            <w:tcBorders>
              <w:top w:val="nil"/>
              <w:left w:val="nil"/>
              <w:bottom w:val="nil"/>
              <w:right w:val="nil"/>
            </w:tcBorders>
          </w:tcPr>
          <w:p w14:paraId="1519A1E0" w14:textId="77777777" w:rsidR="00A3563C" w:rsidRPr="00F85B76" w:rsidRDefault="00A3563C" w:rsidP="00377F3A">
            <w:pPr>
              <w:pStyle w:val="TableText"/>
            </w:pPr>
            <w:r w:rsidRPr="00F85B76">
              <w:t>Mendenhall &amp; Pank 1980</w:t>
            </w:r>
          </w:p>
        </w:tc>
      </w:tr>
      <w:tr w:rsidR="00A3563C" w:rsidRPr="000B2FA7" w14:paraId="6DAC1241" w14:textId="77777777" w:rsidTr="00A3563C">
        <w:trPr>
          <w:cantSplit/>
        </w:trPr>
        <w:tc>
          <w:tcPr>
            <w:tcW w:w="0" w:type="auto"/>
            <w:tcBorders>
              <w:top w:val="nil"/>
              <w:left w:val="nil"/>
              <w:bottom w:val="nil"/>
              <w:right w:val="nil"/>
            </w:tcBorders>
          </w:tcPr>
          <w:p w14:paraId="0CC7AC04" w14:textId="77777777" w:rsidR="00A3563C" w:rsidRPr="00F85B76" w:rsidRDefault="00A3563C" w:rsidP="00377F3A">
            <w:pPr>
              <w:pStyle w:val="TableText"/>
            </w:pPr>
          </w:p>
        </w:tc>
        <w:tc>
          <w:tcPr>
            <w:tcW w:w="0" w:type="auto"/>
            <w:tcBorders>
              <w:top w:val="nil"/>
              <w:left w:val="nil"/>
              <w:bottom w:val="nil"/>
              <w:right w:val="nil"/>
            </w:tcBorders>
          </w:tcPr>
          <w:p w14:paraId="631ED836" w14:textId="77777777" w:rsidR="00A3563C" w:rsidRPr="00F85B76" w:rsidRDefault="00A3563C" w:rsidP="00377F3A">
            <w:pPr>
              <w:pStyle w:val="TableText"/>
            </w:pPr>
          </w:p>
        </w:tc>
        <w:tc>
          <w:tcPr>
            <w:tcW w:w="0" w:type="auto"/>
            <w:tcBorders>
              <w:top w:val="nil"/>
              <w:left w:val="nil"/>
              <w:bottom w:val="nil"/>
              <w:right w:val="nil"/>
            </w:tcBorders>
          </w:tcPr>
          <w:p w14:paraId="315989C0" w14:textId="77777777" w:rsidR="00A3563C" w:rsidRPr="00F85B76" w:rsidRDefault="00A3563C" w:rsidP="00377F3A">
            <w:pPr>
              <w:pStyle w:val="TableText"/>
            </w:pPr>
            <w:r w:rsidRPr="00F85B76">
              <w:t>0.53 mg/kg mice</w:t>
            </w:r>
          </w:p>
          <w:p w14:paraId="5306676F" w14:textId="77777777" w:rsidR="00A3563C" w:rsidRPr="00F85B76" w:rsidRDefault="00A3563C" w:rsidP="00377F3A">
            <w:pPr>
              <w:pStyle w:val="TableText"/>
            </w:pPr>
            <w:r w:rsidRPr="00F85B76">
              <w:t>for 1, 3 or 6d</w:t>
            </w:r>
          </w:p>
        </w:tc>
        <w:tc>
          <w:tcPr>
            <w:tcW w:w="0" w:type="auto"/>
            <w:tcBorders>
              <w:top w:val="nil"/>
              <w:left w:val="nil"/>
              <w:bottom w:val="nil"/>
              <w:right w:val="nil"/>
            </w:tcBorders>
          </w:tcPr>
          <w:p w14:paraId="37BB019D" w14:textId="77777777" w:rsidR="00A3563C" w:rsidRPr="00F85B76" w:rsidRDefault="00A3563C" w:rsidP="00377F3A">
            <w:pPr>
              <w:pStyle w:val="TableText"/>
            </w:pPr>
            <w:r w:rsidRPr="00F85B76">
              <w:t>4/6 owls died in 1d group (0.14 mg/kg/d), 2/2 owls survived in each of 3d and 6d groups (0.10 mg/kg/d). Haemorrhaging observed in all exposure groups. Increased blood coagulation time in survivors, returning to normal within 78d</w:t>
            </w:r>
          </w:p>
        </w:tc>
        <w:tc>
          <w:tcPr>
            <w:tcW w:w="0" w:type="auto"/>
            <w:tcBorders>
              <w:top w:val="nil"/>
              <w:left w:val="nil"/>
              <w:bottom w:val="nil"/>
              <w:right w:val="nil"/>
            </w:tcBorders>
          </w:tcPr>
          <w:p w14:paraId="1C39BA48" w14:textId="6421D640" w:rsidR="00A3563C" w:rsidRPr="00F85B76" w:rsidRDefault="00A3563C" w:rsidP="00377F3A">
            <w:pPr>
              <w:pStyle w:val="TableText"/>
            </w:pPr>
            <w:r w:rsidRPr="00F85B76">
              <w:t xml:space="preserve">Newton </w:t>
            </w:r>
            <w:r w:rsidR="00B7183A" w:rsidRPr="00B7183A">
              <w:rPr>
                <w:i/>
                <w:iCs/>
              </w:rPr>
              <w:t>et al</w:t>
            </w:r>
            <w:r w:rsidRPr="00F85B76">
              <w:t>. 1990, Wyllie 1995</w:t>
            </w:r>
          </w:p>
        </w:tc>
      </w:tr>
      <w:tr w:rsidR="00A3563C" w:rsidRPr="000B2FA7" w14:paraId="470C3247" w14:textId="77777777" w:rsidTr="00A3563C">
        <w:trPr>
          <w:cantSplit/>
        </w:trPr>
        <w:tc>
          <w:tcPr>
            <w:tcW w:w="0" w:type="auto"/>
            <w:tcBorders>
              <w:top w:val="nil"/>
              <w:left w:val="nil"/>
              <w:bottom w:val="single" w:sz="4" w:space="0" w:color="auto"/>
              <w:right w:val="nil"/>
            </w:tcBorders>
          </w:tcPr>
          <w:p w14:paraId="60F5E751" w14:textId="77777777" w:rsidR="00A3563C" w:rsidRPr="00F85B76" w:rsidRDefault="00A3563C" w:rsidP="00377F3A">
            <w:pPr>
              <w:pStyle w:val="TableText"/>
            </w:pPr>
          </w:p>
        </w:tc>
        <w:tc>
          <w:tcPr>
            <w:tcW w:w="0" w:type="auto"/>
            <w:tcBorders>
              <w:top w:val="nil"/>
              <w:left w:val="nil"/>
              <w:bottom w:val="single" w:sz="4" w:space="0" w:color="auto"/>
              <w:right w:val="nil"/>
            </w:tcBorders>
          </w:tcPr>
          <w:p w14:paraId="54B7F0CE" w14:textId="77777777" w:rsidR="00A3563C" w:rsidRPr="00F85B76" w:rsidRDefault="00A3563C" w:rsidP="00377F3A">
            <w:pPr>
              <w:pStyle w:val="TableText"/>
            </w:pPr>
          </w:p>
        </w:tc>
        <w:tc>
          <w:tcPr>
            <w:tcW w:w="0" w:type="auto"/>
            <w:tcBorders>
              <w:top w:val="nil"/>
              <w:left w:val="nil"/>
              <w:bottom w:val="single" w:sz="4" w:space="0" w:color="auto"/>
              <w:right w:val="nil"/>
            </w:tcBorders>
          </w:tcPr>
          <w:p w14:paraId="2F9DFBA2" w14:textId="77777777" w:rsidR="00A3563C" w:rsidRPr="00F85B76" w:rsidRDefault="00A3563C" w:rsidP="00377F3A">
            <w:pPr>
              <w:pStyle w:val="TableText"/>
            </w:pPr>
            <w:r w:rsidRPr="00F85B76">
              <w:t>2.2-4.4 mg/kg mice for 15d</w:t>
            </w:r>
          </w:p>
        </w:tc>
        <w:tc>
          <w:tcPr>
            <w:tcW w:w="0" w:type="auto"/>
            <w:tcBorders>
              <w:top w:val="nil"/>
              <w:left w:val="nil"/>
              <w:bottom w:val="single" w:sz="4" w:space="0" w:color="auto"/>
              <w:right w:val="nil"/>
            </w:tcBorders>
          </w:tcPr>
          <w:p w14:paraId="5ACB45CC" w14:textId="77777777" w:rsidR="00A3563C" w:rsidRPr="00F85B76" w:rsidRDefault="00A3563C" w:rsidP="00377F3A">
            <w:pPr>
              <w:pStyle w:val="TableText"/>
            </w:pPr>
            <w:r w:rsidRPr="00F85B76">
              <w:t>1/4 owls died after 15d (0.39 mg/kg/d), 3/4 owls survived to 30d (0.13-0.39 mg/kg/d), minor haemorrhaging in all surviving owls</w:t>
            </w:r>
          </w:p>
        </w:tc>
        <w:tc>
          <w:tcPr>
            <w:tcW w:w="0" w:type="auto"/>
            <w:tcBorders>
              <w:top w:val="nil"/>
              <w:left w:val="nil"/>
              <w:bottom w:val="single" w:sz="4" w:space="0" w:color="auto"/>
              <w:right w:val="nil"/>
            </w:tcBorders>
          </w:tcPr>
          <w:p w14:paraId="43419C0B" w14:textId="012551B6" w:rsidR="00A3563C" w:rsidRPr="00F85B76" w:rsidRDefault="00A3563C" w:rsidP="00377F3A">
            <w:pPr>
              <w:pStyle w:val="TableText"/>
            </w:pPr>
            <w:r w:rsidRPr="00F85B76">
              <w:t xml:space="preserve">Gray &amp; Dutton 1992; Gray </w:t>
            </w:r>
            <w:r w:rsidR="00B7183A" w:rsidRPr="00B7183A">
              <w:rPr>
                <w:i/>
                <w:iCs/>
              </w:rPr>
              <w:t>et al</w:t>
            </w:r>
            <w:r w:rsidRPr="00F85B76">
              <w:t>. 1994a, 1994b</w:t>
            </w:r>
          </w:p>
        </w:tc>
      </w:tr>
    </w:tbl>
    <w:p w14:paraId="2C91F8B4" w14:textId="2B88DEA6" w:rsidR="00980B2F" w:rsidRPr="00861CA0" w:rsidRDefault="00BA7F5F" w:rsidP="00377F3A">
      <w:pPr>
        <w:pStyle w:val="Caption"/>
      </w:pPr>
      <w:bookmarkStart w:id="2040" w:name="_Ref214822788"/>
      <w:bookmarkStart w:id="2041" w:name="_Toc213946083"/>
      <w:bookmarkStart w:id="2042" w:name="_Toc216695774"/>
      <w:r>
        <w:lastRenderedPageBreak/>
        <w:t xml:space="preserve">Table </w:t>
      </w:r>
      <w:r>
        <w:fldChar w:fldCharType="begin"/>
      </w:r>
      <w:r>
        <w:instrText xml:space="preserve"> SEQ Table \* ARABIC </w:instrText>
      </w:r>
      <w:r>
        <w:fldChar w:fldCharType="separate"/>
      </w:r>
      <w:r w:rsidR="003861AC">
        <w:rPr>
          <w:noProof/>
        </w:rPr>
        <w:t>112</w:t>
      </w:r>
      <w:r>
        <w:fldChar w:fldCharType="end"/>
      </w:r>
      <w:bookmarkEnd w:id="2040"/>
      <w:r>
        <w:t xml:space="preserve">: </w:t>
      </w:r>
      <w:r w:rsidR="00437439">
        <w:t xml:space="preserve">Brodifacoum – </w:t>
      </w:r>
      <w:r w:rsidR="00980B2F" w:rsidRPr="003B601F">
        <w:t>Field studies and adverse incidents</w:t>
      </w:r>
      <w:r w:rsidR="00980B2F">
        <w:t xml:space="preserve"> involving terrestrial vertebrates from approved or unspecified use</w:t>
      </w:r>
      <w:bookmarkEnd w:id="2041"/>
      <w:bookmarkEnd w:id="2042"/>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361"/>
        <w:gridCol w:w="1293"/>
        <w:gridCol w:w="4851"/>
        <w:gridCol w:w="2190"/>
      </w:tblGrid>
      <w:tr w:rsidR="00A3563C" w:rsidRPr="000B2FA7" w14:paraId="499B6A36" w14:textId="77777777" w:rsidTr="0017134F">
        <w:trPr>
          <w:cantSplit/>
          <w:tblHeader/>
        </w:trPr>
        <w:tc>
          <w:tcPr>
            <w:tcW w:w="0" w:type="auto"/>
            <w:tcBorders>
              <w:bottom w:val="single" w:sz="4" w:space="0" w:color="auto"/>
            </w:tcBorders>
            <w:shd w:val="clear" w:color="auto" w:fill="53284F"/>
          </w:tcPr>
          <w:p w14:paraId="285A38BC" w14:textId="77777777" w:rsidR="00A3563C" w:rsidRPr="00CA558C" w:rsidRDefault="00A3563C" w:rsidP="00377F3A">
            <w:pPr>
              <w:pStyle w:val="TableHead"/>
            </w:pPr>
            <w:r>
              <w:t>Use area</w:t>
            </w:r>
          </w:p>
        </w:tc>
        <w:tc>
          <w:tcPr>
            <w:tcW w:w="0" w:type="auto"/>
            <w:tcBorders>
              <w:bottom w:val="single" w:sz="4" w:space="0" w:color="auto"/>
            </w:tcBorders>
            <w:shd w:val="clear" w:color="auto" w:fill="53284F"/>
          </w:tcPr>
          <w:p w14:paraId="283F4676" w14:textId="77777777" w:rsidR="00A3563C" w:rsidRDefault="00A3563C" w:rsidP="00377F3A">
            <w:pPr>
              <w:pStyle w:val="TableHead"/>
            </w:pPr>
            <w:r>
              <w:t>Exposure</w:t>
            </w:r>
          </w:p>
        </w:tc>
        <w:tc>
          <w:tcPr>
            <w:tcW w:w="0" w:type="auto"/>
            <w:tcBorders>
              <w:bottom w:val="single" w:sz="4" w:space="0" w:color="auto"/>
            </w:tcBorders>
            <w:shd w:val="clear" w:color="auto" w:fill="53284F"/>
          </w:tcPr>
          <w:p w14:paraId="1E7EDF42" w14:textId="77777777" w:rsidR="00A3563C" w:rsidRDefault="00A3563C" w:rsidP="00377F3A">
            <w:pPr>
              <w:pStyle w:val="TableHead"/>
            </w:pPr>
            <w:r>
              <w:t>Effect</w:t>
            </w:r>
          </w:p>
        </w:tc>
        <w:tc>
          <w:tcPr>
            <w:tcW w:w="0" w:type="auto"/>
            <w:tcBorders>
              <w:bottom w:val="single" w:sz="4" w:space="0" w:color="auto"/>
            </w:tcBorders>
            <w:shd w:val="clear" w:color="auto" w:fill="53284F"/>
          </w:tcPr>
          <w:p w14:paraId="044797E9" w14:textId="77777777" w:rsidR="00A3563C" w:rsidRPr="00CA558C" w:rsidRDefault="00A3563C" w:rsidP="00377F3A">
            <w:pPr>
              <w:pStyle w:val="TableHead"/>
            </w:pPr>
            <w:r>
              <w:t>Reference</w:t>
            </w:r>
          </w:p>
        </w:tc>
      </w:tr>
      <w:tr w:rsidR="00A3563C" w:rsidRPr="003B601F" w14:paraId="6E828ECD" w14:textId="77777777" w:rsidTr="00B24917">
        <w:trPr>
          <w:cantSplit/>
        </w:trPr>
        <w:tc>
          <w:tcPr>
            <w:tcW w:w="0" w:type="auto"/>
            <w:tcBorders>
              <w:top w:val="single" w:sz="4" w:space="0" w:color="auto"/>
              <w:left w:val="nil"/>
              <w:bottom w:val="single" w:sz="4" w:space="0" w:color="auto"/>
            </w:tcBorders>
          </w:tcPr>
          <w:p w14:paraId="0C3D8E7E" w14:textId="77777777" w:rsidR="00A3563C" w:rsidRPr="003B601F" w:rsidRDefault="00A3563C" w:rsidP="00377F3A">
            <w:pPr>
              <w:pStyle w:val="TableText"/>
            </w:pPr>
            <w:r w:rsidRPr="003B601F">
              <w:t>NJ farms and other areas</w:t>
            </w:r>
          </w:p>
        </w:tc>
        <w:tc>
          <w:tcPr>
            <w:tcW w:w="0" w:type="auto"/>
            <w:tcBorders>
              <w:top w:val="single" w:sz="4" w:space="0" w:color="auto"/>
              <w:bottom w:val="single" w:sz="4" w:space="0" w:color="auto"/>
            </w:tcBorders>
          </w:tcPr>
          <w:p w14:paraId="30902D0C" w14:textId="3C11ABEE" w:rsidR="00A3563C" w:rsidRPr="003B601F" w:rsidRDefault="00A3563C" w:rsidP="00377F3A">
            <w:pPr>
              <w:pStyle w:val="TableText"/>
            </w:pPr>
            <w:r w:rsidRPr="003B601F">
              <w:t>50 mg a</w:t>
            </w:r>
            <w:r w:rsidR="00C874AD">
              <w:t>.</w:t>
            </w:r>
            <w:r w:rsidRPr="003B601F">
              <w:t>c</w:t>
            </w:r>
            <w:r w:rsidR="00C874AD">
              <w:t>.</w:t>
            </w:r>
            <w:r w:rsidRPr="003B601F">
              <w:t>/kg bait</w:t>
            </w:r>
          </w:p>
          <w:p w14:paraId="261D04D2" w14:textId="77777777" w:rsidR="00A3563C" w:rsidRPr="003B601F" w:rsidRDefault="00A3563C" w:rsidP="00377F3A">
            <w:pPr>
              <w:pStyle w:val="TableText"/>
            </w:pPr>
            <w:r w:rsidRPr="003B601F">
              <w:t>(in &amp; around buildings)</w:t>
            </w:r>
          </w:p>
        </w:tc>
        <w:tc>
          <w:tcPr>
            <w:tcW w:w="0" w:type="auto"/>
            <w:tcBorders>
              <w:top w:val="single" w:sz="4" w:space="0" w:color="auto"/>
              <w:bottom w:val="single" w:sz="4" w:space="0" w:color="auto"/>
            </w:tcBorders>
          </w:tcPr>
          <w:p w14:paraId="424EAF80" w14:textId="77777777" w:rsidR="00A3563C" w:rsidRPr="003B601F" w:rsidRDefault="00A3563C" w:rsidP="00377F3A">
            <w:pPr>
              <w:pStyle w:val="TableText"/>
            </w:pPr>
            <w:r w:rsidRPr="003B601F">
              <w:t>No barn owl deaths attributed to brodifacoum</w:t>
            </w:r>
          </w:p>
        </w:tc>
        <w:tc>
          <w:tcPr>
            <w:tcW w:w="0" w:type="auto"/>
            <w:tcBorders>
              <w:top w:val="single" w:sz="4" w:space="0" w:color="auto"/>
              <w:bottom w:val="single" w:sz="4" w:space="0" w:color="auto"/>
            </w:tcBorders>
          </w:tcPr>
          <w:p w14:paraId="5FAF98B7" w14:textId="77777777" w:rsidR="00A3563C" w:rsidRPr="003B601F" w:rsidRDefault="00A3563C" w:rsidP="00377F3A">
            <w:pPr>
              <w:pStyle w:val="TableText"/>
            </w:pPr>
            <w:r w:rsidRPr="003B601F">
              <w:t>Hegdal &amp; Blaskiewski 1981, 1984, Morris &amp; Kakeinen 1980</w:t>
            </w:r>
          </w:p>
        </w:tc>
      </w:tr>
      <w:tr w:rsidR="00A3563C" w:rsidRPr="003B601F" w14:paraId="48E4CEF9" w14:textId="77777777" w:rsidTr="00B24917">
        <w:trPr>
          <w:cantSplit/>
        </w:trPr>
        <w:tc>
          <w:tcPr>
            <w:tcW w:w="0" w:type="auto"/>
            <w:vMerge w:val="restart"/>
            <w:tcBorders>
              <w:top w:val="single" w:sz="4" w:space="0" w:color="auto"/>
              <w:left w:val="nil"/>
              <w:bottom w:val="nil"/>
            </w:tcBorders>
          </w:tcPr>
          <w:p w14:paraId="0F3D455B" w14:textId="77777777" w:rsidR="00A3563C" w:rsidRPr="003B601F" w:rsidRDefault="00A3563C" w:rsidP="00377F3A">
            <w:pPr>
              <w:pStyle w:val="TableText"/>
            </w:pPr>
            <w:r w:rsidRPr="003B601F">
              <w:t>Various counties across UK</w:t>
            </w:r>
          </w:p>
        </w:tc>
        <w:tc>
          <w:tcPr>
            <w:tcW w:w="0" w:type="auto"/>
            <w:tcBorders>
              <w:top w:val="single" w:sz="4" w:space="0" w:color="auto"/>
              <w:bottom w:val="nil"/>
            </w:tcBorders>
          </w:tcPr>
          <w:p w14:paraId="3C9A6F8D" w14:textId="77777777" w:rsidR="00A3563C" w:rsidRPr="003B601F" w:rsidRDefault="00A3563C" w:rsidP="00377F3A">
            <w:pPr>
              <w:pStyle w:val="TableText"/>
            </w:pPr>
            <w:r w:rsidRPr="003B601F">
              <w:t>Unspecified</w:t>
            </w:r>
          </w:p>
        </w:tc>
        <w:tc>
          <w:tcPr>
            <w:tcW w:w="0" w:type="auto"/>
            <w:tcBorders>
              <w:top w:val="single" w:sz="4" w:space="0" w:color="auto"/>
              <w:bottom w:val="nil"/>
            </w:tcBorders>
          </w:tcPr>
          <w:p w14:paraId="0BB6569B" w14:textId="77777777" w:rsidR="00A3563C" w:rsidRPr="003B601F" w:rsidRDefault="00A3563C" w:rsidP="00377F3A">
            <w:pPr>
              <w:pStyle w:val="TableText"/>
            </w:pPr>
            <w:r w:rsidRPr="003B601F">
              <w:t>2 red kite and 3 grey squirrel poisoning in 1998</w:t>
            </w:r>
          </w:p>
        </w:tc>
        <w:tc>
          <w:tcPr>
            <w:tcW w:w="0" w:type="auto"/>
            <w:tcBorders>
              <w:top w:val="single" w:sz="4" w:space="0" w:color="auto"/>
              <w:bottom w:val="nil"/>
            </w:tcBorders>
          </w:tcPr>
          <w:p w14:paraId="6D253EBD" w14:textId="0FBC5B48" w:rsidR="00A3563C" w:rsidRPr="003B601F" w:rsidRDefault="00A3563C" w:rsidP="00377F3A">
            <w:pPr>
              <w:pStyle w:val="TableText"/>
            </w:pPr>
            <w:r w:rsidRPr="003B601F">
              <w:t xml:space="preserve">Fletcher </w:t>
            </w:r>
            <w:r w:rsidR="00B7183A" w:rsidRPr="00B7183A">
              <w:rPr>
                <w:i/>
                <w:iCs/>
              </w:rPr>
              <w:t>et al</w:t>
            </w:r>
            <w:r w:rsidRPr="003B601F">
              <w:t>. 1999</w:t>
            </w:r>
          </w:p>
        </w:tc>
      </w:tr>
      <w:tr w:rsidR="00A3563C" w:rsidRPr="003B601F" w14:paraId="52E3F458" w14:textId="77777777" w:rsidTr="00A3563C">
        <w:trPr>
          <w:cantSplit/>
        </w:trPr>
        <w:tc>
          <w:tcPr>
            <w:tcW w:w="0" w:type="auto"/>
            <w:vMerge/>
            <w:tcBorders>
              <w:top w:val="nil"/>
              <w:left w:val="nil"/>
              <w:bottom w:val="nil"/>
            </w:tcBorders>
          </w:tcPr>
          <w:p w14:paraId="473541B2" w14:textId="77777777" w:rsidR="00A3563C" w:rsidRPr="003B601F" w:rsidRDefault="00A3563C" w:rsidP="00377F3A">
            <w:pPr>
              <w:pStyle w:val="TableText"/>
            </w:pPr>
          </w:p>
        </w:tc>
        <w:tc>
          <w:tcPr>
            <w:tcW w:w="0" w:type="auto"/>
            <w:tcBorders>
              <w:top w:val="nil"/>
              <w:bottom w:val="nil"/>
            </w:tcBorders>
          </w:tcPr>
          <w:p w14:paraId="61262F0A" w14:textId="77777777" w:rsidR="00A3563C" w:rsidRPr="003B601F" w:rsidRDefault="00A3563C" w:rsidP="00377F3A">
            <w:pPr>
              <w:pStyle w:val="TableText"/>
            </w:pPr>
          </w:p>
        </w:tc>
        <w:tc>
          <w:tcPr>
            <w:tcW w:w="0" w:type="auto"/>
            <w:tcBorders>
              <w:top w:val="nil"/>
              <w:bottom w:val="nil"/>
            </w:tcBorders>
          </w:tcPr>
          <w:p w14:paraId="10E7899F" w14:textId="77777777" w:rsidR="00A3563C" w:rsidRPr="003B601F" w:rsidRDefault="00A3563C" w:rsidP="00377F3A">
            <w:pPr>
              <w:pStyle w:val="TableText"/>
            </w:pPr>
            <w:r w:rsidRPr="003B601F">
              <w:t>1 buzzard and 2 red kite poisonings in 1999</w:t>
            </w:r>
          </w:p>
        </w:tc>
        <w:tc>
          <w:tcPr>
            <w:tcW w:w="0" w:type="auto"/>
            <w:tcBorders>
              <w:top w:val="nil"/>
              <w:bottom w:val="nil"/>
            </w:tcBorders>
          </w:tcPr>
          <w:p w14:paraId="1D975D53" w14:textId="48069A6B" w:rsidR="00A3563C" w:rsidRPr="003B601F" w:rsidRDefault="00A3563C" w:rsidP="00377F3A">
            <w:pPr>
              <w:pStyle w:val="TableText"/>
            </w:pPr>
            <w:r w:rsidRPr="003B601F">
              <w:t xml:space="preserve">Fletcher </w:t>
            </w:r>
            <w:r w:rsidR="00B7183A" w:rsidRPr="00B7183A">
              <w:rPr>
                <w:i/>
                <w:iCs/>
              </w:rPr>
              <w:t>et al</w:t>
            </w:r>
            <w:r w:rsidRPr="003B601F">
              <w:t>. 2000</w:t>
            </w:r>
          </w:p>
        </w:tc>
      </w:tr>
      <w:tr w:rsidR="00A3563C" w:rsidRPr="003B601F" w14:paraId="355C039F" w14:textId="77777777" w:rsidTr="00A3563C">
        <w:trPr>
          <w:cantSplit/>
        </w:trPr>
        <w:tc>
          <w:tcPr>
            <w:tcW w:w="0" w:type="auto"/>
            <w:tcBorders>
              <w:top w:val="nil"/>
              <w:left w:val="nil"/>
              <w:bottom w:val="nil"/>
            </w:tcBorders>
          </w:tcPr>
          <w:p w14:paraId="3FEFCF06" w14:textId="77777777" w:rsidR="00A3563C" w:rsidRPr="003B601F" w:rsidRDefault="00A3563C" w:rsidP="00377F3A">
            <w:pPr>
              <w:pStyle w:val="TableText"/>
            </w:pPr>
          </w:p>
        </w:tc>
        <w:tc>
          <w:tcPr>
            <w:tcW w:w="0" w:type="auto"/>
            <w:tcBorders>
              <w:top w:val="nil"/>
              <w:bottom w:val="nil"/>
            </w:tcBorders>
          </w:tcPr>
          <w:p w14:paraId="6DE5E7A1" w14:textId="77777777" w:rsidR="00A3563C" w:rsidRPr="003B601F" w:rsidRDefault="00A3563C" w:rsidP="00377F3A">
            <w:pPr>
              <w:pStyle w:val="TableText"/>
            </w:pPr>
          </w:p>
        </w:tc>
        <w:tc>
          <w:tcPr>
            <w:tcW w:w="0" w:type="auto"/>
            <w:tcBorders>
              <w:top w:val="nil"/>
              <w:bottom w:val="nil"/>
            </w:tcBorders>
          </w:tcPr>
          <w:p w14:paraId="27F3EC26" w14:textId="77777777" w:rsidR="00A3563C" w:rsidRPr="003B601F" w:rsidRDefault="00A3563C" w:rsidP="00377F3A">
            <w:pPr>
              <w:pStyle w:val="TableText"/>
            </w:pPr>
            <w:r w:rsidRPr="003B601F">
              <w:t>No wildlife incidents that involved approved uses or unspecified exposure in 2000 or 2003</w:t>
            </w:r>
          </w:p>
        </w:tc>
        <w:tc>
          <w:tcPr>
            <w:tcW w:w="0" w:type="auto"/>
            <w:tcBorders>
              <w:top w:val="nil"/>
              <w:bottom w:val="nil"/>
            </w:tcBorders>
          </w:tcPr>
          <w:p w14:paraId="53B72D91" w14:textId="405EE83B" w:rsidR="00A3563C" w:rsidRPr="003B601F" w:rsidRDefault="00A3563C" w:rsidP="00377F3A">
            <w:pPr>
              <w:pStyle w:val="TableText"/>
            </w:pPr>
            <w:r w:rsidRPr="003B601F">
              <w:t xml:space="preserve">Barnett </w:t>
            </w:r>
            <w:r w:rsidR="00B7183A" w:rsidRPr="00B7183A">
              <w:rPr>
                <w:i/>
                <w:iCs/>
              </w:rPr>
              <w:t>et al</w:t>
            </w:r>
            <w:r w:rsidRPr="003B601F">
              <w:t>. 2002a, 2004</w:t>
            </w:r>
          </w:p>
        </w:tc>
      </w:tr>
      <w:tr w:rsidR="00A3563C" w:rsidRPr="003B601F" w14:paraId="6B8F3176" w14:textId="77777777" w:rsidTr="00A3563C">
        <w:trPr>
          <w:cantSplit/>
        </w:trPr>
        <w:tc>
          <w:tcPr>
            <w:tcW w:w="0" w:type="auto"/>
            <w:tcBorders>
              <w:top w:val="nil"/>
              <w:left w:val="nil"/>
              <w:bottom w:val="nil"/>
            </w:tcBorders>
          </w:tcPr>
          <w:p w14:paraId="75FC8342" w14:textId="77777777" w:rsidR="00A3563C" w:rsidRPr="003B601F" w:rsidRDefault="00A3563C" w:rsidP="00377F3A">
            <w:pPr>
              <w:pStyle w:val="TableText"/>
            </w:pPr>
          </w:p>
        </w:tc>
        <w:tc>
          <w:tcPr>
            <w:tcW w:w="0" w:type="auto"/>
            <w:tcBorders>
              <w:top w:val="nil"/>
              <w:bottom w:val="nil"/>
            </w:tcBorders>
          </w:tcPr>
          <w:p w14:paraId="73446AFE" w14:textId="77777777" w:rsidR="00A3563C" w:rsidRPr="003B601F" w:rsidRDefault="00A3563C" w:rsidP="00377F3A">
            <w:pPr>
              <w:pStyle w:val="TableText"/>
            </w:pPr>
          </w:p>
        </w:tc>
        <w:tc>
          <w:tcPr>
            <w:tcW w:w="0" w:type="auto"/>
            <w:tcBorders>
              <w:top w:val="nil"/>
              <w:bottom w:val="nil"/>
            </w:tcBorders>
          </w:tcPr>
          <w:p w14:paraId="22C98165" w14:textId="77777777" w:rsidR="00A3563C" w:rsidRPr="003B601F" w:rsidRDefault="00A3563C" w:rsidP="00377F3A">
            <w:pPr>
              <w:pStyle w:val="TableText"/>
            </w:pPr>
            <w:r w:rsidRPr="003B601F">
              <w:t>1 red kite and 1 buzzard poisoning in 2001</w:t>
            </w:r>
          </w:p>
        </w:tc>
        <w:tc>
          <w:tcPr>
            <w:tcW w:w="0" w:type="auto"/>
            <w:tcBorders>
              <w:top w:val="nil"/>
              <w:bottom w:val="nil"/>
            </w:tcBorders>
          </w:tcPr>
          <w:p w14:paraId="2775C18E" w14:textId="13FFEA11" w:rsidR="00A3563C" w:rsidRPr="003B601F" w:rsidRDefault="00A3563C" w:rsidP="00377F3A">
            <w:pPr>
              <w:pStyle w:val="TableText"/>
            </w:pPr>
            <w:r w:rsidRPr="003B601F">
              <w:t xml:space="preserve">Barnett </w:t>
            </w:r>
            <w:r w:rsidR="00B7183A" w:rsidRPr="00B7183A">
              <w:rPr>
                <w:i/>
                <w:iCs/>
              </w:rPr>
              <w:t>et al</w:t>
            </w:r>
            <w:r w:rsidRPr="003B601F">
              <w:t>. 2002b</w:t>
            </w:r>
          </w:p>
        </w:tc>
      </w:tr>
      <w:tr w:rsidR="00A3563C" w:rsidRPr="003B601F" w14:paraId="3710FDBE" w14:textId="77777777" w:rsidTr="00A3563C">
        <w:trPr>
          <w:cantSplit/>
        </w:trPr>
        <w:tc>
          <w:tcPr>
            <w:tcW w:w="0" w:type="auto"/>
            <w:tcBorders>
              <w:top w:val="nil"/>
              <w:left w:val="nil"/>
              <w:bottom w:val="nil"/>
            </w:tcBorders>
          </w:tcPr>
          <w:p w14:paraId="39207A72" w14:textId="77777777" w:rsidR="00A3563C" w:rsidRPr="003B601F" w:rsidRDefault="00A3563C" w:rsidP="00377F3A">
            <w:pPr>
              <w:pStyle w:val="TableText"/>
            </w:pPr>
          </w:p>
        </w:tc>
        <w:tc>
          <w:tcPr>
            <w:tcW w:w="0" w:type="auto"/>
            <w:tcBorders>
              <w:top w:val="nil"/>
              <w:bottom w:val="nil"/>
            </w:tcBorders>
          </w:tcPr>
          <w:p w14:paraId="2E064899" w14:textId="77777777" w:rsidR="00A3563C" w:rsidRPr="003B601F" w:rsidRDefault="00A3563C" w:rsidP="00377F3A">
            <w:pPr>
              <w:pStyle w:val="TableText"/>
            </w:pPr>
          </w:p>
        </w:tc>
        <w:tc>
          <w:tcPr>
            <w:tcW w:w="0" w:type="auto"/>
            <w:tcBorders>
              <w:top w:val="nil"/>
              <w:bottom w:val="nil"/>
            </w:tcBorders>
          </w:tcPr>
          <w:p w14:paraId="421BDF9D" w14:textId="77777777" w:rsidR="00A3563C" w:rsidRPr="003B601F" w:rsidRDefault="00A3563C" w:rsidP="00377F3A">
            <w:pPr>
              <w:pStyle w:val="TableText"/>
            </w:pPr>
            <w:r w:rsidRPr="003B601F">
              <w:t>3 fox poisonings; 1 tawny owl was possible road traffic accident victim, but also exposed to brodifacoum in 2002</w:t>
            </w:r>
          </w:p>
        </w:tc>
        <w:tc>
          <w:tcPr>
            <w:tcW w:w="0" w:type="auto"/>
            <w:tcBorders>
              <w:top w:val="nil"/>
              <w:bottom w:val="nil"/>
            </w:tcBorders>
          </w:tcPr>
          <w:p w14:paraId="425E4F32" w14:textId="5BC33E5A" w:rsidR="00A3563C" w:rsidRPr="003B601F" w:rsidRDefault="00A3563C" w:rsidP="00377F3A">
            <w:pPr>
              <w:pStyle w:val="TableText"/>
            </w:pPr>
            <w:r w:rsidRPr="003B601F">
              <w:t xml:space="preserve">Barnett </w:t>
            </w:r>
            <w:r w:rsidR="00B7183A" w:rsidRPr="00B7183A">
              <w:rPr>
                <w:i/>
                <w:iCs/>
              </w:rPr>
              <w:t>et al</w:t>
            </w:r>
            <w:r w:rsidRPr="003B601F">
              <w:t xml:space="preserve">. 2003 </w:t>
            </w:r>
          </w:p>
        </w:tc>
      </w:tr>
      <w:tr w:rsidR="00A3563C" w:rsidRPr="003B601F" w14:paraId="4F9A1001" w14:textId="77777777" w:rsidTr="00A3563C">
        <w:trPr>
          <w:cantSplit/>
        </w:trPr>
        <w:tc>
          <w:tcPr>
            <w:tcW w:w="0" w:type="auto"/>
            <w:tcBorders>
              <w:top w:val="nil"/>
              <w:left w:val="nil"/>
              <w:bottom w:val="nil"/>
            </w:tcBorders>
          </w:tcPr>
          <w:p w14:paraId="2365B704" w14:textId="77777777" w:rsidR="00A3563C" w:rsidRPr="003B601F" w:rsidRDefault="00A3563C" w:rsidP="00377F3A">
            <w:pPr>
              <w:pStyle w:val="TableText"/>
            </w:pPr>
          </w:p>
        </w:tc>
        <w:tc>
          <w:tcPr>
            <w:tcW w:w="0" w:type="auto"/>
            <w:tcBorders>
              <w:top w:val="nil"/>
              <w:bottom w:val="nil"/>
            </w:tcBorders>
          </w:tcPr>
          <w:p w14:paraId="102AC6BC" w14:textId="77777777" w:rsidR="00A3563C" w:rsidRPr="003B601F" w:rsidRDefault="00A3563C" w:rsidP="00377F3A">
            <w:pPr>
              <w:pStyle w:val="TableText"/>
            </w:pPr>
          </w:p>
        </w:tc>
        <w:tc>
          <w:tcPr>
            <w:tcW w:w="0" w:type="auto"/>
            <w:tcBorders>
              <w:top w:val="nil"/>
              <w:bottom w:val="nil"/>
            </w:tcBorders>
          </w:tcPr>
          <w:p w14:paraId="5416C933" w14:textId="77777777" w:rsidR="00A3563C" w:rsidRPr="003B601F" w:rsidRDefault="00A3563C" w:rsidP="00377F3A">
            <w:pPr>
              <w:pStyle w:val="TableText"/>
            </w:pPr>
            <w:r w:rsidRPr="003B601F">
              <w:t>1 fox, 2 buzzards, 2 tawny owls, 4 crows (accessed protected bait points), and 2 red kite poisonings in 2004</w:t>
            </w:r>
          </w:p>
        </w:tc>
        <w:tc>
          <w:tcPr>
            <w:tcW w:w="0" w:type="auto"/>
            <w:tcBorders>
              <w:top w:val="nil"/>
              <w:bottom w:val="nil"/>
            </w:tcBorders>
          </w:tcPr>
          <w:p w14:paraId="09319E7E" w14:textId="6C3BFB07" w:rsidR="00A3563C" w:rsidRPr="003B601F" w:rsidRDefault="00A3563C" w:rsidP="00377F3A">
            <w:pPr>
              <w:pStyle w:val="TableText"/>
            </w:pPr>
            <w:r w:rsidRPr="003B601F">
              <w:t xml:space="preserve">Barnett </w:t>
            </w:r>
            <w:r w:rsidR="00B7183A" w:rsidRPr="00B7183A">
              <w:rPr>
                <w:i/>
                <w:iCs/>
              </w:rPr>
              <w:t>et al</w:t>
            </w:r>
            <w:r w:rsidRPr="003B601F">
              <w:t>. 2005</w:t>
            </w:r>
          </w:p>
        </w:tc>
      </w:tr>
      <w:tr w:rsidR="00A3563C" w:rsidRPr="003B601F" w14:paraId="43B47C48" w14:textId="77777777" w:rsidTr="00B24917">
        <w:trPr>
          <w:cantSplit/>
        </w:trPr>
        <w:tc>
          <w:tcPr>
            <w:tcW w:w="0" w:type="auto"/>
            <w:tcBorders>
              <w:top w:val="nil"/>
              <w:left w:val="nil"/>
              <w:bottom w:val="nil"/>
            </w:tcBorders>
          </w:tcPr>
          <w:p w14:paraId="0B29A5D7" w14:textId="77777777" w:rsidR="00A3563C" w:rsidRPr="003B601F" w:rsidRDefault="00A3563C" w:rsidP="00377F3A">
            <w:pPr>
              <w:pStyle w:val="TableText"/>
            </w:pPr>
          </w:p>
        </w:tc>
        <w:tc>
          <w:tcPr>
            <w:tcW w:w="0" w:type="auto"/>
            <w:tcBorders>
              <w:top w:val="nil"/>
              <w:bottom w:val="nil"/>
            </w:tcBorders>
          </w:tcPr>
          <w:p w14:paraId="57CBEC04" w14:textId="77777777" w:rsidR="00A3563C" w:rsidRPr="003B601F" w:rsidRDefault="00A3563C" w:rsidP="00377F3A">
            <w:pPr>
              <w:pStyle w:val="TableText"/>
            </w:pPr>
          </w:p>
        </w:tc>
        <w:tc>
          <w:tcPr>
            <w:tcW w:w="0" w:type="auto"/>
            <w:tcBorders>
              <w:top w:val="nil"/>
              <w:bottom w:val="nil"/>
            </w:tcBorders>
          </w:tcPr>
          <w:p w14:paraId="452A3729" w14:textId="77777777" w:rsidR="00A3563C" w:rsidRPr="003B601F" w:rsidRDefault="00A3563C" w:rsidP="00377F3A">
            <w:pPr>
              <w:pStyle w:val="TableText"/>
            </w:pPr>
            <w:r w:rsidRPr="003B601F">
              <w:t>1 barn owl and 1 buzzard poisoning in 2005</w:t>
            </w:r>
          </w:p>
        </w:tc>
        <w:tc>
          <w:tcPr>
            <w:tcW w:w="0" w:type="auto"/>
            <w:tcBorders>
              <w:top w:val="nil"/>
              <w:bottom w:val="nil"/>
            </w:tcBorders>
          </w:tcPr>
          <w:p w14:paraId="7F92F456" w14:textId="541A30CE" w:rsidR="00A3563C" w:rsidRPr="003B601F" w:rsidRDefault="00A3563C" w:rsidP="00377F3A">
            <w:pPr>
              <w:pStyle w:val="TableText"/>
            </w:pPr>
            <w:r w:rsidRPr="003B601F">
              <w:t xml:space="preserve">Barnett </w:t>
            </w:r>
            <w:r w:rsidR="00B7183A" w:rsidRPr="00B7183A">
              <w:rPr>
                <w:i/>
                <w:iCs/>
              </w:rPr>
              <w:t>et al</w:t>
            </w:r>
            <w:r w:rsidRPr="003B601F">
              <w:t>. 2006</w:t>
            </w:r>
          </w:p>
        </w:tc>
      </w:tr>
      <w:tr w:rsidR="00A3563C" w:rsidRPr="003B601F" w14:paraId="210C3196" w14:textId="77777777" w:rsidTr="00B24917">
        <w:trPr>
          <w:cantSplit/>
        </w:trPr>
        <w:tc>
          <w:tcPr>
            <w:tcW w:w="0" w:type="auto"/>
            <w:tcBorders>
              <w:top w:val="nil"/>
              <w:left w:val="nil"/>
              <w:bottom w:val="single" w:sz="4" w:space="0" w:color="auto"/>
            </w:tcBorders>
          </w:tcPr>
          <w:p w14:paraId="5FAA2D6A" w14:textId="77777777" w:rsidR="00A3563C" w:rsidRPr="003B601F" w:rsidRDefault="00A3563C" w:rsidP="00377F3A">
            <w:pPr>
              <w:pStyle w:val="TableText"/>
            </w:pPr>
          </w:p>
        </w:tc>
        <w:tc>
          <w:tcPr>
            <w:tcW w:w="0" w:type="auto"/>
            <w:tcBorders>
              <w:top w:val="nil"/>
              <w:bottom w:val="single" w:sz="4" w:space="0" w:color="auto"/>
            </w:tcBorders>
          </w:tcPr>
          <w:p w14:paraId="1E9D168C" w14:textId="77777777" w:rsidR="00A3563C" w:rsidRPr="003B601F" w:rsidRDefault="00A3563C" w:rsidP="00377F3A">
            <w:pPr>
              <w:pStyle w:val="TableText"/>
            </w:pPr>
          </w:p>
        </w:tc>
        <w:tc>
          <w:tcPr>
            <w:tcW w:w="0" w:type="auto"/>
            <w:tcBorders>
              <w:top w:val="nil"/>
              <w:bottom w:val="single" w:sz="4" w:space="0" w:color="auto"/>
            </w:tcBorders>
          </w:tcPr>
          <w:p w14:paraId="0B76C6F0" w14:textId="77777777" w:rsidR="00A3563C" w:rsidRPr="003B601F" w:rsidRDefault="00A3563C" w:rsidP="00377F3A">
            <w:pPr>
              <w:pStyle w:val="TableText"/>
            </w:pPr>
            <w:r w:rsidRPr="003B601F">
              <w:t>3 fox and 1 barn owl poisoning in 2006</w:t>
            </w:r>
          </w:p>
        </w:tc>
        <w:tc>
          <w:tcPr>
            <w:tcW w:w="0" w:type="auto"/>
            <w:tcBorders>
              <w:top w:val="nil"/>
              <w:bottom w:val="single" w:sz="4" w:space="0" w:color="auto"/>
            </w:tcBorders>
          </w:tcPr>
          <w:p w14:paraId="66BAA300" w14:textId="0BCF3305" w:rsidR="00A3563C" w:rsidRPr="003B601F" w:rsidRDefault="00A3563C" w:rsidP="00377F3A">
            <w:pPr>
              <w:pStyle w:val="TableText"/>
            </w:pPr>
            <w:r w:rsidRPr="003B601F">
              <w:t xml:space="preserve">Barnett </w:t>
            </w:r>
            <w:r w:rsidR="00B7183A" w:rsidRPr="00B7183A">
              <w:rPr>
                <w:i/>
                <w:iCs/>
              </w:rPr>
              <w:t>et al</w:t>
            </w:r>
            <w:r w:rsidRPr="003B601F">
              <w:t>. 2007</w:t>
            </w:r>
          </w:p>
        </w:tc>
      </w:tr>
      <w:tr w:rsidR="00A3563C" w:rsidRPr="003B601F" w14:paraId="686CC0F6" w14:textId="77777777" w:rsidTr="00B24917">
        <w:trPr>
          <w:cantSplit/>
        </w:trPr>
        <w:tc>
          <w:tcPr>
            <w:tcW w:w="0" w:type="auto"/>
            <w:tcBorders>
              <w:top w:val="single" w:sz="4" w:space="0" w:color="auto"/>
              <w:left w:val="nil"/>
              <w:bottom w:val="single" w:sz="4" w:space="0" w:color="auto"/>
            </w:tcBorders>
          </w:tcPr>
          <w:p w14:paraId="325842E7" w14:textId="77777777" w:rsidR="00A3563C" w:rsidRPr="003B601F" w:rsidRDefault="00A3563C" w:rsidP="00377F3A">
            <w:pPr>
              <w:pStyle w:val="TableText"/>
            </w:pPr>
            <w:r w:rsidRPr="003B601F">
              <w:t>United Kingdom</w:t>
            </w:r>
          </w:p>
        </w:tc>
        <w:tc>
          <w:tcPr>
            <w:tcW w:w="0" w:type="auto"/>
            <w:tcBorders>
              <w:top w:val="single" w:sz="4" w:space="0" w:color="auto"/>
              <w:bottom w:val="single" w:sz="4" w:space="0" w:color="auto"/>
            </w:tcBorders>
          </w:tcPr>
          <w:p w14:paraId="7F0B708E" w14:textId="77777777" w:rsidR="00A3563C" w:rsidRPr="003B601F" w:rsidRDefault="00A3563C" w:rsidP="00377F3A">
            <w:pPr>
              <w:pStyle w:val="TableText"/>
            </w:pPr>
            <w:r w:rsidRPr="003B601F">
              <w:t>Approved use</w:t>
            </w:r>
          </w:p>
        </w:tc>
        <w:tc>
          <w:tcPr>
            <w:tcW w:w="0" w:type="auto"/>
            <w:tcBorders>
              <w:top w:val="single" w:sz="4" w:space="0" w:color="auto"/>
              <w:bottom w:val="single" w:sz="4" w:space="0" w:color="auto"/>
            </w:tcBorders>
          </w:tcPr>
          <w:p w14:paraId="74E9F337" w14:textId="77777777" w:rsidR="00A3563C" w:rsidRPr="003B601F" w:rsidRDefault="00A3563C" w:rsidP="00377F3A">
            <w:pPr>
              <w:pStyle w:val="TableText"/>
            </w:pPr>
            <w:r w:rsidRPr="003B601F">
              <w:t>1 fox poisoning in 1990-1994</w:t>
            </w:r>
          </w:p>
        </w:tc>
        <w:tc>
          <w:tcPr>
            <w:tcW w:w="0" w:type="auto"/>
            <w:tcBorders>
              <w:top w:val="single" w:sz="4" w:space="0" w:color="auto"/>
              <w:bottom w:val="single" w:sz="4" w:space="0" w:color="auto"/>
            </w:tcBorders>
          </w:tcPr>
          <w:p w14:paraId="4E247A18" w14:textId="26E4F4AD" w:rsidR="00A3563C" w:rsidRPr="003B601F" w:rsidRDefault="00A3563C" w:rsidP="00377F3A">
            <w:pPr>
              <w:pStyle w:val="TableText"/>
            </w:pPr>
            <w:r w:rsidRPr="003B601F">
              <w:t xml:space="preserve">de Snoo </w:t>
            </w:r>
            <w:r w:rsidR="00B7183A" w:rsidRPr="00B7183A">
              <w:rPr>
                <w:i/>
                <w:iCs/>
              </w:rPr>
              <w:t>et al</w:t>
            </w:r>
            <w:r w:rsidRPr="003B601F">
              <w:t>. 1999</w:t>
            </w:r>
          </w:p>
        </w:tc>
      </w:tr>
      <w:tr w:rsidR="00A3563C" w:rsidRPr="003B601F" w14:paraId="3C9042AB" w14:textId="77777777" w:rsidTr="00B24917">
        <w:trPr>
          <w:cantSplit/>
        </w:trPr>
        <w:tc>
          <w:tcPr>
            <w:tcW w:w="0" w:type="auto"/>
            <w:tcBorders>
              <w:top w:val="single" w:sz="4" w:space="0" w:color="auto"/>
              <w:left w:val="nil"/>
              <w:bottom w:val="nil"/>
            </w:tcBorders>
          </w:tcPr>
          <w:p w14:paraId="64D59966" w14:textId="77777777" w:rsidR="00A3563C" w:rsidRPr="003B601F" w:rsidRDefault="00A3563C" w:rsidP="00377F3A">
            <w:pPr>
              <w:pStyle w:val="TableText"/>
            </w:pPr>
            <w:r w:rsidRPr="003B601F">
              <w:t>New York, USA &amp; adjoining states</w:t>
            </w:r>
          </w:p>
        </w:tc>
        <w:tc>
          <w:tcPr>
            <w:tcW w:w="0" w:type="auto"/>
            <w:tcBorders>
              <w:top w:val="single" w:sz="4" w:space="0" w:color="auto"/>
              <w:bottom w:val="nil"/>
            </w:tcBorders>
          </w:tcPr>
          <w:p w14:paraId="716AC0A8" w14:textId="77777777" w:rsidR="00A3563C" w:rsidRPr="003B601F" w:rsidRDefault="00A3563C" w:rsidP="00377F3A">
            <w:pPr>
              <w:pStyle w:val="TableText"/>
            </w:pPr>
            <w:r w:rsidRPr="003B601F">
              <w:t>Unspecified</w:t>
            </w:r>
          </w:p>
        </w:tc>
        <w:tc>
          <w:tcPr>
            <w:tcW w:w="0" w:type="auto"/>
            <w:tcBorders>
              <w:top w:val="single" w:sz="4" w:space="0" w:color="auto"/>
              <w:bottom w:val="nil"/>
            </w:tcBorders>
          </w:tcPr>
          <w:p w14:paraId="276DEEBC" w14:textId="77777777" w:rsidR="00A3563C" w:rsidRPr="003B601F" w:rsidRDefault="00A3563C" w:rsidP="00377F3A">
            <w:pPr>
              <w:pStyle w:val="TableText"/>
            </w:pPr>
            <w:r w:rsidRPr="003B601F">
              <w:t>5 gray squirrel, 1 chipmunk, 6 raccoons, 2 red fox, 1 opossum, 5 white-tailed deer, 1 raven, 1 crow, 1 golden eagle, 2 screech owl, 13 great horned owl, 7 red-tailed hawk poisonings in 1971-1997</w:t>
            </w:r>
          </w:p>
        </w:tc>
        <w:tc>
          <w:tcPr>
            <w:tcW w:w="0" w:type="auto"/>
            <w:tcBorders>
              <w:top w:val="single" w:sz="4" w:space="0" w:color="auto"/>
              <w:bottom w:val="nil"/>
            </w:tcBorders>
          </w:tcPr>
          <w:p w14:paraId="3F6C65F5" w14:textId="388B4A9E" w:rsidR="00A3563C" w:rsidRPr="003B601F" w:rsidRDefault="00A3563C" w:rsidP="00377F3A">
            <w:pPr>
              <w:pStyle w:val="TableText"/>
            </w:pPr>
            <w:r w:rsidRPr="003B601F">
              <w:t xml:space="preserve">Stone </w:t>
            </w:r>
            <w:r w:rsidR="00B7183A" w:rsidRPr="00B7183A">
              <w:rPr>
                <w:i/>
                <w:iCs/>
              </w:rPr>
              <w:t>et al</w:t>
            </w:r>
            <w:r w:rsidRPr="003B601F">
              <w:t>. 1999</w:t>
            </w:r>
          </w:p>
        </w:tc>
      </w:tr>
      <w:tr w:rsidR="00A3563C" w:rsidRPr="003B601F" w14:paraId="649278FA" w14:textId="77777777" w:rsidTr="00A3563C">
        <w:trPr>
          <w:cantSplit/>
        </w:trPr>
        <w:tc>
          <w:tcPr>
            <w:tcW w:w="0" w:type="auto"/>
            <w:tcBorders>
              <w:top w:val="nil"/>
              <w:left w:val="nil"/>
              <w:bottom w:val="nil"/>
            </w:tcBorders>
          </w:tcPr>
          <w:p w14:paraId="796EE5D5" w14:textId="77777777" w:rsidR="00A3563C" w:rsidRPr="003B601F" w:rsidRDefault="00A3563C" w:rsidP="00377F3A">
            <w:pPr>
              <w:pStyle w:val="TableText"/>
            </w:pPr>
          </w:p>
        </w:tc>
        <w:tc>
          <w:tcPr>
            <w:tcW w:w="0" w:type="auto"/>
            <w:tcBorders>
              <w:top w:val="nil"/>
              <w:bottom w:val="nil"/>
            </w:tcBorders>
          </w:tcPr>
          <w:p w14:paraId="2E741910" w14:textId="77777777" w:rsidR="00A3563C" w:rsidRPr="003B601F" w:rsidRDefault="00A3563C" w:rsidP="00377F3A">
            <w:pPr>
              <w:pStyle w:val="TableText"/>
            </w:pPr>
          </w:p>
        </w:tc>
        <w:tc>
          <w:tcPr>
            <w:tcW w:w="0" w:type="auto"/>
            <w:tcBorders>
              <w:top w:val="nil"/>
              <w:bottom w:val="nil"/>
            </w:tcBorders>
          </w:tcPr>
          <w:p w14:paraId="36F237E1" w14:textId="77777777" w:rsidR="00A3563C" w:rsidRPr="003B601F" w:rsidRDefault="00A3563C" w:rsidP="00377F3A">
            <w:pPr>
              <w:pStyle w:val="TableText"/>
            </w:pPr>
            <w:r w:rsidRPr="003B601F">
              <w:t>No wildlife incidents that involved approved uses or unspecified exposure in 1999-2001, 2003, 2005-2006</w:t>
            </w:r>
          </w:p>
        </w:tc>
        <w:tc>
          <w:tcPr>
            <w:tcW w:w="0" w:type="auto"/>
            <w:tcBorders>
              <w:top w:val="nil"/>
              <w:bottom w:val="nil"/>
            </w:tcBorders>
          </w:tcPr>
          <w:p w14:paraId="05568E01" w14:textId="54A637DB" w:rsidR="00A3563C" w:rsidRPr="003B601F" w:rsidRDefault="00A3563C" w:rsidP="00377F3A">
            <w:pPr>
              <w:pStyle w:val="TableText"/>
            </w:pPr>
            <w:r w:rsidRPr="003B601F">
              <w:t xml:space="preserve">Barnett </w:t>
            </w:r>
            <w:r w:rsidR="00B7183A" w:rsidRPr="00B7183A">
              <w:rPr>
                <w:i/>
                <w:iCs/>
              </w:rPr>
              <w:t>et al</w:t>
            </w:r>
            <w:r w:rsidRPr="003B601F">
              <w:t xml:space="preserve">. 2002a, 2002b, 2004, 2006, 2007, Fletcher </w:t>
            </w:r>
            <w:r w:rsidR="00B7183A" w:rsidRPr="00B7183A">
              <w:rPr>
                <w:i/>
                <w:iCs/>
              </w:rPr>
              <w:t>et al</w:t>
            </w:r>
            <w:r w:rsidRPr="003B601F">
              <w:t>. 2000</w:t>
            </w:r>
          </w:p>
        </w:tc>
      </w:tr>
      <w:tr w:rsidR="00A3563C" w:rsidRPr="003B601F" w14:paraId="77FA6AFD" w14:textId="77777777" w:rsidTr="00A3563C">
        <w:trPr>
          <w:cantSplit/>
        </w:trPr>
        <w:tc>
          <w:tcPr>
            <w:tcW w:w="0" w:type="auto"/>
            <w:tcBorders>
              <w:top w:val="nil"/>
              <w:left w:val="nil"/>
              <w:bottom w:val="single" w:sz="4" w:space="0" w:color="auto"/>
            </w:tcBorders>
          </w:tcPr>
          <w:p w14:paraId="536D22E7" w14:textId="77777777" w:rsidR="00A3563C" w:rsidRPr="003B601F" w:rsidRDefault="00A3563C" w:rsidP="00377F3A">
            <w:pPr>
              <w:pStyle w:val="TableText"/>
            </w:pPr>
          </w:p>
        </w:tc>
        <w:tc>
          <w:tcPr>
            <w:tcW w:w="0" w:type="auto"/>
            <w:tcBorders>
              <w:top w:val="nil"/>
              <w:bottom w:val="single" w:sz="4" w:space="0" w:color="auto"/>
            </w:tcBorders>
          </w:tcPr>
          <w:p w14:paraId="1CE0DFFF" w14:textId="77777777" w:rsidR="00A3563C" w:rsidRPr="003B601F" w:rsidRDefault="00A3563C" w:rsidP="00377F3A">
            <w:pPr>
              <w:pStyle w:val="TableText"/>
            </w:pPr>
          </w:p>
        </w:tc>
        <w:tc>
          <w:tcPr>
            <w:tcW w:w="0" w:type="auto"/>
            <w:tcBorders>
              <w:top w:val="nil"/>
              <w:bottom w:val="single" w:sz="4" w:space="0" w:color="auto"/>
            </w:tcBorders>
          </w:tcPr>
          <w:p w14:paraId="79FDF893" w14:textId="42B759F2" w:rsidR="00A3563C" w:rsidRPr="003B601F" w:rsidRDefault="00A3563C" w:rsidP="00377F3A">
            <w:pPr>
              <w:pStyle w:val="TableText"/>
            </w:pPr>
            <w:r w:rsidRPr="003B601F">
              <w:t>4 crows poisoned (accessed protected bait points) in 2004</w:t>
            </w:r>
          </w:p>
        </w:tc>
        <w:tc>
          <w:tcPr>
            <w:tcW w:w="0" w:type="auto"/>
            <w:tcBorders>
              <w:top w:val="nil"/>
              <w:bottom w:val="single" w:sz="4" w:space="0" w:color="auto"/>
            </w:tcBorders>
          </w:tcPr>
          <w:p w14:paraId="1F360F6C" w14:textId="07B9BA42" w:rsidR="00A3563C" w:rsidRPr="003B601F" w:rsidRDefault="00A3563C" w:rsidP="00377F3A">
            <w:pPr>
              <w:pStyle w:val="TableText"/>
            </w:pPr>
            <w:r w:rsidRPr="003B601F">
              <w:t xml:space="preserve">Barnett </w:t>
            </w:r>
            <w:r w:rsidR="00B7183A" w:rsidRPr="00B7183A">
              <w:rPr>
                <w:i/>
                <w:iCs/>
              </w:rPr>
              <w:t>et al</w:t>
            </w:r>
            <w:r w:rsidRPr="003B601F">
              <w:t>. 2005</w:t>
            </w:r>
          </w:p>
        </w:tc>
      </w:tr>
    </w:tbl>
    <w:p w14:paraId="6A6F1BA9" w14:textId="77777777" w:rsidR="00980B2F" w:rsidRPr="003B601F" w:rsidRDefault="00980B2F" w:rsidP="00980B2F"/>
    <w:p w14:paraId="438505F9" w14:textId="6CCA6285" w:rsidR="00980B2F" w:rsidRPr="003B601F" w:rsidRDefault="00BA7F5F" w:rsidP="00377F3A">
      <w:pPr>
        <w:pStyle w:val="Caption"/>
      </w:pPr>
      <w:bookmarkStart w:id="2043" w:name="_Ref214822966"/>
      <w:bookmarkStart w:id="2044" w:name="_Toc213946084"/>
      <w:bookmarkStart w:id="2045" w:name="_Toc216695775"/>
      <w:r>
        <w:lastRenderedPageBreak/>
        <w:t xml:space="preserve">Table </w:t>
      </w:r>
      <w:r>
        <w:fldChar w:fldCharType="begin"/>
      </w:r>
      <w:r>
        <w:instrText xml:space="preserve"> SEQ Table \* ARABIC </w:instrText>
      </w:r>
      <w:r>
        <w:fldChar w:fldCharType="separate"/>
      </w:r>
      <w:r w:rsidR="003861AC">
        <w:rPr>
          <w:noProof/>
        </w:rPr>
        <w:t>113</w:t>
      </w:r>
      <w:r>
        <w:fldChar w:fldCharType="end"/>
      </w:r>
      <w:bookmarkEnd w:id="2043"/>
      <w:r>
        <w:t xml:space="preserve">: </w:t>
      </w:r>
      <w:r w:rsidR="00437439">
        <w:t xml:space="preserve">Brodifacoum – </w:t>
      </w:r>
      <w:r w:rsidR="00980B2F" w:rsidRPr="008E1934">
        <w:t xml:space="preserve">Field studies and adverse incidents involving terrestrial vertebrates </w:t>
      </w:r>
      <w:r w:rsidR="00B24917">
        <w:t>from</w:t>
      </w:r>
      <w:r w:rsidR="00980B2F" w:rsidRPr="008E1934">
        <w:t xml:space="preserve"> rodent eradication and ecological restoration programmes</w:t>
      </w:r>
      <w:bookmarkEnd w:id="2044"/>
      <w:bookmarkEnd w:id="2045"/>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484"/>
        <w:gridCol w:w="1746"/>
        <w:gridCol w:w="5090"/>
        <w:gridCol w:w="1375"/>
      </w:tblGrid>
      <w:tr w:rsidR="00A3563C" w:rsidRPr="003B601F" w14:paraId="2C78DE0E" w14:textId="77777777" w:rsidTr="0017134F">
        <w:trPr>
          <w:cantSplit/>
          <w:tblHeader/>
        </w:trPr>
        <w:tc>
          <w:tcPr>
            <w:tcW w:w="0" w:type="auto"/>
            <w:tcBorders>
              <w:bottom w:val="single" w:sz="4" w:space="0" w:color="auto"/>
            </w:tcBorders>
            <w:shd w:val="clear" w:color="auto" w:fill="53284F"/>
          </w:tcPr>
          <w:p w14:paraId="63FCA9C4" w14:textId="77777777" w:rsidR="00A3563C" w:rsidRPr="003B601F" w:rsidRDefault="00A3563C" w:rsidP="00377F3A">
            <w:pPr>
              <w:pStyle w:val="TableHead"/>
            </w:pPr>
            <w:r w:rsidRPr="003B601F">
              <w:t>Use area</w:t>
            </w:r>
          </w:p>
        </w:tc>
        <w:tc>
          <w:tcPr>
            <w:tcW w:w="0" w:type="auto"/>
            <w:tcBorders>
              <w:bottom w:val="single" w:sz="4" w:space="0" w:color="auto"/>
            </w:tcBorders>
            <w:shd w:val="clear" w:color="auto" w:fill="53284F"/>
          </w:tcPr>
          <w:p w14:paraId="6F09C321" w14:textId="77777777" w:rsidR="00A3563C" w:rsidRPr="003B601F" w:rsidRDefault="00A3563C" w:rsidP="00377F3A">
            <w:pPr>
              <w:pStyle w:val="TableHead"/>
            </w:pPr>
            <w:r w:rsidRPr="003B601F">
              <w:t>Exposure</w:t>
            </w:r>
          </w:p>
        </w:tc>
        <w:tc>
          <w:tcPr>
            <w:tcW w:w="0" w:type="auto"/>
            <w:tcBorders>
              <w:bottom w:val="single" w:sz="4" w:space="0" w:color="auto"/>
            </w:tcBorders>
            <w:shd w:val="clear" w:color="auto" w:fill="53284F"/>
          </w:tcPr>
          <w:p w14:paraId="648FBDA6" w14:textId="77777777" w:rsidR="00A3563C" w:rsidRPr="003B601F" w:rsidRDefault="00A3563C" w:rsidP="00377F3A">
            <w:pPr>
              <w:pStyle w:val="TableHead"/>
            </w:pPr>
            <w:r w:rsidRPr="003B601F">
              <w:t>Effect</w:t>
            </w:r>
          </w:p>
        </w:tc>
        <w:tc>
          <w:tcPr>
            <w:tcW w:w="0" w:type="auto"/>
            <w:tcBorders>
              <w:bottom w:val="single" w:sz="4" w:space="0" w:color="auto"/>
            </w:tcBorders>
            <w:shd w:val="clear" w:color="auto" w:fill="53284F"/>
          </w:tcPr>
          <w:p w14:paraId="796B8276" w14:textId="77777777" w:rsidR="00A3563C" w:rsidRPr="003B601F" w:rsidRDefault="00A3563C" w:rsidP="00377F3A">
            <w:pPr>
              <w:pStyle w:val="TableHead"/>
            </w:pPr>
            <w:r w:rsidRPr="003B601F">
              <w:t>Reference</w:t>
            </w:r>
          </w:p>
        </w:tc>
      </w:tr>
      <w:tr w:rsidR="00A3563C" w:rsidRPr="003B601F" w14:paraId="34066B3A" w14:textId="77777777" w:rsidTr="00A3563C">
        <w:trPr>
          <w:cantSplit/>
          <w:trHeight w:val="865"/>
        </w:trPr>
        <w:tc>
          <w:tcPr>
            <w:tcW w:w="0" w:type="auto"/>
            <w:tcBorders>
              <w:top w:val="single" w:sz="4" w:space="0" w:color="auto"/>
              <w:left w:val="nil"/>
              <w:bottom w:val="nil"/>
            </w:tcBorders>
          </w:tcPr>
          <w:p w14:paraId="21B5293A" w14:textId="77777777" w:rsidR="00A3563C" w:rsidRPr="004249C4" w:rsidRDefault="00A3563C" w:rsidP="00377F3A">
            <w:pPr>
              <w:pStyle w:val="TableText"/>
            </w:pPr>
            <w:r w:rsidRPr="004249C4">
              <w:t>Lord Howe Island, NSW</w:t>
            </w:r>
          </w:p>
        </w:tc>
        <w:tc>
          <w:tcPr>
            <w:tcW w:w="0" w:type="auto"/>
            <w:tcBorders>
              <w:top w:val="single" w:sz="4" w:space="0" w:color="auto"/>
              <w:bottom w:val="nil"/>
            </w:tcBorders>
          </w:tcPr>
          <w:p w14:paraId="3DFB674B" w14:textId="4E85DB9F" w:rsidR="00A3563C" w:rsidRPr="004249C4" w:rsidRDefault="00A3563C" w:rsidP="00377F3A">
            <w:pPr>
              <w:pStyle w:val="TableText"/>
            </w:pPr>
            <w:r w:rsidRPr="004249C4">
              <w:t>20 mg a</w:t>
            </w:r>
            <w:r w:rsidR="00C874AD">
              <w:t>.</w:t>
            </w:r>
            <w:r w:rsidRPr="004249C4">
              <w:t>c</w:t>
            </w:r>
            <w:r w:rsidR="00C874AD">
              <w:t>.</w:t>
            </w:r>
            <w:r w:rsidRPr="004249C4">
              <w:t>/kg bait</w:t>
            </w:r>
          </w:p>
          <w:p w14:paraId="70B67E30" w14:textId="77777777" w:rsidR="00A3563C" w:rsidRPr="004249C4" w:rsidRDefault="00A3563C" w:rsidP="00377F3A">
            <w:pPr>
              <w:pStyle w:val="TableText"/>
            </w:pPr>
            <w:r w:rsidRPr="004249C4">
              <w:t>(two aerial broadcasts at 12 + 8 kg/ha; 19,000 bait stations)</w:t>
            </w:r>
          </w:p>
        </w:tc>
        <w:tc>
          <w:tcPr>
            <w:tcW w:w="0" w:type="auto"/>
            <w:tcBorders>
              <w:top w:val="single" w:sz="4" w:space="0" w:color="auto"/>
              <w:bottom w:val="nil"/>
            </w:tcBorders>
          </w:tcPr>
          <w:p w14:paraId="2413DE64" w14:textId="77777777" w:rsidR="00A3563C" w:rsidRPr="004249C4" w:rsidRDefault="00A3563C" w:rsidP="00377F3A">
            <w:pPr>
              <w:pStyle w:val="TableText"/>
            </w:pPr>
            <w:r w:rsidRPr="004249C4">
              <w:t>58 bird deaths (49 buff-banded rails, 4 currawong, 2 silvereye, 2 purple swamphen, 1 golden whistler); post-eradication populations increased for all species except purple swamphen (recorded individuals reduced from 50 to 43)</w:t>
            </w:r>
          </w:p>
        </w:tc>
        <w:tc>
          <w:tcPr>
            <w:tcW w:w="0" w:type="auto"/>
            <w:tcBorders>
              <w:top w:val="single" w:sz="4" w:space="0" w:color="auto"/>
              <w:bottom w:val="nil"/>
            </w:tcBorders>
          </w:tcPr>
          <w:p w14:paraId="29476BFC" w14:textId="7B2B2674" w:rsidR="00A3563C" w:rsidRPr="004249C4" w:rsidRDefault="00A3563C" w:rsidP="00377F3A">
            <w:pPr>
              <w:pStyle w:val="TableText"/>
            </w:pPr>
            <w:r w:rsidRPr="004249C4">
              <w:t xml:space="preserve">O’Dwyer </w:t>
            </w:r>
            <w:r w:rsidR="00B7183A" w:rsidRPr="00B7183A">
              <w:rPr>
                <w:i/>
                <w:iCs/>
              </w:rPr>
              <w:t>et al</w:t>
            </w:r>
            <w:r w:rsidRPr="004249C4">
              <w:t>. 2024</w:t>
            </w:r>
          </w:p>
        </w:tc>
      </w:tr>
      <w:tr w:rsidR="00A3563C" w:rsidRPr="003B601F" w14:paraId="06553F24" w14:textId="77777777" w:rsidTr="00A3563C">
        <w:trPr>
          <w:cantSplit/>
        </w:trPr>
        <w:tc>
          <w:tcPr>
            <w:tcW w:w="0" w:type="auto"/>
            <w:tcBorders>
              <w:top w:val="nil"/>
              <w:left w:val="nil"/>
              <w:bottom w:val="nil"/>
            </w:tcBorders>
          </w:tcPr>
          <w:p w14:paraId="10A194A5" w14:textId="77777777" w:rsidR="00A3563C" w:rsidRPr="004249C4" w:rsidRDefault="00A3563C" w:rsidP="00377F3A">
            <w:pPr>
              <w:pStyle w:val="TableText"/>
            </w:pPr>
            <w:r w:rsidRPr="004249C4">
              <w:t>Adele Island, WA</w:t>
            </w:r>
          </w:p>
        </w:tc>
        <w:tc>
          <w:tcPr>
            <w:tcW w:w="0" w:type="auto"/>
            <w:tcBorders>
              <w:top w:val="nil"/>
              <w:bottom w:val="nil"/>
            </w:tcBorders>
          </w:tcPr>
          <w:p w14:paraId="21D0431A" w14:textId="5C73F5EA" w:rsidR="00A3563C" w:rsidRPr="004249C4" w:rsidRDefault="00A3563C" w:rsidP="00377F3A">
            <w:pPr>
              <w:pStyle w:val="TableText"/>
            </w:pPr>
            <w:r w:rsidRPr="004249C4">
              <w:t>20 mg a</w:t>
            </w:r>
            <w:r w:rsidR="00C874AD">
              <w:t>.</w:t>
            </w:r>
            <w:r w:rsidRPr="004249C4">
              <w:t>c</w:t>
            </w:r>
            <w:r w:rsidR="00C874AD">
              <w:t>.</w:t>
            </w:r>
            <w:r w:rsidRPr="004249C4">
              <w:t>/kg bait</w:t>
            </w:r>
          </w:p>
          <w:p w14:paraId="4DAB0906" w14:textId="77777777" w:rsidR="00A3563C" w:rsidRPr="004249C4" w:rsidRDefault="00A3563C" w:rsidP="00377F3A">
            <w:pPr>
              <w:pStyle w:val="TableText"/>
            </w:pPr>
            <w:r w:rsidRPr="004249C4">
              <w:t>(two aerial broadcasts at 37 + 7.2 kg bait/ha)</w:t>
            </w:r>
          </w:p>
        </w:tc>
        <w:tc>
          <w:tcPr>
            <w:tcW w:w="0" w:type="auto"/>
            <w:tcBorders>
              <w:top w:val="nil"/>
              <w:bottom w:val="nil"/>
            </w:tcBorders>
          </w:tcPr>
          <w:p w14:paraId="3585F715" w14:textId="77777777" w:rsidR="00A3563C" w:rsidRPr="004249C4" w:rsidRDefault="00A3563C" w:rsidP="00377F3A">
            <w:pPr>
              <w:pStyle w:val="TableText"/>
            </w:pPr>
            <w:r w:rsidRPr="004249C4">
              <w:t>40 bird deaths (5 buff-banded rails, 7 silver gulls, 28 ruddy turnstones) attributed to brodifacoum poisoning, no impact on populations</w:t>
            </w:r>
          </w:p>
        </w:tc>
        <w:tc>
          <w:tcPr>
            <w:tcW w:w="0" w:type="auto"/>
            <w:tcBorders>
              <w:top w:val="nil"/>
              <w:bottom w:val="nil"/>
            </w:tcBorders>
          </w:tcPr>
          <w:p w14:paraId="6F64BA8A" w14:textId="77777777" w:rsidR="00A3563C" w:rsidRPr="004249C4" w:rsidRDefault="00A3563C" w:rsidP="00377F3A">
            <w:pPr>
              <w:pStyle w:val="TableText"/>
            </w:pPr>
            <w:r w:rsidRPr="004249C4">
              <w:t>Palmer 2014</w:t>
            </w:r>
          </w:p>
        </w:tc>
      </w:tr>
      <w:tr w:rsidR="00A3563C" w:rsidRPr="000B2FA7" w14:paraId="68E5CFB7" w14:textId="77777777" w:rsidTr="00A3563C">
        <w:trPr>
          <w:cantSplit/>
        </w:trPr>
        <w:tc>
          <w:tcPr>
            <w:tcW w:w="0" w:type="auto"/>
            <w:tcBorders>
              <w:top w:val="nil"/>
              <w:left w:val="nil"/>
              <w:bottom w:val="nil"/>
            </w:tcBorders>
          </w:tcPr>
          <w:p w14:paraId="0909D005" w14:textId="77777777" w:rsidR="00A3563C" w:rsidRPr="004249C4" w:rsidRDefault="00A3563C" w:rsidP="00377F3A">
            <w:pPr>
              <w:pStyle w:val="TableText"/>
            </w:pPr>
            <w:r w:rsidRPr="004249C4">
              <w:t>Cabbage Tree Island, NSW</w:t>
            </w:r>
          </w:p>
        </w:tc>
        <w:tc>
          <w:tcPr>
            <w:tcW w:w="0" w:type="auto"/>
            <w:tcBorders>
              <w:top w:val="nil"/>
              <w:bottom w:val="nil"/>
            </w:tcBorders>
          </w:tcPr>
          <w:p w14:paraId="587E13ED" w14:textId="1DADBCF5" w:rsidR="00A3563C" w:rsidRPr="004249C4" w:rsidRDefault="00A3563C" w:rsidP="00377F3A">
            <w:pPr>
              <w:pStyle w:val="TableText"/>
            </w:pPr>
            <w:r w:rsidRPr="004249C4">
              <w:t>20 mg a</w:t>
            </w:r>
            <w:r w:rsidR="00C874AD">
              <w:t>.</w:t>
            </w:r>
            <w:r w:rsidRPr="004249C4">
              <w:t>c</w:t>
            </w:r>
            <w:r w:rsidR="00C874AD">
              <w:t>.</w:t>
            </w:r>
            <w:r w:rsidRPr="004249C4">
              <w:t>/kg bait</w:t>
            </w:r>
          </w:p>
          <w:p w14:paraId="77CF4934" w14:textId="77777777" w:rsidR="00A3563C" w:rsidRPr="004249C4" w:rsidRDefault="00A3563C" w:rsidP="00377F3A">
            <w:pPr>
              <w:pStyle w:val="TableText"/>
            </w:pPr>
            <w:r w:rsidRPr="004249C4">
              <w:t>(one aerial broadcast at 11.5 kg bait/ha)</w:t>
            </w:r>
          </w:p>
        </w:tc>
        <w:tc>
          <w:tcPr>
            <w:tcW w:w="0" w:type="auto"/>
            <w:tcBorders>
              <w:top w:val="nil"/>
              <w:bottom w:val="nil"/>
            </w:tcBorders>
          </w:tcPr>
          <w:p w14:paraId="6638557C" w14:textId="77777777" w:rsidR="00A3563C" w:rsidRPr="004249C4" w:rsidRDefault="00A3563C" w:rsidP="00377F3A">
            <w:pPr>
              <w:pStyle w:val="TableText"/>
            </w:pPr>
            <w:r w:rsidRPr="004249C4">
              <w:t>3 bird deaths (2 buff-banded rails, 1 pied currawong) potentially attributed to brodifacoum poisoning</w:t>
            </w:r>
          </w:p>
        </w:tc>
        <w:tc>
          <w:tcPr>
            <w:tcW w:w="0" w:type="auto"/>
            <w:tcBorders>
              <w:top w:val="nil"/>
              <w:bottom w:val="nil"/>
            </w:tcBorders>
          </w:tcPr>
          <w:p w14:paraId="1A347128" w14:textId="416F1DFC" w:rsidR="00A3563C" w:rsidRPr="004249C4" w:rsidRDefault="00A3563C" w:rsidP="00377F3A">
            <w:pPr>
              <w:pStyle w:val="TableText"/>
            </w:pPr>
            <w:r w:rsidRPr="004249C4">
              <w:t xml:space="preserve">Priddel </w:t>
            </w:r>
            <w:r w:rsidR="00B7183A" w:rsidRPr="00B7183A">
              <w:rPr>
                <w:i/>
                <w:iCs/>
              </w:rPr>
              <w:t>et al</w:t>
            </w:r>
            <w:r w:rsidRPr="004249C4">
              <w:t>. 2000</w:t>
            </w:r>
          </w:p>
        </w:tc>
      </w:tr>
      <w:tr w:rsidR="00B24917" w:rsidRPr="000B2FA7" w14:paraId="13AE68A1" w14:textId="77777777" w:rsidTr="00F91DDB">
        <w:trPr>
          <w:cantSplit/>
        </w:trPr>
        <w:tc>
          <w:tcPr>
            <w:tcW w:w="0" w:type="auto"/>
            <w:tcBorders>
              <w:top w:val="nil"/>
              <w:left w:val="nil"/>
              <w:bottom w:val="nil"/>
            </w:tcBorders>
          </w:tcPr>
          <w:p w14:paraId="6C103D0F" w14:textId="77777777" w:rsidR="00B24917" w:rsidRPr="004249C4" w:rsidRDefault="00B24917" w:rsidP="00377F3A">
            <w:pPr>
              <w:pStyle w:val="TableText"/>
            </w:pPr>
            <w:r w:rsidRPr="004249C4">
              <w:t>Macquarie Island, Tasmania</w:t>
            </w:r>
          </w:p>
        </w:tc>
        <w:tc>
          <w:tcPr>
            <w:tcW w:w="0" w:type="auto"/>
            <w:vMerge w:val="restart"/>
            <w:tcBorders>
              <w:top w:val="nil"/>
            </w:tcBorders>
          </w:tcPr>
          <w:p w14:paraId="460363DB" w14:textId="2C46D72B" w:rsidR="00B24917" w:rsidRPr="004249C4" w:rsidRDefault="00B24917" w:rsidP="00377F3A">
            <w:pPr>
              <w:pStyle w:val="TableText"/>
            </w:pPr>
            <w:r w:rsidRPr="004249C4">
              <w:t>20 mg a</w:t>
            </w:r>
            <w:r w:rsidR="00C874AD">
              <w:t>.</w:t>
            </w:r>
            <w:r w:rsidRPr="004249C4">
              <w:t>c</w:t>
            </w:r>
            <w:r w:rsidR="00C874AD">
              <w:t>.</w:t>
            </w:r>
            <w:r w:rsidRPr="004249C4">
              <w:t>/kg bait</w:t>
            </w:r>
          </w:p>
          <w:p w14:paraId="0B1AA8B2" w14:textId="77777777" w:rsidR="00B24917" w:rsidRPr="004249C4" w:rsidRDefault="00B24917" w:rsidP="00377F3A">
            <w:pPr>
              <w:pStyle w:val="TableText"/>
            </w:pPr>
            <w:r w:rsidRPr="004249C4">
              <w:t>(aerial broadcast at 24 kg bait/ha per year)</w:t>
            </w:r>
          </w:p>
        </w:tc>
        <w:tc>
          <w:tcPr>
            <w:tcW w:w="0" w:type="auto"/>
            <w:tcBorders>
              <w:top w:val="nil"/>
              <w:bottom w:val="nil"/>
            </w:tcBorders>
          </w:tcPr>
          <w:p w14:paraId="18C669DE" w14:textId="77777777" w:rsidR="00B24917" w:rsidRPr="004249C4" w:rsidRDefault="00B24917" w:rsidP="00377F3A">
            <w:pPr>
              <w:pStyle w:val="TableText"/>
            </w:pPr>
            <w:r w:rsidRPr="004249C4">
              <w:t>1</w:t>
            </w:r>
            <w:r w:rsidRPr="004249C4">
              <w:rPr>
                <w:vertAlign w:val="superscript"/>
              </w:rPr>
              <w:t>st</w:t>
            </w:r>
            <w:r w:rsidRPr="004249C4">
              <w:t xml:space="preserve"> year (1000 ha): 960 bird deaths (385 kelp gulls, 323 giant petrels, 230 skua, 22 ducks) attributed to brodifacoum poisoning</w:t>
            </w:r>
          </w:p>
        </w:tc>
        <w:tc>
          <w:tcPr>
            <w:tcW w:w="0" w:type="auto"/>
            <w:tcBorders>
              <w:top w:val="nil"/>
              <w:bottom w:val="nil"/>
            </w:tcBorders>
          </w:tcPr>
          <w:p w14:paraId="0ED81BC7" w14:textId="77777777" w:rsidR="00B24917" w:rsidRPr="004249C4" w:rsidRDefault="00B24917" w:rsidP="00377F3A">
            <w:pPr>
              <w:pStyle w:val="TableText"/>
            </w:pPr>
            <w:r w:rsidRPr="004249C4">
              <w:t>PWS 2014</w:t>
            </w:r>
          </w:p>
        </w:tc>
      </w:tr>
      <w:tr w:rsidR="00B24917" w:rsidRPr="000B2FA7" w14:paraId="2B8D486B" w14:textId="77777777" w:rsidTr="00F91DDB">
        <w:trPr>
          <w:cantSplit/>
        </w:trPr>
        <w:tc>
          <w:tcPr>
            <w:tcW w:w="0" w:type="auto"/>
            <w:tcBorders>
              <w:top w:val="nil"/>
              <w:left w:val="nil"/>
              <w:bottom w:val="nil"/>
            </w:tcBorders>
          </w:tcPr>
          <w:p w14:paraId="3D292993" w14:textId="77777777" w:rsidR="00B24917" w:rsidRPr="004249C4" w:rsidRDefault="00B24917" w:rsidP="00377F3A">
            <w:pPr>
              <w:pStyle w:val="TableText"/>
            </w:pPr>
          </w:p>
        </w:tc>
        <w:tc>
          <w:tcPr>
            <w:tcW w:w="0" w:type="auto"/>
            <w:vMerge/>
            <w:tcBorders>
              <w:bottom w:val="nil"/>
            </w:tcBorders>
          </w:tcPr>
          <w:p w14:paraId="6F2CD12E" w14:textId="77777777" w:rsidR="00B24917" w:rsidRPr="004249C4" w:rsidRDefault="00B24917" w:rsidP="00377F3A">
            <w:pPr>
              <w:pStyle w:val="TableText"/>
            </w:pPr>
          </w:p>
        </w:tc>
        <w:tc>
          <w:tcPr>
            <w:tcW w:w="0" w:type="auto"/>
            <w:tcBorders>
              <w:top w:val="nil"/>
              <w:bottom w:val="nil"/>
            </w:tcBorders>
          </w:tcPr>
          <w:p w14:paraId="2561B751" w14:textId="77777777" w:rsidR="00B24917" w:rsidRPr="004249C4" w:rsidRDefault="00B24917" w:rsidP="00377F3A">
            <w:pPr>
              <w:pStyle w:val="TableText"/>
            </w:pPr>
            <w:r w:rsidRPr="004249C4">
              <w:t>2</w:t>
            </w:r>
            <w:r w:rsidRPr="004249C4">
              <w:rPr>
                <w:vertAlign w:val="superscript"/>
              </w:rPr>
              <w:t>nd</w:t>
            </w:r>
            <w:r w:rsidRPr="004249C4">
              <w:t xml:space="preserve"> year (12875 ha): 1464 bird deaths (603 kelp gulls, 439 giant petrels, 282 skua, 135 ducks, 5 unknown)</w:t>
            </w:r>
          </w:p>
        </w:tc>
        <w:tc>
          <w:tcPr>
            <w:tcW w:w="0" w:type="auto"/>
            <w:tcBorders>
              <w:top w:val="nil"/>
              <w:bottom w:val="nil"/>
            </w:tcBorders>
          </w:tcPr>
          <w:p w14:paraId="30C25D97" w14:textId="77777777" w:rsidR="00B24917" w:rsidRPr="004249C4" w:rsidRDefault="00B24917" w:rsidP="00377F3A">
            <w:pPr>
              <w:pStyle w:val="TableText"/>
            </w:pPr>
          </w:p>
        </w:tc>
      </w:tr>
      <w:tr w:rsidR="00A3563C" w:rsidRPr="000B2FA7" w14:paraId="5DBA6E9C" w14:textId="77777777" w:rsidTr="00A3563C">
        <w:trPr>
          <w:cantSplit/>
        </w:trPr>
        <w:tc>
          <w:tcPr>
            <w:tcW w:w="0" w:type="auto"/>
            <w:tcBorders>
              <w:top w:val="nil"/>
              <w:left w:val="nil"/>
              <w:bottom w:val="nil"/>
            </w:tcBorders>
          </w:tcPr>
          <w:p w14:paraId="71DB2CBE" w14:textId="77777777" w:rsidR="00A3563C" w:rsidRPr="004249C4" w:rsidRDefault="00A3563C" w:rsidP="00377F3A">
            <w:pPr>
              <w:pStyle w:val="TableText"/>
            </w:pPr>
            <w:r w:rsidRPr="004249C4">
              <w:t>Penguin Island, WA</w:t>
            </w:r>
          </w:p>
        </w:tc>
        <w:tc>
          <w:tcPr>
            <w:tcW w:w="0" w:type="auto"/>
            <w:tcBorders>
              <w:top w:val="nil"/>
              <w:bottom w:val="nil"/>
            </w:tcBorders>
          </w:tcPr>
          <w:p w14:paraId="00505ADB" w14:textId="018B7419" w:rsidR="00A3563C" w:rsidRPr="004249C4" w:rsidRDefault="00A3563C" w:rsidP="00377F3A">
            <w:pPr>
              <w:pStyle w:val="TableText"/>
            </w:pPr>
            <w:r w:rsidRPr="004249C4">
              <w:t>50 mg a</w:t>
            </w:r>
            <w:r w:rsidR="00C874AD">
              <w:t>.</w:t>
            </w:r>
            <w:r w:rsidRPr="004249C4">
              <w:t>c</w:t>
            </w:r>
            <w:r w:rsidR="00C874AD">
              <w:t>.</w:t>
            </w:r>
            <w:r w:rsidRPr="004249C4">
              <w:t>/kg bait</w:t>
            </w:r>
          </w:p>
          <w:p w14:paraId="25BA3157" w14:textId="77777777" w:rsidR="00A3563C" w:rsidRPr="004249C4" w:rsidRDefault="00A3563C" w:rsidP="00377F3A">
            <w:pPr>
              <w:pStyle w:val="TableText"/>
            </w:pPr>
            <w:r w:rsidRPr="004249C4">
              <w:t>(350 bait stations)</w:t>
            </w:r>
          </w:p>
        </w:tc>
        <w:tc>
          <w:tcPr>
            <w:tcW w:w="0" w:type="auto"/>
            <w:tcBorders>
              <w:top w:val="nil"/>
              <w:bottom w:val="nil"/>
            </w:tcBorders>
          </w:tcPr>
          <w:p w14:paraId="7303AFC5" w14:textId="77777777" w:rsidR="00A3563C" w:rsidRPr="004249C4" w:rsidRDefault="00A3563C" w:rsidP="00377F3A">
            <w:pPr>
              <w:pStyle w:val="TableText"/>
            </w:pPr>
            <w:r w:rsidRPr="004249C4">
              <w:t>8 King’s skink deaths attributed to brodifacoum poisoning</w:t>
            </w:r>
          </w:p>
        </w:tc>
        <w:tc>
          <w:tcPr>
            <w:tcW w:w="0" w:type="auto"/>
            <w:tcBorders>
              <w:top w:val="nil"/>
              <w:bottom w:val="nil"/>
            </w:tcBorders>
          </w:tcPr>
          <w:p w14:paraId="6F7B06A2" w14:textId="77777777" w:rsidR="00A3563C" w:rsidRPr="004249C4" w:rsidRDefault="00A3563C" w:rsidP="00377F3A">
            <w:pPr>
              <w:pStyle w:val="TableText"/>
            </w:pPr>
            <w:r w:rsidRPr="004249C4">
              <w:t>Bettink 2015</w:t>
            </w:r>
          </w:p>
        </w:tc>
      </w:tr>
      <w:tr w:rsidR="00A3563C" w:rsidRPr="000B2FA7" w14:paraId="1D2EA232" w14:textId="77777777" w:rsidTr="00A3563C">
        <w:trPr>
          <w:cantSplit/>
        </w:trPr>
        <w:tc>
          <w:tcPr>
            <w:tcW w:w="0" w:type="auto"/>
            <w:tcBorders>
              <w:top w:val="nil"/>
              <w:left w:val="nil"/>
              <w:bottom w:val="nil"/>
            </w:tcBorders>
          </w:tcPr>
          <w:p w14:paraId="25731824" w14:textId="77777777" w:rsidR="00A3563C" w:rsidRPr="004249C4" w:rsidRDefault="00A3563C" w:rsidP="00377F3A">
            <w:pPr>
              <w:pStyle w:val="TableText"/>
            </w:pPr>
            <w:r w:rsidRPr="004249C4">
              <w:t>Norfolk Island, ACT</w:t>
            </w:r>
          </w:p>
        </w:tc>
        <w:tc>
          <w:tcPr>
            <w:tcW w:w="0" w:type="auto"/>
            <w:tcBorders>
              <w:top w:val="nil"/>
              <w:bottom w:val="nil"/>
            </w:tcBorders>
          </w:tcPr>
          <w:p w14:paraId="4B71ED53" w14:textId="7A3EA94B" w:rsidR="00A3563C" w:rsidRPr="004249C4" w:rsidRDefault="00A3563C" w:rsidP="00377F3A">
            <w:pPr>
              <w:pStyle w:val="TableText"/>
            </w:pPr>
            <w:r w:rsidRPr="004249C4">
              <w:t>50 mg a</w:t>
            </w:r>
            <w:r w:rsidR="00C874AD">
              <w:t>.</w:t>
            </w:r>
            <w:r w:rsidRPr="004249C4">
              <w:t>c</w:t>
            </w:r>
            <w:r w:rsidR="00C874AD">
              <w:t>.</w:t>
            </w:r>
            <w:r w:rsidRPr="004249C4">
              <w:t>/kg bait</w:t>
            </w:r>
          </w:p>
          <w:p w14:paraId="6CAA7798" w14:textId="77777777" w:rsidR="00A3563C" w:rsidRPr="004249C4" w:rsidRDefault="00A3563C" w:rsidP="00377F3A">
            <w:pPr>
              <w:pStyle w:val="TableText"/>
            </w:pPr>
            <w:r w:rsidRPr="004249C4">
              <w:t>(5 months)</w:t>
            </w:r>
          </w:p>
        </w:tc>
        <w:tc>
          <w:tcPr>
            <w:tcW w:w="0" w:type="auto"/>
            <w:tcBorders>
              <w:top w:val="nil"/>
              <w:bottom w:val="nil"/>
            </w:tcBorders>
          </w:tcPr>
          <w:p w14:paraId="62BAF861" w14:textId="77777777" w:rsidR="00A3563C" w:rsidRPr="004249C4" w:rsidRDefault="00A3563C" w:rsidP="00377F3A">
            <w:pPr>
              <w:pStyle w:val="TableText"/>
            </w:pPr>
            <w:r w:rsidRPr="004249C4">
              <w:t>Chick(s) of one pair of hybrid boobooks found feeding their young on rats died in 2011</w:t>
            </w:r>
          </w:p>
        </w:tc>
        <w:tc>
          <w:tcPr>
            <w:tcW w:w="0" w:type="auto"/>
            <w:tcBorders>
              <w:top w:val="nil"/>
              <w:bottom w:val="nil"/>
            </w:tcBorders>
          </w:tcPr>
          <w:p w14:paraId="39D78C50" w14:textId="77777777" w:rsidR="00A3563C" w:rsidRPr="004249C4" w:rsidRDefault="00A3563C" w:rsidP="00377F3A">
            <w:pPr>
              <w:pStyle w:val="TableText"/>
            </w:pPr>
            <w:r w:rsidRPr="004249C4">
              <w:t>Debus 2012</w:t>
            </w:r>
          </w:p>
        </w:tc>
      </w:tr>
      <w:tr w:rsidR="00A3563C" w:rsidRPr="000B2FA7" w14:paraId="37D56160" w14:textId="77777777" w:rsidTr="00A3563C">
        <w:trPr>
          <w:cantSplit/>
        </w:trPr>
        <w:tc>
          <w:tcPr>
            <w:tcW w:w="0" w:type="auto"/>
            <w:tcBorders>
              <w:top w:val="nil"/>
              <w:left w:val="nil"/>
              <w:bottom w:val="nil"/>
            </w:tcBorders>
          </w:tcPr>
          <w:p w14:paraId="279651A1" w14:textId="77777777" w:rsidR="00A3563C" w:rsidRPr="004249C4" w:rsidRDefault="00A3563C" w:rsidP="00377F3A">
            <w:pPr>
              <w:pStyle w:val="TableText"/>
            </w:pPr>
            <w:r w:rsidRPr="004249C4">
              <w:t>Montebello Islands, WA</w:t>
            </w:r>
          </w:p>
        </w:tc>
        <w:tc>
          <w:tcPr>
            <w:tcW w:w="0" w:type="auto"/>
            <w:tcBorders>
              <w:top w:val="nil"/>
              <w:bottom w:val="nil"/>
            </w:tcBorders>
          </w:tcPr>
          <w:p w14:paraId="4CC654E5" w14:textId="2FCF6991" w:rsidR="00A3563C" w:rsidRPr="004249C4" w:rsidRDefault="00A3563C" w:rsidP="00377F3A">
            <w:pPr>
              <w:pStyle w:val="TableText"/>
            </w:pPr>
            <w:r w:rsidRPr="004249C4">
              <w:t>50 mg a</w:t>
            </w:r>
            <w:r w:rsidR="00C874AD">
              <w:t>.</w:t>
            </w:r>
            <w:r w:rsidRPr="004249C4">
              <w:t>c</w:t>
            </w:r>
            <w:r w:rsidR="00C874AD">
              <w:t>.</w:t>
            </w:r>
            <w:r w:rsidRPr="004249C4">
              <w:t>/kg bait</w:t>
            </w:r>
          </w:p>
          <w:p w14:paraId="6FB3B300" w14:textId="77777777" w:rsidR="00A3563C" w:rsidRPr="004249C4" w:rsidRDefault="00A3563C" w:rsidP="00377F3A">
            <w:pPr>
              <w:pStyle w:val="TableText"/>
            </w:pPr>
            <w:r w:rsidRPr="004249C4">
              <w:t>(11,000 bait stations)</w:t>
            </w:r>
          </w:p>
        </w:tc>
        <w:tc>
          <w:tcPr>
            <w:tcW w:w="0" w:type="auto"/>
            <w:tcBorders>
              <w:top w:val="nil"/>
              <w:bottom w:val="nil"/>
            </w:tcBorders>
          </w:tcPr>
          <w:p w14:paraId="5BE6F0B9" w14:textId="77777777" w:rsidR="00A3563C" w:rsidRPr="004249C4" w:rsidRDefault="00A3563C" w:rsidP="00377F3A">
            <w:pPr>
              <w:pStyle w:val="TableText"/>
            </w:pPr>
            <w:r w:rsidRPr="004249C4">
              <w:t>White-bellied sea-eagles observed eating flesh only of dying rats; evidence of secondary exposure of bungarras (</w:t>
            </w:r>
            <w:r w:rsidRPr="004249C4">
              <w:rPr>
                <w:i/>
                <w:iCs/>
              </w:rPr>
              <w:t>Varanus gouldii</w:t>
            </w:r>
            <w:r w:rsidRPr="004249C4">
              <w:t>); however, no non-target or secondary poisoning was noted in first year. Bar-shouldered doves, brown quail and various raptors as common or more following year.</w:t>
            </w:r>
          </w:p>
        </w:tc>
        <w:tc>
          <w:tcPr>
            <w:tcW w:w="0" w:type="auto"/>
            <w:tcBorders>
              <w:top w:val="nil"/>
              <w:bottom w:val="nil"/>
            </w:tcBorders>
          </w:tcPr>
          <w:p w14:paraId="45ADCE6F" w14:textId="77777777" w:rsidR="00A3563C" w:rsidRPr="004249C4" w:rsidRDefault="00A3563C" w:rsidP="00377F3A">
            <w:pPr>
              <w:pStyle w:val="TableText"/>
            </w:pPr>
            <w:r w:rsidRPr="004249C4">
              <w:t>Burbridge 2004</w:t>
            </w:r>
          </w:p>
        </w:tc>
      </w:tr>
      <w:tr w:rsidR="00A3563C" w:rsidRPr="000B2FA7" w14:paraId="1739003E" w14:textId="77777777" w:rsidTr="00A3563C">
        <w:trPr>
          <w:cantSplit/>
        </w:trPr>
        <w:tc>
          <w:tcPr>
            <w:tcW w:w="0" w:type="auto"/>
            <w:tcBorders>
              <w:top w:val="nil"/>
              <w:left w:val="nil"/>
              <w:bottom w:val="nil"/>
            </w:tcBorders>
          </w:tcPr>
          <w:p w14:paraId="3B2709A8" w14:textId="77777777" w:rsidR="00A3563C" w:rsidRPr="004249C4" w:rsidRDefault="00A3563C" w:rsidP="00377F3A">
            <w:pPr>
              <w:pStyle w:val="TableText"/>
            </w:pPr>
            <w:r w:rsidRPr="004249C4">
              <w:t>Mokoia Island, NZ</w:t>
            </w:r>
          </w:p>
        </w:tc>
        <w:tc>
          <w:tcPr>
            <w:tcW w:w="0" w:type="auto"/>
            <w:tcBorders>
              <w:top w:val="nil"/>
              <w:bottom w:val="nil"/>
            </w:tcBorders>
          </w:tcPr>
          <w:p w14:paraId="63AA3F95" w14:textId="185AD88B" w:rsidR="00A3563C" w:rsidRPr="004249C4" w:rsidRDefault="00A3563C" w:rsidP="00377F3A">
            <w:pPr>
              <w:pStyle w:val="TableText"/>
            </w:pPr>
            <w:r w:rsidRPr="004249C4">
              <w:t>20 mg a</w:t>
            </w:r>
            <w:r w:rsidR="00C874AD">
              <w:t>.</w:t>
            </w:r>
            <w:r w:rsidRPr="004249C4">
              <w:t>c</w:t>
            </w:r>
            <w:r w:rsidR="00C874AD">
              <w:t>.</w:t>
            </w:r>
            <w:r w:rsidRPr="004249C4">
              <w:t>/kg bait</w:t>
            </w:r>
          </w:p>
          <w:p w14:paraId="155610E5" w14:textId="77777777" w:rsidR="00A3563C" w:rsidRPr="004249C4" w:rsidRDefault="00A3563C" w:rsidP="00377F3A">
            <w:pPr>
              <w:pStyle w:val="TableText"/>
            </w:pPr>
            <w:r w:rsidRPr="004249C4">
              <w:t>(one aerial broadcast at 10 kg bait/ha)</w:t>
            </w:r>
          </w:p>
        </w:tc>
        <w:tc>
          <w:tcPr>
            <w:tcW w:w="0" w:type="auto"/>
            <w:tcBorders>
              <w:top w:val="nil"/>
              <w:bottom w:val="nil"/>
            </w:tcBorders>
          </w:tcPr>
          <w:p w14:paraId="21D2EBE6" w14:textId="77777777" w:rsidR="00A3563C" w:rsidRPr="004249C4" w:rsidRDefault="00A3563C" w:rsidP="00377F3A">
            <w:pPr>
              <w:pStyle w:val="TableText"/>
            </w:pPr>
            <w:r w:rsidRPr="004249C4">
              <w:t>3/14 radio-tagged moreporks died, 7/14 other monitored moreporks disappeared</w:t>
            </w:r>
          </w:p>
        </w:tc>
        <w:tc>
          <w:tcPr>
            <w:tcW w:w="0" w:type="auto"/>
            <w:tcBorders>
              <w:top w:val="nil"/>
              <w:bottom w:val="nil"/>
            </w:tcBorders>
          </w:tcPr>
          <w:p w14:paraId="33B08DB4" w14:textId="5EDE3179" w:rsidR="00A3563C" w:rsidRPr="004249C4" w:rsidRDefault="00A3563C" w:rsidP="00377F3A">
            <w:pPr>
              <w:pStyle w:val="TableText"/>
            </w:pPr>
            <w:r w:rsidRPr="004249C4">
              <w:t xml:space="preserve">Stephenson </w:t>
            </w:r>
            <w:r w:rsidR="00B7183A" w:rsidRPr="00B7183A">
              <w:rPr>
                <w:i/>
                <w:iCs/>
              </w:rPr>
              <w:t>et al</w:t>
            </w:r>
            <w:r w:rsidRPr="004249C4">
              <w:t>. 1999</w:t>
            </w:r>
          </w:p>
        </w:tc>
      </w:tr>
      <w:tr w:rsidR="00A3563C" w:rsidRPr="000B2FA7" w14:paraId="3D5A66B6" w14:textId="77777777" w:rsidTr="00A3563C">
        <w:trPr>
          <w:cantSplit/>
        </w:trPr>
        <w:tc>
          <w:tcPr>
            <w:tcW w:w="0" w:type="auto"/>
            <w:tcBorders>
              <w:top w:val="nil"/>
              <w:left w:val="nil"/>
              <w:bottom w:val="nil"/>
            </w:tcBorders>
          </w:tcPr>
          <w:p w14:paraId="0AA987B2" w14:textId="77777777" w:rsidR="00A3563C" w:rsidRPr="004249C4" w:rsidRDefault="00A3563C" w:rsidP="00377F3A">
            <w:pPr>
              <w:pStyle w:val="TableText"/>
            </w:pPr>
            <w:r w:rsidRPr="004249C4">
              <w:lastRenderedPageBreak/>
              <w:t>Ulva Island, NZ</w:t>
            </w:r>
          </w:p>
        </w:tc>
        <w:tc>
          <w:tcPr>
            <w:tcW w:w="0" w:type="auto"/>
            <w:tcBorders>
              <w:top w:val="nil"/>
              <w:bottom w:val="nil"/>
            </w:tcBorders>
          </w:tcPr>
          <w:p w14:paraId="24C77050" w14:textId="27348DFB" w:rsidR="00A3563C" w:rsidRPr="004249C4" w:rsidRDefault="00A3563C" w:rsidP="00377F3A">
            <w:pPr>
              <w:pStyle w:val="TableText"/>
            </w:pPr>
            <w:r w:rsidRPr="004249C4">
              <w:t>20 mg a</w:t>
            </w:r>
            <w:r w:rsidR="00C874AD">
              <w:t>.</w:t>
            </w:r>
            <w:r w:rsidRPr="004249C4">
              <w:t>c</w:t>
            </w:r>
            <w:r w:rsidR="00C874AD">
              <w:t>.</w:t>
            </w:r>
            <w:r w:rsidRPr="004249C4">
              <w:t>/kg bait</w:t>
            </w:r>
          </w:p>
          <w:p w14:paraId="122C7855" w14:textId="77777777" w:rsidR="00A3563C" w:rsidRPr="004249C4" w:rsidRDefault="00A3563C" w:rsidP="00377F3A">
            <w:pPr>
              <w:pStyle w:val="TableText"/>
            </w:pPr>
            <w:r w:rsidRPr="004249C4">
              <w:t>(two aerial broadcasts at 11.5 kg bait/ha)</w:t>
            </w:r>
          </w:p>
        </w:tc>
        <w:tc>
          <w:tcPr>
            <w:tcW w:w="0" w:type="auto"/>
            <w:tcBorders>
              <w:top w:val="nil"/>
              <w:bottom w:val="nil"/>
            </w:tcBorders>
          </w:tcPr>
          <w:p w14:paraId="4F1106BE" w14:textId="77777777" w:rsidR="00A3563C" w:rsidRPr="004249C4" w:rsidRDefault="00A3563C" w:rsidP="00377F3A">
            <w:pPr>
              <w:pStyle w:val="TableText"/>
            </w:pPr>
            <w:r w:rsidRPr="004249C4">
              <w:t>12/13 robin nestling deaths attributed to brodifacoum poisoning</w:t>
            </w:r>
          </w:p>
        </w:tc>
        <w:tc>
          <w:tcPr>
            <w:tcW w:w="0" w:type="auto"/>
            <w:tcBorders>
              <w:top w:val="nil"/>
              <w:bottom w:val="nil"/>
            </w:tcBorders>
          </w:tcPr>
          <w:p w14:paraId="5B3C8F82" w14:textId="0D1CE280" w:rsidR="00A3563C" w:rsidRPr="004249C4" w:rsidRDefault="00A3563C" w:rsidP="00377F3A">
            <w:pPr>
              <w:pStyle w:val="TableText"/>
            </w:pPr>
            <w:r w:rsidRPr="004249C4">
              <w:t xml:space="preserve">Masuda </w:t>
            </w:r>
            <w:r w:rsidR="00B7183A" w:rsidRPr="00B7183A">
              <w:rPr>
                <w:i/>
                <w:iCs/>
              </w:rPr>
              <w:t>et al</w:t>
            </w:r>
            <w:r w:rsidRPr="004249C4">
              <w:t>. 2014</w:t>
            </w:r>
          </w:p>
        </w:tc>
      </w:tr>
      <w:tr w:rsidR="00A3563C" w:rsidRPr="000B2FA7" w14:paraId="6F6CEBA0" w14:textId="77777777" w:rsidTr="00A3563C">
        <w:trPr>
          <w:cantSplit/>
        </w:trPr>
        <w:tc>
          <w:tcPr>
            <w:tcW w:w="0" w:type="auto"/>
            <w:tcBorders>
              <w:top w:val="nil"/>
              <w:left w:val="nil"/>
              <w:bottom w:val="nil"/>
            </w:tcBorders>
          </w:tcPr>
          <w:p w14:paraId="7119DC80" w14:textId="77777777" w:rsidR="00A3563C" w:rsidRPr="004249C4" w:rsidRDefault="00A3563C" w:rsidP="00377F3A">
            <w:pPr>
              <w:pStyle w:val="TableText"/>
            </w:pPr>
            <w:r w:rsidRPr="004249C4">
              <w:t>Coastal grassland in Otango Peninsula, NZ</w:t>
            </w:r>
          </w:p>
        </w:tc>
        <w:tc>
          <w:tcPr>
            <w:tcW w:w="0" w:type="auto"/>
            <w:tcBorders>
              <w:top w:val="nil"/>
              <w:bottom w:val="nil"/>
            </w:tcBorders>
          </w:tcPr>
          <w:p w14:paraId="082D0EDE" w14:textId="552E0015" w:rsidR="00A3563C" w:rsidRPr="004249C4" w:rsidRDefault="00A3563C" w:rsidP="00377F3A">
            <w:pPr>
              <w:pStyle w:val="TableText"/>
            </w:pPr>
            <w:r w:rsidRPr="004249C4">
              <w:t>20 mg a</w:t>
            </w:r>
            <w:r w:rsidR="00C874AD">
              <w:t>.</w:t>
            </w:r>
            <w:r w:rsidRPr="004249C4">
              <w:t>c</w:t>
            </w:r>
            <w:r w:rsidR="00C874AD">
              <w:t>.</w:t>
            </w:r>
            <w:r w:rsidRPr="004249C4">
              <w:t>/kg bait</w:t>
            </w:r>
          </w:p>
          <w:p w14:paraId="43A01192" w14:textId="77777777" w:rsidR="00A3563C" w:rsidRPr="004249C4" w:rsidRDefault="00A3563C" w:rsidP="00377F3A">
            <w:pPr>
              <w:pStyle w:val="TableText"/>
            </w:pPr>
            <w:r w:rsidRPr="004249C4">
              <w:t>(7 kg bait/ha hand-applied in transects)</w:t>
            </w:r>
          </w:p>
        </w:tc>
        <w:tc>
          <w:tcPr>
            <w:tcW w:w="0" w:type="auto"/>
            <w:tcBorders>
              <w:top w:val="nil"/>
              <w:bottom w:val="nil"/>
            </w:tcBorders>
          </w:tcPr>
          <w:p w14:paraId="6ECEED58" w14:textId="77777777" w:rsidR="00A3563C" w:rsidRPr="004249C4" w:rsidRDefault="00A3563C" w:rsidP="00377F3A">
            <w:pPr>
              <w:pStyle w:val="TableText"/>
            </w:pPr>
            <w:r w:rsidRPr="004249C4">
              <w:t>Secondary poisoning of stoats, feral ferrets and feral cats observed; probable poisoning of possums, hedgehogs and chaffinches</w:t>
            </w:r>
          </w:p>
        </w:tc>
        <w:tc>
          <w:tcPr>
            <w:tcW w:w="0" w:type="auto"/>
            <w:tcBorders>
              <w:top w:val="nil"/>
              <w:bottom w:val="nil"/>
            </w:tcBorders>
          </w:tcPr>
          <w:p w14:paraId="13744AF9" w14:textId="77777777" w:rsidR="00A3563C" w:rsidRPr="004249C4" w:rsidRDefault="00A3563C" w:rsidP="00377F3A">
            <w:pPr>
              <w:pStyle w:val="TableText"/>
            </w:pPr>
            <w:r w:rsidRPr="004249C4">
              <w:t>Alterio 1996</w:t>
            </w:r>
          </w:p>
        </w:tc>
      </w:tr>
      <w:tr w:rsidR="00A3563C" w:rsidRPr="000B2FA7" w14:paraId="30C7A70E" w14:textId="77777777" w:rsidTr="00A3563C">
        <w:trPr>
          <w:cantSplit/>
        </w:trPr>
        <w:tc>
          <w:tcPr>
            <w:tcW w:w="0" w:type="auto"/>
            <w:tcBorders>
              <w:top w:val="nil"/>
              <w:left w:val="nil"/>
              <w:bottom w:val="nil"/>
            </w:tcBorders>
          </w:tcPr>
          <w:p w14:paraId="2D4EF85E" w14:textId="77777777" w:rsidR="00A3563C" w:rsidRPr="004249C4" w:rsidRDefault="00A3563C" w:rsidP="00377F3A">
            <w:pPr>
              <w:pStyle w:val="TableText"/>
            </w:pPr>
            <w:r w:rsidRPr="004249C4">
              <w:t>Kapiti Island, NZ</w:t>
            </w:r>
          </w:p>
        </w:tc>
        <w:tc>
          <w:tcPr>
            <w:tcW w:w="0" w:type="auto"/>
            <w:tcBorders>
              <w:top w:val="nil"/>
              <w:bottom w:val="nil"/>
            </w:tcBorders>
          </w:tcPr>
          <w:p w14:paraId="499B006B" w14:textId="65CDDFFA" w:rsidR="00A3563C" w:rsidRPr="004249C4" w:rsidRDefault="00A3563C" w:rsidP="00377F3A">
            <w:pPr>
              <w:pStyle w:val="TableText"/>
            </w:pPr>
            <w:r w:rsidRPr="004249C4">
              <w:t>20 mg a</w:t>
            </w:r>
            <w:r w:rsidR="00C874AD">
              <w:t>.</w:t>
            </w:r>
            <w:r w:rsidRPr="004249C4">
              <w:t>c</w:t>
            </w:r>
            <w:r w:rsidR="00C874AD">
              <w:t>.</w:t>
            </w:r>
            <w:r w:rsidRPr="004249C4">
              <w:t>/kg bait</w:t>
            </w:r>
          </w:p>
          <w:p w14:paraId="5A6BF3A5" w14:textId="77777777" w:rsidR="00A3563C" w:rsidRPr="004249C4" w:rsidRDefault="00A3563C" w:rsidP="00377F3A">
            <w:pPr>
              <w:pStyle w:val="TableText"/>
            </w:pPr>
            <w:r w:rsidRPr="004249C4">
              <w:t>(two aerial broadcasts at 9.0 + 5.1 kg bait/ha)</w:t>
            </w:r>
          </w:p>
        </w:tc>
        <w:tc>
          <w:tcPr>
            <w:tcW w:w="0" w:type="auto"/>
            <w:tcBorders>
              <w:top w:val="nil"/>
              <w:bottom w:val="nil"/>
            </w:tcBorders>
          </w:tcPr>
          <w:p w14:paraId="7A6ED48F" w14:textId="77777777" w:rsidR="00A3563C" w:rsidRPr="004249C4" w:rsidRDefault="00A3563C" w:rsidP="00377F3A">
            <w:pPr>
              <w:pStyle w:val="TableText"/>
            </w:pPr>
            <w:r w:rsidRPr="004249C4">
              <w:t xml:space="preserve">‘Catastrophic’ impact on weka population requiring risk mitigation; other bird species and reef fish populations relatively unaffected </w:t>
            </w:r>
          </w:p>
        </w:tc>
        <w:tc>
          <w:tcPr>
            <w:tcW w:w="0" w:type="auto"/>
            <w:tcBorders>
              <w:top w:val="nil"/>
              <w:bottom w:val="nil"/>
            </w:tcBorders>
          </w:tcPr>
          <w:p w14:paraId="08DD6711" w14:textId="77777777" w:rsidR="00A3563C" w:rsidRPr="004249C4" w:rsidRDefault="00A3563C" w:rsidP="00377F3A">
            <w:pPr>
              <w:pStyle w:val="TableText"/>
            </w:pPr>
            <w:r w:rsidRPr="004249C4">
              <w:t>Empson &amp; Miskelly 1999</w:t>
            </w:r>
          </w:p>
        </w:tc>
      </w:tr>
      <w:tr w:rsidR="00A3563C" w:rsidRPr="000B2FA7" w14:paraId="446C153C" w14:textId="77777777" w:rsidTr="00A3563C">
        <w:trPr>
          <w:cantSplit/>
        </w:trPr>
        <w:tc>
          <w:tcPr>
            <w:tcW w:w="0" w:type="auto"/>
            <w:tcBorders>
              <w:top w:val="nil"/>
              <w:left w:val="nil"/>
              <w:bottom w:val="nil"/>
            </w:tcBorders>
          </w:tcPr>
          <w:p w14:paraId="73FBFA3E" w14:textId="77777777" w:rsidR="00A3563C" w:rsidRPr="004249C4" w:rsidRDefault="00A3563C" w:rsidP="00377F3A">
            <w:pPr>
              <w:pStyle w:val="TableText"/>
            </w:pPr>
            <w:r w:rsidRPr="004249C4">
              <w:t>Frégate Island, Seychelles</w:t>
            </w:r>
          </w:p>
        </w:tc>
        <w:tc>
          <w:tcPr>
            <w:tcW w:w="0" w:type="auto"/>
            <w:tcBorders>
              <w:top w:val="nil"/>
              <w:bottom w:val="nil"/>
            </w:tcBorders>
          </w:tcPr>
          <w:p w14:paraId="24BBFF35" w14:textId="4C9343E6" w:rsidR="00A3563C" w:rsidRPr="004249C4" w:rsidRDefault="00A3563C" w:rsidP="00377F3A">
            <w:pPr>
              <w:pStyle w:val="TableText"/>
            </w:pPr>
            <w:r w:rsidRPr="004249C4">
              <w:t>50 mg a</w:t>
            </w:r>
            <w:r w:rsidR="00C874AD">
              <w:t>.</w:t>
            </w:r>
            <w:r w:rsidRPr="004249C4">
              <w:t>c</w:t>
            </w:r>
            <w:r w:rsidR="00C874AD">
              <w:t>.</w:t>
            </w:r>
            <w:r w:rsidRPr="004249C4">
              <w:t>/kg in bait stations + 20 mg a</w:t>
            </w:r>
            <w:r w:rsidR="00C874AD">
              <w:t>.</w:t>
            </w:r>
            <w:r w:rsidRPr="004249C4">
              <w:t>c</w:t>
            </w:r>
            <w:r w:rsidR="00C874AD">
              <w:t>.</w:t>
            </w:r>
            <w:r w:rsidRPr="004249C4">
              <w:t xml:space="preserve">/kg bait at 1.3 kg/ha </w:t>
            </w:r>
          </w:p>
        </w:tc>
        <w:tc>
          <w:tcPr>
            <w:tcW w:w="0" w:type="auto"/>
            <w:tcBorders>
              <w:top w:val="nil"/>
              <w:bottom w:val="nil"/>
            </w:tcBorders>
          </w:tcPr>
          <w:p w14:paraId="5B3A5045" w14:textId="77777777" w:rsidR="00A3563C" w:rsidRPr="004249C4" w:rsidRDefault="00A3563C" w:rsidP="00377F3A">
            <w:pPr>
              <w:pStyle w:val="TableText"/>
            </w:pPr>
            <w:r w:rsidRPr="004249C4">
              <w:t>Several critically endangered Seychelles magpie-robins died</w:t>
            </w:r>
          </w:p>
        </w:tc>
        <w:tc>
          <w:tcPr>
            <w:tcW w:w="0" w:type="auto"/>
            <w:tcBorders>
              <w:top w:val="nil"/>
              <w:bottom w:val="nil"/>
            </w:tcBorders>
          </w:tcPr>
          <w:p w14:paraId="672653DC" w14:textId="2829FF6D" w:rsidR="00A3563C" w:rsidRPr="004249C4" w:rsidRDefault="00A3563C" w:rsidP="00377F3A">
            <w:pPr>
              <w:pStyle w:val="TableText"/>
            </w:pPr>
            <w:r w:rsidRPr="004249C4">
              <w:t xml:space="preserve">Thorsen </w:t>
            </w:r>
            <w:r w:rsidR="00B7183A" w:rsidRPr="00B7183A">
              <w:rPr>
                <w:i/>
                <w:iCs/>
              </w:rPr>
              <w:t>et al</w:t>
            </w:r>
            <w:r w:rsidRPr="004249C4">
              <w:t>. 2000</w:t>
            </w:r>
          </w:p>
        </w:tc>
      </w:tr>
      <w:tr w:rsidR="00A3563C" w:rsidRPr="000B2FA7" w14:paraId="48F06034" w14:textId="77777777" w:rsidTr="00A3563C">
        <w:trPr>
          <w:cantSplit/>
        </w:trPr>
        <w:tc>
          <w:tcPr>
            <w:tcW w:w="0" w:type="auto"/>
            <w:tcBorders>
              <w:top w:val="nil"/>
              <w:left w:val="nil"/>
              <w:bottom w:val="nil"/>
            </w:tcBorders>
          </w:tcPr>
          <w:p w14:paraId="5E45036E" w14:textId="77777777" w:rsidR="00A3563C" w:rsidRPr="004249C4" w:rsidRDefault="00A3563C" w:rsidP="00377F3A">
            <w:pPr>
              <w:pStyle w:val="TableText"/>
            </w:pPr>
            <w:r w:rsidRPr="004249C4">
              <w:t>Pinzon Island, Galápagos, Ecuador</w:t>
            </w:r>
          </w:p>
        </w:tc>
        <w:tc>
          <w:tcPr>
            <w:tcW w:w="0" w:type="auto"/>
            <w:tcBorders>
              <w:top w:val="nil"/>
              <w:bottom w:val="nil"/>
            </w:tcBorders>
          </w:tcPr>
          <w:p w14:paraId="18A17C77" w14:textId="2906B8A4" w:rsidR="00A3563C" w:rsidRPr="004249C4" w:rsidRDefault="00A3563C" w:rsidP="00377F3A">
            <w:pPr>
              <w:pStyle w:val="TableText"/>
            </w:pPr>
            <w:r w:rsidRPr="004249C4">
              <w:t>25 mg a</w:t>
            </w:r>
            <w:r w:rsidR="00C874AD">
              <w:t>.</w:t>
            </w:r>
            <w:r w:rsidRPr="004249C4">
              <w:t>c</w:t>
            </w:r>
            <w:r w:rsidR="00C874AD">
              <w:t>.</w:t>
            </w:r>
            <w:r w:rsidRPr="004249C4">
              <w:t>/kg bait</w:t>
            </w:r>
          </w:p>
          <w:p w14:paraId="06309695" w14:textId="77777777" w:rsidR="00A3563C" w:rsidRPr="004249C4" w:rsidRDefault="00A3563C" w:rsidP="00377F3A">
            <w:pPr>
              <w:pStyle w:val="TableText"/>
            </w:pPr>
            <w:r w:rsidRPr="004249C4">
              <w:t>(one aerial broadcast)</w:t>
            </w:r>
          </w:p>
        </w:tc>
        <w:tc>
          <w:tcPr>
            <w:tcW w:w="0" w:type="auto"/>
            <w:tcBorders>
              <w:top w:val="nil"/>
              <w:bottom w:val="nil"/>
            </w:tcBorders>
          </w:tcPr>
          <w:p w14:paraId="110D9232" w14:textId="77777777" w:rsidR="00A3563C" w:rsidRPr="004249C4" w:rsidRDefault="00A3563C" w:rsidP="00377F3A">
            <w:pPr>
              <w:pStyle w:val="TableText"/>
            </w:pPr>
            <w:r w:rsidRPr="004249C4">
              <w:t>22/32 captive-held Galapagos hawks died between 12 and 170 days after release 12-14 days after baiting ceased; one short-eared owl death attributed to brodifacoum 773 days post-baiting</w:t>
            </w:r>
          </w:p>
        </w:tc>
        <w:tc>
          <w:tcPr>
            <w:tcW w:w="0" w:type="auto"/>
            <w:tcBorders>
              <w:top w:val="nil"/>
              <w:bottom w:val="nil"/>
            </w:tcBorders>
          </w:tcPr>
          <w:p w14:paraId="50AE4741" w14:textId="6E38B18A" w:rsidR="00A3563C" w:rsidRPr="004249C4" w:rsidRDefault="00A3563C" w:rsidP="00377F3A">
            <w:pPr>
              <w:pStyle w:val="TableText"/>
            </w:pPr>
            <w:r w:rsidRPr="004249C4">
              <w:t xml:space="preserve">Rueda </w:t>
            </w:r>
            <w:r w:rsidR="00B7183A" w:rsidRPr="00B7183A">
              <w:rPr>
                <w:i/>
                <w:iCs/>
              </w:rPr>
              <w:t>et al</w:t>
            </w:r>
            <w:r w:rsidRPr="004249C4">
              <w:t>. 2016</w:t>
            </w:r>
          </w:p>
        </w:tc>
      </w:tr>
      <w:tr w:rsidR="00A3563C" w:rsidRPr="000B2FA7" w14:paraId="0633C93B" w14:textId="77777777" w:rsidTr="00A3563C">
        <w:trPr>
          <w:cantSplit/>
        </w:trPr>
        <w:tc>
          <w:tcPr>
            <w:tcW w:w="0" w:type="auto"/>
            <w:tcBorders>
              <w:top w:val="nil"/>
              <w:left w:val="nil"/>
              <w:bottom w:val="nil"/>
            </w:tcBorders>
          </w:tcPr>
          <w:p w14:paraId="5F8D153B" w14:textId="77777777" w:rsidR="00A3563C" w:rsidRPr="004249C4" w:rsidRDefault="00A3563C" w:rsidP="00377F3A">
            <w:pPr>
              <w:pStyle w:val="TableText"/>
            </w:pPr>
            <w:r w:rsidRPr="004249C4">
              <w:t>Seymour Norte, Galápagos, Ecuador</w:t>
            </w:r>
          </w:p>
        </w:tc>
        <w:tc>
          <w:tcPr>
            <w:tcW w:w="0" w:type="auto"/>
            <w:tcBorders>
              <w:top w:val="nil"/>
              <w:bottom w:val="nil"/>
            </w:tcBorders>
          </w:tcPr>
          <w:p w14:paraId="427461C8" w14:textId="2BD556E7" w:rsidR="00A3563C" w:rsidRPr="004249C4" w:rsidRDefault="00A3563C" w:rsidP="00377F3A">
            <w:pPr>
              <w:pStyle w:val="TableText"/>
            </w:pPr>
            <w:r w:rsidRPr="004249C4">
              <w:t>50 mg a</w:t>
            </w:r>
            <w:r w:rsidR="00C874AD">
              <w:t>.</w:t>
            </w:r>
            <w:r w:rsidRPr="004249C4">
              <w:t>c</w:t>
            </w:r>
            <w:r w:rsidR="00C874AD">
              <w:t>.</w:t>
            </w:r>
            <w:r w:rsidRPr="004249C4">
              <w:t>/kg bait</w:t>
            </w:r>
          </w:p>
          <w:p w14:paraId="05D81E56" w14:textId="77777777" w:rsidR="00A3563C" w:rsidRPr="004249C4" w:rsidRDefault="00A3563C" w:rsidP="00377F3A">
            <w:pPr>
              <w:pStyle w:val="TableText"/>
            </w:pPr>
            <w:r w:rsidRPr="004249C4">
              <w:t>(25m intervals along lines 25m apart at 1.4 + 3.0 kg bait/ha)</w:t>
            </w:r>
          </w:p>
        </w:tc>
        <w:tc>
          <w:tcPr>
            <w:tcW w:w="0" w:type="auto"/>
            <w:tcBorders>
              <w:top w:val="nil"/>
              <w:bottom w:val="nil"/>
            </w:tcBorders>
          </w:tcPr>
          <w:p w14:paraId="4F107334" w14:textId="77777777" w:rsidR="00A3563C" w:rsidRPr="004249C4" w:rsidRDefault="00A3563C" w:rsidP="00377F3A">
            <w:pPr>
              <w:pStyle w:val="TableText"/>
            </w:pPr>
            <w:r w:rsidRPr="004249C4">
              <w:t>~4.5% overall mortality of land iguana population estimated</w:t>
            </w:r>
          </w:p>
        </w:tc>
        <w:tc>
          <w:tcPr>
            <w:tcW w:w="0" w:type="auto"/>
            <w:tcBorders>
              <w:top w:val="nil"/>
              <w:bottom w:val="nil"/>
            </w:tcBorders>
          </w:tcPr>
          <w:p w14:paraId="452060F1" w14:textId="0FFFFD23" w:rsidR="00A3563C" w:rsidRPr="004249C4" w:rsidRDefault="00A3563C" w:rsidP="00377F3A">
            <w:pPr>
              <w:pStyle w:val="TableText"/>
            </w:pPr>
            <w:r w:rsidRPr="004249C4">
              <w:t xml:space="preserve">Harper </w:t>
            </w:r>
            <w:r w:rsidR="00B7183A" w:rsidRPr="00B7183A">
              <w:rPr>
                <w:i/>
                <w:iCs/>
              </w:rPr>
              <w:t>et al</w:t>
            </w:r>
            <w:r w:rsidRPr="004249C4">
              <w:t>. 2011</w:t>
            </w:r>
          </w:p>
        </w:tc>
      </w:tr>
      <w:tr w:rsidR="00A3563C" w14:paraId="27160A25" w14:textId="77777777" w:rsidTr="00A3563C">
        <w:trPr>
          <w:cantSplit/>
        </w:trPr>
        <w:tc>
          <w:tcPr>
            <w:tcW w:w="0" w:type="auto"/>
            <w:tcBorders>
              <w:top w:val="nil"/>
              <w:left w:val="nil"/>
              <w:bottom w:val="nil"/>
            </w:tcBorders>
          </w:tcPr>
          <w:p w14:paraId="382D510E" w14:textId="77777777" w:rsidR="00A3563C" w:rsidRPr="004249C4" w:rsidRDefault="00A3563C" w:rsidP="00377F3A">
            <w:pPr>
              <w:pStyle w:val="TableText"/>
            </w:pPr>
            <w:r w:rsidRPr="004249C4">
              <w:t>Desecheo Island, Puerto Rico</w:t>
            </w:r>
          </w:p>
        </w:tc>
        <w:tc>
          <w:tcPr>
            <w:tcW w:w="0" w:type="auto"/>
            <w:tcBorders>
              <w:top w:val="nil"/>
              <w:bottom w:val="nil"/>
            </w:tcBorders>
          </w:tcPr>
          <w:p w14:paraId="3D8B5A3B" w14:textId="0A335632" w:rsidR="00A3563C" w:rsidRPr="004249C4" w:rsidRDefault="00A3563C" w:rsidP="00377F3A">
            <w:pPr>
              <w:pStyle w:val="TableText"/>
            </w:pPr>
            <w:r w:rsidRPr="004249C4">
              <w:t>25 mg a</w:t>
            </w:r>
            <w:r w:rsidR="00C874AD">
              <w:t>.</w:t>
            </w:r>
            <w:r w:rsidRPr="004249C4">
              <w:t>c</w:t>
            </w:r>
            <w:r w:rsidR="00C874AD">
              <w:t>.</w:t>
            </w:r>
            <w:r w:rsidRPr="004249C4">
              <w:t>/kg bait</w:t>
            </w:r>
          </w:p>
          <w:p w14:paraId="2611629A" w14:textId="77777777" w:rsidR="00A3563C" w:rsidRPr="004249C4" w:rsidRDefault="00A3563C" w:rsidP="00377F3A">
            <w:pPr>
              <w:pStyle w:val="TableText"/>
            </w:pPr>
            <w:r w:rsidRPr="004249C4">
              <w:t>(two aerial broadcasts at 17 + 9.1 kg bait/ha)</w:t>
            </w:r>
          </w:p>
        </w:tc>
        <w:tc>
          <w:tcPr>
            <w:tcW w:w="0" w:type="auto"/>
            <w:tcBorders>
              <w:top w:val="nil"/>
              <w:bottom w:val="nil"/>
            </w:tcBorders>
          </w:tcPr>
          <w:p w14:paraId="04006745" w14:textId="77777777" w:rsidR="00A3563C" w:rsidRPr="004249C4" w:rsidRDefault="00A3563C" w:rsidP="00377F3A">
            <w:pPr>
              <w:pStyle w:val="TableText"/>
            </w:pPr>
            <w:r w:rsidRPr="004249C4">
              <w:t>No population-level impacts on two species of lizard (ameivas, anoles)</w:t>
            </w:r>
          </w:p>
        </w:tc>
        <w:tc>
          <w:tcPr>
            <w:tcW w:w="0" w:type="auto"/>
            <w:tcBorders>
              <w:top w:val="nil"/>
              <w:bottom w:val="nil"/>
            </w:tcBorders>
          </w:tcPr>
          <w:p w14:paraId="1E8673D2" w14:textId="6A9EE0E2" w:rsidR="00A3563C" w:rsidRPr="004249C4" w:rsidRDefault="00A3563C" w:rsidP="00377F3A">
            <w:pPr>
              <w:pStyle w:val="TableText"/>
            </w:pPr>
            <w:r w:rsidRPr="004249C4">
              <w:t xml:space="preserve">Herrera-Giraldo </w:t>
            </w:r>
            <w:r w:rsidR="00B7183A" w:rsidRPr="00B7183A">
              <w:rPr>
                <w:i/>
                <w:iCs/>
              </w:rPr>
              <w:t>et al</w:t>
            </w:r>
            <w:r w:rsidRPr="004249C4">
              <w:t>. 2019</w:t>
            </w:r>
          </w:p>
        </w:tc>
      </w:tr>
      <w:tr w:rsidR="00A3563C" w14:paraId="15C2537F" w14:textId="77777777" w:rsidTr="00A3563C">
        <w:trPr>
          <w:cantSplit/>
        </w:trPr>
        <w:tc>
          <w:tcPr>
            <w:tcW w:w="0" w:type="auto"/>
            <w:tcBorders>
              <w:top w:val="nil"/>
              <w:left w:val="nil"/>
              <w:bottom w:val="nil"/>
            </w:tcBorders>
          </w:tcPr>
          <w:p w14:paraId="1457EAA8" w14:textId="77777777" w:rsidR="00A3563C" w:rsidRPr="004249C4" w:rsidRDefault="00A3563C" w:rsidP="00377F3A">
            <w:pPr>
              <w:pStyle w:val="TableText"/>
            </w:pPr>
            <w:r w:rsidRPr="004249C4">
              <w:t>Farallón de San Ignacio island, Mexico</w:t>
            </w:r>
          </w:p>
        </w:tc>
        <w:tc>
          <w:tcPr>
            <w:tcW w:w="0" w:type="auto"/>
            <w:tcBorders>
              <w:top w:val="nil"/>
              <w:bottom w:val="nil"/>
            </w:tcBorders>
          </w:tcPr>
          <w:p w14:paraId="0BD1D8B2" w14:textId="498A9CCF" w:rsidR="00A3563C" w:rsidRPr="004249C4" w:rsidRDefault="00A3563C" w:rsidP="00377F3A">
            <w:pPr>
              <w:pStyle w:val="TableText"/>
            </w:pPr>
            <w:r w:rsidRPr="004249C4">
              <w:t>25 mg a</w:t>
            </w:r>
            <w:r w:rsidR="00C874AD">
              <w:t>.</w:t>
            </w:r>
            <w:r w:rsidRPr="004249C4">
              <w:t>c</w:t>
            </w:r>
            <w:r w:rsidR="00C874AD">
              <w:t>.</w:t>
            </w:r>
            <w:r w:rsidRPr="004249C4">
              <w:t>/kg bait</w:t>
            </w:r>
          </w:p>
          <w:p w14:paraId="0C72D7D8" w14:textId="77777777" w:rsidR="00A3563C" w:rsidRPr="004249C4" w:rsidRDefault="00A3563C" w:rsidP="00377F3A">
            <w:pPr>
              <w:pStyle w:val="TableText"/>
            </w:pPr>
            <w:r w:rsidRPr="004249C4">
              <w:t>(one aerial broadcast at 24.4 kg bait/ha)</w:t>
            </w:r>
          </w:p>
        </w:tc>
        <w:tc>
          <w:tcPr>
            <w:tcW w:w="0" w:type="auto"/>
            <w:tcBorders>
              <w:top w:val="nil"/>
              <w:bottom w:val="nil"/>
            </w:tcBorders>
          </w:tcPr>
          <w:p w14:paraId="2CCF2F45" w14:textId="77777777" w:rsidR="00A3563C" w:rsidRPr="004249C4" w:rsidRDefault="00A3563C" w:rsidP="00377F3A">
            <w:pPr>
              <w:pStyle w:val="TableText"/>
            </w:pPr>
            <w:r w:rsidRPr="004249C4">
              <w:t>8 house sparrows, 2 ground doves, 1 house finch deaths likely due to brodifacoum; no population-level impacts</w:t>
            </w:r>
          </w:p>
        </w:tc>
        <w:tc>
          <w:tcPr>
            <w:tcW w:w="0" w:type="auto"/>
            <w:tcBorders>
              <w:top w:val="nil"/>
              <w:bottom w:val="nil"/>
            </w:tcBorders>
          </w:tcPr>
          <w:p w14:paraId="23552D94" w14:textId="6C262EA4" w:rsidR="00A3563C" w:rsidRPr="004249C4" w:rsidRDefault="00A3563C" w:rsidP="00377F3A">
            <w:pPr>
              <w:pStyle w:val="TableText"/>
            </w:pPr>
            <w:r w:rsidRPr="004249C4">
              <w:t xml:space="preserve">Samaniego-Herra </w:t>
            </w:r>
            <w:r w:rsidR="00B7183A" w:rsidRPr="00B7183A">
              <w:rPr>
                <w:i/>
                <w:iCs/>
              </w:rPr>
              <w:t>et al</w:t>
            </w:r>
            <w:r w:rsidRPr="004249C4">
              <w:t>. 2009</w:t>
            </w:r>
          </w:p>
        </w:tc>
      </w:tr>
      <w:tr w:rsidR="00A3563C" w14:paraId="6F7D9972" w14:textId="77777777" w:rsidTr="00A3563C">
        <w:trPr>
          <w:cantSplit/>
        </w:trPr>
        <w:tc>
          <w:tcPr>
            <w:tcW w:w="0" w:type="auto"/>
            <w:tcBorders>
              <w:top w:val="nil"/>
              <w:left w:val="nil"/>
              <w:bottom w:val="nil"/>
            </w:tcBorders>
          </w:tcPr>
          <w:p w14:paraId="254772B5" w14:textId="77777777" w:rsidR="00A3563C" w:rsidRPr="004249C4" w:rsidRDefault="00A3563C" w:rsidP="00377F3A">
            <w:pPr>
              <w:pStyle w:val="TableText"/>
            </w:pPr>
            <w:r w:rsidRPr="004249C4">
              <w:t>San Pedro Mártir island, Mexico</w:t>
            </w:r>
          </w:p>
        </w:tc>
        <w:tc>
          <w:tcPr>
            <w:tcW w:w="0" w:type="auto"/>
            <w:tcBorders>
              <w:top w:val="nil"/>
              <w:bottom w:val="nil"/>
            </w:tcBorders>
          </w:tcPr>
          <w:p w14:paraId="41086325" w14:textId="6F19954B" w:rsidR="00A3563C" w:rsidRPr="004249C4" w:rsidRDefault="00A3563C" w:rsidP="00377F3A">
            <w:pPr>
              <w:pStyle w:val="TableText"/>
            </w:pPr>
            <w:r w:rsidRPr="004249C4">
              <w:t>25 mg a</w:t>
            </w:r>
            <w:r w:rsidR="00C874AD">
              <w:t>.</w:t>
            </w:r>
            <w:r w:rsidRPr="004249C4">
              <w:t>c</w:t>
            </w:r>
            <w:r w:rsidR="00C874AD">
              <w:t>.</w:t>
            </w:r>
            <w:r w:rsidRPr="004249C4">
              <w:t>/kg bait</w:t>
            </w:r>
          </w:p>
          <w:p w14:paraId="79D050AA" w14:textId="77777777" w:rsidR="00A3563C" w:rsidRPr="004249C4" w:rsidRDefault="00A3563C" w:rsidP="00377F3A">
            <w:pPr>
              <w:pStyle w:val="TableText"/>
            </w:pPr>
            <w:r w:rsidRPr="004249C4">
              <w:t>(two aerial broadcasts at 17.6 kg bait/ha)</w:t>
            </w:r>
          </w:p>
        </w:tc>
        <w:tc>
          <w:tcPr>
            <w:tcW w:w="0" w:type="auto"/>
            <w:tcBorders>
              <w:top w:val="nil"/>
              <w:bottom w:val="nil"/>
            </w:tcBorders>
          </w:tcPr>
          <w:p w14:paraId="47B37BE0" w14:textId="77777777" w:rsidR="00A3563C" w:rsidRPr="004249C4" w:rsidRDefault="00A3563C" w:rsidP="00377F3A">
            <w:pPr>
              <w:pStyle w:val="TableText"/>
            </w:pPr>
            <w:r w:rsidRPr="004249C4">
              <w:t>1 raven death, 6 yellow-footed gull deaths likely due to brodifacoum; no population level impacts</w:t>
            </w:r>
          </w:p>
        </w:tc>
        <w:tc>
          <w:tcPr>
            <w:tcW w:w="0" w:type="auto"/>
            <w:tcBorders>
              <w:top w:val="nil"/>
              <w:bottom w:val="nil"/>
            </w:tcBorders>
          </w:tcPr>
          <w:p w14:paraId="4BA40C6D" w14:textId="0FD8430A" w:rsidR="00A3563C" w:rsidRPr="004249C4" w:rsidRDefault="00A3563C" w:rsidP="00377F3A">
            <w:pPr>
              <w:pStyle w:val="TableText"/>
            </w:pPr>
            <w:r w:rsidRPr="004249C4">
              <w:t xml:space="preserve">Samaniego-Herra </w:t>
            </w:r>
            <w:r w:rsidR="00B7183A" w:rsidRPr="00B7183A">
              <w:rPr>
                <w:i/>
                <w:iCs/>
              </w:rPr>
              <w:t>et al</w:t>
            </w:r>
            <w:r w:rsidRPr="004249C4">
              <w:t>. 2009</w:t>
            </w:r>
          </w:p>
        </w:tc>
      </w:tr>
      <w:tr w:rsidR="00A3563C" w:rsidRPr="000B2FA7" w14:paraId="021DC120" w14:textId="77777777" w:rsidTr="00A3563C">
        <w:trPr>
          <w:cantSplit/>
        </w:trPr>
        <w:tc>
          <w:tcPr>
            <w:tcW w:w="0" w:type="auto"/>
            <w:tcBorders>
              <w:top w:val="nil"/>
              <w:left w:val="nil"/>
              <w:bottom w:val="single" w:sz="4" w:space="0" w:color="auto"/>
            </w:tcBorders>
          </w:tcPr>
          <w:p w14:paraId="55581170" w14:textId="77777777" w:rsidR="00A3563C" w:rsidRPr="004249C4" w:rsidRDefault="00A3563C" w:rsidP="00377F3A">
            <w:pPr>
              <w:pStyle w:val="TableText"/>
            </w:pPr>
            <w:r w:rsidRPr="004249C4">
              <w:lastRenderedPageBreak/>
              <w:t>Rat Island, Alaska</w:t>
            </w:r>
          </w:p>
        </w:tc>
        <w:tc>
          <w:tcPr>
            <w:tcW w:w="0" w:type="auto"/>
            <w:tcBorders>
              <w:top w:val="nil"/>
              <w:bottom w:val="single" w:sz="4" w:space="0" w:color="auto"/>
            </w:tcBorders>
          </w:tcPr>
          <w:p w14:paraId="2EA1EA94" w14:textId="39ABFB84" w:rsidR="00A3563C" w:rsidRPr="004249C4" w:rsidRDefault="00A3563C" w:rsidP="00377F3A">
            <w:pPr>
              <w:pStyle w:val="TableText"/>
            </w:pPr>
            <w:r w:rsidRPr="004249C4">
              <w:t>25 mg a</w:t>
            </w:r>
            <w:r w:rsidR="00C874AD">
              <w:t>.</w:t>
            </w:r>
            <w:r w:rsidRPr="004249C4">
              <w:t>c</w:t>
            </w:r>
            <w:r w:rsidR="00C874AD">
              <w:t>.</w:t>
            </w:r>
            <w:r w:rsidRPr="004249C4">
              <w:t>/kg bait</w:t>
            </w:r>
          </w:p>
          <w:p w14:paraId="14B0F108" w14:textId="77777777" w:rsidR="00A3563C" w:rsidRPr="004249C4" w:rsidRDefault="00A3563C" w:rsidP="00377F3A">
            <w:pPr>
              <w:pStyle w:val="TableText"/>
            </w:pPr>
            <w:r w:rsidRPr="004249C4">
              <w:t>(two aerial broadcasts at 8.0-33 kg bait/ha cumulative)</w:t>
            </w:r>
          </w:p>
        </w:tc>
        <w:tc>
          <w:tcPr>
            <w:tcW w:w="0" w:type="auto"/>
            <w:tcBorders>
              <w:top w:val="nil"/>
              <w:bottom w:val="single" w:sz="4" w:space="0" w:color="auto"/>
            </w:tcBorders>
          </w:tcPr>
          <w:p w14:paraId="631B7B66" w14:textId="77777777" w:rsidR="00A3563C" w:rsidRPr="004249C4" w:rsidRDefault="00A3563C" w:rsidP="00377F3A">
            <w:pPr>
              <w:pStyle w:val="TableText"/>
            </w:pPr>
            <w:r w:rsidRPr="004249C4">
              <w:t>Majority of 420 bird deaths (mostly gulls &amp; eagles) attributed to AR poisoning. Max liver residues 2600 µg/kg eagles, 2400 µg/kg gulls, 27 µg/kg emperor goose, 1200 µg/kg peregrine falcon, 44 µg/kg sandpipers, 1200 µg/kg finch, 44 µg/kg cormorant, 57 µg/kg northern fulmar</w:t>
            </w:r>
          </w:p>
        </w:tc>
        <w:tc>
          <w:tcPr>
            <w:tcW w:w="0" w:type="auto"/>
            <w:tcBorders>
              <w:top w:val="nil"/>
              <w:bottom w:val="single" w:sz="4" w:space="0" w:color="auto"/>
            </w:tcBorders>
          </w:tcPr>
          <w:p w14:paraId="3059DA70" w14:textId="77777777" w:rsidR="00A3563C" w:rsidRPr="004249C4" w:rsidRDefault="00A3563C" w:rsidP="00377F3A">
            <w:pPr>
              <w:pStyle w:val="TableText"/>
            </w:pPr>
            <w:r w:rsidRPr="004249C4">
              <w:t>Ebbert &amp; Burek-Huntington 2010</w:t>
            </w:r>
          </w:p>
        </w:tc>
      </w:tr>
    </w:tbl>
    <w:p w14:paraId="511960B0" w14:textId="1C4D1033" w:rsidR="000D594D" w:rsidRPr="00861CA0" w:rsidRDefault="00BA7F5F" w:rsidP="00377F3A">
      <w:pPr>
        <w:pStyle w:val="Caption"/>
      </w:pPr>
      <w:bookmarkStart w:id="2046" w:name="_Toc213946085"/>
      <w:bookmarkStart w:id="2047" w:name="_Toc216695776"/>
      <w:r>
        <w:t xml:space="preserve">Table </w:t>
      </w:r>
      <w:r>
        <w:fldChar w:fldCharType="begin"/>
      </w:r>
      <w:r>
        <w:instrText xml:space="preserve"> SEQ Table \* ARABIC </w:instrText>
      </w:r>
      <w:r>
        <w:fldChar w:fldCharType="separate"/>
      </w:r>
      <w:r w:rsidR="003861AC">
        <w:rPr>
          <w:noProof/>
        </w:rPr>
        <w:t>114</w:t>
      </w:r>
      <w:r>
        <w:fldChar w:fldCharType="end"/>
      </w:r>
      <w:r>
        <w:t xml:space="preserve">: </w:t>
      </w:r>
      <w:r w:rsidR="00C75073">
        <w:t xml:space="preserve">Brodifacoum – </w:t>
      </w:r>
      <w:r w:rsidR="000D594D">
        <w:t>Effects on aquatic species</w:t>
      </w:r>
      <w:bookmarkEnd w:id="2046"/>
      <w:bookmarkEnd w:id="2047"/>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80"/>
        <w:gridCol w:w="1078"/>
        <w:gridCol w:w="2682"/>
        <w:gridCol w:w="1876"/>
        <w:gridCol w:w="2512"/>
      </w:tblGrid>
      <w:tr w:rsidR="00C75073" w:rsidRPr="000B2FA7" w14:paraId="22D46DB3" w14:textId="77777777" w:rsidTr="0017134F">
        <w:trPr>
          <w:tblHeader/>
        </w:trPr>
        <w:tc>
          <w:tcPr>
            <w:tcW w:w="0" w:type="auto"/>
            <w:tcBorders>
              <w:bottom w:val="single" w:sz="4" w:space="0" w:color="auto"/>
            </w:tcBorders>
            <w:shd w:val="clear" w:color="auto" w:fill="53284F"/>
          </w:tcPr>
          <w:p w14:paraId="5295E582" w14:textId="77777777" w:rsidR="00C75073" w:rsidRDefault="00C75073" w:rsidP="00377F3A">
            <w:pPr>
              <w:pStyle w:val="TableHead"/>
            </w:pPr>
            <w:r>
              <w:t>Group</w:t>
            </w:r>
          </w:p>
        </w:tc>
        <w:tc>
          <w:tcPr>
            <w:tcW w:w="0" w:type="auto"/>
            <w:tcBorders>
              <w:bottom w:val="single" w:sz="4" w:space="0" w:color="auto"/>
            </w:tcBorders>
            <w:shd w:val="clear" w:color="auto" w:fill="53284F"/>
          </w:tcPr>
          <w:p w14:paraId="5B9295B9" w14:textId="77777777" w:rsidR="00C75073" w:rsidRDefault="00C75073" w:rsidP="00377F3A">
            <w:pPr>
              <w:pStyle w:val="TableHead"/>
            </w:pPr>
            <w:r>
              <w:t>Exposure</w:t>
            </w:r>
          </w:p>
        </w:tc>
        <w:tc>
          <w:tcPr>
            <w:tcW w:w="0" w:type="auto"/>
            <w:tcBorders>
              <w:bottom w:val="single" w:sz="4" w:space="0" w:color="auto"/>
            </w:tcBorders>
            <w:shd w:val="clear" w:color="auto" w:fill="53284F"/>
          </w:tcPr>
          <w:p w14:paraId="2186D0D2" w14:textId="77777777" w:rsidR="00C75073" w:rsidRPr="00CA558C" w:rsidRDefault="00C75073" w:rsidP="00377F3A">
            <w:pPr>
              <w:pStyle w:val="TableHead"/>
            </w:pPr>
            <w:r>
              <w:t>Species</w:t>
            </w:r>
          </w:p>
        </w:tc>
        <w:tc>
          <w:tcPr>
            <w:tcW w:w="0" w:type="auto"/>
            <w:tcBorders>
              <w:bottom w:val="single" w:sz="4" w:space="0" w:color="auto"/>
            </w:tcBorders>
            <w:shd w:val="clear" w:color="auto" w:fill="53284F"/>
          </w:tcPr>
          <w:p w14:paraId="4C05D05F" w14:textId="77777777" w:rsidR="00C75073" w:rsidRPr="00CA558C" w:rsidRDefault="00C75073" w:rsidP="00377F3A">
            <w:pPr>
              <w:pStyle w:val="TableHead"/>
            </w:pPr>
            <w:r>
              <w:t>Toxicity v</w:t>
            </w:r>
            <w:r w:rsidRPr="00CA558C">
              <w:t>alue</w:t>
            </w:r>
          </w:p>
        </w:tc>
        <w:tc>
          <w:tcPr>
            <w:tcW w:w="0" w:type="auto"/>
            <w:tcBorders>
              <w:bottom w:val="single" w:sz="4" w:space="0" w:color="auto"/>
            </w:tcBorders>
            <w:shd w:val="clear" w:color="auto" w:fill="53284F"/>
          </w:tcPr>
          <w:p w14:paraId="16179C50" w14:textId="77777777" w:rsidR="00C75073" w:rsidRPr="00CA558C" w:rsidRDefault="00C75073" w:rsidP="00377F3A">
            <w:pPr>
              <w:pStyle w:val="TableHead"/>
            </w:pPr>
            <w:r>
              <w:t>Reference</w:t>
            </w:r>
          </w:p>
        </w:tc>
      </w:tr>
      <w:tr w:rsidR="00C75073" w:rsidRPr="000B2FA7" w14:paraId="54D6C3AD" w14:textId="77777777" w:rsidTr="00C75073">
        <w:tc>
          <w:tcPr>
            <w:tcW w:w="0" w:type="auto"/>
            <w:tcBorders>
              <w:top w:val="single" w:sz="4" w:space="0" w:color="auto"/>
              <w:left w:val="nil"/>
              <w:bottom w:val="nil"/>
              <w:right w:val="nil"/>
            </w:tcBorders>
          </w:tcPr>
          <w:p w14:paraId="4B7490CB" w14:textId="77777777" w:rsidR="00C75073" w:rsidRDefault="00C75073" w:rsidP="00377F3A">
            <w:pPr>
              <w:pStyle w:val="TableText"/>
            </w:pPr>
            <w:r>
              <w:t>Fish</w:t>
            </w:r>
          </w:p>
        </w:tc>
        <w:tc>
          <w:tcPr>
            <w:tcW w:w="0" w:type="auto"/>
            <w:tcBorders>
              <w:top w:val="single" w:sz="4" w:space="0" w:color="auto"/>
              <w:left w:val="nil"/>
              <w:bottom w:val="nil"/>
              <w:right w:val="nil"/>
            </w:tcBorders>
          </w:tcPr>
          <w:p w14:paraId="51E38D91"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21BADB01" w14:textId="77777777" w:rsidR="00C75073" w:rsidRDefault="00C75073" w:rsidP="00377F3A">
            <w:pPr>
              <w:pStyle w:val="TableText"/>
            </w:pPr>
            <w:r>
              <w:t>Oncorhynchus mykiss</w:t>
            </w:r>
          </w:p>
        </w:tc>
        <w:tc>
          <w:tcPr>
            <w:tcW w:w="0" w:type="auto"/>
            <w:tcBorders>
              <w:top w:val="single" w:sz="4" w:space="0" w:color="auto"/>
              <w:left w:val="nil"/>
              <w:bottom w:val="nil"/>
              <w:right w:val="nil"/>
            </w:tcBorders>
          </w:tcPr>
          <w:p w14:paraId="18707B59" w14:textId="77777777" w:rsidR="00C75073" w:rsidRDefault="00C75073" w:rsidP="00377F3A">
            <w:pPr>
              <w:pStyle w:val="TableText"/>
            </w:pPr>
            <w:r>
              <w:t>LC</w:t>
            </w:r>
            <w:r w:rsidRPr="00066436">
              <w:rPr>
                <w:vertAlign w:val="subscript"/>
              </w:rPr>
              <w:t>50</w:t>
            </w:r>
            <w:r>
              <w:t xml:space="preserve"> 0.040 mg/L</w:t>
            </w:r>
          </w:p>
        </w:tc>
        <w:tc>
          <w:tcPr>
            <w:tcW w:w="0" w:type="auto"/>
            <w:tcBorders>
              <w:top w:val="single" w:sz="4" w:space="0" w:color="auto"/>
              <w:left w:val="nil"/>
              <w:bottom w:val="nil"/>
              <w:right w:val="nil"/>
            </w:tcBorders>
          </w:tcPr>
          <w:p w14:paraId="2E38D1D6" w14:textId="76909B0A" w:rsidR="00C75073" w:rsidRDefault="00C75073" w:rsidP="00377F3A">
            <w:pPr>
              <w:pStyle w:val="TableText"/>
            </w:pPr>
            <w:r>
              <w:t xml:space="preserve">Hill </w:t>
            </w:r>
            <w:r w:rsidR="00B7183A" w:rsidRPr="00B7183A">
              <w:rPr>
                <w:i/>
                <w:iCs/>
              </w:rPr>
              <w:t>et al</w:t>
            </w:r>
            <w:r>
              <w:t>. 1976a</w:t>
            </w:r>
          </w:p>
        </w:tc>
      </w:tr>
      <w:tr w:rsidR="00C75073" w:rsidRPr="000B2FA7" w14:paraId="75D356F3" w14:textId="77777777" w:rsidTr="00C75073">
        <w:tc>
          <w:tcPr>
            <w:tcW w:w="0" w:type="auto"/>
            <w:tcBorders>
              <w:top w:val="nil"/>
              <w:left w:val="nil"/>
              <w:bottom w:val="nil"/>
              <w:right w:val="nil"/>
            </w:tcBorders>
          </w:tcPr>
          <w:p w14:paraId="61D8335E" w14:textId="77777777" w:rsidR="00C75073" w:rsidRDefault="00C75073" w:rsidP="00377F3A">
            <w:pPr>
              <w:pStyle w:val="TableText"/>
            </w:pPr>
          </w:p>
        </w:tc>
        <w:tc>
          <w:tcPr>
            <w:tcW w:w="0" w:type="auto"/>
            <w:tcBorders>
              <w:top w:val="nil"/>
              <w:left w:val="nil"/>
              <w:bottom w:val="nil"/>
              <w:right w:val="nil"/>
            </w:tcBorders>
          </w:tcPr>
          <w:p w14:paraId="3E3775F0" w14:textId="77777777" w:rsidR="00C75073" w:rsidRDefault="00C75073" w:rsidP="00377F3A">
            <w:pPr>
              <w:pStyle w:val="TableText"/>
            </w:pPr>
          </w:p>
        </w:tc>
        <w:tc>
          <w:tcPr>
            <w:tcW w:w="0" w:type="auto"/>
            <w:tcBorders>
              <w:top w:val="nil"/>
              <w:left w:val="nil"/>
              <w:bottom w:val="nil"/>
              <w:right w:val="nil"/>
            </w:tcBorders>
          </w:tcPr>
          <w:p w14:paraId="70B45B64" w14:textId="77777777" w:rsidR="00C75073" w:rsidRPr="007528B2" w:rsidRDefault="00C75073" w:rsidP="00377F3A">
            <w:pPr>
              <w:pStyle w:val="TableText"/>
            </w:pPr>
          </w:p>
        </w:tc>
        <w:tc>
          <w:tcPr>
            <w:tcW w:w="0" w:type="auto"/>
            <w:tcBorders>
              <w:top w:val="nil"/>
              <w:left w:val="nil"/>
              <w:bottom w:val="nil"/>
              <w:right w:val="nil"/>
            </w:tcBorders>
          </w:tcPr>
          <w:p w14:paraId="5222F80C" w14:textId="77777777" w:rsidR="00C75073" w:rsidRPr="007528B2" w:rsidRDefault="00C75073" w:rsidP="00377F3A">
            <w:pPr>
              <w:pStyle w:val="TableText"/>
            </w:pPr>
            <w:r>
              <w:t>LC</w:t>
            </w:r>
            <w:r w:rsidRPr="00066436">
              <w:rPr>
                <w:vertAlign w:val="subscript"/>
              </w:rPr>
              <w:t>50</w:t>
            </w:r>
            <w:r>
              <w:t xml:space="preserve"> 0.042 mg/L</w:t>
            </w:r>
          </w:p>
        </w:tc>
        <w:tc>
          <w:tcPr>
            <w:tcW w:w="0" w:type="auto"/>
            <w:tcBorders>
              <w:top w:val="nil"/>
              <w:left w:val="nil"/>
              <w:bottom w:val="nil"/>
              <w:right w:val="nil"/>
            </w:tcBorders>
          </w:tcPr>
          <w:p w14:paraId="2292D3C8" w14:textId="77777777" w:rsidR="00C75073" w:rsidRPr="007528B2" w:rsidRDefault="00C75073" w:rsidP="00377F3A">
            <w:pPr>
              <w:pStyle w:val="TableText"/>
            </w:pPr>
            <w:r>
              <w:t>Craig 2003a</w:t>
            </w:r>
          </w:p>
        </w:tc>
      </w:tr>
      <w:tr w:rsidR="00C75073" w:rsidRPr="000B2FA7" w14:paraId="356EF147" w14:textId="77777777" w:rsidTr="00C75073">
        <w:tc>
          <w:tcPr>
            <w:tcW w:w="0" w:type="auto"/>
            <w:tcBorders>
              <w:top w:val="nil"/>
              <w:left w:val="nil"/>
              <w:bottom w:val="nil"/>
              <w:right w:val="nil"/>
            </w:tcBorders>
          </w:tcPr>
          <w:p w14:paraId="05860512" w14:textId="77777777" w:rsidR="00C75073" w:rsidRDefault="00C75073" w:rsidP="00377F3A">
            <w:pPr>
              <w:pStyle w:val="TableText"/>
            </w:pPr>
          </w:p>
        </w:tc>
        <w:tc>
          <w:tcPr>
            <w:tcW w:w="0" w:type="auto"/>
            <w:tcBorders>
              <w:top w:val="nil"/>
              <w:left w:val="nil"/>
              <w:bottom w:val="nil"/>
              <w:right w:val="nil"/>
            </w:tcBorders>
          </w:tcPr>
          <w:p w14:paraId="017D457B" w14:textId="77777777" w:rsidR="00C75073" w:rsidRDefault="00C75073" w:rsidP="00377F3A">
            <w:pPr>
              <w:pStyle w:val="TableText"/>
            </w:pPr>
          </w:p>
        </w:tc>
        <w:tc>
          <w:tcPr>
            <w:tcW w:w="0" w:type="auto"/>
            <w:gridSpan w:val="2"/>
            <w:tcBorders>
              <w:top w:val="nil"/>
              <w:left w:val="nil"/>
              <w:bottom w:val="nil"/>
              <w:right w:val="nil"/>
            </w:tcBorders>
          </w:tcPr>
          <w:p w14:paraId="3DDF2D2A" w14:textId="77777777" w:rsidR="00C75073" w:rsidRPr="004934EB" w:rsidRDefault="00C75073" w:rsidP="00377F3A">
            <w:pPr>
              <w:pStyle w:val="TableText"/>
            </w:pPr>
            <w:r>
              <w:t>LC</w:t>
            </w:r>
            <w:r w:rsidRPr="006265BF">
              <w:rPr>
                <w:vertAlign w:val="subscript"/>
              </w:rPr>
              <w:t>50</w:t>
            </w:r>
            <w:r>
              <w:t xml:space="preserve"> 0.053 mg/L</w:t>
            </w:r>
          </w:p>
        </w:tc>
        <w:tc>
          <w:tcPr>
            <w:tcW w:w="0" w:type="auto"/>
            <w:tcBorders>
              <w:top w:val="nil"/>
              <w:left w:val="nil"/>
              <w:bottom w:val="nil"/>
              <w:right w:val="nil"/>
            </w:tcBorders>
          </w:tcPr>
          <w:p w14:paraId="35D487EA" w14:textId="77777777" w:rsidR="00C75073" w:rsidRDefault="00C75073" w:rsidP="00377F3A">
            <w:pPr>
              <w:pStyle w:val="TableText"/>
            </w:pPr>
            <w:r>
              <w:t>Hill 1978a</w:t>
            </w:r>
          </w:p>
        </w:tc>
      </w:tr>
      <w:tr w:rsidR="00C75073" w:rsidRPr="000B2FA7" w14:paraId="5D349103" w14:textId="77777777" w:rsidTr="00C75073">
        <w:tc>
          <w:tcPr>
            <w:tcW w:w="0" w:type="auto"/>
            <w:tcBorders>
              <w:top w:val="nil"/>
              <w:left w:val="nil"/>
              <w:bottom w:val="nil"/>
              <w:right w:val="nil"/>
            </w:tcBorders>
          </w:tcPr>
          <w:p w14:paraId="18948DED" w14:textId="77777777" w:rsidR="00C75073" w:rsidRDefault="00C75073" w:rsidP="00377F3A">
            <w:pPr>
              <w:pStyle w:val="TableText"/>
            </w:pPr>
          </w:p>
        </w:tc>
        <w:tc>
          <w:tcPr>
            <w:tcW w:w="0" w:type="auto"/>
            <w:tcBorders>
              <w:top w:val="nil"/>
              <w:left w:val="nil"/>
              <w:bottom w:val="nil"/>
              <w:right w:val="nil"/>
            </w:tcBorders>
          </w:tcPr>
          <w:p w14:paraId="16157479" w14:textId="77777777" w:rsidR="00C75073" w:rsidRDefault="00C75073" w:rsidP="00377F3A">
            <w:pPr>
              <w:pStyle w:val="TableText"/>
            </w:pPr>
          </w:p>
        </w:tc>
        <w:tc>
          <w:tcPr>
            <w:tcW w:w="0" w:type="auto"/>
            <w:gridSpan w:val="2"/>
            <w:tcBorders>
              <w:top w:val="nil"/>
              <w:left w:val="nil"/>
              <w:bottom w:val="nil"/>
              <w:right w:val="nil"/>
            </w:tcBorders>
          </w:tcPr>
          <w:p w14:paraId="50220259" w14:textId="77777777" w:rsidR="00C75073" w:rsidRPr="004934EB" w:rsidRDefault="00C75073" w:rsidP="00377F3A">
            <w:pPr>
              <w:pStyle w:val="TableText"/>
            </w:pPr>
            <w:r w:rsidRPr="004934EB">
              <w:t>0.25% concentrate: LC</w:t>
            </w:r>
            <w:r w:rsidRPr="004934EB">
              <w:rPr>
                <w:vertAlign w:val="subscript"/>
              </w:rPr>
              <w:t>50</w:t>
            </w:r>
            <w:r>
              <w:t xml:space="preserve"> 0.026 mg/L</w:t>
            </w:r>
            <w:r w:rsidRPr="004934EB">
              <w:t xml:space="preserve"> </w:t>
            </w:r>
          </w:p>
        </w:tc>
        <w:tc>
          <w:tcPr>
            <w:tcW w:w="0" w:type="auto"/>
            <w:tcBorders>
              <w:top w:val="nil"/>
              <w:left w:val="nil"/>
              <w:bottom w:val="nil"/>
              <w:right w:val="nil"/>
            </w:tcBorders>
          </w:tcPr>
          <w:p w14:paraId="43C0F99B" w14:textId="77777777" w:rsidR="00C75073" w:rsidRDefault="00C75073" w:rsidP="00377F3A">
            <w:pPr>
              <w:pStyle w:val="TableText"/>
            </w:pPr>
            <w:r>
              <w:t>Hill 1978b</w:t>
            </w:r>
          </w:p>
        </w:tc>
      </w:tr>
      <w:tr w:rsidR="00C75073" w:rsidRPr="000B2FA7" w14:paraId="28001473" w14:textId="77777777" w:rsidTr="00C75073">
        <w:tc>
          <w:tcPr>
            <w:tcW w:w="0" w:type="auto"/>
            <w:tcBorders>
              <w:top w:val="nil"/>
              <w:left w:val="nil"/>
              <w:bottom w:val="single" w:sz="4" w:space="0" w:color="auto"/>
              <w:right w:val="nil"/>
            </w:tcBorders>
          </w:tcPr>
          <w:p w14:paraId="1990B83B" w14:textId="77777777" w:rsidR="00C75073" w:rsidRDefault="00C75073" w:rsidP="00377F3A">
            <w:pPr>
              <w:pStyle w:val="TableText"/>
            </w:pPr>
          </w:p>
        </w:tc>
        <w:tc>
          <w:tcPr>
            <w:tcW w:w="0" w:type="auto"/>
            <w:tcBorders>
              <w:top w:val="nil"/>
              <w:left w:val="nil"/>
              <w:bottom w:val="single" w:sz="4" w:space="0" w:color="auto"/>
              <w:right w:val="nil"/>
            </w:tcBorders>
          </w:tcPr>
          <w:p w14:paraId="5FF87EA2" w14:textId="77777777" w:rsidR="00C75073" w:rsidRDefault="00C75073" w:rsidP="00377F3A">
            <w:pPr>
              <w:pStyle w:val="TableText"/>
            </w:pPr>
          </w:p>
        </w:tc>
        <w:tc>
          <w:tcPr>
            <w:tcW w:w="0" w:type="auto"/>
            <w:tcBorders>
              <w:top w:val="nil"/>
              <w:left w:val="nil"/>
              <w:bottom w:val="single" w:sz="4" w:space="0" w:color="auto"/>
              <w:right w:val="nil"/>
            </w:tcBorders>
          </w:tcPr>
          <w:p w14:paraId="5B1EE677" w14:textId="77777777" w:rsidR="00C75073" w:rsidRDefault="00C75073" w:rsidP="00377F3A">
            <w:pPr>
              <w:pStyle w:val="TableText"/>
            </w:pPr>
            <w:r>
              <w:t>Lepomis macrochirus</w:t>
            </w:r>
          </w:p>
        </w:tc>
        <w:tc>
          <w:tcPr>
            <w:tcW w:w="0" w:type="auto"/>
            <w:tcBorders>
              <w:top w:val="nil"/>
              <w:left w:val="nil"/>
              <w:bottom w:val="single" w:sz="4" w:space="0" w:color="auto"/>
              <w:right w:val="nil"/>
            </w:tcBorders>
          </w:tcPr>
          <w:p w14:paraId="4B7C465C" w14:textId="77777777" w:rsidR="00C75073" w:rsidRDefault="00C75073" w:rsidP="00377F3A">
            <w:pPr>
              <w:pStyle w:val="TableText"/>
            </w:pPr>
            <w:r>
              <w:t>LC</w:t>
            </w:r>
            <w:r w:rsidRPr="006265BF">
              <w:rPr>
                <w:vertAlign w:val="subscript"/>
              </w:rPr>
              <w:t>50</w:t>
            </w:r>
            <w:r>
              <w:t xml:space="preserve"> 0.16 mg/L</w:t>
            </w:r>
          </w:p>
        </w:tc>
        <w:tc>
          <w:tcPr>
            <w:tcW w:w="0" w:type="auto"/>
            <w:tcBorders>
              <w:top w:val="nil"/>
              <w:left w:val="nil"/>
              <w:bottom w:val="single" w:sz="4" w:space="0" w:color="auto"/>
              <w:right w:val="nil"/>
            </w:tcBorders>
          </w:tcPr>
          <w:p w14:paraId="79A41D2C" w14:textId="2498C89E" w:rsidR="00C75073" w:rsidRDefault="00C75073" w:rsidP="00377F3A">
            <w:pPr>
              <w:pStyle w:val="TableText"/>
            </w:pPr>
            <w:r>
              <w:t xml:space="preserve">Hill </w:t>
            </w:r>
            <w:r w:rsidR="00B7183A" w:rsidRPr="00B7183A">
              <w:rPr>
                <w:i/>
                <w:iCs/>
              </w:rPr>
              <w:t>et al</w:t>
            </w:r>
            <w:r>
              <w:t>. 1976b</w:t>
            </w:r>
          </w:p>
        </w:tc>
      </w:tr>
      <w:tr w:rsidR="00C75073" w:rsidRPr="000B2FA7" w14:paraId="16DCA193" w14:textId="77777777" w:rsidTr="00C75073">
        <w:tc>
          <w:tcPr>
            <w:tcW w:w="0" w:type="auto"/>
            <w:tcBorders>
              <w:top w:val="single" w:sz="4" w:space="0" w:color="auto"/>
              <w:left w:val="nil"/>
              <w:bottom w:val="nil"/>
              <w:right w:val="nil"/>
            </w:tcBorders>
          </w:tcPr>
          <w:p w14:paraId="4E7F9A05" w14:textId="77777777" w:rsidR="00C75073" w:rsidRDefault="00C75073" w:rsidP="00377F3A">
            <w:pPr>
              <w:pStyle w:val="TableText"/>
            </w:pPr>
            <w:r>
              <w:t>Invertebrates</w:t>
            </w:r>
          </w:p>
        </w:tc>
        <w:tc>
          <w:tcPr>
            <w:tcW w:w="0" w:type="auto"/>
            <w:tcBorders>
              <w:top w:val="single" w:sz="4" w:space="0" w:color="auto"/>
              <w:left w:val="nil"/>
              <w:bottom w:val="nil"/>
              <w:right w:val="nil"/>
            </w:tcBorders>
          </w:tcPr>
          <w:p w14:paraId="104488F6" w14:textId="77777777" w:rsidR="00C75073" w:rsidRDefault="00C75073" w:rsidP="00377F3A">
            <w:pPr>
              <w:pStyle w:val="TableText"/>
            </w:pPr>
            <w:r>
              <w:t>Acute</w:t>
            </w:r>
          </w:p>
        </w:tc>
        <w:tc>
          <w:tcPr>
            <w:tcW w:w="0" w:type="auto"/>
            <w:tcBorders>
              <w:top w:val="single" w:sz="4" w:space="0" w:color="auto"/>
              <w:left w:val="nil"/>
              <w:bottom w:val="nil"/>
              <w:right w:val="nil"/>
            </w:tcBorders>
          </w:tcPr>
          <w:p w14:paraId="3047025C" w14:textId="77777777" w:rsidR="00C75073" w:rsidRPr="007528B2" w:rsidRDefault="00C75073" w:rsidP="00377F3A">
            <w:pPr>
              <w:pStyle w:val="TableText"/>
            </w:pPr>
            <w:r>
              <w:t>Daphnia magna</w:t>
            </w:r>
          </w:p>
        </w:tc>
        <w:tc>
          <w:tcPr>
            <w:tcW w:w="0" w:type="auto"/>
            <w:tcBorders>
              <w:top w:val="single" w:sz="4" w:space="0" w:color="auto"/>
              <w:left w:val="nil"/>
              <w:bottom w:val="nil"/>
              <w:right w:val="nil"/>
            </w:tcBorders>
          </w:tcPr>
          <w:p w14:paraId="2F3257B8" w14:textId="77777777" w:rsidR="00C75073" w:rsidRPr="007528B2" w:rsidRDefault="00C75073" w:rsidP="00377F3A">
            <w:pPr>
              <w:pStyle w:val="TableText"/>
            </w:pPr>
            <w:r>
              <w:t>EC</w:t>
            </w:r>
            <w:r w:rsidRPr="00066436">
              <w:rPr>
                <w:vertAlign w:val="subscript"/>
              </w:rPr>
              <w:t>50</w:t>
            </w:r>
            <w:r>
              <w:t xml:space="preserve"> 0.25 mg/L</w:t>
            </w:r>
          </w:p>
        </w:tc>
        <w:tc>
          <w:tcPr>
            <w:tcW w:w="0" w:type="auto"/>
            <w:tcBorders>
              <w:top w:val="single" w:sz="4" w:space="0" w:color="auto"/>
              <w:left w:val="nil"/>
              <w:bottom w:val="nil"/>
              <w:right w:val="nil"/>
            </w:tcBorders>
          </w:tcPr>
          <w:p w14:paraId="395BEE95" w14:textId="77777777" w:rsidR="00C75073" w:rsidRPr="007528B2" w:rsidRDefault="00C75073" w:rsidP="00377F3A">
            <w:pPr>
              <w:pStyle w:val="TableText"/>
            </w:pPr>
            <w:r>
              <w:t>Craig 2003b</w:t>
            </w:r>
          </w:p>
        </w:tc>
      </w:tr>
      <w:tr w:rsidR="00C75073" w:rsidRPr="000B2FA7" w14:paraId="22B34B07" w14:textId="77777777" w:rsidTr="00C75073">
        <w:tc>
          <w:tcPr>
            <w:tcW w:w="0" w:type="auto"/>
            <w:tcBorders>
              <w:top w:val="nil"/>
              <w:left w:val="nil"/>
              <w:bottom w:val="single" w:sz="4" w:space="0" w:color="auto"/>
              <w:right w:val="nil"/>
            </w:tcBorders>
          </w:tcPr>
          <w:p w14:paraId="135A2618" w14:textId="77777777" w:rsidR="00C75073" w:rsidRDefault="00C75073" w:rsidP="00377F3A">
            <w:pPr>
              <w:pStyle w:val="TableText"/>
            </w:pPr>
          </w:p>
        </w:tc>
        <w:tc>
          <w:tcPr>
            <w:tcW w:w="0" w:type="auto"/>
            <w:tcBorders>
              <w:top w:val="nil"/>
              <w:left w:val="nil"/>
              <w:bottom w:val="single" w:sz="4" w:space="0" w:color="auto"/>
              <w:right w:val="nil"/>
            </w:tcBorders>
          </w:tcPr>
          <w:p w14:paraId="047428F6" w14:textId="77777777" w:rsidR="00C75073" w:rsidRDefault="00C75073" w:rsidP="00377F3A">
            <w:pPr>
              <w:pStyle w:val="TableText"/>
            </w:pPr>
          </w:p>
        </w:tc>
        <w:tc>
          <w:tcPr>
            <w:tcW w:w="0" w:type="auto"/>
            <w:tcBorders>
              <w:top w:val="nil"/>
              <w:left w:val="nil"/>
              <w:bottom w:val="single" w:sz="4" w:space="0" w:color="auto"/>
              <w:right w:val="nil"/>
            </w:tcBorders>
          </w:tcPr>
          <w:p w14:paraId="7754085B" w14:textId="77777777" w:rsidR="00C75073" w:rsidRPr="00066436" w:rsidRDefault="00C75073" w:rsidP="00377F3A">
            <w:pPr>
              <w:pStyle w:val="TableText"/>
            </w:pPr>
          </w:p>
        </w:tc>
        <w:tc>
          <w:tcPr>
            <w:tcW w:w="0" w:type="auto"/>
            <w:tcBorders>
              <w:top w:val="nil"/>
              <w:left w:val="nil"/>
              <w:bottom w:val="single" w:sz="4" w:space="0" w:color="auto"/>
              <w:right w:val="nil"/>
            </w:tcBorders>
          </w:tcPr>
          <w:p w14:paraId="6DD18497" w14:textId="77777777" w:rsidR="00C75073" w:rsidRDefault="00C75073" w:rsidP="00377F3A">
            <w:pPr>
              <w:pStyle w:val="TableText"/>
            </w:pPr>
            <w:r>
              <w:t>EC</w:t>
            </w:r>
            <w:r w:rsidRPr="00066436">
              <w:rPr>
                <w:vertAlign w:val="subscript"/>
              </w:rPr>
              <w:t>50</w:t>
            </w:r>
            <w:r>
              <w:t xml:space="preserve"> 0.98 mg/L</w:t>
            </w:r>
          </w:p>
        </w:tc>
        <w:tc>
          <w:tcPr>
            <w:tcW w:w="0" w:type="auto"/>
            <w:tcBorders>
              <w:top w:val="nil"/>
              <w:left w:val="nil"/>
              <w:bottom w:val="single" w:sz="4" w:space="0" w:color="auto"/>
              <w:right w:val="nil"/>
            </w:tcBorders>
          </w:tcPr>
          <w:p w14:paraId="19D886AD" w14:textId="77777777" w:rsidR="00C75073" w:rsidRDefault="00C75073" w:rsidP="00377F3A">
            <w:pPr>
              <w:pStyle w:val="TableText"/>
            </w:pPr>
            <w:r>
              <w:t>Getty &amp; Wilkinson 1978</w:t>
            </w:r>
          </w:p>
        </w:tc>
      </w:tr>
      <w:tr w:rsidR="00C75073" w:rsidRPr="000B2FA7" w14:paraId="03E5E87E" w14:textId="77777777" w:rsidTr="00C75073">
        <w:tc>
          <w:tcPr>
            <w:tcW w:w="0" w:type="auto"/>
            <w:tcBorders>
              <w:top w:val="single" w:sz="4" w:space="0" w:color="auto"/>
              <w:left w:val="nil"/>
              <w:bottom w:val="single" w:sz="4" w:space="0" w:color="auto"/>
              <w:right w:val="nil"/>
            </w:tcBorders>
          </w:tcPr>
          <w:p w14:paraId="10431FDB" w14:textId="77777777" w:rsidR="00C75073" w:rsidRDefault="00C75073" w:rsidP="00377F3A">
            <w:pPr>
              <w:pStyle w:val="TableText"/>
            </w:pPr>
            <w:r>
              <w:t>Algae</w:t>
            </w:r>
          </w:p>
        </w:tc>
        <w:tc>
          <w:tcPr>
            <w:tcW w:w="0" w:type="auto"/>
            <w:tcBorders>
              <w:top w:val="single" w:sz="4" w:space="0" w:color="auto"/>
              <w:left w:val="nil"/>
              <w:bottom w:val="single" w:sz="4" w:space="0" w:color="auto"/>
              <w:right w:val="nil"/>
            </w:tcBorders>
          </w:tcPr>
          <w:p w14:paraId="7A29D24C" w14:textId="77777777" w:rsidR="00C75073" w:rsidRDefault="00C75073" w:rsidP="00377F3A">
            <w:pPr>
              <w:pStyle w:val="TableText"/>
            </w:pPr>
            <w:r>
              <w:t>Chronic</w:t>
            </w:r>
          </w:p>
        </w:tc>
        <w:tc>
          <w:tcPr>
            <w:tcW w:w="0" w:type="auto"/>
            <w:tcBorders>
              <w:top w:val="single" w:sz="4" w:space="0" w:color="auto"/>
              <w:left w:val="nil"/>
              <w:bottom w:val="single" w:sz="4" w:space="0" w:color="auto"/>
              <w:right w:val="nil"/>
            </w:tcBorders>
          </w:tcPr>
          <w:p w14:paraId="3175A13A" w14:textId="77777777" w:rsidR="00C75073" w:rsidRPr="00066436" w:rsidRDefault="00C75073" w:rsidP="00377F3A">
            <w:pPr>
              <w:pStyle w:val="TableText"/>
              <w:rPr>
                <w:szCs w:val="16"/>
              </w:rPr>
            </w:pPr>
            <w:r>
              <w:t>Raphidocelis subcapitata</w:t>
            </w:r>
          </w:p>
        </w:tc>
        <w:tc>
          <w:tcPr>
            <w:tcW w:w="0" w:type="auto"/>
            <w:tcBorders>
              <w:top w:val="single" w:sz="4" w:space="0" w:color="auto"/>
              <w:left w:val="nil"/>
              <w:bottom w:val="single" w:sz="4" w:space="0" w:color="auto"/>
              <w:right w:val="nil"/>
            </w:tcBorders>
          </w:tcPr>
          <w:p w14:paraId="08B6EC0A" w14:textId="77777777" w:rsidR="00C75073" w:rsidRPr="007528B2" w:rsidRDefault="00C75073" w:rsidP="00377F3A">
            <w:pPr>
              <w:pStyle w:val="TableText"/>
            </w:pPr>
            <w:r>
              <w:t>E</w:t>
            </w:r>
            <w:r w:rsidRPr="00066436">
              <w:rPr>
                <w:vertAlign w:val="subscript"/>
              </w:rPr>
              <w:t>r</w:t>
            </w:r>
            <w:r>
              <w:t>C</w:t>
            </w:r>
            <w:r w:rsidRPr="00066436">
              <w:rPr>
                <w:vertAlign w:val="subscript"/>
              </w:rPr>
              <w:t>50</w:t>
            </w:r>
            <w:r>
              <w:t xml:space="preserve"> 0.040 mg/L</w:t>
            </w:r>
          </w:p>
        </w:tc>
        <w:tc>
          <w:tcPr>
            <w:tcW w:w="0" w:type="auto"/>
            <w:tcBorders>
              <w:top w:val="single" w:sz="4" w:space="0" w:color="auto"/>
              <w:left w:val="nil"/>
              <w:bottom w:val="single" w:sz="4" w:space="0" w:color="auto"/>
              <w:right w:val="nil"/>
            </w:tcBorders>
          </w:tcPr>
          <w:p w14:paraId="6C89F76C" w14:textId="77777777" w:rsidR="00C75073" w:rsidRPr="007528B2" w:rsidRDefault="00C75073" w:rsidP="00377F3A">
            <w:pPr>
              <w:pStyle w:val="TableText"/>
            </w:pPr>
            <w:r>
              <w:t>Craig 2003c</w:t>
            </w:r>
          </w:p>
        </w:tc>
      </w:tr>
    </w:tbl>
    <w:p w14:paraId="1A92BA2E" w14:textId="4B46FCC9" w:rsidR="007F0040" w:rsidRPr="00861CA0" w:rsidRDefault="00BA7F5F" w:rsidP="00377F3A">
      <w:pPr>
        <w:pStyle w:val="Caption"/>
      </w:pPr>
      <w:bookmarkStart w:id="2048" w:name="_Ref213315870"/>
      <w:bookmarkStart w:id="2049" w:name="_Toc213946086"/>
      <w:bookmarkStart w:id="2050" w:name="_Toc216695777"/>
      <w:r>
        <w:t xml:space="preserve">Table </w:t>
      </w:r>
      <w:r>
        <w:fldChar w:fldCharType="begin"/>
      </w:r>
      <w:r>
        <w:instrText xml:space="preserve"> SEQ Table \* ARABIC </w:instrText>
      </w:r>
      <w:r>
        <w:fldChar w:fldCharType="separate"/>
      </w:r>
      <w:r w:rsidR="003861AC">
        <w:rPr>
          <w:noProof/>
        </w:rPr>
        <w:t>115</w:t>
      </w:r>
      <w:r>
        <w:fldChar w:fldCharType="end"/>
      </w:r>
      <w:bookmarkEnd w:id="2048"/>
      <w:r>
        <w:t xml:space="preserve">: </w:t>
      </w:r>
      <w:r w:rsidR="007F0040">
        <w:t>Brodifacoum – Effects on soil organisms</w:t>
      </w:r>
      <w:bookmarkEnd w:id="2049"/>
      <w:bookmarkEnd w:id="20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14"/>
        <w:gridCol w:w="1090"/>
        <w:gridCol w:w="1869"/>
        <w:gridCol w:w="2948"/>
        <w:gridCol w:w="1807"/>
      </w:tblGrid>
      <w:tr w:rsidR="007F0040" w:rsidRPr="000B2FA7" w14:paraId="6B0707D5" w14:textId="77777777" w:rsidTr="0017134F">
        <w:trPr>
          <w:tblHeader/>
        </w:trPr>
        <w:tc>
          <w:tcPr>
            <w:tcW w:w="0" w:type="auto"/>
            <w:tcBorders>
              <w:bottom w:val="single" w:sz="4" w:space="0" w:color="auto"/>
            </w:tcBorders>
            <w:shd w:val="clear" w:color="auto" w:fill="53284F"/>
          </w:tcPr>
          <w:p w14:paraId="52AC8990" w14:textId="77777777" w:rsidR="007F0040" w:rsidRDefault="007F0040" w:rsidP="00377F3A">
            <w:pPr>
              <w:pStyle w:val="TableHead"/>
            </w:pPr>
            <w:r>
              <w:t>Group</w:t>
            </w:r>
          </w:p>
        </w:tc>
        <w:tc>
          <w:tcPr>
            <w:tcW w:w="0" w:type="auto"/>
            <w:tcBorders>
              <w:bottom w:val="single" w:sz="4" w:space="0" w:color="auto"/>
            </w:tcBorders>
            <w:shd w:val="clear" w:color="auto" w:fill="53284F"/>
          </w:tcPr>
          <w:p w14:paraId="40263746" w14:textId="77777777" w:rsidR="007F0040" w:rsidRDefault="007F0040" w:rsidP="00377F3A">
            <w:pPr>
              <w:pStyle w:val="TableHead"/>
            </w:pPr>
            <w:r>
              <w:t>Exposure</w:t>
            </w:r>
          </w:p>
        </w:tc>
        <w:tc>
          <w:tcPr>
            <w:tcW w:w="0" w:type="auto"/>
            <w:tcBorders>
              <w:bottom w:val="single" w:sz="4" w:space="0" w:color="auto"/>
            </w:tcBorders>
            <w:shd w:val="clear" w:color="auto" w:fill="53284F"/>
          </w:tcPr>
          <w:p w14:paraId="152349BB"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05D0417C"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216CEE84" w14:textId="77777777" w:rsidR="007F0040" w:rsidRPr="00CA558C" w:rsidRDefault="007F0040" w:rsidP="00377F3A">
            <w:pPr>
              <w:pStyle w:val="TableHead"/>
            </w:pPr>
            <w:r>
              <w:t>Reference</w:t>
            </w:r>
          </w:p>
        </w:tc>
      </w:tr>
      <w:tr w:rsidR="007F0040" w:rsidRPr="000B2FA7" w14:paraId="31D9B16C" w14:textId="77777777" w:rsidTr="007F0040">
        <w:tc>
          <w:tcPr>
            <w:tcW w:w="0" w:type="auto"/>
            <w:tcBorders>
              <w:top w:val="single" w:sz="4" w:space="0" w:color="auto"/>
              <w:left w:val="nil"/>
              <w:bottom w:val="single" w:sz="4" w:space="0" w:color="auto"/>
              <w:right w:val="nil"/>
            </w:tcBorders>
          </w:tcPr>
          <w:p w14:paraId="44EBC11A" w14:textId="77777777" w:rsidR="007F0040" w:rsidRDefault="007F0040" w:rsidP="00377F3A">
            <w:pPr>
              <w:pStyle w:val="TableText"/>
            </w:pPr>
            <w:r>
              <w:t>Macro-organisms</w:t>
            </w:r>
          </w:p>
        </w:tc>
        <w:tc>
          <w:tcPr>
            <w:tcW w:w="0" w:type="auto"/>
            <w:tcBorders>
              <w:top w:val="single" w:sz="4" w:space="0" w:color="auto"/>
              <w:left w:val="nil"/>
              <w:bottom w:val="single" w:sz="4" w:space="0" w:color="auto"/>
              <w:right w:val="nil"/>
            </w:tcBorders>
          </w:tcPr>
          <w:p w14:paraId="235BD159" w14:textId="77777777" w:rsidR="007F0040" w:rsidRDefault="007F0040" w:rsidP="00377F3A">
            <w:pPr>
              <w:pStyle w:val="TableText"/>
            </w:pPr>
            <w:r>
              <w:t>Acute</w:t>
            </w:r>
          </w:p>
        </w:tc>
        <w:tc>
          <w:tcPr>
            <w:tcW w:w="0" w:type="auto"/>
            <w:tcBorders>
              <w:top w:val="single" w:sz="4" w:space="0" w:color="auto"/>
              <w:left w:val="nil"/>
              <w:bottom w:val="single" w:sz="4" w:space="0" w:color="auto"/>
              <w:right w:val="nil"/>
            </w:tcBorders>
          </w:tcPr>
          <w:p w14:paraId="147B0113" w14:textId="77777777" w:rsidR="007F0040" w:rsidRDefault="007F0040" w:rsidP="00377F3A">
            <w:pPr>
              <w:pStyle w:val="TableText"/>
            </w:pPr>
            <w:r w:rsidRPr="00C72A63">
              <w:t>Eisenia fetida</w:t>
            </w:r>
          </w:p>
        </w:tc>
        <w:tc>
          <w:tcPr>
            <w:tcW w:w="0" w:type="auto"/>
            <w:tcBorders>
              <w:top w:val="single" w:sz="4" w:space="0" w:color="auto"/>
              <w:left w:val="nil"/>
              <w:bottom w:val="single" w:sz="4" w:space="0" w:color="auto"/>
              <w:right w:val="nil"/>
            </w:tcBorders>
          </w:tcPr>
          <w:p w14:paraId="4DE50327" w14:textId="77777777" w:rsidR="007F0040" w:rsidRDefault="007F0040" w:rsidP="00377F3A">
            <w:pPr>
              <w:pStyle w:val="TableText"/>
            </w:pPr>
            <w:r>
              <w:t>LC</w:t>
            </w:r>
            <w:r w:rsidRPr="00C72A63">
              <w:rPr>
                <w:vertAlign w:val="subscript"/>
              </w:rPr>
              <w:t>50</w:t>
            </w:r>
            <w:r>
              <w:rPr>
                <w:vertAlign w:val="subscript"/>
              </w:rPr>
              <w:t>corr</w:t>
            </w:r>
            <w:r>
              <w:t xml:space="preserve"> &gt;497 mg/kg dry soil</w:t>
            </w:r>
          </w:p>
        </w:tc>
        <w:tc>
          <w:tcPr>
            <w:tcW w:w="0" w:type="auto"/>
            <w:tcBorders>
              <w:top w:val="single" w:sz="4" w:space="0" w:color="auto"/>
              <w:left w:val="nil"/>
              <w:bottom w:val="single" w:sz="4" w:space="0" w:color="auto"/>
              <w:right w:val="nil"/>
            </w:tcBorders>
          </w:tcPr>
          <w:p w14:paraId="65B6D36C" w14:textId="77777777" w:rsidR="007F0040" w:rsidRDefault="007F0040" w:rsidP="00377F3A">
            <w:pPr>
              <w:pStyle w:val="TableText"/>
            </w:pPr>
            <w:r>
              <w:t>Staniland 2005a</w:t>
            </w:r>
          </w:p>
        </w:tc>
      </w:tr>
    </w:tbl>
    <w:p w14:paraId="1522BC70" w14:textId="26AEEDB9" w:rsidR="007F0040" w:rsidRPr="007F0040" w:rsidRDefault="00BA7F5F" w:rsidP="00377F3A">
      <w:pPr>
        <w:pStyle w:val="Caption"/>
      </w:pPr>
      <w:bookmarkStart w:id="2051" w:name="_Toc213946087"/>
      <w:bookmarkStart w:id="2052" w:name="_Toc216695778"/>
      <w:r>
        <w:t xml:space="preserve">Table </w:t>
      </w:r>
      <w:r>
        <w:fldChar w:fldCharType="begin"/>
      </w:r>
      <w:r>
        <w:instrText xml:space="preserve"> SEQ Table \* ARABIC </w:instrText>
      </w:r>
      <w:r>
        <w:fldChar w:fldCharType="separate"/>
      </w:r>
      <w:r w:rsidR="003861AC">
        <w:rPr>
          <w:noProof/>
        </w:rPr>
        <w:t>116</w:t>
      </w:r>
      <w:r>
        <w:fldChar w:fldCharType="end"/>
      </w:r>
      <w:r>
        <w:t xml:space="preserve">: </w:t>
      </w:r>
      <w:r w:rsidR="00EC3910" w:rsidRPr="00EC3910">
        <w:t xml:space="preserve">Brodifacoum – </w:t>
      </w:r>
      <w:r w:rsidR="007F0040" w:rsidRPr="007F0040">
        <w:t>Effects on biological methods of sewage treatment</w:t>
      </w:r>
      <w:bookmarkEnd w:id="2051"/>
      <w:bookmarkEnd w:id="20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06"/>
        <w:gridCol w:w="2262"/>
        <w:gridCol w:w="5260"/>
      </w:tblGrid>
      <w:tr w:rsidR="00EC3910" w:rsidRPr="007F0040" w14:paraId="4A81D9B4" w14:textId="77777777" w:rsidTr="0017134F">
        <w:trPr>
          <w:cantSplit/>
          <w:tblHeader/>
        </w:trPr>
        <w:tc>
          <w:tcPr>
            <w:tcW w:w="0" w:type="auto"/>
            <w:tcBorders>
              <w:bottom w:val="single" w:sz="4" w:space="0" w:color="auto"/>
            </w:tcBorders>
            <w:shd w:val="clear" w:color="auto" w:fill="53284F"/>
          </w:tcPr>
          <w:p w14:paraId="5A1F9871" w14:textId="77777777" w:rsidR="00EC3910" w:rsidRPr="007F0040" w:rsidRDefault="00EC391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09280264" w14:textId="77777777" w:rsidR="00EC3910" w:rsidRPr="007F0040" w:rsidRDefault="00EC391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5EF079E9" w14:textId="77777777" w:rsidR="00EC3910" w:rsidRPr="007F0040" w:rsidRDefault="00EC3910" w:rsidP="00377F3A">
            <w:pPr>
              <w:pStyle w:val="TableHead"/>
              <w:rPr>
                <w:lang w:eastAsia="en-AU"/>
              </w:rPr>
            </w:pPr>
            <w:r w:rsidRPr="007F0040">
              <w:rPr>
                <w:lang w:eastAsia="en-AU"/>
              </w:rPr>
              <w:t>Reference</w:t>
            </w:r>
          </w:p>
        </w:tc>
      </w:tr>
      <w:tr w:rsidR="00EC3910" w:rsidRPr="007F0040" w14:paraId="37E51D20" w14:textId="77777777" w:rsidTr="00EC3910">
        <w:trPr>
          <w:cantSplit/>
        </w:trPr>
        <w:tc>
          <w:tcPr>
            <w:tcW w:w="0" w:type="auto"/>
            <w:tcBorders>
              <w:top w:val="single" w:sz="4" w:space="0" w:color="auto"/>
              <w:left w:val="nil"/>
              <w:bottom w:val="single" w:sz="4" w:space="0" w:color="auto"/>
              <w:right w:val="nil"/>
            </w:tcBorders>
          </w:tcPr>
          <w:p w14:paraId="3487E629" w14:textId="77777777" w:rsidR="00EC3910" w:rsidRPr="007F0040" w:rsidRDefault="00EC3910" w:rsidP="00377F3A">
            <w:pPr>
              <w:pStyle w:val="TableText"/>
            </w:pPr>
            <w:r w:rsidRPr="007F0040">
              <w:rPr>
                <w:lang w:eastAsia="en-AU"/>
              </w:rPr>
              <w:t>Activated sludge</w:t>
            </w:r>
          </w:p>
        </w:tc>
        <w:tc>
          <w:tcPr>
            <w:tcW w:w="0" w:type="auto"/>
            <w:tcBorders>
              <w:top w:val="single" w:sz="4" w:space="0" w:color="auto"/>
              <w:left w:val="nil"/>
              <w:bottom w:val="single" w:sz="4" w:space="0" w:color="auto"/>
              <w:right w:val="nil"/>
            </w:tcBorders>
          </w:tcPr>
          <w:p w14:paraId="5C959067" w14:textId="77777777" w:rsidR="00EC3910" w:rsidRPr="007F0040" w:rsidRDefault="00EC3910" w:rsidP="00377F3A">
            <w:pPr>
              <w:pStyle w:val="TableText"/>
            </w:pPr>
            <w:r w:rsidRPr="007F0040">
              <w:t>EC</w:t>
            </w:r>
            <w:r w:rsidRPr="007F0040">
              <w:rPr>
                <w:vertAlign w:val="subscript"/>
              </w:rPr>
              <w:t>50</w:t>
            </w:r>
            <w:r w:rsidRPr="007F0040">
              <w:t xml:space="preserve"> &gt;0.058 mg/L</w:t>
            </w:r>
          </w:p>
        </w:tc>
        <w:tc>
          <w:tcPr>
            <w:tcW w:w="0" w:type="auto"/>
            <w:tcBorders>
              <w:top w:val="single" w:sz="4" w:space="0" w:color="auto"/>
              <w:left w:val="nil"/>
              <w:bottom w:val="single" w:sz="4" w:space="0" w:color="auto"/>
              <w:right w:val="nil"/>
            </w:tcBorders>
          </w:tcPr>
          <w:p w14:paraId="70D1B3A1" w14:textId="77777777" w:rsidR="00EC3910" w:rsidRPr="007F0040" w:rsidRDefault="00EC3910" w:rsidP="00377F3A">
            <w:pPr>
              <w:pStyle w:val="TableText"/>
            </w:pPr>
            <w:r w:rsidRPr="007F0040">
              <w:t>Desmares-Koopmans 2001, Staniland 2004</w:t>
            </w:r>
          </w:p>
        </w:tc>
      </w:tr>
    </w:tbl>
    <w:p w14:paraId="74406FD9" w14:textId="16CFBE97" w:rsidR="00F73A04" w:rsidRDefault="00F73A04" w:rsidP="00F73A04">
      <w:pPr>
        <w:pStyle w:val="APVMAAppendixH2"/>
      </w:pPr>
      <w:bookmarkStart w:id="2053" w:name="_Toc216695640"/>
      <w:r>
        <w:lastRenderedPageBreak/>
        <w:t>Bromadiolone</w:t>
      </w:r>
      <w:bookmarkEnd w:id="2053"/>
    </w:p>
    <w:p w14:paraId="61897302" w14:textId="77777777" w:rsidR="00EE24E4" w:rsidRDefault="00EE24E4" w:rsidP="00377F3A">
      <w:pPr>
        <w:pStyle w:val="APVMAAppendixH3"/>
      </w:pPr>
      <w:bookmarkStart w:id="2054" w:name="_Toc214025619"/>
      <w:bookmarkStart w:id="2055" w:name="_Toc216695641"/>
      <w:r>
        <w:t>Fate and behaviour in the environment</w:t>
      </w:r>
      <w:bookmarkEnd w:id="2054"/>
      <w:bookmarkEnd w:id="2055"/>
    </w:p>
    <w:p w14:paraId="3114AC81" w14:textId="7B30F96B" w:rsidR="00EE24E4" w:rsidRPr="00542311" w:rsidRDefault="00BA7F5F" w:rsidP="00377F3A">
      <w:pPr>
        <w:pStyle w:val="Caption"/>
        <w:rPr>
          <w:color w:val="auto"/>
        </w:rPr>
      </w:pPr>
      <w:bookmarkStart w:id="2056" w:name="_Toc213946088"/>
      <w:bookmarkStart w:id="2057" w:name="_Toc216695779"/>
      <w:r>
        <w:t xml:space="preserve">Table </w:t>
      </w:r>
      <w:r>
        <w:fldChar w:fldCharType="begin"/>
      </w:r>
      <w:r>
        <w:instrText xml:space="preserve"> SEQ Table \* ARABIC </w:instrText>
      </w:r>
      <w:r>
        <w:fldChar w:fldCharType="separate"/>
      </w:r>
      <w:r w:rsidR="003861AC">
        <w:rPr>
          <w:noProof/>
        </w:rPr>
        <w:t>117</w:t>
      </w:r>
      <w:r>
        <w:fldChar w:fldCharType="end"/>
      </w:r>
      <w:r>
        <w:t xml:space="preserve">: </w:t>
      </w:r>
      <w:r w:rsidR="00CF78CB">
        <w:t xml:space="preserve">Bromadiolone – </w:t>
      </w:r>
      <w:r w:rsidR="00EE24E4" w:rsidRPr="008B4AF6">
        <w:t>Physical</w:t>
      </w:r>
      <w:r w:rsidR="00CF78CB">
        <w:t xml:space="preserve"> </w:t>
      </w:r>
      <w:r w:rsidR="00EE24E4" w:rsidRPr="008B4AF6">
        <w:t>and chemical properties</w:t>
      </w:r>
      <w:bookmarkEnd w:id="2056"/>
      <w:bookmarkEnd w:id="20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93"/>
        <w:gridCol w:w="3955"/>
        <w:gridCol w:w="2880"/>
      </w:tblGrid>
      <w:tr w:rsidR="00EE24E4" w:rsidRPr="00542311" w14:paraId="49614CBA" w14:textId="77777777" w:rsidTr="0017134F">
        <w:trPr>
          <w:cantSplit/>
          <w:tblHeader/>
        </w:trPr>
        <w:tc>
          <w:tcPr>
            <w:tcW w:w="0" w:type="auto"/>
            <w:tcBorders>
              <w:bottom w:val="single" w:sz="4" w:space="0" w:color="auto"/>
            </w:tcBorders>
            <w:shd w:val="clear" w:color="auto" w:fill="53284F"/>
          </w:tcPr>
          <w:p w14:paraId="012A9906" w14:textId="77777777" w:rsidR="00EE24E4" w:rsidRPr="00542311" w:rsidRDefault="00EE24E4" w:rsidP="00585263">
            <w:pPr>
              <w:pStyle w:val="BodyText"/>
              <w:keepNext/>
              <w:keepLines/>
              <w:widowControl w:val="0"/>
              <w:spacing w:after="0"/>
              <w:jc w:val="center"/>
              <w:rPr>
                <w:rFonts w:ascii="Arial" w:hAnsi="Arial" w:cs="Arial"/>
                <w:b/>
                <w:sz w:val="17"/>
                <w:szCs w:val="17"/>
              </w:rPr>
            </w:pPr>
            <w:r w:rsidRPr="00542311">
              <w:rPr>
                <w:rFonts w:ascii="Arial" w:hAnsi="Arial" w:cs="Arial"/>
                <w:b/>
                <w:sz w:val="17"/>
                <w:szCs w:val="17"/>
              </w:rPr>
              <w:t>Study</w:t>
            </w:r>
          </w:p>
        </w:tc>
        <w:tc>
          <w:tcPr>
            <w:tcW w:w="0" w:type="auto"/>
            <w:tcBorders>
              <w:bottom w:val="single" w:sz="4" w:space="0" w:color="auto"/>
            </w:tcBorders>
            <w:shd w:val="clear" w:color="auto" w:fill="53284F"/>
          </w:tcPr>
          <w:p w14:paraId="5A3D2B95" w14:textId="77777777" w:rsidR="00EE24E4" w:rsidRPr="00542311" w:rsidRDefault="00EE24E4" w:rsidP="00585263">
            <w:pPr>
              <w:pStyle w:val="BodyText"/>
              <w:keepNext/>
              <w:keepLines/>
              <w:widowControl w:val="0"/>
              <w:spacing w:after="0"/>
              <w:jc w:val="center"/>
              <w:rPr>
                <w:rFonts w:ascii="Arial" w:hAnsi="Arial" w:cs="Arial"/>
                <w:b/>
                <w:sz w:val="17"/>
                <w:szCs w:val="17"/>
              </w:rPr>
            </w:pPr>
            <w:r w:rsidRPr="00542311">
              <w:rPr>
                <w:rFonts w:ascii="Arial" w:hAnsi="Arial" w:cs="Arial"/>
                <w:b/>
                <w:sz w:val="17"/>
                <w:szCs w:val="17"/>
              </w:rPr>
              <w:t>Result</w:t>
            </w:r>
          </w:p>
        </w:tc>
        <w:tc>
          <w:tcPr>
            <w:tcW w:w="0" w:type="auto"/>
            <w:tcBorders>
              <w:bottom w:val="single" w:sz="4" w:space="0" w:color="auto"/>
            </w:tcBorders>
            <w:shd w:val="clear" w:color="auto" w:fill="53284F"/>
          </w:tcPr>
          <w:p w14:paraId="77BDDA01" w14:textId="77777777" w:rsidR="00EE24E4" w:rsidRPr="00542311" w:rsidRDefault="00EE24E4" w:rsidP="00585263">
            <w:pPr>
              <w:pStyle w:val="BodyText"/>
              <w:keepNext/>
              <w:keepLines/>
              <w:widowControl w:val="0"/>
              <w:spacing w:after="0"/>
              <w:jc w:val="center"/>
              <w:rPr>
                <w:rFonts w:ascii="Arial" w:hAnsi="Arial" w:cs="Arial"/>
                <w:b/>
                <w:sz w:val="17"/>
                <w:szCs w:val="17"/>
              </w:rPr>
            </w:pPr>
            <w:r w:rsidRPr="00542311">
              <w:rPr>
                <w:rFonts w:ascii="Arial" w:hAnsi="Arial" w:cs="Arial"/>
                <w:b/>
                <w:sz w:val="17"/>
                <w:szCs w:val="17"/>
              </w:rPr>
              <w:t>Reference</w:t>
            </w:r>
          </w:p>
        </w:tc>
      </w:tr>
      <w:tr w:rsidR="00EE24E4" w:rsidRPr="008B4AF6" w14:paraId="121757FB" w14:textId="77777777" w:rsidTr="00073396">
        <w:trPr>
          <w:cantSplit/>
        </w:trPr>
        <w:tc>
          <w:tcPr>
            <w:tcW w:w="0" w:type="auto"/>
            <w:tcBorders>
              <w:top w:val="single" w:sz="4" w:space="0" w:color="auto"/>
              <w:left w:val="nil"/>
              <w:bottom w:val="nil"/>
              <w:right w:val="nil"/>
            </w:tcBorders>
          </w:tcPr>
          <w:p w14:paraId="34C958DB" w14:textId="77777777" w:rsidR="00EE24E4" w:rsidRPr="008B4AF6" w:rsidRDefault="00EE24E4" w:rsidP="00377F3A">
            <w:pPr>
              <w:pStyle w:val="TableText"/>
            </w:pPr>
            <w:r w:rsidRPr="008B4AF6">
              <w:t>Vapour pressure</w:t>
            </w:r>
          </w:p>
        </w:tc>
        <w:tc>
          <w:tcPr>
            <w:tcW w:w="0" w:type="auto"/>
            <w:tcBorders>
              <w:top w:val="single" w:sz="4" w:space="0" w:color="auto"/>
              <w:left w:val="nil"/>
              <w:bottom w:val="nil"/>
              <w:right w:val="nil"/>
            </w:tcBorders>
          </w:tcPr>
          <w:p w14:paraId="2B62A8DE" w14:textId="77777777" w:rsidR="00EE24E4" w:rsidRPr="007108DD" w:rsidRDefault="00EE24E4" w:rsidP="00377F3A">
            <w:pPr>
              <w:pStyle w:val="TableText"/>
            </w:pPr>
            <w:r w:rsidRPr="007108DD">
              <w:t>&lt;0.05</w:t>
            </w:r>
            <w:r>
              <w:t xml:space="preserve"> × 10</w:t>
            </w:r>
            <w:r w:rsidRPr="001B1C10">
              <w:rPr>
                <w:vertAlign w:val="superscript"/>
              </w:rPr>
              <w:t>-</w:t>
            </w:r>
            <w:r>
              <w:rPr>
                <w:vertAlign w:val="superscript"/>
              </w:rPr>
              <w:t>3</w:t>
            </w:r>
            <w:r>
              <w:t xml:space="preserve"> Pa at 45°C</w:t>
            </w:r>
          </w:p>
        </w:tc>
        <w:tc>
          <w:tcPr>
            <w:tcW w:w="0" w:type="auto"/>
            <w:tcBorders>
              <w:top w:val="single" w:sz="4" w:space="0" w:color="auto"/>
              <w:left w:val="nil"/>
              <w:bottom w:val="nil"/>
              <w:right w:val="nil"/>
            </w:tcBorders>
          </w:tcPr>
          <w:p w14:paraId="02F5284A" w14:textId="77777777" w:rsidR="00EE24E4" w:rsidRDefault="00EE24E4" w:rsidP="00377F3A">
            <w:pPr>
              <w:pStyle w:val="TableText"/>
            </w:pPr>
            <w:r>
              <w:t>Fabbrini 1997a</w:t>
            </w:r>
          </w:p>
        </w:tc>
      </w:tr>
      <w:tr w:rsidR="00EE24E4" w:rsidRPr="008B4AF6" w14:paraId="1091A4EB" w14:textId="77777777" w:rsidTr="00073396">
        <w:trPr>
          <w:cantSplit/>
        </w:trPr>
        <w:tc>
          <w:tcPr>
            <w:tcW w:w="0" w:type="auto"/>
            <w:tcBorders>
              <w:top w:val="nil"/>
              <w:left w:val="nil"/>
              <w:bottom w:val="nil"/>
              <w:right w:val="nil"/>
            </w:tcBorders>
          </w:tcPr>
          <w:p w14:paraId="2496FB66" w14:textId="77777777" w:rsidR="00EE24E4" w:rsidRDefault="00EE24E4" w:rsidP="00377F3A">
            <w:pPr>
              <w:pStyle w:val="TableText"/>
            </w:pPr>
          </w:p>
        </w:tc>
        <w:tc>
          <w:tcPr>
            <w:tcW w:w="0" w:type="auto"/>
            <w:tcBorders>
              <w:top w:val="nil"/>
              <w:left w:val="nil"/>
              <w:bottom w:val="nil"/>
              <w:right w:val="nil"/>
            </w:tcBorders>
          </w:tcPr>
          <w:p w14:paraId="4F373FE9" w14:textId="77777777" w:rsidR="00EE24E4" w:rsidRPr="001265B3" w:rsidRDefault="00EE24E4" w:rsidP="00377F3A">
            <w:pPr>
              <w:pStyle w:val="TableText"/>
            </w:pPr>
            <w:r>
              <w:t>2.1 × 10</w:t>
            </w:r>
            <w:r w:rsidRPr="001B1C10">
              <w:rPr>
                <w:vertAlign w:val="superscript"/>
              </w:rPr>
              <w:t>-</w:t>
            </w:r>
            <w:r>
              <w:rPr>
                <w:vertAlign w:val="superscript"/>
              </w:rPr>
              <w:t>8</w:t>
            </w:r>
            <w:r>
              <w:t xml:space="preserve"> Pa at 25°C</w:t>
            </w:r>
          </w:p>
        </w:tc>
        <w:tc>
          <w:tcPr>
            <w:tcW w:w="0" w:type="auto"/>
            <w:tcBorders>
              <w:top w:val="nil"/>
              <w:left w:val="nil"/>
              <w:bottom w:val="nil"/>
              <w:right w:val="nil"/>
            </w:tcBorders>
          </w:tcPr>
          <w:p w14:paraId="159BAEE8" w14:textId="77777777" w:rsidR="00EE24E4" w:rsidRDefault="00EE24E4" w:rsidP="00377F3A">
            <w:pPr>
              <w:pStyle w:val="TableText"/>
            </w:pPr>
            <w:r>
              <w:t>Pesselman 1991a</w:t>
            </w:r>
          </w:p>
        </w:tc>
      </w:tr>
      <w:tr w:rsidR="00EE24E4" w:rsidRPr="008B4AF6" w14:paraId="7F48F2AF" w14:textId="77777777" w:rsidTr="00073396">
        <w:trPr>
          <w:cantSplit/>
        </w:trPr>
        <w:tc>
          <w:tcPr>
            <w:tcW w:w="0" w:type="auto"/>
            <w:tcBorders>
              <w:top w:val="nil"/>
              <w:left w:val="nil"/>
              <w:bottom w:val="nil"/>
              <w:right w:val="nil"/>
            </w:tcBorders>
          </w:tcPr>
          <w:p w14:paraId="3E708C69" w14:textId="77777777" w:rsidR="00EE24E4" w:rsidRPr="008B4AF6" w:rsidRDefault="00EE24E4" w:rsidP="00377F3A">
            <w:pPr>
              <w:pStyle w:val="TableText"/>
            </w:pPr>
            <w:r>
              <w:t>Henry’s law constant</w:t>
            </w:r>
          </w:p>
        </w:tc>
        <w:tc>
          <w:tcPr>
            <w:tcW w:w="0" w:type="auto"/>
            <w:tcBorders>
              <w:top w:val="nil"/>
              <w:left w:val="nil"/>
              <w:bottom w:val="nil"/>
              <w:right w:val="nil"/>
            </w:tcBorders>
          </w:tcPr>
          <w:p w14:paraId="7EC76518" w14:textId="77777777" w:rsidR="00EE24E4" w:rsidRPr="001265B3" w:rsidRDefault="00EE24E4" w:rsidP="00377F3A">
            <w:pPr>
              <w:pStyle w:val="TableText"/>
            </w:pPr>
            <w:r>
              <w:t>9.0 × 10</w:t>
            </w:r>
            <w:r w:rsidRPr="001B1C10">
              <w:rPr>
                <w:vertAlign w:val="superscript"/>
              </w:rPr>
              <w:t>-</w:t>
            </w:r>
            <w:r>
              <w:rPr>
                <w:vertAlign w:val="superscript"/>
              </w:rPr>
              <w:t>7</w:t>
            </w:r>
            <w:r>
              <w:t xml:space="preserve"> Pa m</w:t>
            </w:r>
            <w:r w:rsidRPr="00005672">
              <w:rPr>
                <w:vertAlign w:val="superscript"/>
              </w:rPr>
              <w:t>3</w:t>
            </w:r>
            <w:r>
              <w:t xml:space="preserve"> mol</w:t>
            </w:r>
            <w:r w:rsidRPr="001B1C10">
              <w:rPr>
                <w:vertAlign w:val="superscript"/>
              </w:rPr>
              <w:t>-1</w:t>
            </w:r>
          </w:p>
        </w:tc>
        <w:tc>
          <w:tcPr>
            <w:tcW w:w="0" w:type="auto"/>
            <w:tcBorders>
              <w:top w:val="nil"/>
              <w:left w:val="nil"/>
              <w:bottom w:val="nil"/>
              <w:right w:val="nil"/>
            </w:tcBorders>
          </w:tcPr>
          <w:p w14:paraId="427E3877" w14:textId="77777777" w:rsidR="00EE24E4" w:rsidRDefault="00EE24E4" w:rsidP="00377F3A">
            <w:pPr>
              <w:pStyle w:val="TableText"/>
            </w:pPr>
            <w:r>
              <w:t>Curl 2003</w:t>
            </w:r>
          </w:p>
        </w:tc>
      </w:tr>
      <w:tr w:rsidR="00EE24E4" w:rsidRPr="008B4AF6" w14:paraId="59B351CE" w14:textId="77777777" w:rsidTr="00073396">
        <w:trPr>
          <w:cantSplit/>
        </w:trPr>
        <w:tc>
          <w:tcPr>
            <w:tcW w:w="0" w:type="auto"/>
            <w:tcBorders>
              <w:top w:val="nil"/>
              <w:left w:val="nil"/>
              <w:bottom w:val="nil"/>
              <w:right w:val="nil"/>
            </w:tcBorders>
          </w:tcPr>
          <w:p w14:paraId="2C933264" w14:textId="77777777" w:rsidR="00EE24E4" w:rsidRDefault="00EE24E4" w:rsidP="00377F3A">
            <w:pPr>
              <w:pStyle w:val="TableText"/>
            </w:pPr>
            <w:r w:rsidRPr="008B4AF6">
              <w:t>Solubility in water</w:t>
            </w:r>
          </w:p>
        </w:tc>
        <w:tc>
          <w:tcPr>
            <w:tcW w:w="0" w:type="auto"/>
            <w:tcBorders>
              <w:top w:val="nil"/>
              <w:left w:val="nil"/>
              <w:bottom w:val="nil"/>
              <w:right w:val="nil"/>
            </w:tcBorders>
          </w:tcPr>
          <w:p w14:paraId="2600E1E6" w14:textId="77777777" w:rsidR="00EE24E4" w:rsidRPr="007108DD" w:rsidRDefault="00EE24E4" w:rsidP="00377F3A">
            <w:pPr>
              <w:pStyle w:val="TableText"/>
            </w:pPr>
            <w:r>
              <w:t>pH 7, 25°C: 1.2 mg/L</w:t>
            </w:r>
          </w:p>
        </w:tc>
        <w:tc>
          <w:tcPr>
            <w:tcW w:w="0" w:type="auto"/>
            <w:tcBorders>
              <w:top w:val="nil"/>
              <w:left w:val="nil"/>
              <w:bottom w:val="nil"/>
              <w:right w:val="nil"/>
            </w:tcBorders>
          </w:tcPr>
          <w:p w14:paraId="0AE6F78B" w14:textId="77777777" w:rsidR="00EE24E4" w:rsidRDefault="00EE24E4" w:rsidP="00377F3A">
            <w:pPr>
              <w:pStyle w:val="TableText"/>
            </w:pPr>
            <w:r>
              <w:t>Anderson 1999a</w:t>
            </w:r>
          </w:p>
        </w:tc>
      </w:tr>
      <w:tr w:rsidR="00EE24E4" w:rsidRPr="008B4AF6" w14:paraId="7E288124" w14:textId="77777777" w:rsidTr="00073396">
        <w:trPr>
          <w:cantSplit/>
        </w:trPr>
        <w:tc>
          <w:tcPr>
            <w:tcW w:w="0" w:type="auto"/>
            <w:tcBorders>
              <w:top w:val="nil"/>
              <w:left w:val="nil"/>
              <w:bottom w:val="nil"/>
              <w:right w:val="nil"/>
            </w:tcBorders>
          </w:tcPr>
          <w:p w14:paraId="4F564286" w14:textId="77777777" w:rsidR="00EE24E4" w:rsidRPr="008B4AF6" w:rsidRDefault="00EE24E4" w:rsidP="00377F3A">
            <w:pPr>
              <w:pStyle w:val="TableText"/>
            </w:pPr>
          </w:p>
        </w:tc>
        <w:tc>
          <w:tcPr>
            <w:tcW w:w="0" w:type="auto"/>
            <w:tcBorders>
              <w:top w:val="nil"/>
              <w:left w:val="nil"/>
              <w:bottom w:val="nil"/>
              <w:right w:val="nil"/>
            </w:tcBorders>
          </w:tcPr>
          <w:p w14:paraId="3B42DDBB" w14:textId="77777777" w:rsidR="00EE24E4" w:rsidRPr="006F78D3" w:rsidRDefault="00EE24E4" w:rsidP="00377F3A">
            <w:pPr>
              <w:pStyle w:val="TableText"/>
              <w:rPr>
                <w:lang w:val="de-CH"/>
              </w:rPr>
            </w:pPr>
            <w:r w:rsidRPr="006F78D3">
              <w:rPr>
                <w:lang w:val="de-CH"/>
              </w:rPr>
              <w:t>pH 5, 20°C: 0.11 mg/L</w:t>
            </w:r>
          </w:p>
          <w:p w14:paraId="0F411A9D" w14:textId="77777777" w:rsidR="00EE24E4" w:rsidRPr="006F78D3" w:rsidRDefault="00EE24E4" w:rsidP="00377F3A">
            <w:pPr>
              <w:pStyle w:val="TableText"/>
              <w:rPr>
                <w:lang w:val="de-CH"/>
              </w:rPr>
            </w:pPr>
            <w:r w:rsidRPr="006F78D3">
              <w:rPr>
                <w:lang w:val="de-CH"/>
              </w:rPr>
              <w:t>pH 7, 20°C: 2.5 mg/L</w:t>
            </w:r>
          </w:p>
          <w:p w14:paraId="4FA6BE0B" w14:textId="77777777" w:rsidR="00EE24E4" w:rsidRPr="007108DD" w:rsidRDefault="00EE24E4" w:rsidP="00377F3A">
            <w:pPr>
              <w:pStyle w:val="TableText"/>
            </w:pPr>
            <w:r>
              <w:t>pH 9, 20°C: 180 mg/L</w:t>
            </w:r>
          </w:p>
        </w:tc>
        <w:tc>
          <w:tcPr>
            <w:tcW w:w="0" w:type="auto"/>
            <w:tcBorders>
              <w:top w:val="nil"/>
              <w:left w:val="nil"/>
              <w:bottom w:val="nil"/>
              <w:right w:val="nil"/>
            </w:tcBorders>
          </w:tcPr>
          <w:p w14:paraId="4AD59100" w14:textId="77777777" w:rsidR="00EE24E4" w:rsidRDefault="00EE24E4" w:rsidP="00377F3A">
            <w:pPr>
              <w:pStyle w:val="TableText"/>
            </w:pPr>
            <w:r>
              <w:t>Mullee &amp; O’Connor 2006a</w:t>
            </w:r>
          </w:p>
        </w:tc>
      </w:tr>
      <w:tr w:rsidR="00EE24E4" w:rsidRPr="008B4AF6" w14:paraId="536ED671" w14:textId="77777777" w:rsidTr="00073396">
        <w:trPr>
          <w:cantSplit/>
        </w:trPr>
        <w:tc>
          <w:tcPr>
            <w:tcW w:w="0" w:type="auto"/>
            <w:tcBorders>
              <w:top w:val="nil"/>
              <w:left w:val="nil"/>
              <w:bottom w:val="nil"/>
              <w:right w:val="nil"/>
            </w:tcBorders>
          </w:tcPr>
          <w:p w14:paraId="72EF419A" w14:textId="77777777" w:rsidR="00EE24E4" w:rsidRPr="008B4AF6" w:rsidRDefault="00EE24E4" w:rsidP="00377F3A">
            <w:pPr>
              <w:pStyle w:val="TableText"/>
            </w:pPr>
          </w:p>
        </w:tc>
        <w:tc>
          <w:tcPr>
            <w:tcW w:w="0" w:type="auto"/>
            <w:tcBorders>
              <w:top w:val="nil"/>
              <w:left w:val="nil"/>
              <w:bottom w:val="nil"/>
              <w:right w:val="nil"/>
            </w:tcBorders>
          </w:tcPr>
          <w:p w14:paraId="5FB4B724" w14:textId="77777777" w:rsidR="00EE24E4" w:rsidRPr="006F78D3" w:rsidRDefault="00EE24E4" w:rsidP="00377F3A">
            <w:pPr>
              <w:pStyle w:val="TableText"/>
              <w:rPr>
                <w:lang w:val="de-CH"/>
              </w:rPr>
            </w:pPr>
            <w:r w:rsidRPr="006F78D3">
              <w:rPr>
                <w:lang w:val="de-CH"/>
              </w:rPr>
              <w:t>pH 4, 20°C: 0.099 mg/L</w:t>
            </w:r>
          </w:p>
          <w:p w14:paraId="32E2C635" w14:textId="77777777" w:rsidR="00EE24E4" w:rsidRPr="006F78D3" w:rsidRDefault="00EE24E4" w:rsidP="00377F3A">
            <w:pPr>
              <w:pStyle w:val="TableText"/>
              <w:rPr>
                <w:lang w:val="de-CH"/>
              </w:rPr>
            </w:pPr>
            <w:r w:rsidRPr="006F78D3">
              <w:rPr>
                <w:lang w:val="de-CH"/>
              </w:rPr>
              <w:t>pH 7, 20°C: 18 mg/L</w:t>
            </w:r>
          </w:p>
          <w:p w14:paraId="40DAA8D5" w14:textId="77777777" w:rsidR="00EE24E4" w:rsidRDefault="00EE24E4" w:rsidP="00377F3A">
            <w:pPr>
              <w:pStyle w:val="TableText"/>
            </w:pPr>
            <w:r>
              <w:t>pH 10, 20°C: 1230 mg/L</w:t>
            </w:r>
          </w:p>
        </w:tc>
        <w:tc>
          <w:tcPr>
            <w:tcW w:w="0" w:type="auto"/>
            <w:tcBorders>
              <w:top w:val="nil"/>
              <w:left w:val="nil"/>
              <w:bottom w:val="nil"/>
              <w:right w:val="nil"/>
            </w:tcBorders>
          </w:tcPr>
          <w:p w14:paraId="1F8BDB75" w14:textId="77777777" w:rsidR="00EE24E4" w:rsidRDefault="00EE24E4" w:rsidP="00377F3A">
            <w:pPr>
              <w:pStyle w:val="TableText"/>
            </w:pPr>
            <w:r>
              <w:t>Hahn 2002a</w:t>
            </w:r>
          </w:p>
        </w:tc>
      </w:tr>
      <w:tr w:rsidR="00EE24E4" w:rsidRPr="008B4AF6" w14:paraId="2C73BA13" w14:textId="77777777" w:rsidTr="00073396">
        <w:trPr>
          <w:cantSplit/>
        </w:trPr>
        <w:tc>
          <w:tcPr>
            <w:tcW w:w="0" w:type="auto"/>
            <w:tcBorders>
              <w:top w:val="nil"/>
              <w:left w:val="nil"/>
              <w:bottom w:val="nil"/>
              <w:right w:val="nil"/>
            </w:tcBorders>
          </w:tcPr>
          <w:p w14:paraId="5E259D11" w14:textId="77777777" w:rsidR="00EE24E4" w:rsidRPr="008B4AF6" w:rsidRDefault="00EE24E4" w:rsidP="00377F3A">
            <w:pPr>
              <w:pStyle w:val="TableText"/>
            </w:pPr>
          </w:p>
        </w:tc>
        <w:tc>
          <w:tcPr>
            <w:tcW w:w="0" w:type="auto"/>
            <w:tcBorders>
              <w:top w:val="nil"/>
              <w:left w:val="nil"/>
              <w:bottom w:val="nil"/>
              <w:right w:val="nil"/>
            </w:tcBorders>
          </w:tcPr>
          <w:p w14:paraId="64078438" w14:textId="77777777" w:rsidR="00EE24E4" w:rsidRDefault="00EE24E4" w:rsidP="00377F3A">
            <w:pPr>
              <w:pStyle w:val="TableText"/>
            </w:pPr>
            <w:r>
              <w:t>12 mg/L at 25°C (distilled water)</w:t>
            </w:r>
          </w:p>
        </w:tc>
        <w:tc>
          <w:tcPr>
            <w:tcW w:w="0" w:type="auto"/>
            <w:tcBorders>
              <w:top w:val="nil"/>
              <w:left w:val="nil"/>
              <w:bottom w:val="nil"/>
              <w:right w:val="nil"/>
            </w:tcBorders>
          </w:tcPr>
          <w:p w14:paraId="0F683987" w14:textId="77777777" w:rsidR="00EE24E4" w:rsidRDefault="00EE24E4" w:rsidP="00377F3A">
            <w:pPr>
              <w:pStyle w:val="TableText"/>
            </w:pPr>
            <w:r>
              <w:t>Pesselman 1992</w:t>
            </w:r>
          </w:p>
        </w:tc>
      </w:tr>
      <w:tr w:rsidR="00EE24E4" w:rsidRPr="008B4AF6" w14:paraId="26175EE0" w14:textId="77777777" w:rsidTr="00073396">
        <w:trPr>
          <w:cantSplit/>
        </w:trPr>
        <w:tc>
          <w:tcPr>
            <w:tcW w:w="0" w:type="auto"/>
            <w:tcBorders>
              <w:top w:val="nil"/>
              <w:left w:val="nil"/>
              <w:bottom w:val="nil"/>
              <w:right w:val="nil"/>
            </w:tcBorders>
          </w:tcPr>
          <w:p w14:paraId="6EB6300F" w14:textId="77777777" w:rsidR="00EE24E4" w:rsidRPr="008B4AF6" w:rsidRDefault="00EE24E4" w:rsidP="00377F3A">
            <w:pPr>
              <w:pStyle w:val="TableText"/>
            </w:pPr>
            <w:r w:rsidRPr="008B4AF6">
              <w:t>Partition coefficient</w:t>
            </w:r>
          </w:p>
        </w:tc>
        <w:tc>
          <w:tcPr>
            <w:tcW w:w="0" w:type="auto"/>
            <w:tcBorders>
              <w:top w:val="nil"/>
              <w:left w:val="nil"/>
              <w:bottom w:val="nil"/>
              <w:right w:val="nil"/>
            </w:tcBorders>
          </w:tcPr>
          <w:p w14:paraId="5E5EA263" w14:textId="77777777" w:rsidR="00EE24E4" w:rsidRDefault="00EE24E4" w:rsidP="00377F3A">
            <w:pPr>
              <w:pStyle w:val="TableText"/>
            </w:pPr>
            <w:r>
              <w:t>pH 5: log P</w:t>
            </w:r>
            <w:r w:rsidRPr="00F81098">
              <w:rPr>
                <w:vertAlign w:val="subscript"/>
              </w:rPr>
              <w:t>OW</w:t>
            </w:r>
            <w:r>
              <w:t xml:space="preserve"> &gt;5.0</w:t>
            </w:r>
          </w:p>
          <w:p w14:paraId="6F88A261" w14:textId="77777777" w:rsidR="00EE24E4" w:rsidRDefault="00EE24E4" w:rsidP="00377F3A">
            <w:pPr>
              <w:pStyle w:val="TableText"/>
            </w:pPr>
            <w:r>
              <w:t>pH 7: log P</w:t>
            </w:r>
            <w:r w:rsidRPr="00F81098">
              <w:rPr>
                <w:vertAlign w:val="subscript"/>
              </w:rPr>
              <w:t>OW</w:t>
            </w:r>
            <w:r>
              <w:t xml:space="preserve"> 3.8</w:t>
            </w:r>
          </w:p>
          <w:p w14:paraId="67CA4B16" w14:textId="77777777" w:rsidR="00EE24E4" w:rsidRPr="007108DD" w:rsidRDefault="00EE24E4" w:rsidP="00377F3A">
            <w:pPr>
              <w:pStyle w:val="TableText"/>
            </w:pPr>
            <w:r>
              <w:t>pH 9: log P</w:t>
            </w:r>
            <w:r w:rsidRPr="00F81098">
              <w:rPr>
                <w:vertAlign w:val="subscript"/>
              </w:rPr>
              <w:t>OW</w:t>
            </w:r>
            <w:r>
              <w:t xml:space="preserve"> 2.5</w:t>
            </w:r>
          </w:p>
        </w:tc>
        <w:tc>
          <w:tcPr>
            <w:tcW w:w="0" w:type="auto"/>
            <w:tcBorders>
              <w:top w:val="nil"/>
              <w:left w:val="nil"/>
              <w:bottom w:val="nil"/>
              <w:right w:val="nil"/>
            </w:tcBorders>
          </w:tcPr>
          <w:p w14:paraId="56AF81E7" w14:textId="77777777" w:rsidR="00EE24E4" w:rsidRDefault="00EE24E4" w:rsidP="00377F3A">
            <w:pPr>
              <w:pStyle w:val="TableText"/>
            </w:pPr>
            <w:r>
              <w:t>Mullee &amp; O’Connor 2006b</w:t>
            </w:r>
          </w:p>
        </w:tc>
      </w:tr>
      <w:tr w:rsidR="00EE24E4" w:rsidRPr="008B4AF6" w14:paraId="61B903C8" w14:textId="77777777" w:rsidTr="00073396">
        <w:trPr>
          <w:cantSplit/>
        </w:trPr>
        <w:tc>
          <w:tcPr>
            <w:tcW w:w="0" w:type="auto"/>
            <w:tcBorders>
              <w:top w:val="nil"/>
              <w:left w:val="nil"/>
              <w:bottom w:val="nil"/>
              <w:right w:val="nil"/>
            </w:tcBorders>
          </w:tcPr>
          <w:p w14:paraId="699F76B0" w14:textId="77777777" w:rsidR="00EE24E4" w:rsidRPr="008B4AF6" w:rsidRDefault="00EE24E4" w:rsidP="00377F3A">
            <w:pPr>
              <w:pStyle w:val="TableText"/>
            </w:pPr>
          </w:p>
        </w:tc>
        <w:tc>
          <w:tcPr>
            <w:tcW w:w="0" w:type="auto"/>
            <w:tcBorders>
              <w:top w:val="nil"/>
              <w:left w:val="nil"/>
              <w:bottom w:val="nil"/>
              <w:right w:val="nil"/>
            </w:tcBorders>
          </w:tcPr>
          <w:p w14:paraId="25992A70" w14:textId="77777777" w:rsidR="00EE24E4" w:rsidRDefault="00EE24E4" w:rsidP="00377F3A">
            <w:pPr>
              <w:pStyle w:val="TableText"/>
            </w:pPr>
            <w:r>
              <w:t>pH 4: log P</w:t>
            </w:r>
            <w:r w:rsidRPr="00F81098">
              <w:rPr>
                <w:vertAlign w:val="subscript"/>
              </w:rPr>
              <w:t>OW</w:t>
            </w:r>
            <w:r>
              <w:t xml:space="preserve"> &gt;5.7</w:t>
            </w:r>
          </w:p>
          <w:p w14:paraId="7FFDBEC2" w14:textId="77777777" w:rsidR="00EE24E4" w:rsidRDefault="00EE24E4" w:rsidP="00377F3A">
            <w:pPr>
              <w:pStyle w:val="TableText"/>
            </w:pPr>
            <w:r>
              <w:t>pH 7: log P</w:t>
            </w:r>
            <w:r w:rsidRPr="00F81098">
              <w:rPr>
                <w:vertAlign w:val="subscript"/>
              </w:rPr>
              <w:t>OW</w:t>
            </w:r>
            <w:r>
              <w:t xml:space="preserve"> 4.1</w:t>
            </w:r>
          </w:p>
          <w:p w14:paraId="448C21E5" w14:textId="77777777" w:rsidR="00EE24E4" w:rsidRPr="007108DD" w:rsidRDefault="00EE24E4" w:rsidP="00377F3A">
            <w:pPr>
              <w:pStyle w:val="TableText"/>
            </w:pPr>
            <w:r>
              <w:t>pH 10: log P</w:t>
            </w:r>
            <w:r w:rsidRPr="00F81098">
              <w:rPr>
                <w:vertAlign w:val="subscript"/>
              </w:rPr>
              <w:t>OW</w:t>
            </w:r>
            <w:r>
              <w:t xml:space="preserve"> 3.2</w:t>
            </w:r>
          </w:p>
        </w:tc>
        <w:tc>
          <w:tcPr>
            <w:tcW w:w="0" w:type="auto"/>
            <w:tcBorders>
              <w:top w:val="nil"/>
              <w:left w:val="nil"/>
              <w:bottom w:val="nil"/>
              <w:right w:val="nil"/>
            </w:tcBorders>
          </w:tcPr>
          <w:p w14:paraId="4EFD2D20" w14:textId="77777777" w:rsidR="00EE24E4" w:rsidRDefault="00EE24E4" w:rsidP="00377F3A">
            <w:pPr>
              <w:pStyle w:val="TableText"/>
            </w:pPr>
            <w:r>
              <w:t>Sarff 2002</w:t>
            </w:r>
          </w:p>
        </w:tc>
      </w:tr>
      <w:tr w:rsidR="00EE24E4" w:rsidRPr="008B4AF6" w14:paraId="5FB9AA0C" w14:textId="77777777" w:rsidTr="00073396">
        <w:trPr>
          <w:cantSplit/>
        </w:trPr>
        <w:tc>
          <w:tcPr>
            <w:tcW w:w="0" w:type="auto"/>
            <w:tcBorders>
              <w:top w:val="nil"/>
              <w:left w:val="nil"/>
              <w:bottom w:val="nil"/>
              <w:right w:val="nil"/>
            </w:tcBorders>
          </w:tcPr>
          <w:p w14:paraId="11D303B9" w14:textId="77777777" w:rsidR="00EE24E4" w:rsidRPr="008B4AF6" w:rsidRDefault="00EE24E4" w:rsidP="00377F3A">
            <w:pPr>
              <w:pStyle w:val="TableText"/>
            </w:pPr>
          </w:p>
        </w:tc>
        <w:tc>
          <w:tcPr>
            <w:tcW w:w="0" w:type="auto"/>
            <w:tcBorders>
              <w:top w:val="nil"/>
              <w:left w:val="nil"/>
              <w:bottom w:val="nil"/>
              <w:right w:val="nil"/>
            </w:tcBorders>
          </w:tcPr>
          <w:p w14:paraId="6742918B" w14:textId="77777777" w:rsidR="00EE24E4" w:rsidRDefault="00EE24E4" w:rsidP="00377F3A">
            <w:pPr>
              <w:pStyle w:val="TableText"/>
            </w:pPr>
            <w:r>
              <w:t>pH 6: log P</w:t>
            </w:r>
            <w:r w:rsidRPr="00F81098">
              <w:rPr>
                <w:vertAlign w:val="subscript"/>
              </w:rPr>
              <w:t>OW</w:t>
            </w:r>
            <w:r>
              <w:t xml:space="preserve"> 3.9</w:t>
            </w:r>
          </w:p>
        </w:tc>
        <w:tc>
          <w:tcPr>
            <w:tcW w:w="0" w:type="auto"/>
            <w:tcBorders>
              <w:top w:val="nil"/>
              <w:left w:val="nil"/>
              <w:bottom w:val="nil"/>
              <w:right w:val="nil"/>
            </w:tcBorders>
          </w:tcPr>
          <w:p w14:paraId="7FD66A51" w14:textId="77777777" w:rsidR="00EE24E4" w:rsidRDefault="00EE24E4" w:rsidP="00377F3A">
            <w:pPr>
              <w:pStyle w:val="TableText"/>
            </w:pPr>
            <w:r>
              <w:t>Ricau 2008</w:t>
            </w:r>
          </w:p>
        </w:tc>
      </w:tr>
      <w:tr w:rsidR="00EE24E4" w:rsidRPr="008B4AF6" w14:paraId="22D8510F" w14:textId="77777777" w:rsidTr="00073396">
        <w:trPr>
          <w:cantSplit/>
        </w:trPr>
        <w:tc>
          <w:tcPr>
            <w:tcW w:w="0" w:type="auto"/>
            <w:tcBorders>
              <w:top w:val="nil"/>
              <w:left w:val="nil"/>
              <w:bottom w:val="nil"/>
              <w:right w:val="nil"/>
            </w:tcBorders>
          </w:tcPr>
          <w:p w14:paraId="70BD7BAD" w14:textId="77777777" w:rsidR="00EE24E4" w:rsidRPr="008B4AF6" w:rsidRDefault="00EE24E4" w:rsidP="00377F3A">
            <w:pPr>
              <w:pStyle w:val="TableText"/>
            </w:pPr>
          </w:p>
        </w:tc>
        <w:tc>
          <w:tcPr>
            <w:tcW w:w="0" w:type="auto"/>
            <w:tcBorders>
              <w:top w:val="nil"/>
              <w:left w:val="nil"/>
              <w:bottom w:val="nil"/>
              <w:right w:val="nil"/>
            </w:tcBorders>
          </w:tcPr>
          <w:p w14:paraId="303E9C93" w14:textId="77777777" w:rsidR="00EE24E4" w:rsidRDefault="00EE24E4" w:rsidP="00377F3A">
            <w:pPr>
              <w:pStyle w:val="TableText"/>
            </w:pPr>
            <w:r>
              <w:t>log P</w:t>
            </w:r>
            <w:r w:rsidRPr="00F81098">
              <w:rPr>
                <w:vertAlign w:val="subscript"/>
              </w:rPr>
              <w:t>OW</w:t>
            </w:r>
            <w:r>
              <w:t xml:space="preserve"> 7.0 (distilled water)</w:t>
            </w:r>
          </w:p>
        </w:tc>
        <w:tc>
          <w:tcPr>
            <w:tcW w:w="0" w:type="auto"/>
            <w:tcBorders>
              <w:top w:val="nil"/>
              <w:left w:val="nil"/>
              <w:bottom w:val="nil"/>
              <w:right w:val="nil"/>
            </w:tcBorders>
          </w:tcPr>
          <w:p w14:paraId="6D098FA3" w14:textId="77777777" w:rsidR="00EE24E4" w:rsidRDefault="00EE24E4" w:rsidP="00377F3A">
            <w:pPr>
              <w:pStyle w:val="TableText"/>
            </w:pPr>
            <w:r>
              <w:t>Anderson 1999a</w:t>
            </w:r>
          </w:p>
        </w:tc>
      </w:tr>
      <w:tr w:rsidR="00EE24E4" w:rsidRPr="008B4AF6" w14:paraId="24723CD1" w14:textId="77777777" w:rsidTr="00073396">
        <w:trPr>
          <w:cantSplit/>
        </w:trPr>
        <w:tc>
          <w:tcPr>
            <w:tcW w:w="0" w:type="auto"/>
            <w:tcBorders>
              <w:top w:val="nil"/>
              <w:left w:val="nil"/>
              <w:bottom w:val="nil"/>
              <w:right w:val="nil"/>
            </w:tcBorders>
          </w:tcPr>
          <w:p w14:paraId="5FAA7534" w14:textId="77777777" w:rsidR="00EE24E4" w:rsidRPr="008B4AF6" w:rsidRDefault="00EE24E4" w:rsidP="00377F3A">
            <w:pPr>
              <w:pStyle w:val="TableText"/>
            </w:pPr>
          </w:p>
        </w:tc>
        <w:tc>
          <w:tcPr>
            <w:tcW w:w="0" w:type="auto"/>
            <w:tcBorders>
              <w:top w:val="nil"/>
              <w:left w:val="nil"/>
              <w:bottom w:val="nil"/>
              <w:right w:val="nil"/>
            </w:tcBorders>
          </w:tcPr>
          <w:p w14:paraId="295F340B" w14:textId="77777777" w:rsidR="00EE24E4" w:rsidRPr="007108DD" w:rsidRDefault="00EE24E4" w:rsidP="00377F3A">
            <w:pPr>
              <w:pStyle w:val="TableText"/>
            </w:pPr>
            <w:r>
              <w:t>log P</w:t>
            </w:r>
            <w:r w:rsidRPr="00F81098">
              <w:rPr>
                <w:vertAlign w:val="subscript"/>
              </w:rPr>
              <w:t>OW</w:t>
            </w:r>
            <w:r>
              <w:t xml:space="preserve"> 4.3 (distilled water)</w:t>
            </w:r>
          </w:p>
        </w:tc>
        <w:tc>
          <w:tcPr>
            <w:tcW w:w="0" w:type="auto"/>
            <w:tcBorders>
              <w:top w:val="nil"/>
              <w:left w:val="nil"/>
              <w:bottom w:val="nil"/>
              <w:right w:val="nil"/>
            </w:tcBorders>
          </w:tcPr>
          <w:p w14:paraId="445C4FE7" w14:textId="77777777" w:rsidR="00EE24E4" w:rsidRDefault="00EE24E4" w:rsidP="00377F3A">
            <w:pPr>
              <w:pStyle w:val="TableText"/>
            </w:pPr>
            <w:r>
              <w:t>Pesselman 1991b</w:t>
            </w:r>
          </w:p>
        </w:tc>
      </w:tr>
      <w:tr w:rsidR="00EE24E4" w:rsidRPr="008B4AF6" w14:paraId="77680501" w14:textId="77777777" w:rsidTr="00073396">
        <w:trPr>
          <w:cantSplit/>
        </w:trPr>
        <w:tc>
          <w:tcPr>
            <w:tcW w:w="0" w:type="auto"/>
            <w:tcBorders>
              <w:top w:val="nil"/>
              <w:left w:val="nil"/>
              <w:bottom w:val="nil"/>
              <w:right w:val="nil"/>
            </w:tcBorders>
          </w:tcPr>
          <w:p w14:paraId="4D93E6FB" w14:textId="77777777" w:rsidR="00EE24E4" w:rsidRPr="008B4AF6" w:rsidRDefault="00EE24E4" w:rsidP="00377F3A">
            <w:pPr>
              <w:pStyle w:val="TableText"/>
            </w:pPr>
            <w:r w:rsidRPr="008B4AF6">
              <w:t>Dissociation constant</w:t>
            </w:r>
          </w:p>
        </w:tc>
        <w:tc>
          <w:tcPr>
            <w:tcW w:w="0" w:type="auto"/>
            <w:tcBorders>
              <w:top w:val="nil"/>
              <w:left w:val="nil"/>
              <w:bottom w:val="nil"/>
              <w:right w:val="nil"/>
            </w:tcBorders>
          </w:tcPr>
          <w:p w14:paraId="3E1108D8" w14:textId="77777777" w:rsidR="00EE24E4" w:rsidRPr="007108DD" w:rsidRDefault="00EE24E4" w:rsidP="00377F3A">
            <w:pPr>
              <w:pStyle w:val="TableText"/>
            </w:pPr>
            <w:r>
              <w:t>pKa 3.6, 3.8, 4.0, 5.4, 6.3, 6.8</w:t>
            </w:r>
          </w:p>
        </w:tc>
        <w:tc>
          <w:tcPr>
            <w:tcW w:w="0" w:type="auto"/>
            <w:tcBorders>
              <w:top w:val="nil"/>
              <w:left w:val="nil"/>
              <w:bottom w:val="nil"/>
              <w:right w:val="nil"/>
            </w:tcBorders>
          </w:tcPr>
          <w:p w14:paraId="2E8D2242" w14:textId="77777777" w:rsidR="00EE24E4" w:rsidRDefault="00EE24E4" w:rsidP="00377F3A">
            <w:pPr>
              <w:pStyle w:val="TableText"/>
            </w:pPr>
            <w:r>
              <w:t>Hahn 2002b</w:t>
            </w:r>
          </w:p>
        </w:tc>
      </w:tr>
      <w:tr w:rsidR="00EE24E4" w:rsidRPr="008B4AF6" w14:paraId="671AF778" w14:textId="77777777" w:rsidTr="00073396">
        <w:trPr>
          <w:cantSplit/>
        </w:trPr>
        <w:tc>
          <w:tcPr>
            <w:tcW w:w="0" w:type="auto"/>
            <w:tcBorders>
              <w:top w:val="nil"/>
              <w:left w:val="nil"/>
              <w:bottom w:val="nil"/>
              <w:right w:val="nil"/>
            </w:tcBorders>
          </w:tcPr>
          <w:p w14:paraId="6C94FF0E" w14:textId="77777777" w:rsidR="00EE24E4" w:rsidRPr="008B4AF6" w:rsidRDefault="00EE24E4" w:rsidP="00377F3A">
            <w:pPr>
              <w:pStyle w:val="TableText"/>
            </w:pPr>
            <w:r w:rsidRPr="008B4AF6">
              <w:t>UV-VIS absorption (max)</w:t>
            </w:r>
          </w:p>
        </w:tc>
        <w:tc>
          <w:tcPr>
            <w:tcW w:w="0" w:type="auto"/>
            <w:tcBorders>
              <w:top w:val="nil"/>
              <w:left w:val="nil"/>
              <w:bottom w:val="nil"/>
              <w:right w:val="nil"/>
            </w:tcBorders>
          </w:tcPr>
          <w:p w14:paraId="2B09BA7E" w14:textId="77777777" w:rsidR="00EE24E4" w:rsidRPr="00700E9F" w:rsidRDefault="00EE24E4" w:rsidP="00377F3A">
            <w:pPr>
              <w:pStyle w:val="TableText"/>
            </w:pPr>
            <w:r>
              <w:t>solution</w:t>
            </w:r>
            <w:r w:rsidRPr="00C94AB5">
              <w:tab/>
            </w: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tc>
        <w:tc>
          <w:tcPr>
            <w:tcW w:w="0" w:type="auto"/>
            <w:tcBorders>
              <w:top w:val="nil"/>
              <w:left w:val="nil"/>
              <w:bottom w:val="nil"/>
              <w:right w:val="nil"/>
            </w:tcBorders>
          </w:tcPr>
          <w:p w14:paraId="2F4437BC" w14:textId="77777777" w:rsidR="00EE24E4" w:rsidRDefault="00EE24E4" w:rsidP="00377F3A">
            <w:pPr>
              <w:pStyle w:val="TableText"/>
            </w:pPr>
          </w:p>
        </w:tc>
      </w:tr>
      <w:tr w:rsidR="00EE24E4" w:rsidRPr="008B4AF6" w14:paraId="6A573784" w14:textId="77777777" w:rsidTr="00073396">
        <w:trPr>
          <w:cantSplit/>
        </w:trPr>
        <w:tc>
          <w:tcPr>
            <w:tcW w:w="0" w:type="auto"/>
            <w:tcBorders>
              <w:top w:val="nil"/>
              <w:left w:val="nil"/>
              <w:bottom w:val="nil"/>
              <w:right w:val="nil"/>
            </w:tcBorders>
          </w:tcPr>
          <w:p w14:paraId="10949E13" w14:textId="77777777" w:rsidR="00EE24E4" w:rsidRPr="008B4AF6" w:rsidRDefault="00EE24E4" w:rsidP="00377F3A">
            <w:pPr>
              <w:pStyle w:val="TableText"/>
            </w:pPr>
          </w:p>
        </w:tc>
        <w:tc>
          <w:tcPr>
            <w:tcW w:w="0" w:type="auto"/>
            <w:tcBorders>
              <w:top w:val="nil"/>
              <w:left w:val="nil"/>
              <w:bottom w:val="nil"/>
              <w:right w:val="nil"/>
            </w:tcBorders>
          </w:tcPr>
          <w:p w14:paraId="3080EC76" w14:textId="77777777" w:rsidR="00EE24E4" w:rsidRDefault="00EE24E4" w:rsidP="00377F3A">
            <w:pPr>
              <w:pStyle w:val="TableText"/>
            </w:pPr>
            <w:r>
              <w:t>CH</w:t>
            </w:r>
            <w:r w:rsidRPr="007C5C66">
              <w:rPr>
                <w:vertAlign w:val="subscript"/>
              </w:rPr>
              <w:t>2</w:t>
            </w:r>
            <w:r>
              <w:t>Cl</w:t>
            </w:r>
            <w:r w:rsidRPr="007C5C66">
              <w:rPr>
                <w:vertAlign w:val="subscript"/>
              </w:rPr>
              <w:t>2</w:t>
            </w:r>
            <w:r>
              <w:tab/>
              <w:t>310 nm</w:t>
            </w:r>
            <w:r>
              <w:tab/>
              <w:t>10900</w:t>
            </w:r>
          </w:p>
          <w:p w14:paraId="5CFC2F20" w14:textId="77777777" w:rsidR="00EE24E4" w:rsidRDefault="00EE24E4" w:rsidP="00377F3A">
            <w:pPr>
              <w:pStyle w:val="TableText"/>
            </w:pPr>
            <w:r>
              <w:t>CH</w:t>
            </w:r>
            <w:r w:rsidRPr="007C5C66">
              <w:rPr>
                <w:vertAlign w:val="subscript"/>
              </w:rPr>
              <w:t>2</w:t>
            </w:r>
            <w:r>
              <w:t>Cl</w:t>
            </w:r>
            <w:r w:rsidRPr="007C5C66">
              <w:rPr>
                <w:vertAlign w:val="subscript"/>
              </w:rPr>
              <w:t>2</w:t>
            </w:r>
            <w:r>
              <w:tab/>
              <w:t>283 nm</w:t>
            </w:r>
            <w:r>
              <w:tab/>
              <w:t>24300</w:t>
            </w:r>
          </w:p>
          <w:p w14:paraId="51A8CAAC" w14:textId="77777777" w:rsidR="00EE24E4" w:rsidRDefault="00EE24E4" w:rsidP="00377F3A">
            <w:pPr>
              <w:pStyle w:val="TableText"/>
            </w:pPr>
            <w:r>
              <w:t>CH</w:t>
            </w:r>
            <w:r w:rsidRPr="007C5C66">
              <w:rPr>
                <w:vertAlign w:val="subscript"/>
              </w:rPr>
              <w:t>2</w:t>
            </w:r>
            <w:r>
              <w:t>Cl</w:t>
            </w:r>
            <w:r w:rsidRPr="007C5C66">
              <w:rPr>
                <w:vertAlign w:val="subscript"/>
              </w:rPr>
              <w:t>2</w:t>
            </w:r>
            <w:r>
              <w:tab/>
              <w:t>265 nm</w:t>
            </w:r>
            <w:r>
              <w:tab/>
              <w:t>34700</w:t>
            </w:r>
          </w:p>
          <w:p w14:paraId="5373FF7A" w14:textId="77777777" w:rsidR="00EE24E4" w:rsidRDefault="00EE24E4" w:rsidP="00377F3A">
            <w:pPr>
              <w:pStyle w:val="TableText"/>
            </w:pPr>
            <w:r>
              <w:t>EtOH</w:t>
            </w:r>
            <w:r>
              <w:tab/>
              <w:t>311 nm</w:t>
            </w:r>
            <w:r>
              <w:tab/>
              <w:t>12500</w:t>
            </w:r>
          </w:p>
          <w:p w14:paraId="241CC0BE" w14:textId="77777777" w:rsidR="00EE24E4" w:rsidRDefault="00EE24E4" w:rsidP="00377F3A">
            <w:pPr>
              <w:pStyle w:val="TableText"/>
              <w:rPr>
                <w:u w:val="single"/>
              </w:rPr>
            </w:pPr>
            <w:r>
              <w:t>EtOH</w:t>
            </w:r>
            <w:r>
              <w:tab/>
              <w:t>263 nm</w:t>
            </w:r>
            <w:r>
              <w:tab/>
              <w:t>31500</w:t>
            </w:r>
          </w:p>
        </w:tc>
        <w:tc>
          <w:tcPr>
            <w:tcW w:w="0" w:type="auto"/>
            <w:tcBorders>
              <w:top w:val="nil"/>
              <w:left w:val="nil"/>
              <w:bottom w:val="nil"/>
              <w:right w:val="nil"/>
            </w:tcBorders>
          </w:tcPr>
          <w:p w14:paraId="7E1AEF31" w14:textId="77777777" w:rsidR="00EE24E4" w:rsidRDefault="00EE24E4" w:rsidP="00377F3A">
            <w:pPr>
              <w:pStyle w:val="TableText"/>
            </w:pPr>
            <w:r>
              <w:t>Guiotto &amp; Nicolini 1996</w:t>
            </w:r>
          </w:p>
        </w:tc>
      </w:tr>
      <w:tr w:rsidR="00EE24E4" w:rsidRPr="008B4AF6" w14:paraId="441E1B27" w14:textId="77777777" w:rsidTr="00073396">
        <w:trPr>
          <w:cantSplit/>
        </w:trPr>
        <w:tc>
          <w:tcPr>
            <w:tcW w:w="0" w:type="auto"/>
            <w:tcBorders>
              <w:top w:val="nil"/>
              <w:left w:val="nil"/>
              <w:bottom w:val="nil"/>
              <w:right w:val="nil"/>
            </w:tcBorders>
          </w:tcPr>
          <w:p w14:paraId="2EF9A197" w14:textId="77777777" w:rsidR="00EE24E4" w:rsidRPr="008B4AF6" w:rsidRDefault="00EE24E4" w:rsidP="00377F3A">
            <w:pPr>
              <w:pStyle w:val="TableText"/>
            </w:pPr>
          </w:p>
        </w:tc>
        <w:tc>
          <w:tcPr>
            <w:tcW w:w="0" w:type="auto"/>
            <w:tcBorders>
              <w:top w:val="nil"/>
              <w:left w:val="nil"/>
              <w:bottom w:val="nil"/>
              <w:right w:val="nil"/>
            </w:tcBorders>
          </w:tcPr>
          <w:p w14:paraId="39B8E124" w14:textId="77777777" w:rsidR="00EE24E4" w:rsidRDefault="00EE24E4" w:rsidP="00377F3A">
            <w:pPr>
              <w:pStyle w:val="TableText"/>
            </w:pPr>
            <w:r>
              <w:t>acidic</w:t>
            </w:r>
            <w:r>
              <w:tab/>
              <w:t>265 nm</w:t>
            </w:r>
            <w:r>
              <w:tab/>
              <w:t>36850</w:t>
            </w:r>
          </w:p>
          <w:p w14:paraId="04A20044" w14:textId="77777777" w:rsidR="00EE24E4" w:rsidRDefault="00EE24E4" w:rsidP="00377F3A">
            <w:pPr>
              <w:pStyle w:val="TableText"/>
            </w:pPr>
            <w:r>
              <w:t>acidic</w:t>
            </w:r>
            <w:r>
              <w:tab/>
              <w:t>311 nm</w:t>
            </w:r>
            <w:r>
              <w:tab/>
              <w:t>13100</w:t>
            </w:r>
          </w:p>
          <w:p w14:paraId="55F0F08B" w14:textId="77777777" w:rsidR="00EE24E4" w:rsidRDefault="00EE24E4" w:rsidP="00377F3A">
            <w:pPr>
              <w:pStyle w:val="TableText"/>
            </w:pPr>
            <w:r>
              <w:t>neutral</w:t>
            </w:r>
            <w:r>
              <w:tab/>
              <w:t>263 nm</w:t>
            </w:r>
            <w:r>
              <w:tab/>
              <w:t>36400</w:t>
            </w:r>
          </w:p>
          <w:p w14:paraId="1748D50C" w14:textId="77777777" w:rsidR="00EE24E4" w:rsidRDefault="00EE24E4" w:rsidP="00377F3A">
            <w:pPr>
              <w:pStyle w:val="TableText"/>
            </w:pPr>
            <w:r>
              <w:t>neutral</w:t>
            </w:r>
            <w:r>
              <w:tab/>
              <w:t>310 nm</w:t>
            </w:r>
            <w:r>
              <w:tab/>
              <w:t>13700</w:t>
            </w:r>
          </w:p>
          <w:p w14:paraId="6021EAF3" w14:textId="77777777" w:rsidR="00EE24E4" w:rsidRDefault="00EE24E4" w:rsidP="00377F3A">
            <w:pPr>
              <w:pStyle w:val="TableText"/>
            </w:pPr>
            <w:r>
              <w:t>basic</w:t>
            </w:r>
            <w:r>
              <w:tab/>
              <w:t>260 nm</w:t>
            </w:r>
            <w:r>
              <w:tab/>
              <w:t>33000</w:t>
            </w:r>
          </w:p>
          <w:p w14:paraId="103F51F5" w14:textId="77777777" w:rsidR="00EE24E4" w:rsidRPr="006F78FB" w:rsidRDefault="00EE24E4" w:rsidP="00377F3A">
            <w:pPr>
              <w:pStyle w:val="TableText"/>
            </w:pPr>
            <w:r>
              <w:t>basic</w:t>
            </w:r>
            <w:r>
              <w:tab/>
              <w:t>312 nm</w:t>
            </w:r>
            <w:r>
              <w:tab/>
              <w:t>15450</w:t>
            </w:r>
          </w:p>
        </w:tc>
        <w:tc>
          <w:tcPr>
            <w:tcW w:w="0" w:type="auto"/>
            <w:tcBorders>
              <w:top w:val="nil"/>
              <w:left w:val="nil"/>
              <w:bottom w:val="nil"/>
              <w:right w:val="nil"/>
            </w:tcBorders>
          </w:tcPr>
          <w:p w14:paraId="6837EA22" w14:textId="77777777" w:rsidR="00EE24E4" w:rsidRDefault="00EE24E4" w:rsidP="00377F3A">
            <w:pPr>
              <w:pStyle w:val="TableText"/>
            </w:pPr>
            <w:r>
              <w:t>Anderson 1999a</w:t>
            </w:r>
          </w:p>
        </w:tc>
      </w:tr>
      <w:tr w:rsidR="00EE24E4" w:rsidRPr="008B4AF6" w14:paraId="6670E9B7" w14:textId="77777777" w:rsidTr="00073396">
        <w:trPr>
          <w:cantSplit/>
        </w:trPr>
        <w:tc>
          <w:tcPr>
            <w:tcW w:w="0" w:type="auto"/>
            <w:tcBorders>
              <w:top w:val="nil"/>
              <w:left w:val="nil"/>
              <w:bottom w:val="single" w:sz="4" w:space="0" w:color="auto"/>
              <w:right w:val="nil"/>
            </w:tcBorders>
          </w:tcPr>
          <w:p w14:paraId="52048A39" w14:textId="77777777" w:rsidR="00EE24E4" w:rsidRPr="008B4AF6" w:rsidRDefault="00EE24E4" w:rsidP="00377F3A">
            <w:pPr>
              <w:pStyle w:val="TableText"/>
            </w:pPr>
          </w:p>
        </w:tc>
        <w:tc>
          <w:tcPr>
            <w:tcW w:w="0" w:type="auto"/>
            <w:tcBorders>
              <w:top w:val="nil"/>
              <w:left w:val="nil"/>
              <w:bottom w:val="single" w:sz="4" w:space="0" w:color="auto"/>
              <w:right w:val="nil"/>
            </w:tcBorders>
          </w:tcPr>
          <w:p w14:paraId="13378B7F" w14:textId="77777777" w:rsidR="00EE24E4" w:rsidRDefault="00EE24E4" w:rsidP="00377F3A">
            <w:pPr>
              <w:pStyle w:val="TableText"/>
            </w:pPr>
            <w:r>
              <w:t>CH</w:t>
            </w:r>
            <w:r w:rsidRPr="006F78FB">
              <w:rPr>
                <w:vertAlign w:val="subscript"/>
              </w:rPr>
              <w:t>3</w:t>
            </w:r>
            <w:r>
              <w:t>OH</w:t>
            </w:r>
            <w:r>
              <w:tab/>
              <w:t>263 nm</w:t>
            </w:r>
            <w:r>
              <w:tab/>
              <w:t>32325</w:t>
            </w:r>
          </w:p>
          <w:p w14:paraId="54EF31FF" w14:textId="77777777" w:rsidR="00EE24E4" w:rsidRDefault="00EE24E4" w:rsidP="00377F3A">
            <w:pPr>
              <w:pStyle w:val="TableText"/>
            </w:pPr>
            <w:r>
              <w:t>CH</w:t>
            </w:r>
            <w:r w:rsidRPr="006F78FB">
              <w:rPr>
                <w:vertAlign w:val="subscript"/>
              </w:rPr>
              <w:t>3</w:t>
            </w:r>
            <w:r>
              <w:t>OH</w:t>
            </w:r>
            <w:r>
              <w:tab/>
              <w:t>310 nm</w:t>
            </w:r>
            <w:r>
              <w:tab/>
              <w:t>11095</w:t>
            </w:r>
          </w:p>
        </w:tc>
        <w:tc>
          <w:tcPr>
            <w:tcW w:w="0" w:type="auto"/>
            <w:tcBorders>
              <w:top w:val="nil"/>
              <w:left w:val="nil"/>
              <w:bottom w:val="single" w:sz="4" w:space="0" w:color="auto"/>
              <w:right w:val="nil"/>
            </w:tcBorders>
          </w:tcPr>
          <w:p w14:paraId="775DD994" w14:textId="77777777" w:rsidR="00EE24E4" w:rsidRDefault="00EE24E4" w:rsidP="00377F3A">
            <w:pPr>
              <w:pStyle w:val="TableText"/>
            </w:pPr>
            <w:r>
              <w:t>Drake 2005a</w:t>
            </w:r>
          </w:p>
        </w:tc>
      </w:tr>
    </w:tbl>
    <w:p w14:paraId="4ED7DD6F" w14:textId="4FB715D1" w:rsidR="00EE24E4" w:rsidRPr="00861CA0" w:rsidRDefault="00BA7F5F" w:rsidP="00377F3A">
      <w:pPr>
        <w:pStyle w:val="Caption"/>
      </w:pPr>
      <w:bookmarkStart w:id="2058" w:name="_Toc213946089"/>
      <w:bookmarkStart w:id="2059" w:name="_Toc216695780"/>
      <w:r>
        <w:t xml:space="preserve">Table </w:t>
      </w:r>
      <w:r>
        <w:fldChar w:fldCharType="begin"/>
      </w:r>
      <w:r>
        <w:instrText xml:space="preserve"> SEQ Table \* ARABIC </w:instrText>
      </w:r>
      <w:r>
        <w:fldChar w:fldCharType="separate"/>
      </w:r>
      <w:r w:rsidR="003861AC">
        <w:rPr>
          <w:noProof/>
        </w:rPr>
        <w:t>118</w:t>
      </w:r>
      <w:r>
        <w:fldChar w:fldCharType="end"/>
      </w:r>
      <w:r>
        <w:t xml:space="preserve">: </w:t>
      </w:r>
      <w:r w:rsidR="00CF78CB">
        <w:t xml:space="preserve">Bromadiolone – </w:t>
      </w:r>
      <w:r w:rsidR="00EE24E4">
        <w:t xml:space="preserve">Fate and behaviour in </w:t>
      </w:r>
      <w:r w:rsidR="00CF78CB">
        <w:t>environmental media</w:t>
      </w:r>
      <w:bookmarkEnd w:id="2058"/>
      <w:bookmarkEnd w:id="2059"/>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57"/>
        <w:gridCol w:w="2199"/>
        <w:gridCol w:w="3877"/>
        <w:gridCol w:w="2300"/>
      </w:tblGrid>
      <w:tr w:rsidR="00EE24E4" w:rsidRPr="000B2FA7" w14:paraId="7E141C46" w14:textId="77777777" w:rsidTr="0017134F">
        <w:trPr>
          <w:cantSplit/>
          <w:tblHeader/>
        </w:trPr>
        <w:tc>
          <w:tcPr>
            <w:tcW w:w="0" w:type="auto"/>
            <w:tcBorders>
              <w:bottom w:val="single" w:sz="4" w:space="0" w:color="auto"/>
            </w:tcBorders>
            <w:shd w:val="clear" w:color="auto" w:fill="53284F"/>
          </w:tcPr>
          <w:p w14:paraId="4A56CF94" w14:textId="7F6EE2D5" w:rsidR="00EE24E4" w:rsidRDefault="00CF78CB" w:rsidP="00377F3A">
            <w:pPr>
              <w:pStyle w:val="TableHead"/>
            </w:pPr>
            <w:r>
              <w:t>Compartment</w:t>
            </w:r>
          </w:p>
        </w:tc>
        <w:tc>
          <w:tcPr>
            <w:tcW w:w="0" w:type="auto"/>
            <w:tcBorders>
              <w:bottom w:val="single" w:sz="4" w:space="0" w:color="auto"/>
            </w:tcBorders>
            <w:shd w:val="clear" w:color="auto" w:fill="53284F"/>
          </w:tcPr>
          <w:p w14:paraId="7F663BF3" w14:textId="77777777" w:rsidR="00EE24E4" w:rsidRDefault="00EE24E4" w:rsidP="00377F3A">
            <w:pPr>
              <w:pStyle w:val="TableHead"/>
            </w:pPr>
            <w:r>
              <w:t>Study</w:t>
            </w:r>
          </w:p>
        </w:tc>
        <w:tc>
          <w:tcPr>
            <w:tcW w:w="0" w:type="auto"/>
            <w:tcBorders>
              <w:bottom w:val="single" w:sz="4" w:space="0" w:color="auto"/>
            </w:tcBorders>
            <w:shd w:val="clear" w:color="auto" w:fill="53284F"/>
          </w:tcPr>
          <w:p w14:paraId="1016DBA8" w14:textId="77777777" w:rsidR="00EE24E4" w:rsidRPr="00CA558C" w:rsidRDefault="00EE24E4" w:rsidP="00377F3A">
            <w:pPr>
              <w:pStyle w:val="TableHead"/>
            </w:pPr>
            <w:r>
              <w:t>Result</w:t>
            </w:r>
          </w:p>
        </w:tc>
        <w:tc>
          <w:tcPr>
            <w:tcW w:w="0" w:type="auto"/>
            <w:tcBorders>
              <w:bottom w:val="single" w:sz="4" w:space="0" w:color="auto"/>
            </w:tcBorders>
            <w:shd w:val="clear" w:color="auto" w:fill="53284F"/>
          </w:tcPr>
          <w:p w14:paraId="57F5719B" w14:textId="77777777" w:rsidR="00EE24E4" w:rsidRPr="00CA558C" w:rsidRDefault="00EE24E4" w:rsidP="00377F3A">
            <w:pPr>
              <w:pStyle w:val="TableHead"/>
            </w:pPr>
            <w:r>
              <w:t>Reference</w:t>
            </w:r>
          </w:p>
        </w:tc>
      </w:tr>
      <w:tr w:rsidR="00EE24E4" w:rsidRPr="008B4AF6" w14:paraId="6B99BFC2" w14:textId="77777777" w:rsidTr="00CF78CB">
        <w:trPr>
          <w:cantSplit/>
        </w:trPr>
        <w:tc>
          <w:tcPr>
            <w:tcW w:w="0" w:type="auto"/>
            <w:tcBorders>
              <w:top w:val="single" w:sz="4" w:space="0" w:color="auto"/>
              <w:left w:val="nil"/>
              <w:bottom w:val="nil"/>
            </w:tcBorders>
          </w:tcPr>
          <w:p w14:paraId="711860D4" w14:textId="2B4B4E79" w:rsidR="00EE24E4" w:rsidRPr="008B4AF6" w:rsidRDefault="00CF78CB" w:rsidP="00377F3A">
            <w:pPr>
              <w:pStyle w:val="TableText"/>
            </w:pPr>
            <w:r>
              <w:t>Soil</w:t>
            </w:r>
          </w:p>
        </w:tc>
        <w:tc>
          <w:tcPr>
            <w:tcW w:w="0" w:type="auto"/>
            <w:vMerge w:val="restart"/>
            <w:tcBorders>
              <w:top w:val="single" w:sz="4" w:space="0" w:color="auto"/>
              <w:left w:val="nil"/>
            </w:tcBorders>
          </w:tcPr>
          <w:p w14:paraId="4F47A78A" w14:textId="77777777" w:rsidR="00EE24E4" w:rsidRPr="008B4AF6" w:rsidRDefault="00EE24E4" w:rsidP="00377F3A">
            <w:pPr>
              <w:pStyle w:val="TableText"/>
            </w:pPr>
            <w:r>
              <w:t>Aerobic soil metabolism</w:t>
            </w:r>
          </w:p>
        </w:tc>
        <w:tc>
          <w:tcPr>
            <w:tcW w:w="0" w:type="auto"/>
            <w:tcBorders>
              <w:top w:val="single" w:sz="4" w:space="0" w:color="auto"/>
              <w:bottom w:val="nil"/>
            </w:tcBorders>
          </w:tcPr>
          <w:p w14:paraId="0AF34329" w14:textId="77777777" w:rsidR="00EE24E4" w:rsidRDefault="00EE24E4" w:rsidP="00377F3A">
            <w:pPr>
              <w:pStyle w:val="TableText"/>
            </w:pPr>
            <w:r>
              <w:t>Sandy loam:</w:t>
            </w:r>
            <w:r>
              <w:tab/>
              <w:t>DT</w:t>
            </w:r>
            <w:r w:rsidRPr="00EA4A2B">
              <w:rPr>
                <w:vertAlign w:val="subscript"/>
              </w:rPr>
              <w:t>50</w:t>
            </w:r>
            <w:r>
              <w:t xml:space="preserve"> 269 d</w:t>
            </w:r>
          </w:p>
        </w:tc>
        <w:tc>
          <w:tcPr>
            <w:tcW w:w="0" w:type="auto"/>
            <w:tcBorders>
              <w:top w:val="single" w:sz="4" w:space="0" w:color="auto"/>
              <w:bottom w:val="nil"/>
            </w:tcBorders>
          </w:tcPr>
          <w:p w14:paraId="31643032" w14:textId="77777777" w:rsidR="00EE24E4" w:rsidRDefault="00EE24E4" w:rsidP="00377F3A">
            <w:pPr>
              <w:pStyle w:val="TableText"/>
            </w:pPr>
            <w:r>
              <w:t>Misra 1995</w:t>
            </w:r>
          </w:p>
        </w:tc>
      </w:tr>
      <w:tr w:rsidR="00EE24E4" w:rsidRPr="008B4AF6" w14:paraId="09F3873E" w14:textId="77777777" w:rsidTr="00CF78CB">
        <w:trPr>
          <w:cantSplit/>
        </w:trPr>
        <w:tc>
          <w:tcPr>
            <w:tcW w:w="0" w:type="auto"/>
            <w:tcBorders>
              <w:top w:val="nil"/>
              <w:left w:val="nil"/>
              <w:bottom w:val="nil"/>
            </w:tcBorders>
          </w:tcPr>
          <w:p w14:paraId="045E6E44" w14:textId="77777777" w:rsidR="00EE24E4" w:rsidRDefault="00EE24E4" w:rsidP="00377F3A">
            <w:pPr>
              <w:pStyle w:val="TableText"/>
            </w:pPr>
          </w:p>
        </w:tc>
        <w:tc>
          <w:tcPr>
            <w:tcW w:w="0" w:type="auto"/>
            <w:vMerge/>
            <w:tcBorders>
              <w:left w:val="nil"/>
              <w:bottom w:val="nil"/>
            </w:tcBorders>
          </w:tcPr>
          <w:p w14:paraId="35B8D2B0" w14:textId="77777777" w:rsidR="00EE24E4" w:rsidRDefault="00EE24E4" w:rsidP="00377F3A">
            <w:pPr>
              <w:pStyle w:val="TableText"/>
            </w:pPr>
          </w:p>
        </w:tc>
        <w:tc>
          <w:tcPr>
            <w:tcW w:w="0" w:type="auto"/>
            <w:tcBorders>
              <w:top w:val="nil"/>
              <w:bottom w:val="nil"/>
            </w:tcBorders>
          </w:tcPr>
          <w:p w14:paraId="0E777552" w14:textId="77777777" w:rsidR="00EE24E4" w:rsidRDefault="00EE24E4" w:rsidP="00377F3A">
            <w:pPr>
              <w:pStyle w:val="TableText"/>
            </w:pPr>
            <w:r>
              <w:t>Loamy sand:</w:t>
            </w:r>
            <w:r>
              <w:tab/>
              <w:t>DT</w:t>
            </w:r>
            <w:r w:rsidRPr="002B4968">
              <w:rPr>
                <w:vertAlign w:val="subscript"/>
              </w:rPr>
              <w:t>50</w:t>
            </w:r>
            <w:r>
              <w:t xml:space="preserve"> 12 d</w:t>
            </w:r>
          </w:p>
          <w:p w14:paraId="17DC73ED" w14:textId="77777777" w:rsidR="00EE24E4" w:rsidRDefault="00EE24E4" w:rsidP="00377F3A">
            <w:pPr>
              <w:pStyle w:val="TableText"/>
            </w:pPr>
            <w:r>
              <w:t>Silt loam:</w:t>
            </w:r>
            <w:r>
              <w:tab/>
              <w:t>DT</w:t>
            </w:r>
            <w:r w:rsidRPr="002B4968">
              <w:rPr>
                <w:vertAlign w:val="subscript"/>
              </w:rPr>
              <w:t>50</w:t>
            </w:r>
            <w:r>
              <w:t xml:space="preserve"> 7.4 d</w:t>
            </w:r>
          </w:p>
          <w:p w14:paraId="7F581A38" w14:textId="77777777" w:rsidR="00EE24E4" w:rsidRDefault="00EE24E4" w:rsidP="00377F3A">
            <w:pPr>
              <w:pStyle w:val="TableText"/>
            </w:pPr>
            <w:r>
              <w:t>Sand:</w:t>
            </w:r>
            <w:r>
              <w:tab/>
              <w:t>DT</w:t>
            </w:r>
            <w:r w:rsidRPr="002B4968">
              <w:rPr>
                <w:vertAlign w:val="subscript"/>
              </w:rPr>
              <w:t>50</w:t>
            </w:r>
            <w:r>
              <w:t xml:space="preserve"> 9.0 d</w:t>
            </w:r>
          </w:p>
          <w:p w14:paraId="71F2CF5A" w14:textId="77777777" w:rsidR="00EE24E4" w:rsidRDefault="00EE24E4" w:rsidP="00377F3A">
            <w:pPr>
              <w:pStyle w:val="TableText"/>
            </w:pPr>
            <w:r>
              <w:t>Loam:</w:t>
            </w:r>
            <w:r>
              <w:tab/>
              <w:t>DT</w:t>
            </w:r>
            <w:r w:rsidRPr="002B4968">
              <w:rPr>
                <w:vertAlign w:val="subscript"/>
              </w:rPr>
              <w:t>50</w:t>
            </w:r>
            <w:r>
              <w:t xml:space="preserve"> 2.8 d</w:t>
            </w:r>
          </w:p>
        </w:tc>
        <w:tc>
          <w:tcPr>
            <w:tcW w:w="0" w:type="auto"/>
            <w:tcBorders>
              <w:top w:val="nil"/>
              <w:bottom w:val="nil"/>
            </w:tcBorders>
          </w:tcPr>
          <w:p w14:paraId="0B099706" w14:textId="77777777" w:rsidR="00EE24E4" w:rsidRDefault="00EE24E4" w:rsidP="00377F3A">
            <w:pPr>
              <w:pStyle w:val="TableText"/>
            </w:pPr>
            <w:r w:rsidRPr="002B4968">
              <w:t xml:space="preserve">Völkl </w:t>
            </w:r>
            <w:r>
              <w:t>&amp;</w:t>
            </w:r>
            <w:r w:rsidRPr="002B4968">
              <w:t xml:space="preserve"> Galicia</w:t>
            </w:r>
            <w:r>
              <w:t xml:space="preserve"> 1992</w:t>
            </w:r>
          </w:p>
        </w:tc>
      </w:tr>
      <w:tr w:rsidR="00EE24E4" w:rsidRPr="008B4AF6" w14:paraId="72AB2568" w14:textId="77777777" w:rsidTr="00CF78CB">
        <w:trPr>
          <w:cantSplit/>
        </w:trPr>
        <w:tc>
          <w:tcPr>
            <w:tcW w:w="0" w:type="auto"/>
            <w:tcBorders>
              <w:top w:val="nil"/>
              <w:left w:val="nil"/>
              <w:bottom w:val="nil"/>
            </w:tcBorders>
          </w:tcPr>
          <w:p w14:paraId="5E9802A1" w14:textId="77777777" w:rsidR="00EE24E4" w:rsidRDefault="00EE24E4" w:rsidP="00377F3A">
            <w:pPr>
              <w:pStyle w:val="TableText"/>
            </w:pPr>
          </w:p>
        </w:tc>
        <w:tc>
          <w:tcPr>
            <w:tcW w:w="0" w:type="auto"/>
            <w:tcBorders>
              <w:top w:val="nil"/>
              <w:left w:val="nil"/>
              <w:bottom w:val="nil"/>
            </w:tcBorders>
          </w:tcPr>
          <w:p w14:paraId="08A9C1AB" w14:textId="77777777" w:rsidR="00EE24E4" w:rsidRDefault="00EE24E4" w:rsidP="00377F3A">
            <w:pPr>
              <w:pStyle w:val="TableText"/>
            </w:pPr>
          </w:p>
        </w:tc>
        <w:tc>
          <w:tcPr>
            <w:tcW w:w="0" w:type="auto"/>
            <w:tcBorders>
              <w:top w:val="nil"/>
              <w:bottom w:val="nil"/>
            </w:tcBorders>
          </w:tcPr>
          <w:p w14:paraId="7377752A" w14:textId="77777777" w:rsidR="00EE24E4" w:rsidRDefault="00EE24E4" w:rsidP="00377F3A">
            <w:pPr>
              <w:pStyle w:val="TableText"/>
            </w:pPr>
            <w:r>
              <w:t>Geomean DT</w:t>
            </w:r>
            <w:r w:rsidRPr="00F22358">
              <w:rPr>
                <w:vertAlign w:val="subscript"/>
              </w:rPr>
              <w:t>50</w:t>
            </w:r>
            <w:r>
              <w:t xml:space="preserve"> 14 d</w:t>
            </w:r>
          </w:p>
        </w:tc>
        <w:tc>
          <w:tcPr>
            <w:tcW w:w="0" w:type="auto"/>
            <w:tcBorders>
              <w:top w:val="nil"/>
              <w:bottom w:val="nil"/>
            </w:tcBorders>
          </w:tcPr>
          <w:p w14:paraId="48D6C75D" w14:textId="77777777" w:rsidR="00EE24E4" w:rsidRDefault="00EE24E4" w:rsidP="00377F3A">
            <w:pPr>
              <w:pStyle w:val="TableText"/>
            </w:pPr>
          </w:p>
        </w:tc>
      </w:tr>
      <w:tr w:rsidR="00EE24E4" w:rsidRPr="008B4AF6" w14:paraId="0020C972" w14:textId="77777777" w:rsidTr="00CF78CB">
        <w:trPr>
          <w:cantSplit/>
        </w:trPr>
        <w:tc>
          <w:tcPr>
            <w:tcW w:w="0" w:type="auto"/>
            <w:tcBorders>
              <w:top w:val="nil"/>
              <w:left w:val="nil"/>
              <w:bottom w:val="nil"/>
            </w:tcBorders>
          </w:tcPr>
          <w:p w14:paraId="2AC6F2D4" w14:textId="77777777" w:rsidR="00EE24E4" w:rsidRDefault="00EE24E4" w:rsidP="00377F3A">
            <w:pPr>
              <w:pStyle w:val="TableText"/>
            </w:pPr>
          </w:p>
        </w:tc>
        <w:tc>
          <w:tcPr>
            <w:tcW w:w="0" w:type="auto"/>
            <w:tcBorders>
              <w:top w:val="nil"/>
              <w:left w:val="nil"/>
              <w:bottom w:val="nil"/>
            </w:tcBorders>
          </w:tcPr>
          <w:p w14:paraId="2D5E8629" w14:textId="77777777" w:rsidR="00EE24E4" w:rsidRDefault="00EE24E4" w:rsidP="00377F3A">
            <w:pPr>
              <w:pStyle w:val="TableText"/>
            </w:pPr>
          </w:p>
        </w:tc>
        <w:tc>
          <w:tcPr>
            <w:tcW w:w="0" w:type="auto"/>
            <w:tcBorders>
              <w:top w:val="nil"/>
              <w:bottom w:val="nil"/>
            </w:tcBorders>
          </w:tcPr>
          <w:p w14:paraId="1E4D8FE3" w14:textId="77777777" w:rsidR="00EE24E4" w:rsidRDefault="00EE24E4" w:rsidP="00377F3A">
            <w:pPr>
              <w:pStyle w:val="TableText"/>
            </w:pPr>
            <w:r>
              <w:t>1.7-23% mineralisation after 90-98d</w:t>
            </w:r>
          </w:p>
          <w:p w14:paraId="2095CBC3" w14:textId="77777777" w:rsidR="00EE24E4" w:rsidRDefault="00EE24E4" w:rsidP="00377F3A">
            <w:pPr>
              <w:pStyle w:val="TableText"/>
            </w:pPr>
            <w:r>
              <w:t>8.8-21% bound residues after 90-98d</w:t>
            </w:r>
          </w:p>
          <w:p w14:paraId="2DB6B894" w14:textId="77777777" w:rsidR="00EE24E4" w:rsidRDefault="00EE24E4" w:rsidP="00377F3A">
            <w:pPr>
              <w:pStyle w:val="TableText"/>
            </w:pPr>
            <w:r>
              <w:t>Max 40% ketone,</w:t>
            </w:r>
            <w:r>
              <w:tab/>
              <w:t>DT</w:t>
            </w:r>
            <w:r w:rsidRPr="00571FAF">
              <w:rPr>
                <w:vertAlign w:val="subscript"/>
              </w:rPr>
              <w:t>50</w:t>
            </w:r>
            <w:r>
              <w:t xml:space="preserve"> 209 d</w:t>
            </w:r>
          </w:p>
          <w:p w14:paraId="55D3DD35" w14:textId="77777777" w:rsidR="00EE24E4" w:rsidRDefault="00EE24E4" w:rsidP="00377F3A">
            <w:pPr>
              <w:pStyle w:val="TableText"/>
            </w:pPr>
            <w:r>
              <w:t>Max 25% M9 (increasing)</w:t>
            </w:r>
          </w:p>
          <w:p w14:paraId="3BDA131F" w14:textId="77777777" w:rsidR="00EE24E4" w:rsidRPr="006F78D3" w:rsidRDefault="00EE24E4" w:rsidP="00377F3A">
            <w:pPr>
              <w:pStyle w:val="TableText"/>
              <w:rPr>
                <w:lang w:val="de-CH"/>
              </w:rPr>
            </w:pPr>
            <w:r w:rsidRPr="006F78D3">
              <w:rPr>
                <w:lang w:val="de-CH"/>
              </w:rPr>
              <w:t xml:space="preserve">Max 19% unk 1, </w:t>
            </w:r>
            <w:r w:rsidRPr="006F78D3">
              <w:rPr>
                <w:lang w:val="de-CH"/>
              </w:rPr>
              <w:tab/>
              <w:t>DT</w:t>
            </w:r>
            <w:r w:rsidRPr="00F85D43">
              <w:rPr>
                <w:vertAlign w:val="subscript"/>
                <w:lang w:val="de-CH"/>
              </w:rPr>
              <w:t>50</w:t>
            </w:r>
            <w:r w:rsidRPr="006F78D3">
              <w:rPr>
                <w:lang w:val="de-CH"/>
              </w:rPr>
              <w:t xml:space="preserve"> 175 d</w:t>
            </w:r>
          </w:p>
          <w:p w14:paraId="381C5013" w14:textId="77777777" w:rsidR="00EE24E4" w:rsidRPr="006F78D3" w:rsidRDefault="00EE24E4" w:rsidP="00377F3A">
            <w:pPr>
              <w:pStyle w:val="TableText"/>
              <w:rPr>
                <w:lang w:val="de-CH"/>
              </w:rPr>
            </w:pPr>
            <w:r w:rsidRPr="006F78D3">
              <w:rPr>
                <w:lang w:val="de-CH"/>
              </w:rPr>
              <w:t>Max 16% M4</w:t>
            </w:r>
          </w:p>
          <w:p w14:paraId="3138AB24" w14:textId="77777777" w:rsidR="00EE24E4" w:rsidRDefault="00EE24E4" w:rsidP="00377F3A">
            <w:pPr>
              <w:pStyle w:val="TableText"/>
            </w:pPr>
            <w:r>
              <w:t>Max 14% M5</w:t>
            </w:r>
          </w:p>
          <w:p w14:paraId="660A4D6E" w14:textId="77777777" w:rsidR="00EE24E4" w:rsidRDefault="00EE24E4" w:rsidP="00377F3A">
            <w:pPr>
              <w:pStyle w:val="TableText"/>
            </w:pPr>
            <w:r>
              <w:t>Max 11% M3</w:t>
            </w:r>
          </w:p>
        </w:tc>
        <w:tc>
          <w:tcPr>
            <w:tcW w:w="0" w:type="auto"/>
            <w:tcBorders>
              <w:top w:val="nil"/>
              <w:bottom w:val="nil"/>
            </w:tcBorders>
          </w:tcPr>
          <w:p w14:paraId="34496E7F" w14:textId="77777777" w:rsidR="00EE24E4" w:rsidRDefault="00EE24E4" w:rsidP="00377F3A">
            <w:pPr>
              <w:pStyle w:val="TableText"/>
            </w:pPr>
          </w:p>
        </w:tc>
      </w:tr>
      <w:tr w:rsidR="00EE24E4" w:rsidRPr="008B4AF6" w14:paraId="3F63A309" w14:textId="77777777" w:rsidTr="00CF78CB">
        <w:trPr>
          <w:cantSplit/>
        </w:trPr>
        <w:tc>
          <w:tcPr>
            <w:tcW w:w="0" w:type="auto"/>
            <w:tcBorders>
              <w:top w:val="nil"/>
              <w:left w:val="nil"/>
              <w:bottom w:val="nil"/>
            </w:tcBorders>
          </w:tcPr>
          <w:p w14:paraId="04DCBC96" w14:textId="77777777" w:rsidR="00EE24E4" w:rsidRDefault="00EE24E4" w:rsidP="00377F3A">
            <w:pPr>
              <w:pStyle w:val="TableText"/>
            </w:pPr>
          </w:p>
        </w:tc>
        <w:tc>
          <w:tcPr>
            <w:tcW w:w="0" w:type="auto"/>
            <w:vMerge w:val="restart"/>
            <w:tcBorders>
              <w:top w:val="nil"/>
              <w:left w:val="nil"/>
            </w:tcBorders>
          </w:tcPr>
          <w:p w14:paraId="233B7361" w14:textId="77777777" w:rsidR="00EE24E4" w:rsidRDefault="00EE24E4" w:rsidP="00377F3A">
            <w:pPr>
              <w:pStyle w:val="TableText"/>
            </w:pPr>
            <w:r>
              <w:t>Adsorption/</w:t>
            </w:r>
          </w:p>
          <w:p w14:paraId="3AC60A85" w14:textId="77777777" w:rsidR="00EE24E4" w:rsidRPr="008B4AF6" w:rsidRDefault="00EE24E4" w:rsidP="00377F3A">
            <w:pPr>
              <w:pStyle w:val="TableText"/>
            </w:pPr>
            <w:r>
              <w:lastRenderedPageBreak/>
              <w:t>desorption</w:t>
            </w:r>
          </w:p>
        </w:tc>
        <w:tc>
          <w:tcPr>
            <w:tcW w:w="0" w:type="auto"/>
            <w:tcBorders>
              <w:top w:val="nil"/>
              <w:bottom w:val="nil"/>
            </w:tcBorders>
          </w:tcPr>
          <w:p w14:paraId="5A8E5F67" w14:textId="77777777" w:rsidR="00EE24E4" w:rsidRPr="008B4AF6" w:rsidRDefault="00EE24E4" w:rsidP="00377F3A">
            <w:pPr>
              <w:pStyle w:val="TableText"/>
            </w:pPr>
            <w:r w:rsidRPr="003B78E0">
              <w:lastRenderedPageBreak/>
              <w:t>Soil</w:t>
            </w:r>
            <w:r>
              <w:tab/>
            </w:r>
            <w:r w:rsidRPr="0086508E">
              <w:t>pH</w:t>
            </w:r>
            <w:r>
              <w:tab/>
            </w:r>
            <w:r w:rsidRPr="003B78E0">
              <w:t>%OC</w:t>
            </w:r>
            <w:r>
              <w:tab/>
            </w:r>
            <w:r w:rsidRPr="00F51E1A">
              <w:t>Kd/Kf</w:t>
            </w:r>
            <w:r>
              <w:tab/>
            </w:r>
            <w:r w:rsidRPr="003B78E0">
              <w:t>Koc</w:t>
            </w:r>
            <w:r w:rsidRPr="00F51E1A">
              <w:tab/>
            </w:r>
            <w:r>
              <w:t>1/n</w:t>
            </w:r>
          </w:p>
        </w:tc>
        <w:tc>
          <w:tcPr>
            <w:tcW w:w="0" w:type="auto"/>
            <w:tcBorders>
              <w:top w:val="nil"/>
              <w:bottom w:val="nil"/>
            </w:tcBorders>
          </w:tcPr>
          <w:p w14:paraId="22EED4BA" w14:textId="77777777" w:rsidR="00EE24E4" w:rsidRPr="008B4AF6" w:rsidRDefault="00EE24E4" w:rsidP="00377F3A">
            <w:pPr>
              <w:pStyle w:val="TableText"/>
            </w:pPr>
          </w:p>
        </w:tc>
      </w:tr>
      <w:tr w:rsidR="00EE24E4" w:rsidRPr="008B4AF6" w14:paraId="696DDC07" w14:textId="77777777" w:rsidTr="00CF78CB">
        <w:trPr>
          <w:cantSplit/>
        </w:trPr>
        <w:tc>
          <w:tcPr>
            <w:tcW w:w="0" w:type="auto"/>
            <w:tcBorders>
              <w:top w:val="nil"/>
              <w:left w:val="nil"/>
              <w:bottom w:val="nil"/>
            </w:tcBorders>
          </w:tcPr>
          <w:p w14:paraId="6C726456" w14:textId="77777777" w:rsidR="00EE24E4" w:rsidRDefault="00EE24E4" w:rsidP="00377F3A">
            <w:pPr>
              <w:pStyle w:val="TableText"/>
            </w:pPr>
          </w:p>
        </w:tc>
        <w:tc>
          <w:tcPr>
            <w:tcW w:w="0" w:type="auto"/>
            <w:vMerge/>
            <w:tcBorders>
              <w:left w:val="nil"/>
              <w:bottom w:val="nil"/>
            </w:tcBorders>
          </w:tcPr>
          <w:p w14:paraId="7B802FCC" w14:textId="77777777" w:rsidR="00EE24E4" w:rsidRDefault="00EE24E4" w:rsidP="00377F3A">
            <w:pPr>
              <w:pStyle w:val="TableText"/>
            </w:pPr>
          </w:p>
        </w:tc>
        <w:tc>
          <w:tcPr>
            <w:tcW w:w="0" w:type="auto"/>
            <w:tcBorders>
              <w:top w:val="nil"/>
              <w:bottom w:val="nil"/>
            </w:tcBorders>
          </w:tcPr>
          <w:p w14:paraId="7FB6AF59" w14:textId="77777777" w:rsidR="00EE24E4" w:rsidRDefault="00EE24E4" w:rsidP="00377F3A">
            <w:pPr>
              <w:pStyle w:val="TableText"/>
            </w:pPr>
            <w:r>
              <w:t>soil 2</w:t>
            </w:r>
            <w:r>
              <w:tab/>
              <w:t>7.5</w:t>
            </w:r>
            <w:r>
              <w:tab/>
              <w:t>1.9</w:t>
            </w:r>
            <w:r>
              <w:tab/>
              <w:t>71</w:t>
            </w:r>
            <w:r>
              <w:tab/>
              <w:t>3750</w:t>
            </w:r>
          </w:p>
          <w:p w14:paraId="1E71EE7B" w14:textId="77777777" w:rsidR="00EE24E4" w:rsidRDefault="00EE24E4" w:rsidP="00377F3A">
            <w:pPr>
              <w:pStyle w:val="TableText"/>
            </w:pPr>
            <w:r>
              <w:t>soil 3</w:t>
            </w:r>
            <w:r>
              <w:tab/>
              <w:t>6.4</w:t>
            </w:r>
            <w:r>
              <w:tab/>
              <w:t>3.2</w:t>
            </w:r>
            <w:r>
              <w:tab/>
              <w:t>113</w:t>
            </w:r>
            <w:r>
              <w:tab/>
              <w:t>3530</w:t>
            </w:r>
          </w:p>
          <w:p w14:paraId="13D6B5FC" w14:textId="77777777" w:rsidR="00EE24E4" w:rsidRDefault="00EE24E4" w:rsidP="00377F3A">
            <w:pPr>
              <w:pStyle w:val="TableText"/>
            </w:pPr>
            <w:r>
              <w:t>soil 4</w:t>
            </w:r>
            <w:r>
              <w:tab/>
              <w:t>4.5</w:t>
            </w:r>
            <w:r>
              <w:tab/>
              <w:t>3.0</w:t>
            </w:r>
            <w:r>
              <w:tab/>
              <w:t>1250</w:t>
            </w:r>
            <w:r>
              <w:tab/>
              <w:t>41600</w:t>
            </w:r>
          </w:p>
          <w:p w14:paraId="2F103B19" w14:textId="77777777" w:rsidR="00EE24E4" w:rsidRDefault="00EE24E4" w:rsidP="00377F3A">
            <w:pPr>
              <w:pStyle w:val="TableText"/>
            </w:pPr>
            <w:r>
              <w:t>soil 5</w:t>
            </w:r>
            <w:r>
              <w:tab/>
              <w:t>6.4</w:t>
            </w:r>
            <w:r>
              <w:tab/>
              <w:t>1.5</w:t>
            </w:r>
            <w:r>
              <w:tab/>
              <w:t>153</w:t>
            </w:r>
            <w:r>
              <w:tab/>
              <w:t>10200</w:t>
            </w:r>
          </w:p>
          <w:p w14:paraId="1CB7EA8D" w14:textId="77777777" w:rsidR="00EE24E4" w:rsidRPr="003B78E0" w:rsidRDefault="00EE24E4" w:rsidP="00377F3A">
            <w:pPr>
              <w:pStyle w:val="TableText"/>
              <w:rPr>
                <w:u w:val="single"/>
              </w:rPr>
            </w:pPr>
            <w:r>
              <w:t>soil 7</w:t>
            </w:r>
            <w:r>
              <w:tab/>
              <w:t>4.2</w:t>
            </w:r>
            <w:r>
              <w:tab/>
              <w:t>11</w:t>
            </w:r>
            <w:r>
              <w:tab/>
              <w:t>&gt;1190</w:t>
            </w:r>
            <w:r>
              <w:tab/>
              <w:t>&gt;10400</w:t>
            </w:r>
          </w:p>
        </w:tc>
        <w:tc>
          <w:tcPr>
            <w:tcW w:w="0" w:type="auto"/>
            <w:tcBorders>
              <w:top w:val="nil"/>
              <w:bottom w:val="nil"/>
            </w:tcBorders>
          </w:tcPr>
          <w:p w14:paraId="56ADED1A" w14:textId="77777777" w:rsidR="00EE24E4" w:rsidRDefault="00EE24E4" w:rsidP="00377F3A">
            <w:pPr>
              <w:pStyle w:val="TableText"/>
            </w:pPr>
            <w:r>
              <w:t>O’Connor &amp; Woolley 2007</w:t>
            </w:r>
          </w:p>
        </w:tc>
      </w:tr>
      <w:tr w:rsidR="00EE24E4" w:rsidRPr="008B4AF6" w14:paraId="4B42FF19" w14:textId="77777777" w:rsidTr="00CF78CB">
        <w:trPr>
          <w:cantSplit/>
        </w:trPr>
        <w:tc>
          <w:tcPr>
            <w:tcW w:w="0" w:type="auto"/>
            <w:tcBorders>
              <w:top w:val="nil"/>
              <w:left w:val="nil"/>
              <w:bottom w:val="nil"/>
            </w:tcBorders>
          </w:tcPr>
          <w:p w14:paraId="369EF3BA" w14:textId="77777777" w:rsidR="00EE24E4" w:rsidRDefault="00EE24E4" w:rsidP="00377F3A">
            <w:pPr>
              <w:pStyle w:val="TableText"/>
            </w:pPr>
          </w:p>
        </w:tc>
        <w:tc>
          <w:tcPr>
            <w:tcW w:w="0" w:type="auto"/>
            <w:tcBorders>
              <w:top w:val="nil"/>
              <w:left w:val="nil"/>
              <w:bottom w:val="nil"/>
            </w:tcBorders>
          </w:tcPr>
          <w:p w14:paraId="0AF8F1BA" w14:textId="77777777" w:rsidR="00EE24E4" w:rsidRDefault="00EE24E4" w:rsidP="00377F3A">
            <w:pPr>
              <w:pStyle w:val="TableText"/>
            </w:pPr>
          </w:p>
        </w:tc>
        <w:tc>
          <w:tcPr>
            <w:tcW w:w="0" w:type="auto"/>
            <w:tcBorders>
              <w:top w:val="nil"/>
              <w:bottom w:val="nil"/>
            </w:tcBorders>
          </w:tcPr>
          <w:p w14:paraId="0B5E272B" w14:textId="77777777" w:rsidR="00EE24E4" w:rsidRDefault="00EE24E4" w:rsidP="00377F3A">
            <w:pPr>
              <w:pStyle w:val="TableText"/>
            </w:pPr>
            <w:r>
              <w:t>Loamy sand</w:t>
            </w:r>
            <w:r>
              <w:tab/>
              <w:t>7.3</w:t>
            </w:r>
            <w:r>
              <w:tab/>
              <w:t>0.61</w:t>
            </w:r>
            <w:r>
              <w:tab/>
              <w:t>10</w:t>
            </w:r>
            <w:r>
              <w:tab/>
              <w:t>1709</w:t>
            </w:r>
            <w:r>
              <w:tab/>
              <w:t>0.89</w:t>
            </w:r>
          </w:p>
          <w:p w14:paraId="361151BF" w14:textId="77777777" w:rsidR="00EE24E4" w:rsidRPr="00F51E1A" w:rsidRDefault="00EE24E4" w:rsidP="00377F3A">
            <w:pPr>
              <w:pStyle w:val="TableText"/>
            </w:pPr>
            <w:r w:rsidRPr="00F51E1A">
              <w:t>Silt loam</w:t>
            </w:r>
            <w:r>
              <w:tab/>
              <w:t>7.7</w:t>
            </w:r>
            <w:r>
              <w:tab/>
              <w:t>0.34</w:t>
            </w:r>
            <w:r>
              <w:tab/>
              <w:t>5.3</w:t>
            </w:r>
            <w:r>
              <w:tab/>
              <w:t>1563</w:t>
            </w:r>
            <w:r>
              <w:tab/>
              <w:t>0.65</w:t>
            </w:r>
          </w:p>
        </w:tc>
        <w:tc>
          <w:tcPr>
            <w:tcW w:w="0" w:type="auto"/>
            <w:tcBorders>
              <w:top w:val="nil"/>
              <w:bottom w:val="nil"/>
            </w:tcBorders>
          </w:tcPr>
          <w:p w14:paraId="5179DDE8" w14:textId="77777777" w:rsidR="00EE24E4" w:rsidRDefault="00EE24E4" w:rsidP="00377F3A">
            <w:pPr>
              <w:pStyle w:val="TableText"/>
            </w:pPr>
            <w:r>
              <w:t>Spare 1981a</w:t>
            </w:r>
          </w:p>
        </w:tc>
      </w:tr>
      <w:tr w:rsidR="00EE24E4" w:rsidRPr="008B4AF6" w14:paraId="21EC52C4" w14:textId="77777777" w:rsidTr="00CF78CB">
        <w:trPr>
          <w:cantSplit/>
        </w:trPr>
        <w:tc>
          <w:tcPr>
            <w:tcW w:w="0" w:type="auto"/>
            <w:tcBorders>
              <w:top w:val="nil"/>
              <w:left w:val="nil"/>
              <w:bottom w:val="nil"/>
            </w:tcBorders>
          </w:tcPr>
          <w:p w14:paraId="6441388C" w14:textId="77777777" w:rsidR="00EE24E4" w:rsidRDefault="00EE24E4" w:rsidP="00377F3A">
            <w:pPr>
              <w:pStyle w:val="TableText"/>
            </w:pPr>
          </w:p>
        </w:tc>
        <w:tc>
          <w:tcPr>
            <w:tcW w:w="0" w:type="auto"/>
            <w:tcBorders>
              <w:top w:val="nil"/>
              <w:left w:val="nil"/>
              <w:bottom w:val="nil"/>
            </w:tcBorders>
          </w:tcPr>
          <w:p w14:paraId="3523443A" w14:textId="77777777" w:rsidR="00EE24E4" w:rsidRDefault="00EE24E4" w:rsidP="00377F3A">
            <w:pPr>
              <w:pStyle w:val="TableText"/>
            </w:pPr>
          </w:p>
        </w:tc>
        <w:tc>
          <w:tcPr>
            <w:tcW w:w="0" w:type="auto"/>
            <w:tcBorders>
              <w:top w:val="nil"/>
              <w:bottom w:val="nil"/>
            </w:tcBorders>
          </w:tcPr>
          <w:p w14:paraId="24FD3818" w14:textId="77777777" w:rsidR="00EE24E4" w:rsidRDefault="00EE24E4" w:rsidP="00377F3A">
            <w:pPr>
              <w:pStyle w:val="TableText"/>
            </w:pPr>
            <w:r>
              <w:t>Geomean Kd 397 mL/g, Koc 14770 mL/g</w:t>
            </w:r>
          </w:p>
        </w:tc>
        <w:tc>
          <w:tcPr>
            <w:tcW w:w="0" w:type="auto"/>
            <w:tcBorders>
              <w:top w:val="nil"/>
              <w:bottom w:val="nil"/>
            </w:tcBorders>
          </w:tcPr>
          <w:p w14:paraId="215DAE16" w14:textId="77777777" w:rsidR="00EE24E4" w:rsidRDefault="00EE24E4" w:rsidP="00377F3A">
            <w:pPr>
              <w:pStyle w:val="TableText"/>
            </w:pPr>
          </w:p>
        </w:tc>
      </w:tr>
      <w:tr w:rsidR="00EE24E4" w:rsidRPr="008B4AF6" w14:paraId="1A81F1B3" w14:textId="77777777" w:rsidTr="00CF78CB">
        <w:trPr>
          <w:cantSplit/>
        </w:trPr>
        <w:tc>
          <w:tcPr>
            <w:tcW w:w="0" w:type="auto"/>
            <w:tcBorders>
              <w:top w:val="nil"/>
              <w:left w:val="nil"/>
              <w:bottom w:val="nil"/>
            </w:tcBorders>
          </w:tcPr>
          <w:p w14:paraId="022FFBB4" w14:textId="77777777" w:rsidR="00EE24E4" w:rsidRDefault="00EE24E4" w:rsidP="00377F3A">
            <w:pPr>
              <w:pStyle w:val="TableText"/>
            </w:pPr>
          </w:p>
        </w:tc>
        <w:tc>
          <w:tcPr>
            <w:tcW w:w="0" w:type="auto"/>
            <w:tcBorders>
              <w:top w:val="nil"/>
              <w:left w:val="nil"/>
              <w:bottom w:val="nil"/>
            </w:tcBorders>
          </w:tcPr>
          <w:p w14:paraId="05D7DB59" w14:textId="77777777" w:rsidR="00EE24E4" w:rsidRDefault="00EE24E4" w:rsidP="00377F3A">
            <w:pPr>
              <w:pStyle w:val="TableText"/>
            </w:pPr>
            <w:r>
              <w:t>Column leaching</w:t>
            </w:r>
          </w:p>
        </w:tc>
        <w:tc>
          <w:tcPr>
            <w:tcW w:w="0" w:type="auto"/>
            <w:tcBorders>
              <w:top w:val="nil"/>
              <w:bottom w:val="nil"/>
            </w:tcBorders>
          </w:tcPr>
          <w:p w14:paraId="4506863A" w14:textId="77777777" w:rsidR="00EE24E4" w:rsidRDefault="00EE24E4" w:rsidP="00377F3A">
            <w:pPr>
              <w:pStyle w:val="TableText"/>
            </w:pPr>
            <w:r>
              <w:t>508 mm elution over 1d, four soils:</w:t>
            </w:r>
          </w:p>
          <w:p w14:paraId="265845F0" w14:textId="77777777" w:rsidR="00EE24E4" w:rsidRDefault="00EE24E4" w:rsidP="00377F3A">
            <w:pPr>
              <w:pStyle w:val="TableText"/>
            </w:pPr>
            <w:r>
              <w:t>80-105% in top 5 cm</w:t>
            </w:r>
          </w:p>
          <w:p w14:paraId="237FE1CE" w14:textId="77777777" w:rsidR="00EE24E4" w:rsidRDefault="00EE24E4" w:rsidP="00377F3A">
            <w:pPr>
              <w:pStyle w:val="TableText"/>
            </w:pPr>
            <w:r>
              <w:t>0.1-0.3% in leachate</w:t>
            </w:r>
          </w:p>
        </w:tc>
        <w:tc>
          <w:tcPr>
            <w:tcW w:w="0" w:type="auto"/>
            <w:tcBorders>
              <w:top w:val="nil"/>
              <w:bottom w:val="nil"/>
            </w:tcBorders>
          </w:tcPr>
          <w:p w14:paraId="7C065899" w14:textId="77777777" w:rsidR="00EE24E4" w:rsidRDefault="00EE24E4" w:rsidP="00377F3A">
            <w:pPr>
              <w:pStyle w:val="TableText"/>
            </w:pPr>
            <w:r>
              <w:t>Spare 1993</w:t>
            </w:r>
          </w:p>
        </w:tc>
      </w:tr>
      <w:tr w:rsidR="00EE24E4" w:rsidRPr="008B4AF6" w14:paraId="46E6F4FA" w14:textId="77777777" w:rsidTr="00CF78CB">
        <w:trPr>
          <w:cantSplit/>
        </w:trPr>
        <w:tc>
          <w:tcPr>
            <w:tcW w:w="0" w:type="auto"/>
            <w:tcBorders>
              <w:top w:val="nil"/>
              <w:left w:val="nil"/>
              <w:bottom w:val="single" w:sz="4" w:space="0" w:color="auto"/>
            </w:tcBorders>
          </w:tcPr>
          <w:p w14:paraId="06222D48" w14:textId="77777777" w:rsidR="00EE24E4" w:rsidRDefault="00EE24E4" w:rsidP="00377F3A">
            <w:pPr>
              <w:pStyle w:val="TableText"/>
            </w:pPr>
          </w:p>
        </w:tc>
        <w:tc>
          <w:tcPr>
            <w:tcW w:w="0" w:type="auto"/>
            <w:tcBorders>
              <w:top w:val="nil"/>
              <w:left w:val="nil"/>
              <w:bottom w:val="single" w:sz="4" w:space="0" w:color="auto"/>
            </w:tcBorders>
          </w:tcPr>
          <w:p w14:paraId="682FE10B" w14:textId="77777777" w:rsidR="00EE24E4" w:rsidRDefault="00EE24E4" w:rsidP="00377F3A">
            <w:pPr>
              <w:pStyle w:val="TableText"/>
            </w:pPr>
          </w:p>
        </w:tc>
        <w:tc>
          <w:tcPr>
            <w:tcW w:w="0" w:type="auto"/>
            <w:tcBorders>
              <w:top w:val="nil"/>
              <w:bottom w:val="single" w:sz="4" w:space="0" w:color="auto"/>
            </w:tcBorders>
          </w:tcPr>
          <w:p w14:paraId="0FD9648D" w14:textId="77777777" w:rsidR="00EE24E4" w:rsidRDefault="00EE24E4" w:rsidP="00377F3A">
            <w:pPr>
              <w:pStyle w:val="TableText"/>
            </w:pPr>
            <w:r>
              <w:t>560 mm elution, loamy sand aged 30d:</w:t>
            </w:r>
          </w:p>
          <w:p w14:paraId="21F32AE0" w14:textId="77777777" w:rsidR="00EE24E4" w:rsidRDefault="00EE24E4" w:rsidP="00377F3A">
            <w:pPr>
              <w:pStyle w:val="TableText"/>
            </w:pPr>
            <w:r>
              <w:t>99% in top 5 cm</w:t>
            </w:r>
          </w:p>
          <w:p w14:paraId="08C088F4" w14:textId="77777777" w:rsidR="00EE24E4" w:rsidRDefault="00EE24E4" w:rsidP="00377F3A">
            <w:pPr>
              <w:pStyle w:val="TableText"/>
            </w:pPr>
            <w:r>
              <w:t>0.1% in leachate</w:t>
            </w:r>
          </w:p>
        </w:tc>
        <w:tc>
          <w:tcPr>
            <w:tcW w:w="0" w:type="auto"/>
            <w:tcBorders>
              <w:top w:val="nil"/>
              <w:bottom w:val="single" w:sz="4" w:space="0" w:color="auto"/>
            </w:tcBorders>
          </w:tcPr>
          <w:p w14:paraId="5D52A73F" w14:textId="77777777" w:rsidR="00EE24E4" w:rsidRDefault="00EE24E4" w:rsidP="00377F3A">
            <w:pPr>
              <w:pStyle w:val="TableText"/>
            </w:pPr>
            <w:r>
              <w:t>Spare 1981b</w:t>
            </w:r>
          </w:p>
        </w:tc>
      </w:tr>
      <w:tr w:rsidR="00CF78CB" w:rsidRPr="008B4AF6" w14:paraId="3E7EA1A0" w14:textId="77777777" w:rsidTr="00CF78CB">
        <w:trPr>
          <w:cantSplit/>
        </w:trPr>
        <w:tc>
          <w:tcPr>
            <w:tcW w:w="0" w:type="auto"/>
            <w:tcBorders>
              <w:top w:val="single" w:sz="4" w:space="0" w:color="auto"/>
              <w:left w:val="nil"/>
              <w:bottom w:val="nil"/>
            </w:tcBorders>
          </w:tcPr>
          <w:p w14:paraId="25473F65" w14:textId="77777777" w:rsidR="00CF78CB" w:rsidRDefault="00CF78CB" w:rsidP="00377F3A">
            <w:pPr>
              <w:pStyle w:val="TableText"/>
            </w:pPr>
            <w:r>
              <w:t>Water and</w:t>
            </w:r>
          </w:p>
          <w:p w14:paraId="11BBBE39" w14:textId="5942524B" w:rsidR="00CF78CB" w:rsidRDefault="00CF78CB" w:rsidP="00377F3A">
            <w:pPr>
              <w:pStyle w:val="TableText"/>
            </w:pPr>
            <w:r>
              <w:t>sediment</w:t>
            </w:r>
          </w:p>
        </w:tc>
        <w:tc>
          <w:tcPr>
            <w:tcW w:w="0" w:type="auto"/>
            <w:tcBorders>
              <w:top w:val="single" w:sz="4" w:space="0" w:color="auto"/>
              <w:left w:val="nil"/>
              <w:bottom w:val="nil"/>
            </w:tcBorders>
          </w:tcPr>
          <w:p w14:paraId="6A7D41A2" w14:textId="651AC067" w:rsidR="00CF78CB" w:rsidRDefault="00CF78CB" w:rsidP="00377F3A">
            <w:pPr>
              <w:pStyle w:val="TableText"/>
            </w:pPr>
            <w:r>
              <w:t>Hydrolysis</w:t>
            </w:r>
          </w:p>
        </w:tc>
        <w:tc>
          <w:tcPr>
            <w:tcW w:w="0" w:type="auto"/>
            <w:tcBorders>
              <w:top w:val="single" w:sz="4" w:space="0" w:color="auto"/>
              <w:bottom w:val="nil"/>
            </w:tcBorders>
          </w:tcPr>
          <w:p w14:paraId="4E540BF4" w14:textId="77777777" w:rsidR="00CF78CB" w:rsidRDefault="00CF78CB" w:rsidP="00377F3A">
            <w:pPr>
              <w:pStyle w:val="TableText"/>
            </w:pPr>
            <w:r>
              <w:t>pH 7, 50°C: stable</w:t>
            </w:r>
          </w:p>
          <w:p w14:paraId="624BD524" w14:textId="095B75FF" w:rsidR="00CF78CB" w:rsidRDefault="00CF78CB" w:rsidP="00377F3A">
            <w:pPr>
              <w:pStyle w:val="TableText"/>
            </w:pPr>
            <w:r>
              <w:t>pH 9, 50°C: stable</w:t>
            </w:r>
          </w:p>
        </w:tc>
        <w:tc>
          <w:tcPr>
            <w:tcW w:w="0" w:type="auto"/>
            <w:tcBorders>
              <w:top w:val="single" w:sz="4" w:space="0" w:color="auto"/>
              <w:bottom w:val="nil"/>
            </w:tcBorders>
          </w:tcPr>
          <w:p w14:paraId="123CB87F" w14:textId="14CA6FC3" w:rsidR="00CF78CB" w:rsidRDefault="00CF78CB" w:rsidP="00377F3A">
            <w:pPr>
              <w:pStyle w:val="TableText"/>
            </w:pPr>
            <w:r>
              <w:t>Laky 2002</w:t>
            </w:r>
          </w:p>
        </w:tc>
      </w:tr>
      <w:tr w:rsidR="00CF78CB" w:rsidRPr="008B4AF6" w14:paraId="070EC935" w14:textId="77777777" w:rsidTr="00CF78CB">
        <w:trPr>
          <w:cantSplit/>
        </w:trPr>
        <w:tc>
          <w:tcPr>
            <w:tcW w:w="0" w:type="auto"/>
            <w:tcBorders>
              <w:top w:val="nil"/>
              <w:left w:val="nil"/>
              <w:bottom w:val="nil"/>
            </w:tcBorders>
          </w:tcPr>
          <w:p w14:paraId="76E49F0C" w14:textId="77777777" w:rsidR="00CF78CB" w:rsidRDefault="00CF78CB" w:rsidP="00377F3A">
            <w:pPr>
              <w:pStyle w:val="TableText"/>
            </w:pPr>
          </w:p>
        </w:tc>
        <w:tc>
          <w:tcPr>
            <w:tcW w:w="0" w:type="auto"/>
            <w:tcBorders>
              <w:top w:val="nil"/>
              <w:left w:val="nil"/>
              <w:bottom w:val="nil"/>
            </w:tcBorders>
          </w:tcPr>
          <w:p w14:paraId="3BB697A8" w14:textId="77777777" w:rsidR="00CF78CB" w:rsidRDefault="00CF78CB" w:rsidP="00377F3A">
            <w:pPr>
              <w:pStyle w:val="TableText"/>
            </w:pPr>
          </w:p>
        </w:tc>
        <w:tc>
          <w:tcPr>
            <w:tcW w:w="0" w:type="auto"/>
            <w:tcBorders>
              <w:top w:val="nil"/>
              <w:bottom w:val="nil"/>
            </w:tcBorders>
          </w:tcPr>
          <w:p w14:paraId="5D499F63" w14:textId="77777777" w:rsidR="00CF78CB" w:rsidRDefault="00CF78CB" w:rsidP="00377F3A">
            <w:pPr>
              <w:pStyle w:val="TableText"/>
            </w:pPr>
            <w:r>
              <w:t>pH 5, 25°C: stable</w:t>
            </w:r>
          </w:p>
          <w:p w14:paraId="6C748E73" w14:textId="77777777" w:rsidR="00CF78CB" w:rsidRDefault="00CF78CB" w:rsidP="00377F3A">
            <w:pPr>
              <w:pStyle w:val="TableText"/>
            </w:pPr>
            <w:r>
              <w:t>pH 7, 25°C: stable</w:t>
            </w:r>
          </w:p>
          <w:p w14:paraId="66E4CB17" w14:textId="4E89CAC9" w:rsidR="00CF78CB" w:rsidRDefault="00CF78CB" w:rsidP="00377F3A">
            <w:pPr>
              <w:pStyle w:val="TableText"/>
            </w:pPr>
            <w:r>
              <w:t>pH 9, 25°C: stable</w:t>
            </w:r>
          </w:p>
        </w:tc>
        <w:tc>
          <w:tcPr>
            <w:tcW w:w="0" w:type="auto"/>
            <w:tcBorders>
              <w:top w:val="nil"/>
              <w:bottom w:val="nil"/>
            </w:tcBorders>
          </w:tcPr>
          <w:p w14:paraId="725020FF" w14:textId="17356859" w:rsidR="00CF78CB" w:rsidRDefault="00CF78CB" w:rsidP="00377F3A">
            <w:pPr>
              <w:pStyle w:val="TableText"/>
            </w:pPr>
            <w:r>
              <w:t>Spare 1992b</w:t>
            </w:r>
          </w:p>
        </w:tc>
      </w:tr>
      <w:tr w:rsidR="00CF78CB" w:rsidRPr="008B4AF6" w14:paraId="47BFAB9B" w14:textId="77777777" w:rsidTr="00CF78CB">
        <w:trPr>
          <w:cantSplit/>
        </w:trPr>
        <w:tc>
          <w:tcPr>
            <w:tcW w:w="0" w:type="auto"/>
            <w:tcBorders>
              <w:top w:val="nil"/>
              <w:left w:val="nil"/>
              <w:bottom w:val="nil"/>
            </w:tcBorders>
          </w:tcPr>
          <w:p w14:paraId="7C3017B9" w14:textId="77777777" w:rsidR="00CF78CB" w:rsidRDefault="00CF78CB" w:rsidP="00377F3A">
            <w:pPr>
              <w:pStyle w:val="TableText"/>
            </w:pPr>
          </w:p>
        </w:tc>
        <w:tc>
          <w:tcPr>
            <w:tcW w:w="0" w:type="auto"/>
            <w:tcBorders>
              <w:top w:val="nil"/>
              <w:left w:val="nil"/>
              <w:bottom w:val="nil"/>
            </w:tcBorders>
          </w:tcPr>
          <w:p w14:paraId="5C0B13BC" w14:textId="1F274582" w:rsidR="00CF78CB" w:rsidRDefault="00CF78CB" w:rsidP="00377F3A">
            <w:pPr>
              <w:pStyle w:val="TableText"/>
            </w:pPr>
            <w:r>
              <w:t>Aqueous photolysis</w:t>
            </w:r>
          </w:p>
        </w:tc>
        <w:tc>
          <w:tcPr>
            <w:tcW w:w="0" w:type="auto"/>
            <w:tcBorders>
              <w:top w:val="nil"/>
              <w:bottom w:val="nil"/>
            </w:tcBorders>
          </w:tcPr>
          <w:p w14:paraId="40A24ACB" w14:textId="77777777" w:rsidR="00CF78CB" w:rsidRDefault="00CF78CB" w:rsidP="00377F3A">
            <w:pPr>
              <w:pStyle w:val="TableText"/>
            </w:pPr>
            <w:r>
              <w:t>DT</w:t>
            </w:r>
            <w:r w:rsidRPr="003B78E0">
              <w:rPr>
                <w:vertAlign w:val="subscript"/>
              </w:rPr>
              <w:t>50</w:t>
            </w:r>
            <w:r>
              <w:t xml:space="preserve"> 1.2 h in summer at 52°N</w:t>
            </w:r>
          </w:p>
          <w:p w14:paraId="2D1C1AEC" w14:textId="77777777" w:rsidR="00CF78CB" w:rsidRDefault="00CF78CB" w:rsidP="00377F3A">
            <w:pPr>
              <w:pStyle w:val="TableText"/>
            </w:pPr>
            <w:r>
              <w:t>DT</w:t>
            </w:r>
            <w:r w:rsidRPr="003B78E0">
              <w:rPr>
                <w:vertAlign w:val="subscript"/>
              </w:rPr>
              <w:t>50</w:t>
            </w:r>
            <w:r>
              <w:t xml:space="preserve"> 13 h in winter at 52°N</w:t>
            </w:r>
          </w:p>
          <w:p w14:paraId="3000F322" w14:textId="2A41AD06" w:rsidR="00CF78CB" w:rsidRDefault="00CF78CB" w:rsidP="00377F3A">
            <w:pPr>
              <w:pStyle w:val="TableText"/>
            </w:pPr>
            <w:r>
              <w:t>at quantum yield of 0.01</w:t>
            </w:r>
          </w:p>
        </w:tc>
        <w:tc>
          <w:tcPr>
            <w:tcW w:w="0" w:type="auto"/>
            <w:tcBorders>
              <w:top w:val="nil"/>
              <w:bottom w:val="nil"/>
            </w:tcBorders>
          </w:tcPr>
          <w:p w14:paraId="2F7C1F0B" w14:textId="34977820" w:rsidR="00CF78CB" w:rsidRDefault="00CF78CB" w:rsidP="00377F3A">
            <w:pPr>
              <w:pStyle w:val="TableText"/>
            </w:pPr>
            <w:r>
              <w:t>Drake 2005a</w:t>
            </w:r>
          </w:p>
        </w:tc>
      </w:tr>
      <w:tr w:rsidR="00CF78CB" w:rsidRPr="008B4AF6" w14:paraId="56C22BA0" w14:textId="77777777" w:rsidTr="00CF78CB">
        <w:trPr>
          <w:cantSplit/>
        </w:trPr>
        <w:tc>
          <w:tcPr>
            <w:tcW w:w="0" w:type="auto"/>
            <w:tcBorders>
              <w:top w:val="nil"/>
              <w:left w:val="nil"/>
              <w:bottom w:val="nil"/>
            </w:tcBorders>
          </w:tcPr>
          <w:p w14:paraId="011D8EB6" w14:textId="77777777" w:rsidR="00CF78CB" w:rsidRDefault="00CF78CB" w:rsidP="00377F3A">
            <w:pPr>
              <w:pStyle w:val="TableText"/>
            </w:pPr>
          </w:p>
        </w:tc>
        <w:tc>
          <w:tcPr>
            <w:tcW w:w="0" w:type="auto"/>
            <w:tcBorders>
              <w:top w:val="nil"/>
              <w:left w:val="nil"/>
              <w:bottom w:val="nil"/>
            </w:tcBorders>
          </w:tcPr>
          <w:p w14:paraId="65F885ED" w14:textId="77777777" w:rsidR="00CF78CB" w:rsidRDefault="00CF78CB" w:rsidP="00377F3A">
            <w:pPr>
              <w:pStyle w:val="TableText"/>
            </w:pPr>
          </w:p>
        </w:tc>
        <w:tc>
          <w:tcPr>
            <w:tcW w:w="0" w:type="auto"/>
            <w:tcBorders>
              <w:top w:val="nil"/>
              <w:bottom w:val="nil"/>
            </w:tcBorders>
          </w:tcPr>
          <w:p w14:paraId="72107476" w14:textId="77777777" w:rsidR="00CF78CB" w:rsidRDefault="00CF78CB" w:rsidP="00377F3A">
            <w:pPr>
              <w:pStyle w:val="TableText"/>
            </w:pPr>
            <w:r>
              <w:t>DT</w:t>
            </w:r>
            <w:r w:rsidRPr="0060451F">
              <w:rPr>
                <w:vertAlign w:val="subscript"/>
              </w:rPr>
              <w:t>50</w:t>
            </w:r>
            <w:r>
              <w:t xml:space="preserve"> 0.60 h in summer at 50°N</w:t>
            </w:r>
          </w:p>
          <w:p w14:paraId="0A36BC94" w14:textId="7C50BCD0" w:rsidR="00CF78CB" w:rsidRDefault="00CF78CB" w:rsidP="00377F3A">
            <w:pPr>
              <w:pStyle w:val="TableText"/>
            </w:pPr>
            <w:r>
              <w:t>in natural water</w:t>
            </w:r>
          </w:p>
        </w:tc>
        <w:tc>
          <w:tcPr>
            <w:tcW w:w="0" w:type="auto"/>
            <w:tcBorders>
              <w:top w:val="nil"/>
              <w:bottom w:val="nil"/>
            </w:tcBorders>
          </w:tcPr>
          <w:p w14:paraId="70ED32C9" w14:textId="406871C5" w:rsidR="00CF78CB" w:rsidRDefault="00CF78CB" w:rsidP="00377F3A">
            <w:pPr>
              <w:pStyle w:val="TableText"/>
            </w:pPr>
            <w:r>
              <w:t>Phaff 2004</w:t>
            </w:r>
          </w:p>
        </w:tc>
      </w:tr>
      <w:tr w:rsidR="00CF78CB" w:rsidRPr="008B4AF6" w14:paraId="6F7C99AB" w14:textId="77777777" w:rsidTr="00CF78CB">
        <w:trPr>
          <w:cantSplit/>
        </w:trPr>
        <w:tc>
          <w:tcPr>
            <w:tcW w:w="0" w:type="auto"/>
            <w:tcBorders>
              <w:top w:val="nil"/>
              <w:left w:val="nil"/>
              <w:bottom w:val="nil"/>
            </w:tcBorders>
          </w:tcPr>
          <w:p w14:paraId="4B5D2C9C" w14:textId="77777777" w:rsidR="00CF78CB" w:rsidRDefault="00CF78CB" w:rsidP="00377F3A">
            <w:pPr>
              <w:pStyle w:val="TableText"/>
            </w:pPr>
          </w:p>
        </w:tc>
        <w:tc>
          <w:tcPr>
            <w:tcW w:w="0" w:type="auto"/>
            <w:tcBorders>
              <w:top w:val="nil"/>
              <w:left w:val="nil"/>
              <w:bottom w:val="nil"/>
            </w:tcBorders>
          </w:tcPr>
          <w:p w14:paraId="5085445F" w14:textId="1A2027EA" w:rsidR="00CF78CB" w:rsidRDefault="00CF78CB" w:rsidP="00377F3A">
            <w:pPr>
              <w:pStyle w:val="TableText"/>
            </w:pPr>
            <w:r>
              <w:t>Readily biodegradable</w:t>
            </w:r>
          </w:p>
        </w:tc>
        <w:tc>
          <w:tcPr>
            <w:tcW w:w="0" w:type="auto"/>
            <w:tcBorders>
              <w:top w:val="nil"/>
              <w:bottom w:val="nil"/>
            </w:tcBorders>
          </w:tcPr>
          <w:p w14:paraId="239CD957" w14:textId="5EA7F9F9" w:rsidR="00CF78CB" w:rsidRDefault="00CF78CB" w:rsidP="00377F3A">
            <w:pPr>
              <w:pStyle w:val="TableText"/>
            </w:pPr>
            <w:r>
              <w:t>No</w:t>
            </w:r>
          </w:p>
        </w:tc>
        <w:tc>
          <w:tcPr>
            <w:tcW w:w="0" w:type="auto"/>
            <w:tcBorders>
              <w:top w:val="nil"/>
              <w:bottom w:val="nil"/>
            </w:tcBorders>
          </w:tcPr>
          <w:p w14:paraId="534A9680" w14:textId="6D2DA79C" w:rsidR="00CF78CB" w:rsidRDefault="00CF78CB" w:rsidP="00377F3A">
            <w:pPr>
              <w:pStyle w:val="TableText"/>
            </w:pPr>
            <w:r>
              <w:t xml:space="preserve">Clarke 2003, </w:t>
            </w:r>
            <w:r w:rsidRPr="009A5A08">
              <w:t>Gáty</w:t>
            </w:r>
            <w:r>
              <w:t xml:space="preserve"> 2002a</w:t>
            </w:r>
          </w:p>
        </w:tc>
      </w:tr>
      <w:tr w:rsidR="00CF78CB" w:rsidRPr="008B4AF6" w14:paraId="16E1FC5F" w14:textId="77777777" w:rsidTr="00CF78CB">
        <w:trPr>
          <w:cantSplit/>
        </w:trPr>
        <w:tc>
          <w:tcPr>
            <w:tcW w:w="0" w:type="auto"/>
            <w:tcBorders>
              <w:top w:val="nil"/>
              <w:left w:val="nil"/>
              <w:bottom w:val="nil"/>
            </w:tcBorders>
          </w:tcPr>
          <w:p w14:paraId="6ADF912E" w14:textId="77777777" w:rsidR="00CF78CB" w:rsidRDefault="00CF78CB" w:rsidP="00377F3A">
            <w:pPr>
              <w:pStyle w:val="TableText"/>
            </w:pPr>
          </w:p>
        </w:tc>
        <w:tc>
          <w:tcPr>
            <w:tcW w:w="0" w:type="auto"/>
            <w:tcBorders>
              <w:top w:val="nil"/>
              <w:left w:val="nil"/>
              <w:bottom w:val="nil"/>
            </w:tcBorders>
          </w:tcPr>
          <w:p w14:paraId="1DD17F2F" w14:textId="769B92B0" w:rsidR="00CF78CB" w:rsidRDefault="00CF78CB" w:rsidP="00377F3A">
            <w:pPr>
              <w:pStyle w:val="TableText"/>
            </w:pPr>
            <w:r>
              <w:t>Inherently biodegradable</w:t>
            </w:r>
          </w:p>
        </w:tc>
        <w:tc>
          <w:tcPr>
            <w:tcW w:w="0" w:type="auto"/>
            <w:tcBorders>
              <w:top w:val="nil"/>
              <w:bottom w:val="nil"/>
            </w:tcBorders>
          </w:tcPr>
          <w:p w14:paraId="0908F017" w14:textId="49576365" w:rsidR="00CF78CB" w:rsidRDefault="00CF78CB" w:rsidP="00377F3A">
            <w:pPr>
              <w:pStyle w:val="TableText"/>
            </w:pPr>
            <w:r>
              <w:t>No</w:t>
            </w:r>
          </w:p>
        </w:tc>
        <w:tc>
          <w:tcPr>
            <w:tcW w:w="0" w:type="auto"/>
            <w:tcBorders>
              <w:top w:val="nil"/>
              <w:bottom w:val="nil"/>
            </w:tcBorders>
          </w:tcPr>
          <w:p w14:paraId="36EF56CE" w14:textId="388D0477" w:rsidR="00CF78CB" w:rsidRDefault="00CF78CB" w:rsidP="00377F3A">
            <w:pPr>
              <w:pStyle w:val="TableText"/>
            </w:pPr>
            <w:r>
              <w:t>Drake 2005f</w:t>
            </w:r>
          </w:p>
        </w:tc>
      </w:tr>
      <w:tr w:rsidR="00CF78CB" w:rsidRPr="008B4AF6" w14:paraId="40377C91" w14:textId="77777777" w:rsidTr="00CF78CB">
        <w:trPr>
          <w:cantSplit/>
        </w:trPr>
        <w:tc>
          <w:tcPr>
            <w:tcW w:w="0" w:type="auto"/>
            <w:tcBorders>
              <w:top w:val="nil"/>
              <w:left w:val="nil"/>
              <w:bottom w:val="single" w:sz="4" w:space="0" w:color="auto"/>
            </w:tcBorders>
          </w:tcPr>
          <w:p w14:paraId="33686645" w14:textId="77777777" w:rsidR="00CF78CB" w:rsidRDefault="00CF78CB" w:rsidP="00377F3A">
            <w:pPr>
              <w:pStyle w:val="TableText"/>
            </w:pPr>
          </w:p>
        </w:tc>
        <w:tc>
          <w:tcPr>
            <w:tcW w:w="0" w:type="auto"/>
            <w:tcBorders>
              <w:top w:val="nil"/>
              <w:left w:val="nil"/>
              <w:bottom w:val="single" w:sz="4" w:space="0" w:color="auto"/>
            </w:tcBorders>
          </w:tcPr>
          <w:p w14:paraId="47282F8C" w14:textId="2BB28B76" w:rsidR="00CF78CB" w:rsidRDefault="00CF78CB" w:rsidP="00377F3A">
            <w:pPr>
              <w:pStyle w:val="TableText"/>
            </w:pPr>
            <w:r>
              <w:t>Anaerobic biodegradable</w:t>
            </w:r>
          </w:p>
        </w:tc>
        <w:tc>
          <w:tcPr>
            <w:tcW w:w="0" w:type="auto"/>
            <w:tcBorders>
              <w:top w:val="nil"/>
              <w:bottom w:val="single" w:sz="4" w:space="0" w:color="auto"/>
            </w:tcBorders>
          </w:tcPr>
          <w:p w14:paraId="6BB4D676" w14:textId="7B9CFDF6" w:rsidR="00CF78CB" w:rsidRDefault="00CF78CB" w:rsidP="00377F3A">
            <w:pPr>
              <w:pStyle w:val="TableText"/>
            </w:pPr>
            <w:r>
              <w:t>No</w:t>
            </w:r>
          </w:p>
        </w:tc>
        <w:tc>
          <w:tcPr>
            <w:tcW w:w="0" w:type="auto"/>
            <w:tcBorders>
              <w:top w:val="nil"/>
              <w:bottom w:val="single" w:sz="4" w:space="0" w:color="auto"/>
            </w:tcBorders>
          </w:tcPr>
          <w:p w14:paraId="13946D72" w14:textId="50C7CD3D" w:rsidR="00CF78CB" w:rsidRDefault="00CF78CB" w:rsidP="00377F3A">
            <w:pPr>
              <w:pStyle w:val="TableText"/>
            </w:pPr>
            <w:r>
              <w:t>Drake 2005g</w:t>
            </w:r>
          </w:p>
        </w:tc>
      </w:tr>
      <w:tr w:rsidR="00CF78CB" w:rsidRPr="008B4AF6" w14:paraId="2CC11047" w14:textId="77777777" w:rsidTr="00CF78CB">
        <w:trPr>
          <w:cantSplit/>
        </w:trPr>
        <w:tc>
          <w:tcPr>
            <w:tcW w:w="0" w:type="auto"/>
            <w:tcBorders>
              <w:top w:val="single" w:sz="4" w:space="0" w:color="auto"/>
              <w:left w:val="nil"/>
              <w:bottom w:val="single" w:sz="4" w:space="0" w:color="auto"/>
            </w:tcBorders>
          </w:tcPr>
          <w:p w14:paraId="10EB44D8" w14:textId="5C78875E" w:rsidR="00CF78CB" w:rsidRDefault="00CF78CB" w:rsidP="00377F3A">
            <w:pPr>
              <w:pStyle w:val="TableText"/>
            </w:pPr>
            <w:r>
              <w:lastRenderedPageBreak/>
              <w:t>Air</w:t>
            </w:r>
          </w:p>
        </w:tc>
        <w:tc>
          <w:tcPr>
            <w:tcW w:w="0" w:type="auto"/>
            <w:tcBorders>
              <w:top w:val="single" w:sz="4" w:space="0" w:color="auto"/>
              <w:left w:val="nil"/>
              <w:bottom w:val="single" w:sz="4" w:space="0" w:color="auto"/>
            </w:tcBorders>
          </w:tcPr>
          <w:p w14:paraId="2CBCDA40" w14:textId="4D3026E5" w:rsidR="00CF78CB" w:rsidRDefault="00CF78CB" w:rsidP="00377F3A">
            <w:pPr>
              <w:pStyle w:val="TableText"/>
            </w:pPr>
            <w:r>
              <w:t>Tropospheric degradation</w:t>
            </w:r>
          </w:p>
        </w:tc>
        <w:tc>
          <w:tcPr>
            <w:tcW w:w="0" w:type="auto"/>
            <w:tcBorders>
              <w:top w:val="single" w:sz="4" w:space="0" w:color="auto"/>
              <w:bottom w:val="single" w:sz="4" w:space="0" w:color="auto"/>
            </w:tcBorders>
          </w:tcPr>
          <w:p w14:paraId="4B50F50F" w14:textId="77777777" w:rsidR="00CF78CB" w:rsidRDefault="00CF78CB" w:rsidP="00377F3A">
            <w:pPr>
              <w:pStyle w:val="TableText"/>
            </w:pPr>
            <w:r>
              <w:t>DT</w:t>
            </w:r>
            <w:r w:rsidRPr="00642D1D">
              <w:rPr>
                <w:vertAlign w:val="subscript"/>
              </w:rPr>
              <w:t>50</w:t>
            </w:r>
            <w:r>
              <w:t xml:space="preserve"> 2.1 h (OH radical reaction)</w:t>
            </w:r>
          </w:p>
          <w:p w14:paraId="640DA389" w14:textId="7BD6206E" w:rsidR="00CF78CB" w:rsidRDefault="00CF78CB" w:rsidP="00377F3A">
            <w:pPr>
              <w:pStyle w:val="TableText"/>
            </w:pPr>
            <w:r>
              <w:t>DT</w:t>
            </w:r>
            <w:r w:rsidRPr="00642D1D">
              <w:rPr>
                <w:vertAlign w:val="subscript"/>
              </w:rPr>
              <w:t>50</w:t>
            </w:r>
            <w:r>
              <w:t xml:space="preserve"> 2.0 h (ozone reaction)</w:t>
            </w:r>
          </w:p>
        </w:tc>
        <w:tc>
          <w:tcPr>
            <w:tcW w:w="0" w:type="auto"/>
            <w:tcBorders>
              <w:top w:val="single" w:sz="4" w:space="0" w:color="auto"/>
              <w:bottom w:val="single" w:sz="4" w:space="0" w:color="auto"/>
            </w:tcBorders>
          </w:tcPr>
          <w:p w14:paraId="7A47BA40" w14:textId="60A70FF3" w:rsidR="00CF78CB" w:rsidRDefault="00CF78CB" w:rsidP="00377F3A">
            <w:pPr>
              <w:pStyle w:val="TableText"/>
            </w:pPr>
            <w:r>
              <w:t>Curl 2004a</w:t>
            </w:r>
          </w:p>
        </w:tc>
      </w:tr>
      <w:tr w:rsidR="00CF78CB" w:rsidRPr="008B4AF6" w14:paraId="11239D9F" w14:textId="77777777" w:rsidTr="00CF78CB">
        <w:trPr>
          <w:cantSplit/>
        </w:trPr>
        <w:tc>
          <w:tcPr>
            <w:tcW w:w="0" w:type="auto"/>
            <w:tcBorders>
              <w:top w:val="single" w:sz="4" w:space="0" w:color="auto"/>
              <w:left w:val="nil"/>
              <w:bottom w:val="nil"/>
            </w:tcBorders>
          </w:tcPr>
          <w:p w14:paraId="145A99CC" w14:textId="24F9B7AC" w:rsidR="00CF78CB" w:rsidRDefault="00CF78CB" w:rsidP="00377F3A">
            <w:pPr>
              <w:pStyle w:val="TableText"/>
            </w:pPr>
            <w:r>
              <w:t>Biota</w:t>
            </w:r>
          </w:p>
        </w:tc>
        <w:tc>
          <w:tcPr>
            <w:tcW w:w="0" w:type="auto"/>
            <w:tcBorders>
              <w:top w:val="single" w:sz="4" w:space="0" w:color="auto"/>
              <w:left w:val="nil"/>
              <w:bottom w:val="nil"/>
            </w:tcBorders>
          </w:tcPr>
          <w:p w14:paraId="72CAD3B0" w14:textId="3F30430E" w:rsidR="00CF78CB" w:rsidRDefault="00CF78CB" w:rsidP="00377F3A">
            <w:pPr>
              <w:pStyle w:val="TableText"/>
            </w:pPr>
            <w:r>
              <w:t>Rat</w:t>
            </w:r>
          </w:p>
        </w:tc>
        <w:tc>
          <w:tcPr>
            <w:tcW w:w="0" w:type="auto"/>
            <w:tcBorders>
              <w:top w:val="single" w:sz="4" w:space="0" w:color="auto"/>
              <w:bottom w:val="nil"/>
            </w:tcBorders>
          </w:tcPr>
          <w:p w14:paraId="213A77C3" w14:textId="77777777" w:rsidR="00CF78CB" w:rsidRDefault="00CF78CB" w:rsidP="00377F3A">
            <w:pPr>
              <w:pStyle w:val="TableText"/>
            </w:pPr>
            <w:r>
              <w:t>&gt;70% oral absorption</w:t>
            </w:r>
          </w:p>
          <w:p w14:paraId="6A280A0F" w14:textId="5B112B96" w:rsidR="00CF78CB" w:rsidRDefault="00CF78CB" w:rsidP="00377F3A">
            <w:pPr>
              <w:pStyle w:val="TableText"/>
            </w:pPr>
            <w:r>
              <w:t>52-69% elimination after 7d</w:t>
            </w:r>
          </w:p>
        </w:tc>
        <w:tc>
          <w:tcPr>
            <w:tcW w:w="0" w:type="auto"/>
            <w:tcBorders>
              <w:top w:val="single" w:sz="4" w:space="0" w:color="auto"/>
              <w:bottom w:val="nil"/>
            </w:tcBorders>
          </w:tcPr>
          <w:p w14:paraId="1D16DCDC" w14:textId="3CC1F8BA" w:rsidR="00CF78CB" w:rsidRDefault="00CF78CB" w:rsidP="00377F3A">
            <w:pPr>
              <w:pStyle w:val="TableText"/>
            </w:pPr>
            <w:r>
              <w:t>Punlar 2008</w:t>
            </w:r>
          </w:p>
        </w:tc>
      </w:tr>
      <w:tr w:rsidR="00CF78CB" w:rsidRPr="008B4AF6" w14:paraId="3C002279" w14:textId="77777777" w:rsidTr="00CF78CB">
        <w:trPr>
          <w:cantSplit/>
        </w:trPr>
        <w:tc>
          <w:tcPr>
            <w:tcW w:w="0" w:type="auto"/>
            <w:tcBorders>
              <w:top w:val="nil"/>
              <w:left w:val="nil"/>
              <w:bottom w:val="nil"/>
            </w:tcBorders>
          </w:tcPr>
          <w:p w14:paraId="4F6EC1B8" w14:textId="77777777" w:rsidR="00CF78CB" w:rsidRDefault="00CF78CB" w:rsidP="00377F3A">
            <w:pPr>
              <w:pStyle w:val="TableText"/>
            </w:pPr>
          </w:p>
        </w:tc>
        <w:tc>
          <w:tcPr>
            <w:tcW w:w="0" w:type="auto"/>
            <w:tcBorders>
              <w:top w:val="nil"/>
              <w:left w:val="nil"/>
              <w:bottom w:val="nil"/>
            </w:tcBorders>
          </w:tcPr>
          <w:p w14:paraId="670AA0C2" w14:textId="77777777" w:rsidR="00CF78CB" w:rsidRPr="00F855FB" w:rsidRDefault="00CF78CB" w:rsidP="00377F3A">
            <w:pPr>
              <w:pStyle w:val="TableText"/>
            </w:pPr>
          </w:p>
        </w:tc>
        <w:tc>
          <w:tcPr>
            <w:tcW w:w="0" w:type="auto"/>
            <w:tcBorders>
              <w:top w:val="nil"/>
              <w:bottom w:val="nil"/>
            </w:tcBorders>
          </w:tcPr>
          <w:p w14:paraId="1DC6286B" w14:textId="6C373D38" w:rsidR="00CF78CB" w:rsidRDefault="00CF78CB" w:rsidP="00377F3A">
            <w:pPr>
              <w:pStyle w:val="TableText"/>
            </w:pPr>
            <w:r>
              <w:t>Liver DT</w:t>
            </w:r>
            <w:r w:rsidRPr="00F855FB">
              <w:rPr>
                <w:vertAlign w:val="subscript"/>
              </w:rPr>
              <w:t>50</w:t>
            </w:r>
            <w:r>
              <w:t xml:space="preserve"> 170 d</w:t>
            </w:r>
          </w:p>
        </w:tc>
        <w:tc>
          <w:tcPr>
            <w:tcW w:w="0" w:type="auto"/>
            <w:tcBorders>
              <w:top w:val="nil"/>
              <w:bottom w:val="nil"/>
            </w:tcBorders>
          </w:tcPr>
          <w:p w14:paraId="56094099" w14:textId="6E4A7ECF" w:rsidR="00CF78CB" w:rsidRDefault="00CF78CB" w:rsidP="00377F3A">
            <w:pPr>
              <w:pStyle w:val="TableText"/>
            </w:pPr>
            <w:r>
              <w:t xml:space="preserve">Parmar </w:t>
            </w:r>
            <w:r w:rsidR="00B7183A" w:rsidRPr="00B7183A">
              <w:rPr>
                <w:i/>
                <w:iCs/>
              </w:rPr>
              <w:t>et al</w:t>
            </w:r>
            <w:r>
              <w:t>. 1987</w:t>
            </w:r>
          </w:p>
        </w:tc>
      </w:tr>
      <w:tr w:rsidR="00CF78CB" w:rsidRPr="008B4AF6" w14:paraId="01D5E118" w14:textId="77777777" w:rsidTr="00CF78CB">
        <w:trPr>
          <w:cantSplit/>
        </w:trPr>
        <w:tc>
          <w:tcPr>
            <w:tcW w:w="0" w:type="auto"/>
            <w:tcBorders>
              <w:top w:val="nil"/>
              <w:left w:val="nil"/>
              <w:bottom w:val="nil"/>
            </w:tcBorders>
          </w:tcPr>
          <w:p w14:paraId="3097A53F" w14:textId="77777777" w:rsidR="00CF78CB" w:rsidRDefault="00CF78CB" w:rsidP="00377F3A">
            <w:pPr>
              <w:pStyle w:val="TableText"/>
            </w:pPr>
          </w:p>
        </w:tc>
        <w:tc>
          <w:tcPr>
            <w:tcW w:w="0" w:type="auto"/>
            <w:tcBorders>
              <w:top w:val="nil"/>
              <w:left w:val="nil"/>
              <w:bottom w:val="nil"/>
            </w:tcBorders>
          </w:tcPr>
          <w:p w14:paraId="44AB222D" w14:textId="77777777" w:rsidR="00CF78CB" w:rsidRPr="00F855FB" w:rsidRDefault="00CF78CB" w:rsidP="00377F3A">
            <w:pPr>
              <w:pStyle w:val="TableText"/>
            </w:pPr>
          </w:p>
        </w:tc>
        <w:tc>
          <w:tcPr>
            <w:tcW w:w="0" w:type="auto"/>
            <w:tcBorders>
              <w:top w:val="nil"/>
              <w:bottom w:val="nil"/>
            </w:tcBorders>
          </w:tcPr>
          <w:p w14:paraId="744AEC57" w14:textId="052906CD" w:rsidR="00CF78CB" w:rsidRDefault="00CF78CB" w:rsidP="00377F3A">
            <w:pPr>
              <w:pStyle w:val="TableText"/>
            </w:pPr>
            <w:r>
              <w:t>Liver DT</w:t>
            </w:r>
            <w:r w:rsidRPr="00073976">
              <w:rPr>
                <w:vertAlign w:val="subscript"/>
              </w:rPr>
              <w:t>50</w:t>
            </w:r>
            <w:r>
              <w:t xml:space="preserve"> 318 d</w:t>
            </w:r>
          </w:p>
        </w:tc>
        <w:tc>
          <w:tcPr>
            <w:tcW w:w="0" w:type="auto"/>
            <w:tcBorders>
              <w:top w:val="nil"/>
              <w:bottom w:val="nil"/>
            </w:tcBorders>
          </w:tcPr>
          <w:p w14:paraId="7959B732" w14:textId="3AEFAAA9" w:rsidR="00CF78CB" w:rsidRDefault="00CF78CB" w:rsidP="00377F3A">
            <w:pPr>
              <w:pStyle w:val="TableText"/>
            </w:pPr>
            <w:r>
              <w:t xml:space="preserve">Hawkins </w:t>
            </w:r>
            <w:r w:rsidR="00B7183A" w:rsidRPr="00B7183A">
              <w:rPr>
                <w:i/>
                <w:iCs/>
              </w:rPr>
              <w:t>et al</w:t>
            </w:r>
            <w:r>
              <w:t>. 1991</w:t>
            </w:r>
          </w:p>
        </w:tc>
      </w:tr>
      <w:tr w:rsidR="00CF78CB" w:rsidRPr="008B4AF6" w14:paraId="79F43CBA" w14:textId="77777777" w:rsidTr="00CF78CB">
        <w:trPr>
          <w:cantSplit/>
        </w:trPr>
        <w:tc>
          <w:tcPr>
            <w:tcW w:w="0" w:type="auto"/>
            <w:tcBorders>
              <w:top w:val="nil"/>
              <w:left w:val="nil"/>
              <w:bottom w:val="nil"/>
            </w:tcBorders>
          </w:tcPr>
          <w:p w14:paraId="6C0409A0" w14:textId="77777777" w:rsidR="00CF78CB" w:rsidRDefault="00CF78CB" w:rsidP="00377F3A">
            <w:pPr>
              <w:pStyle w:val="TableText"/>
            </w:pPr>
          </w:p>
        </w:tc>
        <w:tc>
          <w:tcPr>
            <w:tcW w:w="0" w:type="auto"/>
            <w:tcBorders>
              <w:top w:val="nil"/>
              <w:left w:val="nil"/>
              <w:bottom w:val="nil"/>
            </w:tcBorders>
          </w:tcPr>
          <w:p w14:paraId="71F225B3" w14:textId="0D7AF777" w:rsidR="00CF78CB" w:rsidRPr="00F855FB" w:rsidRDefault="00CF78CB" w:rsidP="00377F3A">
            <w:pPr>
              <w:pStyle w:val="TableText"/>
            </w:pPr>
            <w:r>
              <w:t>Mouse</w:t>
            </w:r>
          </w:p>
        </w:tc>
        <w:tc>
          <w:tcPr>
            <w:tcW w:w="0" w:type="auto"/>
            <w:tcBorders>
              <w:top w:val="nil"/>
              <w:bottom w:val="nil"/>
            </w:tcBorders>
          </w:tcPr>
          <w:p w14:paraId="719D377D" w14:textId="5FD0753A" w:rsidR="00CF78CB" w:rsidRDefault="00CF78CB" w:rsidP="00377F3A">
            <w:pPr>
              <w:pStyle w:val="TableText"/>
            </w:pPr>
            <w:r>
              <w:t>Liver DT</w:t>
            </w:r>
            <w:r w:rsidRPr="00F855FB">
              <w:rPr>
                <w:vertAlign w:val="subscript"/>
              </w:rPr>
              <w:t>50</w:t>
            </w:r>
            <w:r>
              <w:t xml:space="preserve"> 28 d</w:t>
            </w:r>
          </w:p>
        </w:tc>
        <w:tc>
          <w:tcPr>
            <w:tcW w:w="0" w:type="auto"/>
            <w:tcBorders>
              <w:top w:val="nil"/>
              <w:bottom w:val="nil"/>
            </w:tcBorders>
          </w:tcPr>
          <w:p w14:paraId="3766B32B" w14:textId="1772D8C2" w:rsidR="00CF78CB" w:rsidRDefault="00CF78CB" w:rsidP="00377F3A">
            <w:pPr>
              <w:pStyle w:val="TableText"/>
            </w:pPr>
            <w:r>
              <w:t xml:space="preserve">Vandenbroucke </w:t>
            </w:r>
            <w:r w:rsidR="00B7183A" w:rsidRPr="00B7183A">
              <w:rPr>
                <w:i/>
                <w:iCs/>
              </w:rPr>
              <w:t>et al</w:t>
            </w:r>
            <w:r>
              <w:t>. 2008</w:t>
            </w:r>
          </w:p>
        </w:tc>
      </w:tr>
      <w:tr w:rsidR="00CF78CB" w:rsidRPr="008B4AF6" w14:paraId="6ACA540D" w14:textId="77777777" w:rsidTr="00CF78CB">
        <w:trPr>
          <w:cantSplit/>
        </w:trPr>
        <w:tc>
          <w:tcPr>
            <w:tcW w:w="0" w:type="auto"/>
            <w:tcBorders>
              <w:top w:val="nil"/>
              <w:left w:val="nil"/>
              <w:bottom w:val="nil"/>
            </w:tcBorders>
          </w:tcPr>
          <w:p w14:paraId="220FDF44" w14:textId="77777777" w:rsidR="00CF78CB" w:rsidRDefault="00CF78CB" w:rsidP="00377F3A">
            <w:pPr>
              <w:pStyle w:val="TableText"/>
            </w:pPr>
          </w:p>
        </w:tc>
        <w:tc>
          <w:tcPr>
            <w:tcW w:w="0" w:type="auto"/>
            <w:tcBorders>
              <w:top w:val="nil"/>
              <w:left w:val="nil"/>
              <w:bottom w:val="nil"/>
            </w:tcBorders>
          </w:tcPr>
          <w:p w14:paraId="55F5066C" w14:textId="0E8B7853" w:rsidR="00CF78CB" w:rsidRPr="00F855FB" w:rsidRDefault="00CF78CB" w:rsidP="00377F3A">
            <w:pPr>
              <w:pStyle w:val="TableText"/>
            </w:pPr>
            <w:r>
              <w:t>Sheep</w:t>
            </w:r>
          </w:p>
        </w:tc>
        <w:tc>
          <w:tcPr>
            <w:tcW w:w="0" w:type="auto"/>
            <w:tcBorders>
              <w:top w:val="nil"/>
              <w:bottom w:val="nil"/>
            </w:tcBorders>
          </w:tcPr>
          <w:p w14:paraId="34044B74" w14:textId="08B2BE94" w:rsidR="00CF78CB" w:rsidRDefault="00CF78CB" w:rsidP="00377F3A">
            <w:pPr>
              <w:pStyle w:val="TableText"/>
            </w:pPr>
            <w:r>
              <w:t>Liver DT</w:t>
            </w:r>
            <w:r w:rsidRPr="00F855FB">
              <w:rPr>
                <w:vertAlign w:val="subscript"/>
              </w:rPr>
              <w:t>50</w:t>
            </w:r>
            <w:r>
              <w:t xml:space="preserve"> 256 d</w:t>
            </w:r>
          </w:p>
        </w:tc>
        <w:tc>
          <w:tcPr>
            <w:tcW w:w="0" w:type="auto"/>
            <w:tcBorders>
              <w:top w:val="nil"/>
              <w:bottom w:val="nil"/>
            </w:tcBorders>
          </w:tcPr>
          <w:p w14:paraId="23CF8266" w14:textId="4C45FC39" w:rsidR="00CF78CB" w:rsidRDefault="00CF78CB" w:rsidP="00377F3A">
            <w:pPr>
              <w:pStyle w:val="TableText"/>
            </w:pPr>
            <w:r>
              <w:t>Nelson &amp; Hickling 1994</w:t>
            </w:r>
          </w:p>
        </w:tc>
      </w:tr>
      <w:tr w:rsidR="00CF78CB" w:rsidRPr="008B4AF6" w14:paraId="521EB310" w14:textId="77777777" w:rsidTr="00CF78CB">
        <w:trPr>
          <w:cantSplit/>
        </w:trPr>
        <w:tc>
          <w:tcPr>
            <w:tcW w:w="0" w:type="auto"/>
            <w:tcBorders>
              <w:top w:val="nil"/>
              <w:left w:val="nil"/>
              <w:bottom w:val="single" w:sz="4" w:space="0" w:color="auto"/>
            </w:tcBorders>
          </w:tcPr>
          <w:p w14:paraId="69E1BF34" w14:textId="77777777" w:rsidR="00CF78CB" w:rsidRDefault="00CF78CB" w:rsidP="00377F3A">
            <w:pPr>
              <w:pStyle w:val="TableText"/>
            </w:pPr>
          </w:p>
        </w:tc>
        <w:tc>
          <w:tcPr>
            <w:tcW w:w="0" w:type="auto"/>
            <w:tcBorders>
              <w:top w:val="nil"/>
              <w:left w:val="nil"/>
              <w:bottom w:val="single" w:sz="4" w:space="0" w:color="auto"/>
            </w:tcBorders>
          </w:tcPr>
          <w:p w14:paraId="1471288D" w14:textId="0409BB55" w:rsidR="00CF78CB" w:rsidRPr="00E255E2" w:rsidRDefault="00CF78CB" w:rsidP="00377F3A">
            <w:pPr>
              <w:pStyle w:val="TableText"/>
            </w:pPr>
            <w:r>
              <w:t>Garden slug</w:t>
            </w:r>
          </w:p>
        </w:tc>
        <w:tc>
          <w:tcPr>
            <w:tcW w:w="0" w:type="auto"/>
            <w:tcBorders>
              <w:top w:val="nil"/>
              <w:bottom w:val="single" w:sz="4" w:space="0" w:color="auto"/>
            </w:tcBorders>
          </w:tcPr>
          <w:p w14:paraId="542D69F6" w14:textId="66C3A9E3" w:rsidR="00CF78CB" w:rsidRDefault="00CF78CB" w:rsidP="00377F3A">
            <w:pPr>
              <w:pStyle w:val="TableText"/>
            </w:pPr>
            <w:r>
              <w:t>Elimination DT</w:t>
            </w:r>
            <w:r w:rsidRPr="00DC1FCA">
              <w:rPr>
                <w:vertAlign w:val="subscript"/>
              </w:rPr>
              <w:t>50</w:t>
            </w:r>
            <w:r>
              <w:t xml:space="preserve"> 1.9 d</w:t>
            </w:r>
          </w:p>
        </w:tc>
        <w:tc>
          <w:tcPr>
            <w:tcW w:w="0" w:type="auto"/>
            <w:tcBorders>
              <w:top w:val="nil"/>
              <w:bottom w:val="single" w:sz="4" w:space="0" w:color="auto"/>
            </w:tcBorders>
          </w:tcPr>
          <w:p w14:paraId="6D46D9CE" w14:textId="2BF24945" w:rsidR="00CF78CB" w:rsidRDefault="00CF78CB" w:rsidP="00377F3A">
            <w:pPr>
              <w:pStyle w:val="TableText"/>
            </w:pPr>
            <w:r>
              <w:t xml:space="preserve">Alomar </w:t>
            </w:r>
            <w:r w:rsidR="00B7183A" w:rsidRPr="00B7183A">
              <w:rPr>
                <w:i/>
                <w:iCs/>
              </w:rPr>
              <w:t>et al</w:t>
            </w:r>
            <w:r>
              <w:t>. 2018</w:t>
            </w:r>
          </w:p>
        </w:tc>
      </w:tr>
    </w:tbl>
    <w:p w14:paraId="4FA4ADED" w14:textId="3CDB6FA6" w:rsidR="00A12A97" w:rsidRPr="00122CA9" w:rsidRDefault="00BA7F5F" w:rsidP="00377F3A">
      <w:pPr>
        <w:pStyle w:val="Caption"/>
      </w:pPr>
      <w:bookmarkStart w:id="2060" w:name="_Toc213946090"/>
      <w:bookmarkStart w:id="2061" w:name="_Toc216695781"/>
      <w:r>
        <w:t xml:space="preserve">Table </w:t>
      </w:r>
      <w:r>
        <w:fldChar w:fldCharType="begin"/>
      </w:r>
      <w:r>
        <w:instrText xml:space="preserve"> SEQ Table \* ARABIC </w:instrText>
      </w:r>
      <w:r>
        <w:fldChar w:fldCharType="separate"/>
      </w:r>
      <w:r w:rsidR="003861AC">
        <w:rPr>
          <w:noProof/>
        </w:rPr>
        <w:t>119</w:t>
      </w:r>
      <w:r>
        <w:fldChar w:fldCharType="end"/>
      </w:r>
      <w:r>
        <w:t xml:space="preserve">: </w:t>
      </w:r>
      <w:r w:rsidR="00CF78CB">
        <w:t xml:space="preserve">Bromadiolone – </w:t>
      </w:r>
      <w:r w:rsidR="006A5695">
        <w:t>Residues m</w:t>
      </w:r>
      <w:r w:rsidR="00A12A97">
        <w:t>onitoring data</w:t>
      </w:r>
      <w:bookmarkEnd w:id="2060"/>
      <w:bookmarkEnd w:id="2061"/>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78"/>
        <w:gridCol w:w="899"/>
        <w:gridCol w:w="6071"/>
        <w:gridCol w:w="1342"/>
      </w:tblGrid>
      <w:tr w:rsidR="0071004A" w:rsidRPr="003B5A86" w14:paraId="03FA0284" w14:textId="77777777" w:rsidTr="0017134F">
        <w:trPr>
          <w:cantSplit/>
          <w:tblHeader/>
        </w:trPr>
        <w:tc>
          <w:tcPr>
            <w:tcW w:w="0" w:type="auto"/>
            <w:tcBorders>
              <w:bottom w:val="single" w:sz="4" w:space="0" w:color="auto"/>
            </w:tcBorders>
            <w:shd w:val="clear" w:color="auto" w:fill="53284F"/>
          </w:tcPr>
          <w:p w14:paraId="5ADFCC7A" w14:textId="77777777" w:rsidR="0071004A" w:rsidRPr="0071004A" w:rsidRDefault="0071004A"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56B44128" w14:textId="77777777" w:rsidR="0071004A" w:rsidRPr="0071004A" w:rsidRDefault="0071004A"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5C347764" w14:textId="77777777" w:rsidR="0071004A" w:rsidRPr="0071004A" w:rsidRDefault="0071004A" w:rsidP="00377F3A">
            <w:pPr>
              <w:pStyle w:val="TableHead"/>
              <w:rPr>
                <w:lang w:eastAsia="en-AU"/>
              </w:rPr>
            </w:pPr>
            <w:r w:rsidRPr="0071004A">
              <w:rPr>
                <w:lang w:eastAsia="en-AU"/>
              </w:rPr>
              <w:t>Value</w:t>
            </w:r>
          </w:p>
        </w:tc>
        <w:tc>
          <w:tcPr>
            <w:tcW w:w="0" w:type="auto"/>
            <w:tcBorders>
              <w:bottom w:val="single" w:sz="4" w:space="0" w:color="auto"/>
            </w:tcBorders>
            <w:shd w:val="clear" w:color="auto" w:fill="53284F"/>
          </w:tcPr>
          <w:p w14:paraId="63D52BB1" w14:textId="77777777" w:rsidR="0071004A" w:rsidRPr="0071004A" w:rsidRDefault="0071004A" w:rsidP="00377F3A">
            <w:pPr>
              <w:pStyle w:val="TableHead"/>
              <w:rPr>
                <w:lang w:eastAsia="en-AU"/>
              </w:rPr>
            </w:pPr>
            <w:r w:rsidRPr="0071004A">
              <w:rPr>
                <w:lang w:eastAsia="en-AU"/>
              </w:rPr>
              <w:t>Reference</w:t>
            </w:r>
          </w:p>
        </w:tc>
      </w:tr>
      <w:tr w:rsidR="0071004A" w:rsidRPr="003B5A86" w14:paraId="300EDAFE" w14:textId="77777777" w:rsidTr="00CF78CB">
        <w:trPr>
          <w:cantSplit/>
          <w:trHeight w:val="13"/>
        </w:trPr>
        <w:tc>
          <w:tcPr>
            <w:tcW w:w="0" w:type="auto"/>
            <w:tcBorders>
              <w:top w:val="single" w:sz="4" w:space="0" w:color="auto"/>
              <w:left w:val="nil"/>
              <w:bottom w:val="single" w:sz="4" w:space="0" w:color="auto"/>
              <w:right w:val="nil"/>
            </w:tcBorders>
          </w:tcPr>
          <w:p w14:paraId="58D92B34" w14:textId="77777777" w:rsidR="0071004A" w:rsidRPr="00E673EB" w:rsidRDefault="0071004A"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1E5B5D22"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3210A2C4" w14:textId="77777777" w:rsidR="0071004A" w:rsidRPr="00E673EB" w:rsidRDefault="0071004A" w:rsidP="00377F3A">
            <w:pPr>
              <w:pStyle w:val="TableText"/>
            </w:pPr>
            <w:r w:rsidRPr="00E673EB">
              <w:t>&lt;LOQ-7.6 µg/kg suspended particulate matter at 16 sampling locations in German rivers in 2015</w:t>
            </w:r>
          </w:p>
        </w:tc>
        <w:tc>
          <w:tcPr>
            <w:tcW w:w="0" w:type="auto"/>
            <w:tcBorders>
              <w:top w:val="single" w:sz="4" w:space="0" w:color="auto"/>
              <w:left w:val="nil"/>
              <w:bottom w:val="single" w:sz="4" w:space="0" w:color="auto"/>
              <w:right w:val="nil"/>
            </w:tcBorders>
          </w:tcPr>
          <w:p w14:paraId="434102A2" w14:textId="08F197CA"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05411406" w14:textId="77777777" w:rsidTr="00CF78CB">
        <w:trPr>
          <w:cantSplit/>
          <w:trHeight w:val="13"/>
        </w:trPr>
        <w:tc>
          <w:tcPr>
            <w:tcW w:w="0" w:type="auto"/>
            <w:tcBorders>
              <w:top w:val="single" w:sz="4" w:space="0" w:color="auto"/>
              <w:left w:val="nil"/>
              <w:bottom w:val="single" w:sz="4" w:space="0" w:color="auto"/>
              <w:right w:val="nil"/>
            </w:tcBorders>
          </w:tcPr>
          <w:p w14:paraId="611B9668" w14:textId="77777777" w:rsidR="0071004A" w:rsidRPr="00E673EB" w:rsidRDefault="0071004A" w:rsidP="00377F3A">
            <w:pPr>
              <w:pStyle w:val="TableText"/>
              <w:rPr>
                <w:lang w:eastAsia="en-AU"/>
              </w:rPr>
            </w:pPr>
            <w:r w:rsidRPr="00E673EB">
              <w:rPr>
                <w:lang w:eastAsia="en-AU"/>
              </w:rPr>
              <w:t>Terrestrial invertebrates</w:t>
            </w:r>
          </w:p>
        </w:tc>
        <w:tc>
          <w:tcPr>
            <w:tcW w:w="0" w:type="auto"/>
            <w:tcBorders>
              <w:top w:val="single" w:sz="4" w:space="0" w:color="auto"/>
              <w:left w:val="nil"/>
              <w:bottom w:val="single" w:sz="4" w:space="0" w:color="auto"/>
              <w:right w:val="nil"/>
            </w:tcBorders>
          </w:tcPr>
          <w:p w14:paraId="7A6609DD" w14:textId="77777777" w:rsidR="0071004A" w:rsidRPr="00E673EB" w:rsidRDefault="0071004A" w:rsidP="00377F3A">
            <w:pPr>
              <w:pStyle w:val="TableText"/>
            </w:pPr>
            <w:r>
              <w:t>North America</w:t>
            </w:r>
          </w:p>
        </w:tc>
        <w:tc>
          <w:tcPr>
            <w:tcW w:w="0" w:type="auto"/>
            <w:tcBorders>
              <w:top w:val="single" w:sz="4" w:space="0" w:color="auto"/>
              <w:left w:val="nil"/>
              <w:bottom w:val="single" w:sz="4" w:space="0" w:color="auto"/>
              <w:right w:val="nil"/>
            </w:tcBorders>
          </w:tcPr>
          <w:p w14:paraId="37956DAE" w14:textId="77777777" w:rsidR="0071004A" w:rsidRPr="00E673EB" w:rsidRDefault="0071004A" w:rsidP="00377F3A">
            <w:pPr>
              <w:pStyle w:val="TableText"/>
            </w:pPr>
            <w:r w:rsidRPr="00E673EB">
              <w:t>Not detected in carrion beetles, carabid beetles, wasps, snails, slugs, worms, or maggots in bromadialone or brodifacoum baited farms or farms in area of intensive poultry farming in Canada</w:t>
            </w:r>
          </w:p>
        </w:tc>
        <w:tc>
          <w:tcPr>
            <w:tcW w:w="0" w:type="auto"/>
            <w:tcBorders>
              <w:top w:val="single" w:sz="4" w:space="0" w:color="auto"/>
              <w:left w:val="nil"/>
              <w:bottom w:val="single" w:sz="4" w:space="0" w:color="auto"/>
              <w:right w:val="nil"/>
            </w:tcBorders>
          </w:tcPr>
          <w:p w14:paraId="7A9D7291" w14:textId="3758CAF1"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759B155A" w14:textId="77777777" w:rsidTr="00CF78CB">
        <w:trPr>
          <w:cantSplit/>
          <w:trHeight w:val="13"/>
        </w:trPr>
        <w:tc>
          <w:tcPr>
            <w:tcW w:w="0" w:type="auto"/>
            <w:tcBorders>
              <w:top w:val="single" w:sz="4" w:space="0" w:color="auto"/>
              <w:left w:val="nil"/>
              <w:bottom w:val="nil"/>
              <w:right w:val="nil"/>
            </w:tcBorders>
          </w:tcPr>
          <w:p w14:paraId="0B364CE1" w14:textId="77777777" w:rsidR="0071004A" w:rsidRPr="00E673EB" w:rsidRDefault="0071004A" w:rsidP="00377F3A">
            <w:pPr>
              <w:pStyle w:val="TableText"/>
              <w:rPr>
                <w:lang w:eastAsia="en-AU"/>
              </w:rPr>
            </w:pPr>
            <w:r w:rsidRPr="00E673EB">
              <w:rPr>
                <w:lang w:eastAsia="en-AU"/>
              </w:rPr>
              <w:t>Target rodents</w:t>
            </w:r>
          </w:p>
        </w:tc>
        <w:tc>
          <w:tcPr>
            <w:tcW w:w="0" w:type="auto"/>
            <w:tcBorders>
              <w:top w:val="single" w:sz="4" w:space="0" w:color="auto"/>
              <w:left w:val="nil"/>
              <w:bottom w:val="nil"/>
              <w:right w:val="nil"/>
            </w:tcBorders>
          </w:tcPr>
          <w:p w14:paraId="3D301227" w14:textId="77777777" w:rsidR="0071004A" w:rsidRPr="00E673EB" w:rsidRDefault="0071004A" w:rsidP="00377F3A">
            <w:pPr>
              <w:pStyle w:val="TableText"/>
            </w:pPr>
            <w:r>
              <w:t>Europe</w:t>
            </w:r>
          </w:p>
        </w:tc>
        <w:tc>
          <w:tcPr>
            <w:tcW w:w="0" w:type="auto"/>
            <w:tcBorders>
              <w:top w:val="single" w:sz="4" w:space="0" w:color="auto"/>
              <w:left w:val="nil"/>
              <w:bottom w:val="nil"/>
              <w:right w:val="nil"/>
            </w:tcBorders>
          </w:tcPr>
          <w:p w14:paraId="783547C5" w14:textId="11064FAA" w:rsidR="0071004A" w:rsidRPr="00E673EB" w:rsidRDefault="0071004A" w:rsidP="00377F3A">
            <w:pPr>
              <w:pStyle w:val="TableText"/>
            </w:pPr>
            <w:r w:rsidRPr="00E673EB">
              <w:t>Max liver residues 16.6 mg/kg in water vole trapped 135 days after burrow baiting at 20 kg/ha (50 mg a</w:t>
            </w:r>
            <w:r w:rsidR="00C874AD">
              <w:t>.</w:t>
            </w:r>
            <w:r w:rsidRPr="00E673EB">
              <w:t>c</w:t>
            </w:r>
            <w:r w:rsidR="00C874AD">
              <w:t>.</w:t>
            </w:r>
            <w:r w:rsidRPr="00E673EB">
              <w:t xml:space="preserve">/kg bait) in France </w:t>
            </w:r>
          </w:p>
        </w:tc>
        <w:tc>
          <w:tcPr>
            <w:tcW w:w="0" w:type="auto"/>
            <w:tcBorders>
              <w:top w:val="single" w:sz="4" w:space="0" w:color="auto"/>
              <w:left w:val="nil"/>
              <w:bottom w:val="nil"/>
              <w:right w:val="nil"/>
            </w:tcBorders>
          </w:tcPr>
          <w:p w14:paraId="2F0F3618" w14:textId="646E5FFB" w:rsidR="0071004A" w:rsidRPr="00E673EB" w:rsidRDefault="0071004A" w:rsidP="00377F3A">
            <w:pPr>
              <w:pStyle w:val="TableText"/>
            </w:pPr>
            <w:r w:rsidRPr="00E673EB">
              <w:t xml:space="preserve">Sage </w:t>
            </w:r>
            <w:r w:rsidR="00B7183A" w:rsidRPr="00B7183A">
              <w:rPr>
                <w:i/>
                <w:iCs/>
              </w:rPr>
              <w:t>et al</w:t>
            </w:r>
            <w:r w:rsidRPr="00E673EB">
              <w:t>. 2008</w:t>
            </w:r>
          </w:p>
        </w:tc>
      </w:tr>
      <w:tr w:rsidR="0071004A" w:rsidRPr="003B5A86" w14:paraId="062B6EB5" w14:textId="77777777" w:rsidTr="00CF78CB">
        <w:trPr>
          <w:cantSplit/>
          <w:trHeight w:val="13"/>
        </w:trPr>
        <w:tc>
          <w:tcPr>
            <w:tcW w:w="0" w:type="auto"/>
            <w:tcBorders>
              <w:top w:val="nil"/>
              <w:left w:val="nil"/>
              <w:bottom w:val="nil"/>
              <w:right w:val="nil"/>
            </w:tcBorders>
          </w:tcPr>
          <w:p w14:paraId="5F19994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41B131C" w14:textId="77777777" w:rsidR="0071004A" w:rsidRPr="00E673EB" w:rsidRDefault="0071004A" w:rsidP="00377F3A">
            <w:pPr>
              <w:pStyle w:val="TableText"/>
            </w:pPr>
          </w:p>
        </w:tc>
        <w:tc>
          <w:tcPr>
            <w:tcW w:w="0" w:type="auto"/>
            <w:tcBorders>
              <w:top w:val="nil"/>
              <w:left w:val="nil"/>
              <w:bottom w:val="nil"/>
              <w:right w:val="nil"/>
            </w:tcBorders>
          </w:tcPr>
          <w:p w14:paraId="4DB907D7" w14:textId="5870D0DA" w:rsidR="0071004A" w:rsidRPr="00E673EB" w:rsidRDefault="0071004A" w:rsidP="00377F3A">
            <w:pPr>
              <w:pStyle w:val="TableText"/>
            </w:pPr>
            <w:r w:rsidRPr="00E673EB">
              <w:t>Mean liver residues 6.0 mg/kg in water vole following burrow baiting (50 mg a</w:t>
            </w:r>
            <w:r w:rsidR="00C874AD">
              <w:t>.</w:t>
            </w:r>
            <w:r w:rsidRPr="00E673EB">
              <w:t>c</w:t>
            </w:r>
            <w:r w:rsidR="00C874AD">
              <w:t>.</w:t>
            </w:r>
            <w:r w:rsidRPr="00E673EB">
              <w:t>/kg bait) in France</w:t>
            </w:r>
          </w:p>
        </w:tc>
        <w:tc>
          <w:tcPr>
            <w:tcW w:w="0" w:type="auto"/>
            <w:tcBorders>
              <w:top w:val="nil"/>
              <w:left w:val="nil"/>
              <w:bottom w:val="nil"/>
              <w:right w:val="nil"/>
            </w:tcBorders>
          </w:tcPr>
          <w:p w14:paraId="4E6EA7E2" w14:textId="7965179E" w:rsidR="0071004A" w:rsidRPr="00E673EB" w:rsidRDefault="0071004A" w:rsidP="00377F3A">
            <w:pPr>
              <w:pStyle w:val="TableText"/>
            </w:pPr>
            <w:r w:rsidRPr="00E673EB">
              <w:t xml:space="preserve">Giraudoux </w:t>
            </w:r>
            <w:r w:rsidR="00B7183A" w:rsidRPr="00B7183A">
              <w:rPr>
                <w:i/>
                <w:iCs/>
              </w:rPr>
              <w:t>et al</w:t>
            </w:r>
            <w:r w:rsidRPr="00E673EB">
              <w:t>. 2006</w:t>
            </w:r>
          </w:p>
        </w:tc>
      </w:tr>
      <w:tr w:rsidR="0071004A" w:rsidRPr="003B5A86" w14:paraId="75625A07" w14:textId="77777777" w:rsidTr="00CF78CB">
        <w:trPr>
          <w:cantSplit/>
          <w:trHeight w:val="13"/>
        </w:trPr>
        <w:tc>
          <w:tcPr>
            <w:tcW w:w="0" w:type="auto"/>
            <w:tcBorders>
              <w:top w:val="nil"/>
              <w:left w:val="nil"/>
              <w:bottom w:val="nil"/>
              <w:right w:val="nil"/>
            </w:tcBorders>
          </w:tcPr>
          <w:p w14:paraId="5DEF19E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8C2A224" w14:textId="77777777" w:rsidR="0071004A" w:rsidRPr="00E673EB" w:rsidRDefault="0071004A" w:rsidP="00377F3A">
            <w:pPr>
              <w:pStyle w:val="TableText"/>
            </w:pPr>
          </w:p>
        </w:tc>
        <w:tc>
          <w:tcPr>
            <w:tcW w:w="0" w:type="auto"/>
            <w:tcBorders>
              <w:top w:val="nil"/>
              <w:left w:val="nil"/>
              <w:bottom w:val="nil"/>
              <w:right w:val="nil"/>
            </w:tcBorders>
          </w:tcPr>
          <w:p w14:paraId="1DD32163" w14:textId="78D1B4E9" w:rsidR="0071004A" w:rsidRPr="00E673EB" w:rsidRDefault="0071004A" w:rsidP="00377F3A">
            <w:pPr>
              <w:pStyle w:val="TableText"/>
            </w:pPr>
            <w:r w:rsidRPr="00E673EB">
              <w:t>Mean whole body residue 0.13 mg/kg house mice trapped within 20m of 50 mg a</w:t>
            </w:r>
            <w:r w:rsidR="00C874AD">
              <w:t>.</w:t>
            </w:r>
            <w:r w:rsidRPr="00E673EB">
              <w:t>c</w:t>
            </w:r>
            <w:r w:rsidR="00C874AD">
              <w:t>.</w:t>
            </w:r>
            <w:r w:rsidRPr="00E673EB">
              <w:t>/kg bait boxes in Denmark</w:t>
            </w:r>
          </w:p>
        </w:tc>
        <w:tc>
          <w:tcPr>
            <w:tcW w:w="0" w:type="auto"/>
            <w:tcBorders>
              <w:top w:val="nil"/>
              <w:left w:val="nil"/>
              <w:bottom w:val="nil"/>
              <w:right w:val="nil"/>
            </w:tcBorders>
          </w:tcPr>
          <w:p w14:paraId="47B4926E" w14:textId="3647F6C5" w:rsidR="0071004A" w:rsidRPr="00E673EB" w:rsidRDefault="0071004A" w:rsidP="00377F3A">
            <w:pPr>
              <w:pStyle w:val="TableText"/>
            </w:pPr>
            <w:r w:rsidRPr="00E673EB">
              <w:t xml:space="preserve">Elmeros </w:t>
            </w:r>
            <w:r w:rsidR="00B7183A" w:rsidRPr="00B7183A">
              <w:rPr>
                <w:i/>
                <w:iCs/>
              </w:rPr>
              <w:t>et al</w:t>
            </w:r>
            <w:r w:rsidRPr="00E673EB">
              <w:t>. 2019</w:t>
            </w:r>
          </w:p>
        </w:tc>
      </w:tr>
      <w:tr w:rsidR="0071004A" w:rsidRPr="003B5A86" w14:paraId="3328FEBE" w14:textId="77777777" w:rsidTr="00CF78CB">
        <w:trPr>
          <w:cantSplit/>
          <w:trHeight w:val="13"/>
        </w:trPr>
        <w:tc>
          <w:tcPr>
            <w:tcW w:w="0" w:type="auto"/>
            <w:tcBorders>
              <w:top w:val="nil"/>
              <w:left w:val="nil"/>
              <w:bottom w:val="nil"/>
              <w:right w:val="nil"/>
            </w:tcBorders>
          </w:tcPr>
          <w:p w14:paraId="7091445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FF702DD" w14:textId="77777777" w:rsidR="0071004A" w:rsidRPr="00E673EB" w:rsidRDefault="0071004A" w:rsidP="00377F3A">
            <w:pPr>
              <w:pStyle w:val="TableText"/>
            </w:pPr>
          </w:p>
        </w:tc>
        <w:tc>
          <w:tcPr>
            <w:tcW w:w="0" w:type="auto"/>
            <w:tcBorders>
              <w:top w:val="nil"/>
              <w:left w:val="nil"/>
              <w:bottom w:val="nil"/>
              <w:right w:val="nil"/>
            </w:tcBorders>
          </w:tcPr>
          <w:p w14:paraId="1235A28B" w14:textId="77777777" w:rsidR="0071004A" w:rsidRPr="00E673EB" w:rsidRDefault="0071004A" w:rsidP="00377F3A">
            <w:pPr>
              <w:pStyle w:val="TableText"/>
            </w:pPr>
            <w:r w:rsidRPr="00E673EB">
              <w:t>Max liver residues 6 µg/kg in 1/12 house mice from farms in Northern Ireland within 30m from buildings (with bromadiolone usage)</w:t>
            </w:r>
          </w:p>
        </w:tc>
        <w:tc>
          <w:tcPr>
            <w:tcW w:w="0" w:type="auto"/>
            <w:tcBorders>
              <w:top w:val="nil"/>
              <w:left w:val="nil"/>
              <w:bottom w:val="nil"/>
              <w:right w:val="nil"/>
            </w:tcBorders>
          </w:tcPr>
          <w:p w14:paraId="2EA96233" w14:textId="01D2AC7A"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31C0149A" w14:textId="77777777" w:rsidTr="00CF78CB">
        <w:trPr>
          <w:cantSplit/>
          <w:trHeight w:val="13"/>
        </w:trPr>
        <w:tc>
          <w:tcPr>
            <w:tcW w:w="0" w:type="auto"/>
            <w:tcBorders>
              <w:top w:val="nil"/>
              <w:left w:val="nil"/>
              <w:bottom w:val="nil"/>
              <w:right w:val="nil"/>
            </w:tcBorders>
          </w:tcPr>
          <w:p w14:paraId="0A269E1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68B0018" w14:textId="77777777" w:rsidR="0071004A" w:rsidRPr="00E673EB" w:rsidRDefault="0071004A" w:rsidP="00377F3A">
            <w:pPr>
              <w:pStyle w:val="TableText"/>
            </w:pPr>
            <w:r>
              <w:t>North America</w:t>
            </w:r>
          </w:p>
        </w:tc>
        <w:tc>
          <w:tcPr>
            <w:tcW w:w="0" w:type="auto"/>
            <w:tcBorders>
              <w:top w:val="nil"/>
              <w:left w:val="nil"/>
              <w:bottom w:val="nil"/>
              <w:right w:val="nil"/>
            </w:tcBorders>
          </w:tcPr>
          <w:p w14:paraId="1D8F4D3F" w14:textId="5EDA0EEB" w:rsidR="0071004A" w:rsidRPr="00E673EB" w:rsidRDefault="0071004A" w:rsidP="00377F3A">
            <w:pPr>
              <w:pStyle w:val="TableText"/>
            </w:pPr>
            <w:r w:rsidRPr="00E673EB">
              <w:t>Mean whole body residue 1.9 mg/kg rats, 1.2 mg/kg mice, and 0.49 mg/kg ground squirrels following typical 50 mg a</w:t>
            </w:r>
            <w:r w:rsidR="00C874AD">
              <w:t>.</w:t>
            </w:r>
            <w:r w:rsidRPr="00E673EB">
              <w:t>c</w:t>
            </w:r>
            <w:r w:rsidR="00C874AD">
              <w:t>.</w:t>
            </w:r>
            <w:r w:rsidRPr="00E673EB">
              <w:t>/kg baiting in California</w:t>
            </w:r>
          </w:p>
        </w:tc>
        <w:tc>
          <w:tcPr>
            <w:tcW w:w="0" w:type="auto"/>
            <w:tcBorders>
              <w:top w:val="nil"/>
              <w:left w:val="nil"/>
              <w:bottom w:val="nil"/>
              <w:right w:val="nil"/>
            </w:tcBorders>
          </w:tcPr>
          <w:p w14:paraId="1D932A07" w14:textId="77777777" w:rsidR="0071004A" w:rsidRPr="00E673EB" w:rsidRDefault="0071004A" w:rsidP="00377F3A">
            <w:pPr>
              <w:pStyle w:val="TableText"/>
            </w:pPr>
            <w:r w:rsidRPr="00E673EB">
              <w:t>Poché 1988</w:t>
            </w:r>
          </w:p>
        </w:tc>
      </w:tr>
      <w:tr w:rsidR="0071004A" w:rsidRPr="003B5A86" w14:paraId="4DEA710A" w14:textId="77777777" w:rsidTr="00CF78CB">
        <w:trPr>
          <w:cantSplit/>
          <w:trHeight w:val="13"/>
        </w:trPr>
        <w:tc>
          <w:tcPr>
            <w:tcW w:w="0" w:type="auto"/>
            <w:tcBorders>
              <w:top w:val="nil"/>
              <w:left w:val="nil"/>
              <w:bottom w:val="single" w:sz="4" w:space="0" w:color="auto"/>
              <w:right w:val="nil"/>
            </w:tcBorders>
          </w:tcPr>
          <w:p w14:paraId="160568B0"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88DDFFB"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25D69B4B" w14:textId="77777777" w:rsidR="0071004A" w:rsidRPr="00E673EB" w:rsidRDefault="0071004A" w:rsidP="00377F3A">
            <w:pPr>
              <w:pStyle w:val="TableText"/>
            </w:pPr>
            <w:r w:rsidRPr="00E673EB">
              <w:t>Max liver residues 4260 µg/kg in 3/5 rats in bromadialone baited farm; not detected in 2 rats in farms in area of intensive poultry farming in Canada</w:t>
            </w:r>
          </w:p>
        </w:tc>
        <w:tc>
          <w:tcPr>
            <w:tcW w:w="0" w:type="auto"/>
            <w:tcBorders>
              <w:top w:val="nil"/>
              <w:left w:val="nil"/>
              <w:bottom w:val="single" w:sz="4" w:space="0" w:color="auto"/>
              <w:right w:val="nil"/>
            </w:tcBorders>
          </w:tcPr>
          <w:p w14:paraId="3510506F" w14:textId="0A2F6DAF"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181A004F" w14:textId="77777777" w:rsidTr="00CF78CB">
        <w:trPr>
          <w:cantSplit/>
          <w:trHeight w:val="13"/>
        </w:trPr>
        <w:tc>
          <w:tcPr>
            <w:tcW w:w="0" w:type="auto"/>
            <w:tcBorders>
              <w:top w:val="single" w:sz="4" w:space="0" w:color="auto"/>
              <w:left w:val="nil"/>
              <w:bottom w:val="nil"/>
              <w:right w:val="nil"/>
            </w:tcBorders>
          </w:tcPr>
          <w:p w14:paraId="223BDF6F" w14:textId="77777777" w:rsidR="0071004A" w:rsidRPr="00E673EB" w:rsidRDefault="0071004A"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6DF75F04"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46051769" w14:textId="77777777" w:rsidR="0071004A" w:rsidRPr="00E673EB" w:rsidRDefault="0071004A" w:rsidP="00377F3A">
            <w:pPr>
              <w:pStyle w:val="TableText"/>
            </w:pPr>
            <w:r w:rsidRPr="00E673EB">
              <w:t>Mean liver residues 41 µg/kg in 3/9 western quolls, 3 µg/kg in 1/5 tiger quolls, 7 µg/kg in 2/15 eastern quolls, and 34 µg/kg in 4/20 Tasmanian devils in Tasmania, Western Australia, NSW and ACT</w:t>
            </w:r>
          </w:p>
        </w:tc>
        <w:tc>
          <w:tcPr>
            <w:tcW w:w="0" w:type="auto"/>
            <w:tcBorders>
              <w:top w:val="single" w:sz="4" w:space="0" w:color="auto"/>
              <w:left w:val="nil"/>
              <w:bottom w:val="nil"/>
              <w:right w:val="nil"/>
            </w:tcBorders>
          </w:tcPr>
          <w:p w14:paraId="4C5FF3D5" w14:textId="77777777" w:rsidR="0071004A" w:rsidRPr="00E673EB" w:rsidRDefault="0071004A" w:rsidP="00377F3A">
            <w:pPr>
              <w:pStyle w:val="TableText"/>
            </w:pPr>
            <w:r w:rsidRPr="00E673EB">
              <w:t>Lohr 2022</w:t>
            </w:r>
          </w:p>
        </w:tc>
      </w:tr>
      <w:tr w:rsidR="0071004A" w:rsidRPr="003B5A86" w14:paraId="37806128" w14:textId="77777777" w:rsidTr="00CF78CB">
        <w:trPr>
          <w:cantSplit/>
          <w:trHeight w:val="13"/>
        </w:trPr>
        <w:tc>
          <w:tcPr>
            <w:tcW w:w="0" w:type="auto"/>
            <w:tcBorders>
              <w:top w:val="nil"/>
              <w:left w:val="nil"/>
              <w:bottom w:val="nil"/>
              <w:right w:val="nil"/>
            </w:tcBorders>
          </w:tcPr>
          <w:p w14:paraId="3559B83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DFD6874" w14:textId="77777777" w:rsidR="0071004A" w:rsidRPr="00E673EB" w:rsidRDefault="0071004A" w:rsidP="00377F3A">
            <w:pPr>
              <w:pStyle w:val="TableText"/>
            </w:pPr>
          </w:p>
        </w:tc>
        <w:tc>
          <w:tcPr>
            <w:tcW w:w="0" w:type="auto"/>
            <w:tcBorders>
              <w:top w:val="nil"/>
              <w:left w:val="nil"/>
              <w:bottom w:val="nil"/>
              <w:right w:val="nil"/>
            </w:tcBorders>
          </w:tcPr>
          <w:p w14:paraId="0D9D0CC0" w14:textId="77777777" w:rsidR="0071004A" w:rsidRPr="00E673EB" w:rsidRDefault="0071004A" w:rsidP="00377F3A">
            <w:pPr>
              <w:pStyle w:val="TableText"/>
            </w:pPr>
            <w:r w:rsidRPr="00E673EB">
              <w:t>Not detected in brushtail possums in rural &amp; urban areas across Australia between 2006 and 2021</w:t>
            </w:r>
          </w:p>
        </w:tc>
        <w:tc>
          <w:tcPr>
            <w:tcW w:w="0" w:type="auto"/>
            <w:tcBorders>
              <w:top w:val="nil"/>
              <w:left w:val="nil"/>
              <w:bottom w:val="nil"/>
              <w:right w:val="nil"/>
            </w:tcBorders>
          </w:tcPr>
          <w:p w14:paraId="5CFED6B9" w14:textId="77777777" w:rsidR="0071004A" w:rsidRPr="00E673EB" w:rsidRDefault="0071004A" w:rsidP="00377F3A">
            <w:pPr>
              <w:pStyle w:val="TableText"/>
            </w:pPr>
            <w:r w:rsidRPr="00E673EB">
              <w:t>WHA 2022</w:t>
            </w:r>
          </w:p>
        </w:tc>
      </w:tr>
      <w:tr w:rsidR="0071004A" w14:paraId="51247D84" w14:textId="77777777" w:rsidTr="00CF78CB">
        <w:trPr>
          <w:cantSplit/>
          <w:trHeight w:val="13"/>
        </w:trPr>
        <w:tc>
          <w:tcPr>
            <w:tcW w:w="0" w:type="auto"/>
            <w:tcBorders>
              <w:top w:val="nil"/>
              <w:left w:val="nil"/>
              <w:bottom w:val="nil"/>
              <w:right w:val="nil"/>
            </w:tcBorders>
          </w:tcPr>
          <w:p w14:paraId="7680F9C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CFB8C6E" w14:textId="77777777" w:rsidR="0071004A" w:rsidRPr="00E673EB" w:rsidRDefault="0071004A" w:rsidP="00377F3A">
            <w:pPr>
              <w:pStyle w:val="TableText"/>
            </w:pPr>
          </w:p>
        </w:tc>
        <w:tc>
          <w:tcPr>
            <w:tcW w:w="0" w:type="auto"/>
            <w:tcBorders>
              <w:top w:val="nil"/>
              <w:left w:val="nil"/>
              <w:bottom w:val="nil"/>
              <w:right w:val="nil"/>
            </w:tcBorders>
          </w:tcPr>
          <w:p w14:paraId="69472DE7" w14:textId="77777777" w:rsidR="0071004A" w:rsidRPr="00E673EB" w:rsidRDefault="0071004A" w:rsidP="00377F3A">
            <w:pPr>
              <w:pStyle w:val="TableText"/>
            </w:pPr>
            <w:r w:rsidRPr="00E673EB">
              <w:t>Max liver residues 9610 µg/kg in 9/53 (17%) brushtail possums, 186038 µg/kg in 5/82 (6%) ringtail possums in Victoria in 2022</w:t>
            </w:r>
          </w:p>
        </w:tc>
        <w:tc>
          <w:tcPr>
            <w:tcW w:w="0" w:type="auto"/>
            <w:tcBorders>
              <w:top w:val="nil"/>
              <w:left w:val="nil"/>
              <w:bottom w:val="nil"/>
              <w:right w:val="nil"/>
            </w:tcBorders>
          </w:tcPr>
          <w:p w14:paraId="6AB8DDDE" w14:textId="588F903E" w:rsidR="0071004A" w:rsidRPr="00E673EB" w:rsidRDefault="0071004A" w:rsidP="00377F3A">
            <w:pPr>
              <w:pStyle w:val="TableText"/>
            </w:pPr>
            <w:r w:rsidRPr="00E673EB">
              <w:t xml:space="preserve">Scammell </w:t>
            </w:r>
            <w:r w:rsidR="00B7183A" w:rsidRPr="00B7183A">
              <w:rPr>
                <w:i/>
                <w:iCs/>
              </w:rPr>
              <w:t>et al</w:t>
            </w:r>
            <w:r w:rsidRPr="00E673EB">
              <w:t>. 2024</w:t>
            </w:r>
          </w:p>
        </w:tc>
      </w:tr>
      <w:tr w:rsidR="0071004A" w:rsidRPr="003B5A86" w14:paraId="6988B110" w14:textId="77777777" w:rsidTr="00CF78CB">
        <w:trPr>
          <w:cantSplit/>
          <w:trHeight w:val="13"/>
        </w:trPr>
        <w:tc>
          <w:tcPr>
            <w:tcW w:w="0" w:type="auto"/>
            <w:tcBorders>
              <w:top w:val="nil"/>
              <w:left w:val="nil"/>
              <w:bottom w:val="nil"/>
              <w:right w:val="nil"/>
            </w:tcBorders>
          </w:tcPr>
          <w:p w14:paraId="37F1B2E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E6804BB" w14:textId="77777777" w:rsidR="0071004A" w:rsidRPr="00E673EB" w:rsidRDefault="0071004A" w:rsidP="00377F3A">
            <w:pPr>
              <w:pStyle w:val="TableText"/>
            </w:pPr>
            <w:r>
              <w:t>North America</w:t>
            </w:r>
          </w:p>
        </w:tc>
        <w:tc>
          <w:tcPr>
            <w:tcW w:w="0" w:type="auto"/>
            <w:tcBorders>
              <w:top w:val="nil"/>
              <w:left w:val="nil"/>
              <w:bottom w:val="nil"/>
              <w:right w:val="nil"/>
            </w:tcBorders>
          </w:tcPr>
          <w:p w14:paraId="078A4D1C" w14:textId="77777777" w:rsidR="0071004A" w:rsidRPr="00E673EB" w:rsidRDefault="0071004A" w:rsidP="00377F3A">
            <w:pPr>
              <w:pStyle w:val="TableText"/>
            </w:pPr>
            <w:r w:rsidRPr="00E673EB">
              <w:t>10 µg/kg in 1/23 voles; not detected in 6 shrews, 3 deer mice in bromadialone or brodifacoum baited farms or farms in area of intensive poultry farming; not detected in pellets of 9 rat-eating barn owls from agricultural barn sites in Canada</w:t>
            </w:r>
          </w:p>
        </w:tc>
        <w:tc>
          <w:tcPr>
            <w:tcW w:w="0" w:type="auto"/>
            <w:tcBorders>
              <w:top w:val="nil"/>
              <w:left w:val="nil"/>
              <w:bottom w:val="nil"/>
              <w:right w:val="nil"/>
            </w:tcBorders>
          </w:tcPr>
          <w:p w14:paraId="5FBCD01C" w14:textId="169D77CD"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04429FF2" w14:textId="77777777" w:rsidTr="00CF78CB">
        <w:trPr>
          <w:cantSplit/>
          <w:trHeight w:val="13"/>
        </w:trPr>
        <w:tc>
          <w:tcPr>
            <w:tcW w:w="0" w:type="auto"/>
            <w:tcBorders>
              <w:top w:val="nil"/>
              <w:left w:val="nil"/>
              <w:bottom w:val="nil"/>
              <w:right w:val="nil"/>
            </w:tcBorders>
          </w:tcPr>
          <w:p w14:paraId="0DCC7D82" w14:textId="3EE73A13" w:rsidR="0071004A" w:rsidRPr="00E673EB" w:rsidRDefault="0071004A" w:rsidP="00377F3A">
            <w:pPr>
              <w:pStyle w:val="TableText"/>
              <w:rPr>
                <w:lang w:eastAsia="en-AU"/>
              </w:rPr>
            </w:pPr>
          </w:p>
        </w:tc>
        <w:tc>
          <w:tcPr>
            <w:tcW w:w="0" w:type="auto"/>
            <w:tcBorders>
              <w:top w:val="nil"/>
              <w:left w:val="nil"/>
              <w:bottom w:val="nil"/>
              <w:right w:val="nil"/>
            </w:tcBorders>
          </w:tcPr>
          <w:p w14:paraId="78F7A8A2" w14:textId="77777777" w:rsidR="0071004A" w:rsidRPr="00E673EB" w:rsidRDefault="0071004A" w:rsidP="00377F3A">
            <w:pPr>
              <w:pStyle w:val="TableText"/>
            </w:pPr>
            <w:r>
              <w:t>Europe</w:t>
            </w:r>
          </w:p>
        </w:tc>
        <w:tc>
          <w:tcPr>
            <w:tcW w:w="0" w:type="auto"/>
            <w:tcBorders>
              <w:top w:val="nil"/>
              <w:left w:val="nil"/>
              <w:bottom w:val="nil"/>
              <w:right w:val="nil"/>
            </w:tcBorders>
          </w:tcPr>
          <w:p w14:paraId="500D48D6" w14:textId="3A3C93F5" w:rsidR="0071004A" w:rsidRPr="00E673EB" w:rsidRDefault="0071004A" w:rsidP="00377F3A">
            <w:pPr>
              <w:pStyle w:val="TableText"/>
            </w:pPr>
            <w:r w:rsidRPr="00E673EB">
              <w:t>Mean liver residues 1.6 mg/kg roe deer, 1.4 mg/kg rabbits &amp; hares, 0.6 mg/kg wild boar, 1.5 mg/kg red fox, 0.8 mg/kg stone-marten, 1.3 mg/kg lynx, 1.9 mg/kg badger attributed to vole baiting (100 mg a</w:t>
            </w:r>
            <w:r w:rsidR="00C874AD">
              <w:t>.</w:t>
            </w:r>
            <w:r w:rsidRPr="00E673EB">
              <w:t>c</w:t>
            </w:r>
            <w:r w:rsidR="00C874AD">
              <w:t>.</w:t>
            </w:r>
            <w:r w:rsidRPr="00E673EB">
              <w:t>/kg bait) in France 1991-1994</w:t>
            </w:r>
          </w:p>
        </w:tc>
        <w:tc>
          <w:tcPr>
            <w:tcW w:w="0" w:type="auto"/>
            <w:tcBorders>
              <w:top w:val="nil"/>
              <w:left w:val="nil"/>
              <w:bottom w:val="nil"/>
              <w:right w:val="nil"/>
            </w:tcBorders>
          </w:tcPr>
          <w:p w14:paraId="28B0087E" w14:textId="3209C37F" w:rsidR="0071004A" w:rsidRPr="00E673EB" w:rsidRDefault="0071004A" w:rsidP="00377F3A">
            <w:pPr>
              <w:pStyle w:val="TableText"/>
            </w:pPr>
            <w:r w:rsidRPr="00E673EB">
              <w:t xml:space="preserve">Berny </w:t>
            </w:r>
            <w:r w:rsidR="00B7183A" w:rsidRPr="00B7183A">
              <w:rPr>
                <w:i/>
                <w:iCs/>
              </w:rPr>
              <w:t>et al</w:t>
            </w:r>
            <w:r w:rsidRPr="00E673EB">
              <w:t>. 1997</w:t>
            </w:r>
          </w:p>
        </w:tc>
      </w:tr>
      <w:tr w:rsidR="0071004A" w:rsidRPr="003B5A86" w14:paraId="48DCCB02" w14:textId="77777777" w:rsidTr="00CF78CB">
        <w:trPr>
          <w:cantSplit/>
          <w:trHeight w:val="13"/>
        </w:trPr>
        <w:tc>
          <w:tcPr>
            <w:tcW w:w="0" w:type="auto"/>
            <w:tcBorders>
              <w:top w:val="nil"/>
              <w:left w:val="nil"/>
              <w:bottom w:val="nil"/>
              <w:right w:val="nil"/>
            </w:tcBorders>
          </w:tcPr>
          <w:p w14:paraId="689AA78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018BBBC" w14:textId="77777777" w:rsidR="0071004A" w:rsidRPr="00E673EB" w:rsidRDefault="0071004A" w:rsidP="00377F3A">
            <w:pPr>
              <w:pStyle w:val="TableText"/>
            </w:pPr>
          </w:p>
        </w:tc>
        <w:tc>
          <w:tcPr>
            <w:tcW w:w="0" w:type="auto"/>
            <w:tcBorders>
              <w:top w:val="nil"/>
              <w:left w:val="nil"/>
              <w:bottom w:val="nil"/>
              <w:right w:val="nil"/>
            </w:tcBorders>
          </w:tcPr>
          <w:p w14:paraId="1FE6D3CC" w14:textId="00B8F5B0" w:rsidR="0071004A" w:rsidRPr="00E673EB" w:rsidRDefault="0071004A" w:rsidP="00377F3A">
            <w:pPr>
              <w:pStyle w:val="TableText"/>
            </w:pPr>
            <w:r w:rsidRPr="00E673EB">
              <w:t>Mean whole body residue 0.045 mg/kg harvest mouse, 0.22 mg/kg yellow-necked mouse, 0.004 mg/kg common shrew, 0.010 mg/kg bank vole, and 0.009 mg/kg field vole trapped within 20m of 50 mg a</w:t>
            </w:r>
            <w:r w:rsidR="00C874AD">
              <w:t>.</w:t>
            </w:r>
            <w:r w:rsidRPr="00E673EB">
              <w:t>c</w:t>
            </w:r>
            <w:r w:rsidR="00C874AD">
              <w:t>.</w:t>
            </w:r>
            <w:r w:rsidRPr="00E673EB">
              <w:t>/kg bait boxes in Denmark</w:t>
            </w:r>
          </w:p>
        </w:tc>
        <w:tc>
          <w:tcPr>
            <w:tcW w:w="0" w:type="auto"/>
            <w:tcBorders>
              <w:top w:val="nil"/>
              <w:left w:val="nil"/>
              <w:bottom w:val="nil"/>
              <w:right w:val="nil"/>
            </w:tcBorders>
          </w:tcPr>
          <w:p w14:paraId="7557EAEF" w14:textId="3B9DB8AD" w:rsidR="0071004A" w:rsidRPr="00E673EB" w:rsidRDefault="0071004A" w:rsidP="00377F3A">
            <w:pPr>
              <w:pStyle w:val="TableText"/>
            </w:pPr>
            <w:r w:rsidRPr="00E673EB">
              <w:t xml:space="preserve">Elmeros </w:t>
            </w:r>
            <w:r w:rsidR="00B7183A" w:rsidRPr="00B7183A">
              <w:rPr>
                <w:i/>
                <w:iCs/>
              </w:rPr>
              <w:t>et al</w:t>
            </w:r>
            <w:r w:rsidRPr="00E673EB">
              <w:t>. 2019</w:t>
            </w:r>
          </w:p>
        </w:tc>
      </w:tr>
      <w:tr w:rsidR="0071004A" w:rsidRPr="003B5A86" w14:paraId="79D00366" w14:textId="77777777" w:rsidTr="00CF78CB">
        <w:trPr>
          <w:cantSplit/>
          <w:trHeight w:val="13"/>
        </w:trPr>
        <w:tc>
          <w:tcPr>
            <w:tcW w:w="0" w:type="auto"/>
            <w:tcBorders>
              <w:top w:val="nil"/>
              <w:left w:val="nil"/>
              <w:bottom w:val="nil"/>
              <w:right w:val="nil"/>
            </w:tcBorders>
          </w:tcPr>
          <w:p w14:paraId="10CD261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93A4D0B" w14:textId="77777777" w:rsidR="0071004A" w:rsidRPr="00E673EB" w:rsidRDefault="0071004A" w:rsidP="00377F3A">
            <w:pPr>
              <w:pStyle w:val="TableText"/>
            </w:pPr>
          </w:p>
        </w:tc>
        <w:tc>
          <w:tcPr>
            <w:tcW w:w="0" w:type="auto"/>
            <w:tcBorders>
              <w:top w:val="nil"/>
              <w:left w:val="nil"/>
              <w:bottom w:val="nil"/>
              <w:right w:val="nil"/>
            </w:tcBorders>
          </w:tcPr>
          <w:p w14:paraId="3CAA63EE" w14:textId="77777777" w:rsidR="0071004A" w:rsidRPr="00E673EB" w:rsidRDefault="0071004A" w:rsidP="00377F3A">
            <w:pPr>
              <w:pStyle w:val="TableText"/>
            </w:pPr>
            <w:r w:rsidRPr="00E673EB">
              <w:t>Mean liver residues 48 µg/kg in 13/51 wild boars in urban area, 62 µg/kg in 4/20 wild boars in suburban area, not detected in liver of 13 wild boars in rural area of Spain; not detected in muscle</w:t>
            </w:r>
          </w:p>
        </w:tc>
        <w:tc>
          <w:tcPr>
            <w:tcW w:w="0" w:type="auto"/>
            <w:tcBorders>
              <w:top w:val="nil"/>
              <w:left w:val="nil"/>
              <w:bottom w:val="nil"/>
              <w:right w:val="nil"/>
            </w:tcBorders>
          </w:tcPr>
          <w:p w14:paraId="6FC87F7E" w14:textId="2CC2A103" w:rsidR="0071004A" w:rsidRPr="00E673EB" w:rsidRDefault="0071004A" w:rsidP="00377F3A">
            <w:pPr>
              <w:pStyle w:val="TableText"/>
            </w:pPr>
            <w:r w:rsidRPr="00E673EB">
              <w:t xml:space="preserve">Alabau </w:t>
            </w:r>
            <w:r w:rsidR="00B7183A" w:rsidRPr="00B7183A">
              <w:rPr>
                <w:i/>
                <w:iCs/>
              </w:rPr>
              <w:t>et al</w:t>
            </w:r>
            <w:r w:rsidRPr="00E673EB">
              <w:t>. 2020</w:t>
            </w:r>
          </w:p>
        </w:tc>
      </w:tr>
      <w:tr w:rsidR="0071004A" w:rsidRPr="003B5A86" w14:paraId="61CA3E99" w14:textId="77777777" w:rsidTr="00CF78CB">
        <w:trPr>
          <w:cantSplit/>
          <w:trHeight w:val="13"/>
        </w:trPr>
        <w:tc>
          <w:tcPr>
            <w:tcW w:w="0" w:type="auto"/>
            <w:tcBorders>
              <w:top w:val="nil"/>
              <w:left w:val="nil"/>
              <w:bottom w:val="nil"/>
              <w:right w:val="nil"/>
            </w:tcBorders>
          </w:tcPr>
          <w:p w14:paraId="1A9A174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47BC3E1" w14:textId="77777777" w:rsidR="0071004A" w:rsidRPr="00E673EB" w:rsidRDefault="0071004A" w:rsidP="00377F3A">
            <w:pPr>
              <w:pStyle w:val="TableText"/>
            </w:pPr>
          </w:p>
        </w:tc>
        <w:tc>
          <w:tcPr>
            <w:tcW w:w="0" w:type="auto"/>
            <w:tcBorders>
              <w:top w:val="nil"/>
              <w:left w:val="nil"/>
              <w:bottom w:val="nil"/>
              <w:right w:val="nil"/>
            </w:tcBorders>
          </w:tcPr>
          <w:p w14:paraId="3B165459" w14:textId="77777777" w:rsidR="0071004A" w:rsidRPr="00E673EB" w:rsidRDefault="0071004A" w:rsidP="00377F3A">
            <w:pPr>
              <w:pStyle w:val="TableText"/>
            </w:pPr>
            <w:r w:rsidRPr="00E673EB">
              <w:t>Max liver residues 2548 µg/kg in 35/106 Algerian hedgehogs, 1110 µg/kg in 13/48 European hedgehogs in Mediterranean region of Spain between 2011 and 2013</w:t>
            </w:r>
          </w:p>
        </w:tc>
        <w:tc>
          <w:tcPr>
            <w:tcW w:w="0" w:type="auto"/>
            <w:tcBorders>
              <w:top w:val="nil"/>
              <w:left w:val="nil"/>
              <w:bottom w:val="nil"/>
              <w:right w:val="nil"/>
            </w:tcBorders>
          </w:tcPr>
          <w:p w14:paraId="62AEAA5B" w14:textId="41A7B39A"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rsidRPr="003B5A86" w14:paraId="14D90C17" w14:textId="77777777" w:rsidTr="00CF78CB">
        <w:trPr>
          <w:cantSplit/>
          <w:trHeight w:val="13"/>
        </w:trPr>
        <w:tc>
          <w:tcPr>
            <w:tcW w:w="0" w:type="auto"/>
            <w:tcBorders>
              <w:top w:val="nil"/>
              <w:left w:val="nil"/>
              <w:bottom w:val="nil"/>
              <w:right w:val="nil"/>
            </w:tcBorders>
          </w:tcPr>
          <w:p w14:paraId="209015E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2A4E548" w14:textId="77777777" w:rsidR="0071004A" w:rsidRPr="00E673EB" w:rsidRDefault="0071004A" w:rsidP="00377F3A">
            <w:pPr>
              <w:pStyle w:val="TableText"/>
            </w:pPr>
          </w:p>
        </w:tc>
        <w:tc>
          <w:tcPr>
            <w:tcW w:w="0" w:type="auto"/>
            <w:tcBorders>
              <w:top w:val="nil"/>
              <w:left w:val="nil"/>
              <w:bottom w:val="nil"/>
              <w:right w:val="nil"/>
            </w:tcBorders>
          </w:tcPr>
          <w:p w14:paraId="1AFCD4FF" w14:textId="77777777" w:rsidR="0071004A" w:rsidRPr="00E673EB" w:rsidRDefault="0071004A" w:rsidP="00377F3A">
            <w:pPr>
              <w:pStyle w:val="TableText"/>
            </w:pPr>
            <w:r w:rsidRPr="00E673EB">
              <w:t>Max liver residues 49 µg/kg in 2/3 insectivores, 17900 µg/kg in 22/96 carnivores; not detected in 29 herbivores in Spain between 2005 and 2010</w:t>
            </w:r>
          </w:p>
        </w:tc>
        <w:tc>
          <w:tcPr>
            <w:tcW w:w="0" w:type="auto"/>
            <w:tcBorders>
              <w:top w:val="nil"/>
              <w:left w:val="nil"/>
              <w:bottom w:val="nil"/>
              <w:right w:val="nil"/>
            </w:tcBorders>
          </w:tcPr>
          <w:p w14:paraId="70840C4E" w14:textId="59A1E7AC"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70D6E371" w14:textId="77777777" w:rsidTr="00CF78CB">
        <w:trPr>
          <w:cantSplit/>
          <w:trHeight w:val="13"/>
        </w:trPr>
        <w:tc>
          <w:tcPr>
            <w:tcW w:w="0" w:type="auto"/>
            <w:tcBorders>
              <w:top w:val="nil"/>
              <w:left w:val="nil"/>
              <w:bottom w:val="nil"/>
              <w:right w:val="nil"/>
            </w:tcBorders>
          </w:tcPr>
          <w:p w14:paraId="69D3ABC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870D2F7" w14:textId="77777777" w:rsidR="0071004A" w:rsidRPr="00E673EB" w:rsidRDefault="0071004A" w:rsidP="00377F3A">
            <w:pPr>
              <w:pStyle w:val="TableText"/>
            </w:pPr>
          </w:p>
        </w:tc>
        <w:tc>
          <w:tcPr>
            <w:tcW w:w="0" w:type="auto"/>
            <w:tcBorders>
              <w:top w:val="nil"/>
              <w:left w:val="nil"/>
              <w:bottom w:val="nil"/>
              <w:right w:val="nil"/>
            </w:tcBorders>
          </w:tcPr>
          <w:p w14:paraId="1B5A555A" w14:textId="77777777" w:rsidR="0071004A" w:rsidRPr="00E673EB" w:rsidRDefault="0071004A" w:rsidP="00377F3A">
            <w:pPr>
              <w:pStyle w:val="TableText"/>
            </w:pPr>
            <w:r w:rsidRPr="00E673EB">
              <w:t>Max liver residues 4200 µg/kg in 4/78 mink, 9000 µg/kg in 5/33 polecats, and 7100 µg/kg in 2/11 otters in southwestern France between 1990 and 2002</w:t>
            </w:r>
          </w:p>
        </w:tc>
        <w:tc>
          <w:tcPr>
            <w:tcW w:w="0" w:type="auto"/>
            <w:tcBorders>
              <w:top w:val="nil"/>
              <w:left w:val="nil"/>
              <w:bottom w:val="nil"/>
              <w:right w:val="nil"/>
            </w:tcBorders>
          </w:tcPr>
          <w:p w14:paraId="73892ED7" w14:textId="33418B53" w:rsidR="0071004A" w:rsidRPr="00E673EB" w:rsidRDefault="0071004A" w:rsidP="00377F3A">
            <w:pPr>
              <w:pStyle w:val="TableText"/>
            </w:pPr>
            <w:r w:rsidRPr="00E673EB">
              <w:t xml:space="preserve">Fournier-Chambrillon </w:t>
            </w:r>
            <w:r w:rsidR="00B7183A" w:rsidRPr="00B7183A">
              <w:rPr>
                <w:i/>
                <w:iCs/>
              </w:rPr>
              <w:t>et al</w:t>
            </w:r>
            <w:r w:rsidRPr="00E673EB">
              <w:t>. 2004</w:t>
            </w:r>
          </w:p>
        </w:tc>
      </w:tr>
      <w:tr w:rsidR="0071004A" w:rsidRPr="003B5A86" w14:paraId="67BABED6" w14:textId="77777777" w:rsidTr="00CF78CB">
        <w:trPr>
          <w:cantSplit/>
          <w:trHeight w:val="13"/>
        </w:trPr>
        <w:tc>
          <w:tcPr>
            <w:tcW w:w="0" w:type="auto"/>
            <w:tcBorders>
              <w:top w:val="nil"/>
              <w:left w:val="nil"/>
              <w:bottom w:val="nil"/>
              <w:right w:val="nil"/>
            </w:tcBorders>
          </w:tcPr>
          <w:p w14:paraId="7E9AC19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200E179" w14:textId="77777777" w:rsidR="0071004A" w:rsidRPr="00E673EB" w:rsidRDefault="0071004A" w:rsidP="00377F3A">
            <w:pPr>
              <w:pStyle w:val="TableText"/>
            </w:pPr>
            <w:r w:rsidRPr="00E673EB">
              <w:t>UK</w:t>
            </w:r>
          </w:p>
        </w:tc>
        <w:tc>
          <w:tcPr>
            <w:tcW w:w="0" w:type="auto"/>
            <w:tcBorders>
              <w:top w:val="nil"/>
              <w:left w:val="nil"/>
              <w:bottom w:val="nil"/>
              <w:right w:val="nil"/>
            </w:tcBorders>
          </w:tcPr>
          <w:p w14:paraId="46D693EE" w14:textId="77777777" w:rsidR="0071004A" w:rsidRPr="00E673EB" w:rsidRDefault="0071004A" w:rsidP="00377F3A">
            <w:pPr>
              <w:pStyle w:val="TableText"/>
            </w:pPr>
            <w:r w:rsidRPr="00E673EB">
              <w:t>Max liver residues 380 µg/kg in 3/45 stoat and 250 µg/kg in 1/10 weasel following open area baiting in English estates</w:t>
            </w:r>
          </w:p>
        </w:tc>
        <w:tc>
          <w:tcPr>
            <w:tcW w:w="0" w:type="auto"/>
            <w:tcBorders>
              <w:top w:val="nil"/>
              <w:left w:val="nil"/>
              <w:bottom w:val="nil"/>
              <w:right w:val="nil"/>
            </w:tcBorders>
          </w:tcPr>
          <w:p w14:paraId="30F5FB69" w14:textId="748AC0D2" w:rsidR="0071004A" w:rsidRPr="00E673EB" w:rsidRDefault="0071004A" w:rsidP="00377F3A">
            <w:pPr>
              <w:pStyle w:val="TableText"/>
            </w:pPr>
            <w:r w:rsidRPr="00E673EB">
              <w:t xml:space="preserve">McDonald </w:t>
            </w:r>
            <w:r w:rsidR="00B7183A" w:rsidRPr="00B7183A">
              <w:rPr>
                <w:i/>
                <w:iCs/>
              </w:rPr>
              <w:t>et al</w:t>
            </w:r>
            <w:r w:rsidRPr="00E673EB">
              <w:t>. 1998</w:t>
            </w:r>
          </w:p>
        </w:tc>
      </w:tr>
      <w:tr w:rsidR="0071004A" w:rsidRPr="003B5A86" w14:paraId="05D474A0" w14:textId="77777777" w:rsidTr="00CF78CB">
        <w:trPr>
          <w:cantSplit/>
          <w:trHeight w:val="13"/>
        </w:trPr>
        <w:tc>
          <w:tcPr>
            <w:tcW w:w="0" w:type="auto"/>
            <w:tcBorders>
              <w:top w:val="nil"/>
              <w:left w:val="nil"/>
              <w:bottom w:val="nil"/>
              <w:right w:val="nil"/>
            </w:tcBorders>
          </w:tcPr>
          <w:p w14:paraId="3C5D57B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3FA43E5" w14:textId="77777777" w:rsidR="0071004A" w:rsidRPr="00E673EB" w:rsidRDefault="0071004A" w:rsidP="00377F3A">
            <w:pPr>
              <w:pStyle w:val="TableText"/>
            </w:pPr>
          </w:p>
        </w:tc>
        <w:tc>
          <w:tcPr>
            <w:tcW w:w="0" w:type="auto"/>
            <w:tcBorders>
              <w:top w:val="nil"/>
              <w:left w:val="nil"/>
              <w:bottom w:val="nil"/>
              <w:right w:val="nil"/>
            </w:tcBorders>
          </w:tcPr>
          <w:p w14:paraId="130B9F2E" w14:textId="77777777" w:rsidR="0071004A" w:rsidRPr="00E673EB" w:rsidRDefault="0071004A" w:rsidP="00377F3A">
            <w:pPr>
              <w:pStyle w:val="TableText"/>
            </w:pPr>
            <w:r w:rsidRPr="00E673EB">
              <w:t>Detected in 3 foxes in Hertfordshire, UK in 2002 (unspecified source)</w:t>
            </w:r>
          </w:p>
        </w:tc>
        <w:tc>
          <w:tcPr>
            <w:tcW w:w="0" w:type="auto"/>
            <w:tcBorders>
              <w:top w:val="nil"/>
              <w:left w:val="nil"/>
              <w:bottom w:val="nil"/>
              <w:right w:val="nil"/>
            </w:tcBorders>
          </w:tcPr>
          <w:p w14:paraId="3FE66C45" w14:textId="0A14380C" w:rsidR="0071004A" w:rsidRPr="00E673EB" w:rsidRDefault="0071004A" w:rsidP="00377F3A">
            <w:pPr>
              <w:pStyle w:val="TableText"/>
            </w:pPr>
            <w:r w:rsidRPr="00E673EB">
              <w:t xml:space="preserve">Barnett </w:t>
            </w:r>
            <w:r w:rsidR="00B7183A" w:rsidRPr="00B7183A">
              <w:rPr>
                <w:i/>
                <w:iCs/>
              </w:rPr>
              <w:t>et al</w:t>
            </w:r>
            <w:r w:rsidRPr="00E673EB">
              <w:t>. 2003</w:t>
            </w:r>
          </w:p>
        </w:tc>
      </w:tr>
      <w:tr w:rsidR="0071004A" w14:paraId="4FEF7ACF" w14:textId="77777777" w:rsidTr="00CF78CB">
        <w:trPr>
          <w:cantSplit/>
          <w:trHeight w:val="13"/>
        </w:trPr>
        <w:tc>
          <w:tcPr>
            <w:tcW w:w="0" w:type="auto"/>
            <w:tcBorders>
              <w:top w:val="nil"/>
              <w:left w:val="nil"/>
              <w:bottom w:val="nil"/>
              <w:right w:val="nil"/>
            </w:tcBorders>
          </w:tcPr>
          <w:p w14:paraId="6571F1C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F54E104" w14:textId="77777777" w:rsidR="0071004A" w:rsidRPr="00E673EB" w:rsidRDefault="0071004A" w:rsidP="00377F3A">
            <w:pPr>
              <w:pStyle w:val="TableText"/>
            </w:pPr>
          </w:p>
        </w:tc>
        <w:tc>
          <w:tcPr>
            <w:tcW w:w="0" w:type="auto"/>
            <w:tcBorders>
              <w:top w:val="nil"/>
              <w:left w:val="nil"/>
              <w:bottom w:val="nil"/>
              <w:right w:val="nil"/>
            </w:tcBorders>
          </w:tcPr>
          <w:p w14:paraId="5649371C" w14:textId="77777777" w:rsidR="0071004A" w:rsidRPr="00E673EB" w:rsidRDefault="0071004A" w:rsidP="00377F3A">
            <w:pPr>
              <w:pStyle w:val="TableText"/>
            </w:pPr>
            <w:r w:rsidRPr="00E673EB">
              <w:t>Not detected in liver of polecat that made heavy use of agricultural premises using anticoagulant rodenticides in UK between 1993-95</w:t>
            </w:r>
          </w:p>
        </w:tc>
        <w:tc>
          <w:tcPr>
            <w:tcW w:w="0" w:type="auto"/>
            <w:tcBorders>
              <w:top w:val="nil"/>
              <w:left w:val="nil"/>
              <w:bottom w:val="nil"/>
              <w:right w:val="nil"/>
            </w:tcBorders>
          </w:tcPr>
          <w:p w14:paraId="51D41326" w14:textId="77777777" w:rsidR="0071004A" w:rsidRPr="00E673EB" w:rsidRDefault="0071004A" w:rsidP="00377F3A">
            <w:pPr>
              <w:pStyle w:val="TableText"/>
            </w:pPr>
            <w:r w:rsidRPr="00E673EB">
              <w:t>Birks 1998</w:t>
            </w:r>
          </w:p>
        </w:tc>
      </w:tr>
      <w:tr w:rsidR="0071004A" w14:paraId="7AEA1B31" w14:textId="77777777" w:rsidTr="00CF78CB">
        <w:trPr>
          <w:cantSplit/>
          <w:trHeight w:val="13"/>
        </w:trPr>
        <w:tc>
          <w:tcPr>
            <w:tcW w:w="0" w:type="auto"/>
            <w:tcBorders>
              <w:top w:val="nil"/>
              <w:left w:val="nil"/>
              <w:bottom w:val="nil"/>
              <w:right w:val="nil"/>
            </w:tcBorders>
          </w:tcPr>
          <w:p w14:paraId="168F778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8E886ED" w14:textId="77777777" w:rsidR="0071004A" w:rsidRPr="00E673EB" w:rsidRDefault="0071004A" w:rsidP="00377F3A">
            <w:pPr>
              <w:pStyle w:val="TableText"/>
            </w:pPr>
          </w:p>
        </w:tc>
        <w:tc>
          <w:tcPr>
            <w:tcW w:w="0" w:type="auto"/>
            <w:tcBorders>
              <w:top w:val="nil"/>
              <w:left w:val="nil"/>
              <w:bottom w:val="nil"/>
              <w:right w:val="nil"/>
            </w:tcBorders>
          </w:tcPr>
          <w:p w14:paraId="2B8CFDA0" w14:textId="77777777" w:rsidR="0071004A" w:rsidRPr="00E673EB" w:rsidRDefault="0071004A" w:rsidP="00377F3A">
            <w:pPr>
              <w:pStyle w:val="TableText"/>
            </w:pPr>
            <w:r w:rsidRPr="00E673EB">
              <w:t>Max liver residues 217 µg/kg in 3/29 polecats from west Midlands of England between 1992 and 1994</w:t>
            </w:r>
          </w:p>
        </w:tc>
        <w:tc>
          <w:tcPr>
            <w:tcW w:w="0" w:type="auto"/>
            <w:tcBorders>
              <w:top w:val="nil"/>
              <w:left w:val="nil"/>
              <w:bottom w:val="nil"/>
              <w:right w:val="nil"/>
            </w:tcBorders>
          </w:tcPr>
          <w:p w14:paraId="5AEAC08F" w14:textId="44B6CC4C" w:rsidR="0071004A" w:rsidRPr="00E673EB" w:rsidRDefault="0071004A" w:rsidP="00377F3A">
            <w:pPr>
              <w:pStyle w:val="TableText"/>
            </w:pPr>
            <w:r w:rsidRPr="00E673EB">
              <w:t xml:space="preserve">Shore </w:t>
            </w:r>
            <w:r w:rsidR="00B7183A" w:rsidRPr="00B7183A">
              <w:rPr>
                <w:i/>
                <w:iCs/>
              </w:rPr>
              <w:t>et al</w:t>
            </w:r>
            <w:r w:rsidRPr="00E673EB">
              <w:t>. 1996</w:t>
            </w:r>
          </w:p>
        </w:tc>
      </w:tr>
      <w:tr w:rsidR="0071004A" w14:paraId="104A90AC" w14:textId="77777777" w:rsidTr="00CF78CB">
        <w:trPr>
          <w:cantSplit/>
          <w:trHeight w:val="13"/>
        </w:trPr>
        <w:tc>
          <w:tcPr>
            <w:tcW w:w="0" w:type="auto"/>
            <w:tcBorders>
              <w:top w:val="nil"/>
              <w:left w:val="nil"/>
              <w:bottom w:val="nil"/>
              <w:right w:val="nil"/>
            </w:tcBorders>
          </w:tcPr>
          <w:p w14:paraId="7247EE3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C8B36EF" w14:textId="77777777" w:rsidR="0071004A" w:rsidRPr="00E673EB" w:rsidRDefault="0071004A" w:rsidP="00377F3A">
            <w:pPr>
              <w:pStyle w:val="TableText"/>
            </w:pPr>
          </w:p>
        </w:tc>
        <w:tc>
          <w:tcPr>
            <w:tcW w:w="0" w:type="auto"/>
            <w:tcBorders>
              <w:top w:val="nil"/>
              <w:left w:val="nil"/>
              <w:bottom w:val="nil"/>
              <w:right w:val="nil"/>
            </w:tcBorders>
          </w:tcPr>
          <w:p w14:paraId="13C75627" w14:textId="77777777" w:rsidR="0071004A" w:rsidRPr="00E673EB" w:rsidRDefault="0071004A" w:rsidP="00377F3A">
            <w:pPr>
              <w:pStyle w:val="TableText"/>
            </w:pPr>
            <w:r w:rsidRPr="00E673EB">
              <w:t>Max liver residues 186 µg/kg in 5/50 polecats from recolonised areas in central and eastern Britain between 1993 and 1999</w:t>
            </w:r>
          </w:p>
        </w:tc>
        <w:tc>
          <w:tcPr>
            <w:tcW w:w="0" w:type="auto"/>
            <w:tcBorders>
              <w:top w:val="nil"/>
              <w:left w:val="nil"/>
              <w:bottom w:val="nil"/>
              <w:right w:val="nil"/>
            </w:tcBorders>
          </w:tcPr>
          <w:p w14:paraId="6140DC26" w14:textId="33C85255" w:rsidR="0071004A" w:rsidRPr="00E673EB" w:rsidRDefault="0071004A" w:rsidP="00377F3A">
            <w:pPr>
              <w:pStyle w:val="TableText"/>
            </w:pPr>
            <w:r w:rsidRPr="00E673EB">
              <w:t xml:space="preserve">Shore </w:t>
            </w:r>
            <w:r w:rsidR="00B7183A" w:rsidRPr="00B7183A">
              <w:rPr>
                <w:i/>
                <w:iCs/>
              </w:rPr>
              <w:t>et al</w:t>
            </w:r>
            <w:r w:rsidRPr="00E673EB">
              <w:t>. 2003</w:t>
            </w:r>
          </w:p>
        </w:tc>
      </w:tr>
      <w:tr w:rsidR="0071004A" w14:paraId="5AAA2E99" w14:textId="77777777" w:rsidTr="00CF78CB">
        <w:trPr>
          <w:cantSplit/>
          <w:trHeight w:val="13"/>
        </w:trPr>
        <w:tc>
          <w:tcPr>
            <w:tcW w:w="0" w:type="auto"/>
            <w:tcBorders>
              <w:top w:val="nil"/>
              <w:left w:val="nil"/>
              <w:bottom w:val="nil"/>
              <w:right w:val="nil"/>
            </w:tcBorders>
          </w:tcPr>
          <w:p w14:paraId="779A75E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BAA1D8B" w14:textId="77777777" w:rsidR="0071004A" w:rsidRPr="00E673EB" w:rsidRDefault="0071004A" w:rsidP="00377F3A">
            <w:pPr>
              <w:pStyle w:val="TableText"/>
            </w:pPr>
          </w:p>
        </w:tc>
        <w:tc>
          <w:tcPr>
            <w:tcW w:w="0" w:type="auto"/>
            <w:tcBorders>
              <w:top w:val="nil"/>
              <w:left w:val="nil"/>
              <w:bottom w:val="nil"/>
              <w:right w:val="nil"/>
            </w:tcBorders>
          </w:tcPr>
          <w:p w14:paraId="483C5CCD" w14:textId="77777777" w:rsidR="0071004A" w:rsidRPr="00E673EB" w:rsidRDefault="0071004A" w:rsidP="00377F3A">
            <w:pPr>
              <w:pStyle w:val="TableText"/>
            </w:pPr>
            <w:r w:rsidRPr="00E673EB">
              <w:t>Max liver residues 41 µg/kg in 2/55 wood mice from farms in Northern Ireland more than 30m from buildings (without bromadiolone usage)</w:t>
            </w:r>
          </w:p>
        </w:tc>
        <w:tc>
          <w:tcPr>
            <w:tcW w:w="0" w:type="auto"/>
            <w:tcBorders>
              <w:top w:val="nil"/>
              <w:left w:val="nil"/>
              <w:bottom w:val="nil"/>
              <w:right w:val="nil"/>
            </w:tcBorders>
          </w:tcPr>
          <w:p w14:paraId="4EC0EF53" w14:textId="270B4EBD"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20470B3E" w14:textId="77777777" w:rsidTr="00CF78CB">
        <w:trPr>
          <w:cantSplit/>
          <w:trHeight w:val="13"/>
        </w:trPr>
        <w:tc>
          <w:tcPr>
            <w:tcW w:w="0" w:type="auto"/>
            <w:tcBorders>
              <w:top w:val="nil"/>
              <w:left w:val="nil"/>
              <w:bottom w:val="single" w:sz="4" w:space="0" w:color="auto"/>
              <w:right w:val="nil"/>
            </w:tcBorders>
          </w:tcPr>
          <w:p w14:paraId="6EF20A9B"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68DDC36" w14:textId="77777777" w:rsidR="0071004A" w:rsidRPr="00E673EB" w:rsidRDefault="0071004A" w:rsidP="00377F3A">
            <w:pPr>
              <w:pStyle w:val="TableText"/>
            </w:pPr>
            <w:r w:rsidRPr="00E673EB">
              <w:t>South Africa</w:t>
            </w:r>
          </w:p>
        </w:tc>
        <w:tc>
          <w:tcPr>
            <w:tcW w:w="0" w:type="auto"/>
            <w:tcBorders>
              <w:top w:val="nil"/>
              <w:left w:val="nil"/>
              <w:bottom w:val="single" w:sz="4" w:space="0" w:color="auto"/>
              <w:right w:val="nil"/>
            </w:tcBorders>
          </w:tcPr>
          <w:p w14:paraId="1B45DFDB" w14:textId="77777777" w:rsidR="0071004A" w:rsidRPr="00E673EB" w:rsidRDefault="0071004A" w:rsidP="00377F3A">
            <w:pPr>
              <w:pStyle w:val="TableText"/>
            </w:pPr>
            <w:r w:rsidRPr="00E673EB">
              <w:t>Mean liver residues 80 µg/kg in 19/24 caracals in Greater Cape Town, South Africa between 2014 and 2017</w:t>
            </w:r>
          </w:p>
        </w:tc>
        <w:tc>
          <w:tcPr>
            <w:tcW w:w="0" w:type="auto"/>
            <w:tcBorders>
              <w:top w:val="nil"/>
              <w:left w:val="nil"/>
              <w:bottom w:val="single" w:sz="4" w:space="0" w:color="auto"/>
              <w:right w:val="nil"/>
            </w:tcBorders>
          </w:tcPr>
          <w:p w14:paraId="62A99F09" w14:textId="77D8638D" w:rsidR="0071004A" w:rsidRPr="00E673EB" w:rsidRDefault="0071004A" w:rsidP="00377F3A">
            <w:pPr>
              <w:pStyle w:val="TableText"/>
            </w:pPr>
            <w:r w:rsidRPr="00E673EB">
              <w:t xml:space="preserve">Serieys </w:t>
            </w:r>
            <w:r w:rsidR="00B7183A" w:rsidRPr="00B7183A">
              <w:rPr>
                <w:i/>
                <w:iCs/>
              </w:rPr>
              <w:t>et al</w:t>
            </w:r>
            <w:r w:rsidRPr="00E673EB">
              <w:t>. 2019</w:t>
            </w:r>
          </w:p>
        </w:tc>
      </w:tr>
      <w:tr w:rsidR="0071004A" w:rsidRPr="003B5A86" w14:paraId="3C1F7C8A" w14:textId="77777777" w:rsidTr="00CF78CB">
        <w:trPr>
          <w:cantSplit/>
          <w:trHeight w:val="13"/>
        </w:trPr>
        <w:tc>
          <w:tcPr>
            <w:tcW w:w="0" w:type="auto"/>
            <w:tcBorders>
              <w:top w:val="single" w:sz="4" w:space="0" w:color="auto"/>
              <w:left w:val="nil"/>
              <w:bottom w:val="nil"/>
              <w:right w:val="nil"/>
            </w:tcBorders>
          </w:tcPr>
          <w:p w14:paraId="35B31A07"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32FA4354"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45F5BD9D" w14:textId="77777777" w:rsidR="0071004A" w:rsidRPr="00E673EB" w:rsidRDefault="0071004A" w:rsidP="00377F3A">
            <w:pPr>
              <w:pStyle w:val="TableText"/>
            </w:pPr>
            <w:r w:rsidRPr="00E673EB">
              <w:t>Max liver residues 14 µg/kg Australian kestrels, 69 µg/kg southern boobooks, 45 µg/kg whistling kites, 43 µg/kg powerful owls, 4740 µg/kg barn owls; not detected in little ravens, barking owls, tawny frogmouths in rural &amp; urban areas across Australia between 2006 and 2021</w:t>
            </w:r>
          </w:p>
        </w:tc>
        <w:tc>
          <w:tcPr>
            <w:tcW w:w="0" w:type="auto"/>
            <w:tcBorders>
              <w:top w:val="single" w:sz="4" w:space="0" w:color="auto"/>
              <w:left w:val="nil"/>
              <w:bottom w:val="nil"/>
              <w:right w:val="nil"/>
            </w:tcBorders>
          </w:tcPr>
          <w:p w14:paraId="7F78108A" w14:textId="77777777" w:rsidR="0071004A" w:rsidRPr="00E673EB" w:rsidRDefault="0071004A" w:rsidP="00377F3A">
            <w:pPr>
              <w:pStyle w:val="TableText"/>
            </w:pPr>
            <w:r w:rsidRPr="00E673EB">
              <w:t>WHA 2022</w:t>
            </w:r>
          </w:p>
        </w:tc>
      </w:tr>
      <w:tr w:rsidR="0071004A" w:rsidRPr="003B5A86" w14:paraId="0AAE7DD9" w14:textId="77777777" w:rsidTr="00CF78CB">
        <w:trPr>
          <w:cantSplit/>
          <w:trHeight w:val="13"/>
        </w:trPr>
        <w:tc>
          <w:tcPr>
            <w:tcW w:w="0" w:type="auto"/>
            <w:tcBorders>
              <w:top w:val="nil"/>
              <w:left w:val="nil"/>
              <w:bottom w:val="nil"/>
              <w:right w:val="nil"/>
            </w:tcBorders>
          </w:tcPr>
          <w:p w14:paraId="64672EE4" w14:textId="24F7CF91" w:rsidR="0071004A" w:rsidRPr="00E673EB" w:rsidRDefault="0071004A" w:rsidP="00377F3A">
            <w:pPr>
              <w:pStyle w:val="TableText"/>
              <w:rPr>
                <w:lang w:eastAsia="en-AU"/>
              </w:rPr>
            </w:pPr>
          </w:p>
        </w:tc>
        <w:tc>
          <w:tcPr>
            <w:tcW w:w="0" w:type="auto"/>
            <w:tcBorders>
              <w:top w:val="nil"/>
              <w:left w:val="nil"/>
              <w:bottom w:val="nil"/>
              <w:right w:val="nil"/>
            </w:tcBorders>
          </w:tcPr>
          <w:p w14:paraId="657EC84D" w14:textId="47ABCD82" w:rsidR="0071004A" w:rsidRPr="00E673EB" w:rsidRDefault="0071004A" w:rsidP="00377F3A">
            <w:pPr>
              <w:pStyle w:val="TableText"/>
            </w:pPr>
          </w:p>
        </w:tc>
        <w:tc>
          <w:tcPr>
            <w:tcW w:w="0" w:type="auto"/>
            <w:tcBorders>
              <w:top w:val="nil"/>
              <w:left w:val="nil"/>
              <w:bottom w:val="nil"/>
              <w:right w:val="nil"/>
            </w:tcBorders>
          </w:tcPr>
          <w:p w14:paraId="4BD72C41" w14:textId="77777777" w:rsidR="0071004A" w:rsidRPr="00E673EB" w:rsidRDefault="0071004A" w:rsidP="00377F3A">
            <w:pPr>
              <w:pStyle w:val="TableText"/>
            </w:pPr>
            <w:r w:rsidRPr="00E673EB">
              <w:t>Max liver residues 4335 µg/kg in 22/38 powerful owls in Sydney basin urban areas between 2015 and 2021</w:t>
            </w:r>
          </w:p>
        </w:tc>
        <w:tc>
          <w:tcPr>
            <w:tcW w:w="0" w:type="auto"/>
            <w:tcBorders>
              <w:top w:val="nil"/>
              <w:left w:val="nil"/>
              <w:bottom w:val="nil"/>
              <w:right w:val="nil"/>
            </w:tcBorders>
          </w:tcPr>
          <w:p w14:paraId="18C9A43D" w14:textId="77777777" w:rsidR="0071004A" w:rsidRPr="00E673EB" w:rsidRDefault="0071004A" w:rsidP="00377F3A">
            <w:pPr>
              <w:pStyle w:val="TableText"/>
            </w:pPr>
            <w:r w:rsidRPr="00E673EB">
              <w:t>Birdlife Australia 2022</w:t>
            </w:r>
          </w:p>
        </w:tc>
      </w:tr>
      <w:tr w:rsidR="0071004A" w:rsidRPr="003B5A86" w14:paraId="12B160B3" w14:textId="77777777" w:rsidTr="00CF78CB">
        <w:trPr>
          <w:cantSplit/>
          <w:trHeight w:val="13"/>
        </w:trPr>
        <w:tc>
          <w:tcPr>
            <w:tcW w:w="0" w:type="auto"/>
            <w:tcBorders>
              <w:top w:val="nil"/>
              <w:left w:val="nil"/>
              <w:bottom w:val="nil"/>
              <w:right w:val="nil"/>
            </w:tcBorders>
          </w:tcPr>
          <w:p w14:paraId="28B1EA4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C75CF0E" w14:textId="77777777" w:rsidR="0071004A" w:rsidRPr="00E673EB" w:rsidRDefault="0071004A" w:rsidP="00377F3A">
            <w:pPr>
              <w:pStyle w:val="TableText"/>
            </w:pPr>
          </w:p>
        </w:tc>
        <w:tc>
          <w:tcPr>
            <w:tcW w:w="0" w:type="auto"/>
            <w:tcBorders>
              <w:top w:val="nil"/>
              <w:left w:val="nil"/>
              <w:bottom w:val="nil"/>
              <w:right w:val="nil"/>
            </w:tcBorders>
          </w:tcPr>
          <w:p w14:paraId="5E953270" w14:textId="77777777" w:rsidR="0071004A" w:rsidRPr="00E673EB" w:rsidRDefault="0071004A" w:rsidP="00377F3A">
            <w:pPr>
              <w:pStyle w:val="TableText"/>
            </w:pPr>
            <w:r w:rsidRPr="00E673EB">
              <w:t xml:space="preserve">Max liver residues 5414 µg/kg in 4/5 eastern barn owls, 15092 µg/kg in 2/12 southern boobooks, 8114 µg/kg in 6/19 tawny frogmouths, 654 µg/kg in 5/24 powerful owls in urban, forest, &amp; agricultural areas of Vic, SA &amp; NSW between 2003 and 2022 </w:t>
            </w:r>
          </w:p>
        </w:tc>
        <w:tc>
          <w:tcPr>
            <w:tcW w:w="0" w:type="auto"/>
            <w:tcBorders>
              <w:top w:val="nil"/>
              <w:left w:val="nil"/>
              <w:bottom w:val="nil"/>
              <w:right w:val="nil"/>
            </w:tcBorders>
          </w:tcPr>
          <w:p w14:paraId="1CBCD12D" w14:textId="43700F95" w:rsidR="0071004A" w:rsidRPr="00E673EB" w:rsidRDefault="0071004A" w:rsidP="00377F3A">
            <w:pPr>
              <w:pStyle w:val="TableText"/>
            </w:pPr>
            <w:r w:rsidRPr="00E673EB">
              <w:t xml:space="preserve">Cooke </w:t>
            </w:r>
            <w:r w:rsidR="00B7183A" w:rsidRPr="00B7183A">
              <w:rPr>
                <w:i/>
                <w:iCs/>
              </w:rPr>
              <w:t>et al</w:t>
            </w:r>
            <w:r w:rsidRPr="00E673EB">
              <w:t>. 2023</w:t>
            </w:r>
          </w:p>
        </w:tc>
      </w:tr>
      <w:tr w:rsidR="0071004A" w14:paraId="08D67ECB" w14:textId="77777777" w:rsidTr="00CF78CB">
        <w:trPr>
          <w:cantSplit/>
          <w:trHeight w:val="13"/>
        </w:trPr>
        <w:tc>
          <w:tcPr>
            <w:tcW w:w="0" w:type="auto"/>
            <w:tcBorders>
              <w:top w:val="nil"/>
              <w:left w:val="nil"/>
              <w:bottom w:val="nil"/>
              <w:right w:val="nil"/>
            </w:tcBorders>
          </w:tcPr>
          <w:p w14:paraId="19671ED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415C2CB" w14:textId="77777777" w:rsidR="0071004A" w:rsidRPr="00E673EB" w:rsidRDefault="0071004A" w:rsidP="00377F3A">
            <w:pPr>
              <w:pStyle w:val="TableText"/>
            </w:pPr>
          </w:p>
        </w:tc>
        <w:tc>
          <w:tcPr>
            <w:tcW w:w="0" w:type="auto"/>
            <w:tcBorders>
              <w:top w:val="nil"/>
              <w:left w:val="nil"/>
              <w:bottom w:val="nil"/>
              <w:right w:val="nil"/>
            </w:tcBorders>
          </w:tcPr>
          <w:p w14:paraId="71DEA62F" w14:textId="77777777" w:rsidR="0071004A" w:rsidRPr="00E673EB" w:rsidRDefault="0071004A" w:rsidP="00377F3A">
            <w:pPr>
              <w:pStyle w:val="TableText"/>
            </w:pPr>
            <w:r w:rsidRPr="00E673EB">
              <w:t>Not detected in 5 Carnaby’s cockatoos from Kalamunda WA in 2024</w:t>
            </w:r>
          </w:p>
        </w:tc>
        <w:tc>
          <w:tcPr>
            <w:tcW w:w="0" w:type="auto"/>
            <w:tcBorders>
              <w:top w:val="nil"/>
              <w:left w:val="nil"/>
              <w:bottom w:val="nil"/>
              <w:right w:val="nil"/>
            </w:tcBorders>
          </w:tcPr>
          <w:p w14:paraId="059A3B02" w14:textId="3D12AE9B" w:rsidR="0071004A" w:rsidRPr="00E673EB" w:rsidRDefault="0071004A" w:rsidP="00377F3A">
            <w:pPr>
              <w:pStyle w:val="TableText"/>
            </w:pPr>
            <w:r w:rsidRPr="00E673EB">
              <w:t xml:space="preserve">Le Souëf </w:t>
            </w:r>
            <w:r w:rsidR="00B7183A" w:rsidRPr="00B7183A">
              <w:rPr>
                <w:i/>
                <w:iCs/>
              </w:rPr>
              <w:t>et al</w:t>
            </w:r>
            <w:r w:rsidRPr="00E673EB">
              <w:t>. 2024</w:t>
            </w:r>
          </w:p>
        </w:tc>
      </w:tr>
      <w:tr w:rsidR="0071004A" w:rsidRPr="003B5A86" w14:paraId="79FE4473" w14:textId="77777777" w:rsidTr="00CF78CB">
        <w:trPr>
          <w:cantSplit/>
          <w:trHeight w:val="13"/>
        </w:trPr>
        <w:tc>
          <w:tcPr>
            <w:tcW w:w="0" w:type="auto"/>
            <w:tcBorders>
              <w:top w:val="nil"/>
              <w:left w:val="nil"/>
              <w:bottom w:val="nil"/>
              <w:right w:val="nil"/>
            </w:tcBorders>
          </w:tcPr>
          <w:p w14:paraId="2B4D49F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F1B31CA" w14:textId="77777777" w:rsidR="0071004A" w:rsidRPr="00E673EB" w:rsidRDefault="0071004A" w:rsidP="00377F3A">
            <w:pPr>
              <w:pStyle w:val="TableText"/>
            </w:pPr>
          </w:p>
        </w:tc>
        <w:tc>
          <w:tcPr>
            <w:tcW w:w="0" w:type="auto"/>
            <w:tcBorders>
              <w:top w:val="nil"/>
              <w:left w:val="nil"/>
              <w:bottom w:val="nil"/>
              <w:right w:val="nil"/>
            </w:tcBorders>
          </w:tcPr>
          <w:p w14:paraId="615200E6" w14:textId="77777777" w:rsidR="0071004A" w:rsidRPr="00E673EB" w:rsidRDefault="0071004A" w:rsidP="00377F3A">
            <w:pPr>
              <w:pStyle w:val="TableText"/>
            </w:pPr>
            <w:r w:rsidRPr="00E673EB">
              <w:t>Max liver residues 214 µg/kg in 23/73 southern boobooks (32%) in urban &amp; peri-urban areas of WA</w:t>
            </w:r>
          </w:p>
        </w:tc>
        <w:tc>
          <w:tcPr>
            <w:tcW w:w="0" w:type="auto"/>
            <w:tcBorders>
              <w:top w:val="nil"/>
              <w:left w:val="nil"/>
              <w:bottom w:val="nil"/>
              <w:right w:val="nil"/>
            </w:tcBorders>
          </w:tcPr>
          <w:p w14:paraId="21F974B0" w14:textId="77777777" w:rsidR="0071004A" w:rsidRPr="00E673EB" w:rsidRDefault="0071004A" w:rsidP="00377F3A">
            <w:pPr>
              <w:pStyle w:val="TableText"/>
            </w:pPr>
            <w:r w:rsidRPr="00E673EB">
              <w:t>Lohr 2018</w:t>
            </w:r>
          </w:p>
        </w:tc>
      </w:tr>
      <w:tr w:rsidR="0071004A" w:rsidRPr="003B5A86" w14:paraId="0CD92C7A" w14:textId="77777777" w:rsidTr="00CF78CB">
        <w:trPr>
          <w:cantSplit/>
          <w:trHeight w:val="13"/>
        </w:trPr>
        <w:tc>
          <w:tcPr>
            <w:tcW w:w="0" w:type="auto"/>
            <w:tcBorders>
              <w:top w:val="nil"/>
              <w:left w:val="nil"/>
              <w:bottom w:val="nil"/>
              <w:right w:val="nil"/>
            </w:tcBorders>
          </w:tcPr>
          <w:p w14:paraId="2B494A1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5ABA3F4" w14:textId="77777777" w:rsidR="0071004A" w:rsidRPr="00E673EB" w:rsidRDefault="0071004A" w:rsidP="00377F3A">
            <w:pPr>
              <w:pStyle w:val="TableText"/>
            </w:pPr>
          </w:p>
        </w:tc>
        <w:tc>
          <w:tcPr>
            <w:tcW w:w="0" w:type="auto"/>
            <w:tcBorders>
              <w:top w:val="nil"/>
              <w:left w:val="nil"/>
              <w:bottom w:val="nil"/>
              <w:right w:val="nil"/>
            </w:tcBorders>
          </w:tcPr>
          <w:p w14:paraId="14BD9472" w14:textId="77777777" w:rsidR="0071004A" w:rsidRPr="00E673EB" w:rsidRDefault="0071004A" w:rsidP="00377F3A">
            <w:pPr>
              <w:pStyle w:val="TableText"/>
            </w:pPr>
            <w:r w:rsidRPr="00E673EB">
              <w:t xml:space="preserve">Max liver residues 241 µg/kg in 11/50 (22%) wedge-tailed eagles across Tasmania between 1996 and 2018 </w:t>
            </w:r>
          </w:p>
        </w:tc>
        <w:tc>
          <w:tcPr>
            <w:tcW w:w="0" w:type="auto"/>
            <w:tcBorders>
              <w:top w:val="nil"/>
              <w:left w:val="nil"/>
              <w:bottom w:val="nil"/>
              <w:right w:val="nil"/>
            </w:tcBorders>
          </w:tcPr>
          <w:p w14:paraId="47F493DC" w14:textId="10C1443B" w:rsidR="0071004A" w:rsidRPr="00E673EB" w:rsidRDefault="0071004A" w:rsidP="00377F3A">
            <w:pPr>
              <w:pStyle w:val="TableText"/>
            </w:pPr>
            <w:r w:rsidRPr="00E673EB">
              <w:t xml:space="preserve">Pay </w:t>
            </w:r>
            <w:r w:rsidR="00B7183A" w:rsidRPr="00B7183A">
              <w:rPr>
                <w:i/>
                <w:iCs/>
              </w:rPr>
              <w:t>et al</w:t>
            </w:r>
            <w:r w:rsidRPr="00E673EB">
              <w:t>. 2021</w:t>
            </w:r>
          </w:p>
        </w:tc>
      </w:tr>
      <w:tr w:rsidR="0071004A" w:rsidRPr="003B5A86" w14:paraId="319CE664" w14:textId="77777777" w:rsidTr="00CF78CB">
        <w:trPr>
          <w:cantSplit/>
          <w:trHeight w:val="13"/>
        </w:trPr>
        <w:tc>
          <w:tcPr>
            <w:tcW w:w="0" w:type="auto"/>
            <w:tcBorders>
              <w:top w:val="nil"/>
              <w:left w:val="nil"/>
              <w:bottom w:val="nil"/>
              <w:right w:val="nil"/>
            </w:tcBorders>
          </w:tcPr>
          <w:p w14:paraId="4EAB3EE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A994E29" w14:textId="77777777" w:rsidR="0071004A" w:rsidRPr="00E673EB" w:rsidRDefault="0071004A" w:rsidP="00377F3A">
            <w:pPr>
              <w:pStyle w:val="TableText"/>
            </w:pPr>
            <w:r w:rsidRPr="00E673EB">
              <w:t>Tawain</w:t>
            </w:r>
          </w:p>
        </w:tc>
        <w:tc>
          <w:tcPr>
            <w:tcW w:w="0" w:type="auto"/>
            <w:tcBorders>
              <w:top w:val="nil"/>
              <w:left w:val="nil"/>
              <w:bottom w:val="nil"/>
              <w:right w:val="nil"/>
            </w:tcBorders>
          </w:tcPr>
          <w:p w14:paraId="06583963" w14:textId="77777777" w:rsidR="0071004A" w:rsidRPr="00E673EB" w:rsidRDefault="0071004A" w:rsidP="00377F3A">
            <w:pPr>
              <w:pStyle w:val="TableText"/>
            </w:pPr>
            <w:r w:rsidRPr="00E673EB">
              <w:t>Geomean liver residues 50 µg/kg in 25/74 black-winged kite, 16 µg/kg in 9/46 crested groshawk, 9 µg/kg in 5/42 collared scops-owl, 9 µg/kg in 4/8 black kite, 54 µg/kg in 1/6 short-eared owl, 20 µg/kg in 2/3 eastern grass-owl, 14 µg/kg in 1/1 common buzzard; not detected in 12 crested serpent-eagle, 6 oriental honey-buzzard, 3 eurasian kestrel or 11 other raptor species in Taiwan between 2010 and 2018</w:t>
            </w:r>
          </w:p>
        </w:tc>
        <w:tc>
          <w:tcPr>
            <w:tcW w:w="0" w:type="auto"/>
            <w:tcBorders>
              <w:top w:val="nil"/>
              <w:left w:val="nil"/>
              <w:bottom w:val="nil"/>
              <w:right w:val="nil"/>
            </w:tcBorders>
          </w:tcPr>
          <w:p w14:paraId="019E512D" w14:textId="61634FB1" w:rsidR="0071004A" w:rsidRPr="00E673EB" w:rsidRDefault="0071004A" w:rsidP="00377F3A">
            <w:pPr>
              <w:pStyle w:val="TableText"/>
            </w:pPr>
            <w:r w:rsidRPr="00E673EB">
              <w:t xml:space="preserve">Hong </w:t>
            </w:r>
            <w:r w:rsidR="00B7183A" w:rsidRPr="00B7183A">
              <w:rPr>
                <w:i/>
                <w:iCs/>
              </w:rPr>
              <w:t>et al</w:t>
            </w:r>
            <w:r w:rsidRPr="00E673EB">
              <w:t>. 2019</w:t>
            </w:r>
          </w:p>
        </w:tc>
      </w:tr>
      <w:tr w:rsidR="0071004A" w:rsidRPr="003B5A86" w14:paraId="195CBF96" w14:textId="77777777" w:rsidTr="00CF78CB">
        <w:trPr>
          <w:cantSplit/>
          <w:trHeight w:val="13"/>
        </w:trPr>
        <w:tc>
          <w:tcPr>
            <w:tcW w:w="0" w:type="auto"/>
            <w:tcBorders>
              <w:top w:val="nil"/>
              <w:left w:val="nil"/>
              <w:bottom w:val="nil"/>
              <w:right w:val="nil"/>
            </w:tcBorders>
          </w:tcPr>
          <w:p w14:paraId="7AB619FF"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7104E63" w14:textId="77777777" w:rsidR="0071004A" w:rsidRPr="00E673EB" w:rsidRDefault="0071004A" w:rsidP="00377F3A">
            <w:pPr>
              <w:pStyle w:val="TableText"/>
            </w:pPr>
            <w:r>
              <w:t>North America</w:t>
            </w:r>
          </w:p>
        </w:tc>
        <w:tc>
          <w:tcPr>
            <w:tcW w:w="0" w:type="auto"/>
            <w:tcBorders>
              <w:top w:val="nil"/>
              <w:left w:val="nil"/>
              <w:bottom w:val="nil"/>
              <w:right w:val="nil"/>
            </w:tcBorders>
          </w:tcPr>
          <w:p w14:paraId="079C0475" w14:textId="77777777" w:rsidR="0071004A" w:rsidRPr="00E673EB" w:rsidRDefault="0071004A" w:rsidP="00377F3A">
            <w:pPr>
              <w:pStyle w:val="TableText"/>
            </w:pPr>
            <w:r w:rsidRPr="00E673EB">
              <w:t>Not detected in 1 sparrow, 7 starlings in bromadialone or brodifacoum baited farms or farms in area of intensive poultry farming in Canada</w:t>
            </w:r>
          </w:p>
        </w:tc>
        <w:tc>
          <w:tcPr>
            <w:tcW w:w="0" w:type="auto"/>
            <w:tcBorders>
              <w:top w:val="nil"/>
              <w:left w:val="nil"/>
              <w:bottom w:val="nil"/>
              <w:right w:val="nil"/>
            </w:tcBorders>
          </w:tcPr>
          <w:p w14:paraId="0763C3D7" w14:textId="39F52559"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07D7F439" w14:textId="77777777" w:rsidTr="00CF78CB">
        <w:trPr>
          <w:cantSplit/>
          <w:trHeight w:val="13"/>
        </w:trPr>
        <w:tc>
          <w:tcPr>
            <w:tcW w:w="0" w:type="auto"/>
            <w:tcBorders>
              <w:top w:val="nil"/>
              <w:left w:val="nil"/>
              <w:bottom w:val="nil"/>
              <w:right w:val="nil"/>
            </w:tcBorders>
          </w:tcPr>
          <w:p w14:paraId="167BC93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5E3E867" w14:textId="77777777" w:rsidR="0071004A" w:rsidRPr="00E673EB" w:rsidRDefault="0071004A" w:rsidP="00377F3A">
            <w:pPr>
              <w:pStyle w:val="TableText"/>
            </w:pPr>
          </w:p>
        </w:tc>
        <w:tc>
          <w:tcPr>
            <w:tcW w:w="0" w:type="auto"/>
            <w:tcBorders>
              <w:top w:val="nil"/>
              <w:left w:val="nil"/>
              <w:bottom w:val="nil"/>
              <w:right w:val="nil"/>
            </w:tcBorders>
          </w:tcPr>
          <w:p w14:paraId="33577695" w14:textId="77777777" w:rsidR="0071004A" w:rsidRPr="00E673EB" w:rsidRDefault="0071004A" w:rsidP="00377F3A">
            <w:pPr>
              <w:pStyle w:val="TableText"/>
            </w:pPr>
            <w:r w:rsidRPr="00E673EB">
              <w:t>Mean liver residues before &amp; after implementation of risk mitigation measures in Canada (barred owl, barn owl, great-horned owl):</w:t>
            </w:r>
          </w:p>
          <w:p w14:paraId="3D6D10B0" w14:textId="1822EC4C" w:rsidR="0071004A" w:rsidRPr="00E673EB" w:rsidRDefault="0071004A" w:rsidP="00377F3A">
            <w:pPr>
              <w:pStyle w:val="TableText"/>
            </w:pPr>
            <w:r w:rsidRPr="00E673EB">
              <w:t>1988-2013: 130, 30, 70 µg/kg</w:t>
            </w:r>
          </w:p>
          <w:p w14:paraId="1C26129F" w14:textId="77777777" w:rsidR="0071004A" w:rsidRPr="00E673EB" w:rsidRDefault="0071004A" w:rsidP="00377F3A">
            <w:pPr>
              <w:pStyle w:val="TableText"/>
            </w:pPr>
            <w:r w:rsidRPr="00E673EB">
              <w:t>2014-2018: 180, 50, 230 µg/kg</w:t>
            </w:r>
          </w:p>
        </w:tc>
        <w:tc>
          <w:tcPr>
            <w:tcW w:w="0" w:type="auto"/>
            <w:tcBorders>
              <w:top w:val="nil"/>
              <w:left w:val="nil"/>
              <w:bottom w:val="nil"/>
              <w:right w:val="nil"/>
            </w:tcBorders>
          </w:tcPr>
          <w:p w14:paraId="7BA519B3" w14:textId="0CA69E54" w:rsidR="0071004A" w:rsidRPr="00E673EB" w:rsidRDefault="0071004A" w:rsidP="00377F3A">
            <w:pPr>
              <w:pStyle w:val="TableText"/>
            </w:pPr>
            <w:r w:rsidRPr="00E673EB">
              <w:t xml:space="preserve">Elliott </w:t>
            </w:r>
            <w:r w:rsidR="00B7183A" w:rsidRPr="00B7183A">
              <w:rPr>
                <w:i/>
                <w:iCs/>
              </w:rPr>
              <w:t>et al</w:t>
            </w:r>
            <w:r w:rsidRPr="00E673EB">
              <w:t>. 2022</w:t>
            </w:r>
          </w:p>
        </w:tc>
      </w:tr>
      <w:tr w:rsidR="0071004A" w:rsidRPr="0013195D" w14:paraId="7B0EFE0F" w14:textId="77777777" w:rsidTr="00CF78CB">
        <w:trPr>
          <w:cantSplit/>
          <w:trHeight w:val="13"/>
        </w:trPr>
        <w:tc>
          <w:tcPr>
            <w:tcW w:w="0" w:type="auto"/>
            <w:tcBorders>
              <w:top w:val="nil"/>
              <w:left w:val="nil"/>
              <w:bottom w:val="nil"/>
              <w:right w:val="nil"/>
            </w:tcBorders>
          </w:tcPr>
          <w:p w14:paraId="3BD7809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56C6716" w14:textId="77777777" w:rsidR="0071004A" w:rsidRPr="00E673EB" w:rsidRDefault="0071004A" w:rsidP="00377F3A">
            <w:pPr>
              <w:pStyle w:val="TableText"/>
            </w:pPr>
          </w:p>
        </w:tc>
        <w:tc>
          <w:tcPr>
            <w:tcW w:w="0" w:type="auto"/>
            <w:tcBorders>
              <w:top w:val="nil"/>
              <w:left w:val="nil"/>
              <w:bottom w:val="nil"/>
              <w:right w:val="nil"/>
            </w:tcBorders>
          </w:tcPr>
          <w:p w14:paraId="3ABBA61D" w14:textId="77777777" w:rsidR="0071004A" w:rsidRPr="00E673EB" w:rsidRDefault="0071004A" w:rsidP="00377F3A">
            <w:pPr>
              <w:pStyle w:val="TableText"/>
            </w:pPr>
            <w:r w:rsidRPr="00E673EB">
              <w:t xml:space="preserve">Detected in 0/20 in 2013 and 1/77 in 2015 red-tailed hawk blood samples from Marin Headland, California </w:t>
            </w:r>
          </w:p>
        </w:tc>
        <w:tc>
          <w:tcPr>
            <w:tcW w:w="0" w:type="auto"/>
            <w:tcBorders>
              <w:top w:val="nil"/>
              <w:left w:val="nil"/>
              <w:bottom w:val="nil"/>
              <w:right w:val="nil"/>
            </w:tcBorders>
          </w:tcPr>
          <w:p w14:paraId="4BE06852" w14:textId="6F14AB91" w:rsidR="0071004A" w:rsidRPr="00E673EB" w:rsidRDefault="0071004A" w:rsidP="00377F3A">
            <w:pPr>
              <w:pStyle w:val="TableText"/>
            </w:pPr>
            <w:r w:rsidRPr="00E673EB">
              <w:t xml:space="preserve">Abernathy </w:t>
            </w:r>
            <w:r w:rsidR="00B7183A" w:rsidRPr="00B7183A">
              <w:rPr>
                <w:i/>
                <w:iCs/>
              </w:rPr>
              <w:t>et al</w:t>
            </w:r>
            <w:r w:rsidRPr="00E673EB">
              <w:t>. 2018</w:t>
            </w:r>
          </w:p>
        </w:tc>
      </w:tr>
      <w:tr w:rsidR="0071004A" w:rsidRPr="00062156" w14:paraId="4C5080F7" w14:textId="77777777" w:rsidTr="00CF78CB">
        <w:trPr>
          <w:cantSplit/>
          <w:trHeight w:val="13"/>
        </w:trPr>
        <w:tc>
          <w:tcPr>
            <w:tcW w:w="0" w:type="auto"/>
            <w:tcBorders>
              <w:top w:val="nil"/>
              <w:left w:val="nil"/>
              <w:bottom w:val="nil"/>
              <w:right w:val="nil"/>
            </w:tcBorders>
          </w:tcPr>
          <w:p w14:paraId="624A2C6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295AFA0" w14:textId="77777777" w:rsidR="0071004A" w:rsidRPr="00E673EB" w:rsidRDefault="0071004A" w:rsidP="00377F3A">
            <w:pPr>
              <w:pStyle w:val="TableText"/>
            </w:pPr>
          </w:p>
        </w:tc>
        <w:tc>
          <w:tcPr>
            <w:tcW w:w="0" w:type="auto"/>
            <w:tcBorders>
              <w:top w:val="nil"/>
              <w:left w:val="nil"/>
              <w:bottom w:val="nil"/>
              <w:right w:val="nil"/>
            </w:tcBorders>
          </w:tcPr>
          <w:p w14:paraId="537F68E9" w14:textId="77777777" w:rsidR="0071004A" w:rsidRPr="00E673EB" w:rsidRDefault="0071004A" w:rsidP="00377F3A">
            <w:pPr>
              <w:pStyle w:val="TableText"/>
            </w:pPr>
            <w:r w:rsidRPr="00E673EB">
              <w:t>Max liver residues 571 µg/kg in 34/61 great horned owls, 1012 µg/kg in 19/25 barred owls, 720 µg/kg in 31/78 barn owls in BC &amp; Yukon Territory of Canada between 1988 and 2003</w:t>
            </w:r>
          </w:p>
        </w:tc>
        <w:tc>
          <w:tcPr>
            <w:tcW w:w="0" w:type="auto"/>
            <w:tcBorders>
              <w:top w:val="nil"/>
              <w:left w:val="nil"/>
              <w:bottom w:val="nil"/>
              <w:right w:val="nil"/>
            </w:tcBorders>
          </w:tcPr>
          <w:p w14:paraId="59E8A00A" w14:textId="0706DC94" w:rsidR="0071004A" w:rsidRPr="00E673EB" w:rsidRDefault="0071004A" w:rsidP="00377F3A">
            <w:pPr>
              <w:pStyle w:val="TableText"/>
            </w:pPr>
            <w:r w:rsidRPr="00E673EB">
              <w:t xml:space="preserve">Albert </w:t>
            </w:r>
            <w:r w:rsidR="00B7183A" w:rsidRPr="00B7183A">
              <w:rPr>
                <w:i/>
                <w:iCs/>
              </w:rPr>
              <w:t>et al</w:t>
            </w:r>
            <w:r w:rsidRPr="00E673EB">
              <w:t>. 2010</w:t>
            </w:r>
          </w:p>
        </w:tc>
      </w:tr>
      <w:tr w:rsidR="0071004A" w:rsidRPr="00062156" w14:paraId="1E594483" w14:textId="77777777" w:rsidTr="00CF78CB">
        <w:trPr>
          <w:cantSplit/>
          <w:trHeight w:val="13"/>
        </w:trPr>
        <w:tc>
          <w:tcPr>
            <w:tcW w:w="0" w:type="auto"/>
            <w:tcBorders>
              <w:top w:val="nil"/>
              <w:left w:val="nil"/>
              <w:bottom w:val="nil"/>
              <w:right w:val="nil"/>
            </w:tcBorders>
          </w:tcPr>
          <w:p w14:paraId="3C7A9EF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730773D" w14:textId="77777777" w:rsidR="0071004A" w:rsidRPr="00E673EB" w:rsidRDefault="0071004A" w:rsidP="00377F3A">
            <w:pPr>
              <w:pStyle w:val="TableText"/>
            </w:pPr>
          </w:p>
        </w:tc>
        <w:tc>
          <w:tcPr>
            <w:tcW w:w="0" w:type="auto"/>
            <w:tcBorders>
              <w:top w:val="nil"/>
              <w:left w:val="nil"/>
              <w:bottom w:val="nil"/>
              <w:right w:val="nil"/>
            </w:tcBorders>
          </w:tcPr>
          <w:p w14:paraId="295B4A62" w14:textId="77777777" w:rsidR="0071004A" w:rsidRPr="00E673EB" w:rsidRDefault="0071004A" w:rsidP="00377F3A">
            <w:pPr>
              <w:pStyle w:val="TableText"/>
            </w:pPr>
            <w:r w:rsidRPr="00E673EB">
              <w:t>Detected in 19/37 red-tailed hawks, 8/24 barred owls, 13/17 great horned owls, 2/16 eastern screech-owls in Massachusetts between 2012 and 2016</w:t>
            </w:r>
          </w:p>
        </w:tc>
        <w:tc>
          <w:tcPr>
            <w:tcW w:w="0" w:type="auto"/>
            <w:tcBorders>
              <w:top w:val="nil"/>
              <w:left w:val="nil"/>
              <w:bottom w:val="nil"/>
              <w:right w:val="nil"/>
            </w:tcBorders>
          </w:tcPr>
          <w:p w14:paraId="2E4168AB" w14:textId="77777777" w:rsidR="0071004A" w:rsidRPr="00E673EB" w:rsidRDefault="0071004A" w:rsidP="00377F3A">
            <w:pPr>
              <w:pStyle w:val="TableText"/>
            </w:pPr>
            <w:r w:rsidRPr="00E673EB">
              <w:t>Murray 2017</w:t>
            </w:r>
          </w:p>
        </w:tc>
      </w:tr>
      <w:tr w:rsidR="0071004A" w:rsidRPr="00062156" w14:paraId="4DB4BE77" w14:textId="77777777" w:rsidTr="00CF78CB">
        <w:trPr>
          <w:cantSplit/>
          <w:trHeight w:val="13"/>
        </w:trPr>
        <w:tc>
          <w:tcPr>
            <w:tcW w:w="0" w:type="auto"/>
            <w:tcBorders>
              <w:top w:val="nil"/>
              <w:left w:val="nil"/>
              <w:bottom w:val="nil"/>
              <w:right w:val="nil"/>
            </w:tcBorders>
          </w:tcPr>
          <w:p w14:paraId="3980054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F585C4C" w14:textId="77777777" w:rsidR="0071004A" w:rsidRPr="00E673EB" w:rsidRDefault="0071004A" w:rsidP="00377F3A">
            <w:pPr>
              <w:pStyle w:val="TableText"/>
            </w:pPr>
          </w:p>
        </w:tc>
        <w:tc>
          <w:tcPr>
            <w:tcW w:w="0" w:type="auto"/>
            <w:tcBorders>
              <w:top w:val="nil"/>
              <w:left w:val="nil"/>
              <w:bottom w:val="nil"/>
              <w:right w:val="nil"/>
            </w:tcBorders>
          </w:tcPr>
          <w:p w14:paraId="7BD9BD14" w14:textId="77777777" w:rsidR="0071004A" w:rsidRPr="00E673EB" w:rsidRDefault="0071004A" w:rsidP="00377F3A">
            <w:pPr>
              <w:pStyle w:val="TableText"/>
            </w:pPr>
            <w:r w:rsidRPr="00E673EB">
              <w:t>Max liver residues 600 µg/kg in 5/50 Cooper’s hawk, 500 µg/kg in 6/78 red-tailed hawk, 500 µg/kg in 3/22 screech owls, 1080 µg/kg in 10/53 great horned owl in New York between 1998 and 2001</w:t>
            </w:r>
          </w:p>
        </w:tc>
        <w:tc>
          <w:tcPr>
            <w:tcW w:w="0" w:type="auto"/>
            <w:tcBorders>
              <w:top w:val="nil"/>
              <w:left w:val="nil"/>
              <w:bottom w:val="nil"/>
              <w:right w:val="nil"/>
            </w:tcBorders>
          </w:tcPr>
          <w:p w14:paraId="6B3790A3" w14:textId="2D48D9D5"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rsidRPr="00062156" w14:paraId="4C803CC3" w14:textId="77777777" w:rsidTr="00CF78CB">
        <w:trPr>
          <w:cantSplit/>
          <w:trHeight w:val="13"/>
        </w:trPr>
        <w:tc>
          <w:tcPr>
            <w:tcW w:w="0" w:type="auto"/>
            <w:tcBorders>
              <w:top w:val="nil"/>
              <w:left w:val="nil"/>
              <w:bottom w:val="nil"/>
              <w:right w:val="nil"/>
            </w:tcBorders>
          </w:tcPr>
          <w:p w14:paraId="3A46EF3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E54536B" w14:textId="77777777" w:rsidR="0071004A" w:rsidRPr="00E673EB" w:rsidRDefault="0071004A" w:rsidP="00377F3A">
            <w:pPr>
              <w:pStyle w:val="TableText"/>
            </w:pPr>
          </w:p>
        </w:tc>
        <w:tc>
          <w:tcPr>
            <w:tcW w:w="0" w:type="auto"/>
            <w:tcBorders>
              <w:top w:val="nil"/>
              <w:left w:val="nil"/>
              <w:bottom w:val="nil"/>
              <w:right w:val="nil"/>
            </w:tcBorders>
          </w:tcPr>
          <w:p w14:paraId="1411176D" w14:textId="77777777" w:rsidR="0071004A" w:rsidRPr="00E673EB" w:rsidRDefault="0071004A" w:rsidP="00377F3A">
            <w:pPr>
              <w:pStyle w:val="TableText"/>
            </w:pPr>
            <w:r w:rsidRPr="00E673EB">
              <w:t>Max liver residues 480 µg/kg in 27/43 red-tailed hawks in Massachusetts between 2017 and 2019</w:t>
            </w:r>
          </w:p>
        </w:tc>
        <w:tc>
          <w:tcPr>
            <w:tcW w:w="0" w:type="auto"/>
            <w:tcBorders>
              <w:top w:val="nil"/>
              <w:left w:val="nil"/>
              <w:bottom w:val="nil"/>
              <w:right w:val="nil"/>
            </w:tcBorders>
          </w:tcPr>
          <w:p w14:paraId="6EBC651F" w14:textId="77777777" w:rsidR="0071004A" w:rsidRPr="00E673EB" w:rsidRDefault="0071004A" w:rsidP="00377F3A">
            <w:pPr>
              <w:pStyle w:val="TableText"/>
            </w:pPr>
            <w:r w:rsidRPr="00E673EB">
              <w:t>Murray 2020</w:t>
            </w:r>
          </w:p>
        </w:tc>
      </w:tr>
      <w:tr w:rsidR="0071004A" w:rsidRPr="003B5A86" w14:paraId="483A554B" w14:textId="77777777" w:rsidTr="00CF78CB">
        <w:trPr>
          <w:cantSplit/>
          <w:trHeight w:val="13"/>
        </w:trPr>
        <w:tc>
          <w:tcPr>
            <w:tcW w:w="0" w:type="auto"/>
            <w:tcBorders>
              <w:top w:val="nil"/>
              <w:left w:val="nil"/>
              <w:bottom w:val="nil"/>
              <w:right w:val="nil"/>
            </w:tcBorders>
          </w:tcPr>
          <w:p w14:paraId="3BDF6AD0" w14:textId="51E2B143" w:rsidR="0071004A" w:rsidRPr="00E673EB" w:rsidRDefault="0071004A" w:rsidP="00377F3A">
            <w:pPr>
              <w:pStyle w:val="TableText"/>
              <w:rPr>
                <w:lang w:eastAsia="en-AU"/>
              </w:rPr>
            </w:pPr>
          </w:p>
        </w:tc>
        <w:tc>
          <w:tcPr>
            <w:tcW w:w="0" w:type="auto"/>
            <w:tcBorders>
              <w:top w:val="nil"/>
              <w:left w:val="nil"/>
              <w:bottom w:val="nil"/>
              <w:right w:val="nil"/>
            </w:tcBorders>
          </w:tcPr>
          <w:p w14:paraId="05116E87" w14:textId="77777777" w:rsidR="0071004A" w:rsidRPr="00E673EB" w:rsidRDefault="0071004A" w:rsidP="00377F3A">
            <w:pPr>
              <w:pStyle w:val="TableText"/>
            </w:pPr>
            <w:r>
              <w:t>Europe</w:t>
            </w:r>
          </w:p>
        </w:tc>
        <w:tc>
          <w:tcPr>
            <w:tcW w:w="0" w:type="auto"/>
            <w:tcBorders>
              <w:top w:val="nil"/>
              <w:left w:val="nil"/>
              <w:bottom w:val="nil"/>
              <w:right w:val="nil"/>
            </w:tcBorders>
          </w:tcPr>
          <w:p w14:paraId="08C9F708" w14:textId="77777777" w:rsidR="0071004A" w:rsidRPr="00E673EB" w:rsidRDefault="0071004A" w:rsidP="00377F3A">
            <w:pPr>
              <w:pStyle w:val="TableText"/>
            </w:pPr>
            <w:r w:rsidRPr="00E673EB">
              <w:t>Max liver residues 37 µg/kg in 18/48 northern goshawk, 56 µg/kg in 12/41 red kite, 9.7 µg/kg in 3/60 white-tailed eagle, 41 µg/kg in 3/23 Eurasian sparrowhawk; not detected in 13 osprey in Germany between 1996 and 2018</w:t>
            </w:r>
          </w:p>
        </w:tc>
        <w:tc>
          <w:tcPr>
            <w:tcW w:w="0" w:type="auto"/>
            <w:tcBorders>
              <w:top w:val="nil"/>
              <w:left w:val="nil"/>
              <w:bottom w:val="nil"/>
              <w:right w:val="nil"/>
            </w:tcBorders>
          </w:tcPr>
          <w:p w14:paraId="4716940B" w14:textId="5ED97F78" w:rsidR="0071004A" w:rsidRPr="00E673EB" w:rsidRDefault="0071004A" w:rsidP="00377F3A">
            <w:pPr>
              <w:pStyle w:val="TableText"/>
            </w:pPr>
            <w:r w:rsidRPr="00E673EB">
              <w:t xml:space="preserve">Badry </w:t>
            </w:r>
            <w:r w:rsidR="00B7183A" w:rsidRPr="00B7183A">
              <w:rPr>
                <w:i/>
                <w:iCs/>
              </w:rPr>
              <w:t>et al</w:t>
            </w:r>
            <w:r w:rsidRPr="00E673EB">
              <w:t>. 2021</w:t>
            </w:r>
          </w:p>
        </w:tc>
      </w:tr>
      <w:tr w:rsidR="0071004A" w:rsidRPr="003B5A86" w14:paraId="44C7B567" w14:textId="77777777" w:rsidTr="00CF78CB">
        <w:trPr>
          <w:cantSplit/>
          <w:trHeight w:val="13"/>
        </w:trPr>
        <w:tc>
          <w:tcPr>
            <w:tcW w:w="0" w:type="auto"/>
            <w:tcBorders>
              <w:top w:val="nil"/>
              <w:left w:val="nil"/>
              <w:bottom w:val="nil"/>
              <w:right w:val="nil"/>
            </w:tcBorders>
          </w:tcPr>
          <w:p w14:paraId="38692E6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626BE07" w14:textId="77777777" w:rsidR="0071004A" w:rsidRPr="00E673EB" w:rsidRDefault="0071004A" w:rsidP="00377F3A">
            <w:pPr>
              <w:pStyle w:val="TableText"/>
            </w:pPr>
          </w:p>
        </w:tc>
        <w:tc>
          <w:tcPr>
            <w:tcW w:w="0" w:type="auto"/>
            <w:tcBorders>
              <w:top w:val="nil"/>
              <w:left w:val="nil"/>
              <w:bottom w:val="nil"/>
              <w:right w:val="nil"/>
            </w:tcBorders>
          </w:tcPr>
          <w:p w14:paraId="0754DADA" w14:textId="77777777" w:rsidR="0071004A" w:rsidRPr="00E673EB" w:rsidRDefault="0071004A" w:rsidP="00377F3A">
            <w:pPr>
              <w:pStyle w:val="TableText"/>
            </w:pPr>
            <w:r w:rsidRPr="00E673EB">
              <w:t>Max liver residues 252 µg/kg in 43/80 barn owls, 282 µg/kg in 33/141 buzzards, 679 µg/kg in 24/66 kestrels, 33 µg/kg in 13/38 long-eared owls, 130 µg/kg in 10/31 rough-legged buzzards, 496 µg/kg in 33/44 tawny owls from intensively managed landscapes in Denmark</w:t>
            </w:r>
          </w:p>
        </w:tc>
        <w:tc>
          <w:tcPr>
            <w:tcW w:w="0" w:type="auto"/>
            <w:tcBorders>
              <w:top w:val="nil"/>
              <w:left w:val="nil"/>
              <w:bottom w:val="nil"/>
              <w:right w:val="nil"/>
            </w:tcBorders>
          </w:tcPr>
          <w:p w14:paraId="5D5C9B89" w14:textId="58FBF62F" w:rsidR="0071004A" w:rsidRPr="00E673EB" w:rsidRDefault="0071004A" w:rsidP="00377F3A">
            <w:pPr>
              <w:pStyle w:val="TableText"/>
            </w:pPr>
            <w:r w:rsidRPr="00E673EB">
              <w:t xml:space="preserve">Christensen </w:t>
            </w:r>
            <w:r w:rsidR="00B7183A" w:rsidRPr="00B7183A">
              <w:rPr>
                <w:i/>
                <w:iCs/>
              </w:rPr>
              <w:t>et al</w:t>
            </w:r>
            <w:r w:rsidRPr="00E673EB">
              <w:t>. 2012</w:t>
            </w:r>
          </w:p>
        </w:tc>
      </w:tr>
      <w:tr w:rsidR="0071004A" w:rsidRPr="003B5A86" w14:paraId="790E115D" w14:textId="77777777" w:rsidTr="00CF78CB">
        <w:trPr>
          <w:cantSplit/>
          <w:trHeight w:val="13"/>
        </w:trPr>
        <w:tc>
          <w:tcPr>
            <w:tcW w:w="0" w:type="auto"/>
            <w:tcBorders>
              <w:top w:val="nil"/>
              <w:left w:val="nil"/>
              <w:bottom w:val="nil"/>
              <w:right w:val="nil"/>
            </w:tcBorders>
          </w:tcPr>
          <w:p w14:paraId="25FFDC5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3B59B9F" w14:textId="77777777" w:rsidR="0071004A" w:rsidRPr="00E673EB" w:rsidRDefault="0071004A" w:rsidP="00377F3A">
            <w:pPr>
              <w:pStyle w:val="TableText"/>
            </w:pPr>
          </w:p>
        </w:tc>
        <w:tc>
          <w:tcPr>
            <w:tcW w:w="0" w:type="auto"/>
            <w:tcBorders>
              <w:top w:val="nil"/>
              <w:left w:val="nil"/>
              <w:bottom w:val="nil"/>
              <w:right w:val="nil"/>
            </w:tcBorders>
          </w:tcPr>
          <w:p w14:paraId="492019AC" w14:textId="6D363535" w:rsidR="0071004A" w:rsidRPr="00E673EB" w:rsidRDefault="0071004A" w:rsidP="00377F3A">
            <w:pPr>
              <w:pStyle w:val="TableText"/>
            </w:pPr>
            <w:r w:rsidRPr="00E673EB">
              <w:t>Mean liver residues 2.5 mg/kg swan, 2.3 mg/kg mallard, 0.4 mg/kg buzzards &amp; kites, 6.1 mg/kg harrier, 0.2 mg/kg heron attributed to vole baiting (100 mg a</w:t>
            </w:r>
            <w:r w:rsidR="00C874AD">
              <w:t>.</w:t>
            </w:r>
            <w:r w:rsidRPr="00E673EB">
              <w:t>c</w:t>
            </w:r>
            <w:r w:rsidR="00C874AD">
              <w:t>.</w:t>
            </w:r>
            <w:r w:rsidRPr="00E673EB">
              <w:t>/kg bait) in France 1991-1994</w:t>
            </w:r>
          </w:p>
        </w:tc>
        <w:tc>
          <w:tcPr>
            <w:tcW w:w="0" w:type="auto"/>
            <w:tcBorders>
              <w:top w:val="nil"/>
              <w:left w:val="nil"/>
              <w:bottom w:val="nil"/>
              <w:right w:val="nil"/>
            </w:tcBorders>
          </w:tcPr>
          <w:p w14:paraId="6F85BF70" w14:textId="55204FE0" w:rsidR="0071004A" w:rsidRPr="00E673EB" w:rsidRDefault="0071004A" w:rsidP="00377F3A">
            <w:pPr>
              <w:pStyle w:val="TableText"/>
            </w:pPr>
            <w:r w:rsidRPr="00E673EB">
              <w:t xml:space="preserve">Berny </w:t>
            </w:r>
            <w:r w:rsidR="00B7183A" w:rsidRPr="00B7183A">
              <w:rPr>
                <w:i/>
                <w:iCs/>
              </w:rPr>
              <w:t>et al</w:t>
            </w:r>
            <w:r w:rsidRPr="00E673EB">
              <w:t>. 1997</w:t>
            </w:r>
          </w:p>
        </w:tc>
      </w:tr>
      <w:tr w:rsidR="0071004A" w:rsidRPr="00E673EB" w14:paraId="1BA80093" w14:textId="77777777" w:rsidTr="00CF78CB">
        <w:trPr>
          <w:cantSplit/>
          <w:trHeight w:val="13"/>
        </w:trPr>
        <w:tc>
          <w:tcPr>
            <w:tcW w:w="0" w:type="auto"/>
            <w:tcBorders>
              <w:top w:val="nil"/>
              <w:left w:val="nil"/>
              <w:bottom w:val="nil"/>
              <w:right w:val="nil"/>
            </w:tcBorders>
          </w:tcPr>
          <w:p w14:paraId="0E1CC98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16C990A" w14:textId="77777777" w:rsidR="0071004A" w:rsidRPr="00E673EB" w:rsidRDefault="0071004A" w:rsidP="00377F3A">
            <w:pPr>
              <w:pStyle w:val="TableText"/>
            </w:pPr>
          </w:p>
        </w:tc>
        <w:tc>
          <w:tcPr>
            <w:tcW w:w="0" w:type="auto"/>
            <w:tcBorders>
              <w:top w:val="nil"/>
              <w:left w:val="nil"/>
              <w:bottom w:val="nil"/>
              <w:right w:val="nil"/>
            </w:tcBorders>
          </w:tcPr>
          <w:p w14:paraId="3E37C94F" w14:textId="77777777" w:rsidR="0071004A" w:rsidRPr="00E673EB" w:rsidRDefault="0071004A" w:rsidP="00377F3A">
            <w:pPr>
              <w:pStyle w:val="TableText"/>
            </w:pPr>
            <w:r w:rsidRPr="00E673EB">
              <w:t>Max liver residues 127 µg/kg in 2/142 granivorous birds, 490 µg/kg in 18/129 predatory birds in Spain between 2005 and 2010</w:t>
            </w:r>
          </w:p>
        </w:tc>
        <w:tc>
          <w:tcPr>
            <w:tcW w:w="0" w:type="auto"/>
            <w:tcBorders>
              <w:top w:val="nil"/>
              <w:left w:val="nil"/>
              <w:bottom w:val="nil"/>
              <w:right w:val="nil"/>
            </w:tcBorders>
          </w:tcPr>
          <w:p w14:paraId="7D32A9C6" w14:textId="53A5264E"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BB4F83F" w14:textId="77777777" w:rsidTr="00CF78CB">
        <w:trPr>
          <w:cantSplit/>
          <w:trHeight w:val="13"/>
        </w:trPr>
        <w:tc>
          <w:tcPr>
            <w:tcW w:w="0" w:type="auto"/>
            <w:tcBorders>
              <w:top w:val="nil"/>
              <w:left w:val="nil"/>
              <w:bottom w:val="nil"/>
              <w:right w:val="nil"/>
            </w:tcBorders>
          </w:tcPr>
          <w:p w14:paraId="610A707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889B83B" w14:textId="77777777" w:rsidR="0071004A" w:rsidRPr="00E673EB" w:rsidRDefault="0071004A" w:rsidP="00377F3A">
            <w:pPr>
              <w:pStyle w:val="TableText"/>
            </w:pPr>
          </w:p>
        </w:tc>
        <w:tc>
          <w:tcPr>
            <w:tcW w:w="0" w:type="auto"/>
            <w:tcBorders>
              <w:top w:val="nil"/>
              <w:left w:val="nil"/>
              <w:bottom w:val="nil"/>
              <w:right w:val="nil"/>
            </w:tcBorders>
          </w:tcPr>
          <w:p w14:paraId="066DAD51" w14:textId="77777777" w:rsidR="0071004A" w:rsidRPr="00E673EB" w:rsidRDefault="0071004A" w:rsidP="00377F3A">
            <w:pPr>
              <w:pStyle w:val="TableText"/>
            </w:pPr>
            <w:r w:rsidRPr="00E673EB">
              <w:t>Max liver residues 154 µg/kg in 7/16 golden eagles; not detected in 8 eagle owls, 3 osprey, 2 peregrine falcon, 1 gryfalcon across Norway between 2009 and 2011</w:t>
            </w:r>
          </w:p>
        </w:tc>
        <w:tc>
          <w:tcPr>
            <w:tcW w:w="0" w:type="auto"/>
            <w:tcBorders>
              <w:top w:val="nil"/>
              <w:left w:val="nil"/>
              <w:bottom w:val="nil"/>
              <w:right w:val="nil"/>
            </w:tcBorders>
          </w:tcPr>
          <w:p w14:paraId="389EB5E6" w14:textId="01BB67B0" w:rsidR="0071004A" w:rsidRPr="00E673EB" w:rsidRDefault="0071004A" w:rsidP="00377F3A">
            <w:pPr>
              <w:pStyle w:val="TableText"/>
            </w:pPr>
            <w:r w:rsidRPr="00E673EB">
              <w:t xml:space="preserve">Langford </w:t>
            </w:r>
            <w:r w:rsidR="00B7183A" w:rsidRPr="00B7183A">
              <w:rPr>
                <w:i/>
                <w:iCs/>
              </w:rPr>
              <w:t>et al</w:t>
            </w:r>
            <w:r w:rsidRPr="00E673EB">
              <w:t>. 2013</w:t>
            </w:r>
          </w:p>
        </w:tc>
      </w:tr>
      <w:tr w:rsidR="0071004A" w14:paraId="5EA2EE34" w14:textId="77777777" w:rsidTr="00CF78CB">
        <w:trPr>
          <w:cantSplit/>
          <w:trHeight w:val="13"/>
        </w:trPr>
        <w:tc>
          <w:tcPr>
            <w:tcW w:w="0" w:type="auto"/>
            <w:tcBorders>
              <w:top w:val="nil"/>
              <w:left w:val="nil"/>
              <w:bottom w:val="nil"/>
              <w:right w:val="nil"/>
            </w:tcBorders>
          </w:tcPr>
          <w:p w14:paraId="41F1335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D4B28CE" w14:textId="77777777" w:rsidR="0071004A" w:rsidRPr="00E673EB" w:rsidRDefault="0071004A" w:rsidP="00377F3A">
            <w:pPr>
              <w:pStyle w:val="TableText"/>
            </w:pPr>
          </w:p>
        </w:tc>
        <w:tc>
          <w:tcPr>
            <w:tcW w:w="0" w:type="auto"/>
            <w:tcBorders>
              <w:top w:val="nil"/>
              <w:left w:val="nil"/>
              <w:bottom w:val="nil"/>
              <w:right w:val="nil"/>
            </w:tcBorders>
          </w:tcPr>
          <w:p w14:paraId="27695A61" w14:textId="77777777" w:rsidR="0071004A" w:rsidRPr="00E673EB" w:rsidRDefault="0071004A" w:rsidP="00377F3A">
            <w:pPr>
              <w:pStyle w:val="TableText"/>
            </w:pPr>
            <w:r w:rsidRPr="00E673EB">
              <w:t>Max liver residues 44 µg/kg in 5/33 scops owls, 180 µg/kg in 19/41 barn owls, 77 µg/kg in 10/27 tawny owls, 208 µg/kg in 12/14 eagle owls, 12 µg/kg in 2/12 long-eared owls, 80 µg/kg in 1/7 little owls, 586 µg/kg in 22/56 common buzzards in Mediterranean region of Spain between 2011 and 2013</w:t>
            </w:r>
          </w:p>
        </w:tc>
        <w:tc>
          <w:tcPr>
            <w:tcW w:w="0" w:type="auto"/>
            <w:tcBorders>
              <w:top w:val="nil"/>
              <w:left w:val="nil"/>
              <w:bottom w:val="nil"/>
              <w:right w:val="nil"/>
            </w:tcBorders>
          </w:tcPr>
          <w:p w14:paraId="0FBCF22A" w14:textId="0D858D41"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rsidRPr="00E673EB" w14:paraId="196B4DE2" w14:textId="77777777" w:rsidTr="00CF78CB">
        <w:trPr>
          <w:cantSplit/>
          <w:trHeight w:val="13"/>
        </w:trPr>
        <w:tc>
          <w:tcPr>
            <w:tcW w:w="0" w:type="auto"/>
            <w:tcBorders>
              <w:top w:val="nil"/>
              <w:left w:val="nil"/>
              <w:bottom w:val="nil"/>
              <w:right w:val="nil"/>
            </w:tcBorders>
          </w:tcPr>
          <w:p w14:paraId="2BE8468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8E58614" w14:textId="77777777" w:rsidR="0071004A" w:rsidRPr="00E673EB" w:rsidRDefault="0071004A" w:rsidP="00377F3A">
            <w:pPr>
              <w:pStyle w:val="TableText"/>
            </w:pPr>
          </w:p>
        </w:tc>
        <w:tc>
          <w:tcPr>
            <w:tcW w:w="0" w:type="auto"/>
            <w:tcBorders>
              <w:top w:val="nil"/>
              <w:left w:val="nil"/>
              <w:bottom w:val="nil"/>
              <w:right w:val="nil"/>
            </w:tcBorders>
          </w:tcPr>
          <w:p w14:paraId="68555E1E" w14:textId="77777777" w:rsidR="0071004A" w:rsidRPr="00E673EB" w:rsidRDefault="0071004A" w:rsidP="00377F3A">
            <w:pPr>
              <w:pStyle w:val="TableText"/>
            </w:pPr>
            <w:r w:rsidRPr="00E673EB">
              <w:t xml:space="preserve">Detectable residues in 20/172 tawny owls, 53/431 barn owls, 22/73 kestrels across Britain between 1990-93 or 2003-05 </w:t>
            </w:r>
          </w:p>
        </w:tc>
        <w:tc>
          <w:tcPr>
            <w:tcW w:w="0" w:type="auto"/>
            <w:tcBorders>
              <w:top w:val="nil"/>
              <w:left w:val="nil"/>
              <w:bottom w:val="nil"/>
              <w:right w:val="nil"/>
            </w:tcBorders>
          </w:tcPr>
          <w:p w14:paraId="2E088F39" w14:textId="5788A093" w:rsidR="0071004A" w:rsidRPr="00E673EB" w:rsidRDefault="0071004A" w:rsidP="00377F3A">
            <w:pPr>
              <w:pStyle w:val="TableText"/>
            </w:pPr>
            <w:r w:rsidRPr="00E673EB">
              <w:t xml:space="preserve">Walker </w:t>
            </w:r>
            <w:r w:rsidR="00B7183A" w:rsidRPr="00B7183A">
              <w:rPr>
                <w:i/>
                <w:iCs/>
              </w:rPr>
              <w:t>et al</w:t>
            </w:r>
            <w:r w:rsidRPr="00E673EB">
              <w:t>. 2008</w:t>
            </w:r>
          </w:p>
        </w:tc>
      </w:tr>
      <w:tr w:rsidR="0071004A" w:rsidRPr="00E673EB" w14:paraId="64B780FE" w14:textId="77777777" w:rsidTr="00CF78CB">
        <w:trPr>
          <w:cantSplit/>
          <w:trHeight w:val="13"/>
        </w:trPr>
        <w:tc>
          <w:tcPr>
            <w:tcW w:w="0" w:type="auto"/>
            <w:tcBorders>
              <w:top w:val="nil"/>
              <w:left w:val="nil"/>
              <w:bottom w:val="nil"/>
              <w:right w:val="nil"/>
            </w:tcBorders>
          </w:tcPr>
          <w:p w14:paraId="06B749E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09AE72E" w14:textId="77777777" w:rsidR="0071004A" w:rsidRPr="00E673EB" w:rsidRDefault="0071004A" w:rsidP="00377F3A">
            <w:pPr>
              <w:pStyle w:val="TableText"/>
            </w:pPr>
          </w:p>
        </w:tc>
        <w:tc>
          <w:tcPr>
            <w:tcW w:w="0" w:type="auto"/>
            <w:tcBorders>
              <w:top w:val="nil"/>
              <w:left w:val="nil"/>
              <w:bottom w:val="nil"/>
              <w:right w:val="nil"/>
            </w:tcBorders>
          </w:tcPr>
          <w:p w14:paraId="11A39566" w14:textId="77777777" w:rsidR="0071004A" w:rsidRPr="00E673EB" w:rsidRDefault="0071004A" w:rsidP="00377F3A">
            <w:pPr>
              <w:pStyle w:val="TableText"/>
            </w:pPr>
            <w:r w:rsidRPr="00E673EB">
              <w:t>Detected in 48/449 barn owls in Britain between 1988 and 1994</w:t>
            </w:r>
          </w:p>
        </w:tc>
        <w:tc>
          <w:tcPr>
            <w:tcW w:w="0" w:type="auto"/>
            <w:tcBorders>
              <w:top w:val="nil"/>
              <w:left w:val="nil"/>
              <w:bottom w:val="nil"/>
              <w:right w:val="nil"/>
            </w:tcBorders>
          </w:tcPr>
          <w:p w14:paraId="4BA71AAF" w14:textId="2F850D75" w:rsidR="0071004A" w:rsidRPr="00E673EB" w:rsidRDefault="0071004A" w:rsidP="00377F3A">
            <w:pPr>
              <w:pStyle w:val="TableText"/>
            </w:pPr>
            <w:r w:rsidRPr="00E673EB">
              <w:t xml:space="preserve">Newton </w:t>
            </w:r>
            <w:r w:rsidR="00B7183A" w:rsidRPr="00B7183A">
              <w:rPr>
                <w:i/>
                <w:iCs/>
              </w:rPr>
              <w:t>et al</w:t>
            </w:r>
            <w:r w:rsidRPr="00E673EB">
              <w:t>. 1997</w:t>
            </w:r>
          </w:p>
        </w:tc>
      </w:tr>
      <w:tr w:rsidR="0071004A" w:rsidRPr="00E673EB" w14:paraId="0F0786F8" w14:textId="77777777" w:rsidTr="00CF78CB">
        <w:trPr>
          <w:cantSplit/>
          <w:trHeight w:val="13"/>
        </w:trPr>
        <w:tc>
          <w:tcPr>
            <w:tcW w:w="0" w:type="auto"/>
            <w:tcBorders>
              <w:top w:val="nil"/>
              <w:left w:val="nil"/>
              <w:bottom w:val="nil"/>
              <w:right w:val="nil"/>
            </w:tcBorders>
          </w:tcPr>
          <w:p w14:paraId="1947278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9C52ADB" w14:textId="77777777" w:rsidR="0071004A" w:rsidRPr="00E673EB" w:rsidRDefault="0071004A" w:rsidP="00377F3A">
            <w:pPr>
              <w:pStyle w:val="TableText"/>
            </w:pPr>
          </w:p>
        </w:tc>
        <w:tc>
          <w:tcPr>
            <w:tcW w:w="0" w:type="auto"/>
            <w:tcBorders>
              <w:top w:val="nil"/>
              <w:left w:val="nil"/>
              <w:bottom w:val="nil"/>
              <w:right w:val="nil"/>
            </w:tcBorders>
          </w:tcPr>
          <w:p w14:paraId="7C09FD34" w14:textId="77777777" w:rsidR="0071004A" w:rsidRPr="00E673EB" w:rsidRDefault="0071004A" w:rsidP="00377F3A">
            <w:pPr>
              <w:pStyle w:val="TableText"/>
            </w:pPr>
            <w:r w:rsidRPr="00E673EB">
              <w:t>Mean liver residues 177-236 µg/kg in 116/241 kestrels in UK between 1997 and 2011</w:t>
            </w:r>
          </w:p>
        </w:tc>
        <w:tc>
          <w:tcPr>
            <w:tcW w:w="0" w:type="auto"/>
            <w:tcBorders>
              <w:top w:val="nil"/>
              <w:left w:val="nil"/>
              <w:bottom w:val="nil"/>
              <w:right w:val="nil"/>
            </w:tcBorders>
          </w:tcPr>
          <w:p w14:paraId="2643B871" w14:textId="1E62041E" w:rsidR="0071004A" w:rsidRPr="00E673EB" w:rsidRDefault="0071004A" w:rsidP="00377F3A">
            <w:pPr>
              <w:pStyle w:val="TableText"/>
            </w:pPr>
            <w:r w:rsidRPr="00E673EB">
              <w:t xml:space="preserve">Roos </w:t>
            </w:r>
            <w:r w:rsidR="00B7183A" w:rsidRPr="00B7183A">
              <w:rPr>
                <w:i/>
                <w:iCs/>
              </w:rPr>
              <w:t>et al</w:t>
            </w:r>
            <w:r w:rsidRPr="00E673EB">
              <w:t>. 2021</w:t>
            </w:r>
          </w:p>
        </w:tc>
      </w:tr>
      <w:tr w:rsidR="0071004A" w14:paraId="42B62904" w14:textId="77777777" w:rsidTr="00CF78CB">
        <w:trPr>
          <w:cantSplit/>
          <w:trHeight w:val="13"/>
        </w:trPr>
        <w:tc>
          <w:tcPr>
            <w:tcW w:w="0" w:type="auto"/>
            <w:tcBorders>
              <w:top w:val="nil"/>
              <w:left w:val="nil"/>
              <w:bottom w:val="single" w:sz="4" w:space="0" w:color="auto"/>
              <w:right w:val="nil"/>
            </w:tcBorders>
          </w:tcPr>
          <w:p w14:paraId="378B15B9"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DCD19E5" w14:textId="77777777" w:rsidR="0071004A" w:rsidRPr="00E673EB" w:rsidRDefault="0071004A" w:rsidP="00377F3A">
            <w:pPr>
              <w:pStyle w:val="TableText"/>
            </w:pPr>
            <w:r w:rsidRPr="00E673EB">
              <w:t>Tawain</w:t>
            </w:r>
          </w:p>
        </w:tc>
        <w:tc>
          <w:tcPr>
            <w:tcW w:w="0" w:type="auto"/>
            <w:tcBorders>
              <w:top w:val="nil"/>
              <w:left w:val="nil"/>
              <w:bottom w:val="single" w:sz="4" w:space="0" w:color="auto"/>
              <w:right w:val="nil"/>
            </w:tcBorders>
          </w:tcPr>
          <w:p w14:paraId="70674F2A" w14:textId="77777777" w:rsidR="0071004A" w:rsidRPr="00E673EB" w:rsidRDefault="0071004A" w:rsidP="00377F3A">
            <w:pPr>
              <w:pStyle w:val="TableText"/>
            </w:pPr>
            <w:r w:rsidRPr="00E673EB">
              <w:t>Detected in 33/112 black-winged kites from Taiwan airports between 2013 and 2016</w:t>
            </w:r>
          </w:p>
        </w:tc>
        <w:tc>
          <w:tcPr>
            <w:tcW w:w="0" w:type="auto"/>
            <w:tcBorders>
              <w:top w:val="nil"/>
              <w:left w:val="nil"/>
              <w:bottom w:val="single" w:sz="4" w:space="0" w:color="auto"/>
              <w:right w:val="nil"/>
            </w:tcBorders>
          </w:tcPr>
          <w:p w14:paraId="4654EA87" w14:textId="3144B8BC" w:rsidR="0071004A" w:rsidRPr="00E673EB" w:rsidRDefault="0071004A" w:rsidP="00377F3A">
            <w:pPr>
              <w:pStyle w:val="TableText"/>
            </w:pPr>
            <w:r w:rsidRPr="00E673EB">
              <w:t xml:space="preserve">Lin </w:t>
            </w:r>
            <w:r w:rsidR="00B7183A" w:rsidRPr="00B7183A">
              <w:rPr>
                <w:i/>
                <w:iCs/>
              </w:rPr>
              <w:t>et al</w:t>
            </w:r>
            <w:r w:rsidRPr="00E673EB">
              <w:t>. 2022</w:t>
            </w:r>
          </w:p>
        </w:tc>
      </w:tr>
      <w:tr w:rsidR="0071004A" w:rsidRPr="003B5A86" w14:paraId="773D6990" w14:textId="77777777" w:rsidTr="00CF78CB">
        <w:trPr>
          <w:cantSplit/>
          <w:trHeight w:val="13"/>
        </w:trPr>
        <w:tc>
          <w:tcPr>
            <w:tcW w:w="0" w:type="auto"/>
            <w:tcBorders>
              <w:top w:val="single" w:sz="4" w:space="0" w:color="auto"/>
              <w:left w:val="nil"/>
              <w:bottom w:val="nil"/>
              <w:right w:val="nil"/>
            </w:tcBorders>
          </w:tcPr>
          <w:p w14:paraId="60DF77DC" w14:textId="77777777" w:rsidR="0071004A" w:rsidRPr="00E673EB" w:rsidRDefault="0071004A" w:rsidP="00377F3A">
            <w:pPr>
              <w:pStyle w:val="TableText"/>
              <w:rPr>
                <w:lang w:eastAsia="en-AU"/>
              </w:rPr>
            </w:pPr>
            <w:r w:rsidRPr="00E673EB">
              <w:rPr>
                <w:lang w:eastAsia="en-AU"/>
              </w:rPr>
              <w:t>Reptiles</w:t>
            </w:r>
          </w:p>
        </w:tc>
        <w:tc>
          <w:tcPr>
            <w:tcW w:w="0" w:type="auto"/>
            <w:tcBorders>
              <w:top w:val="single" w:sz="4" w:space="0" w:color="auto"/>
              <w:left w:val="nil"/>
              <w:bottom w:val="nil"/>
              <w:right w:val="nil"/>
            </w:tcBorders>
          </w:tcPr>
          <w:p w14:paraId="78060F15"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1B7D8281" w14:textId="77777777" w:rsidR="0071004A" w:rsidRPr="00E673EB" w:rsidRDefault="0071004A" w:rsidP="00377F3A">
            <w:pPr>
              <w:pStyle w:val="TableText"/>
            </w:pPr>
            <w:r w:rsidRPr="00E673EB">
              <w:t>Max liver residues 700 µg/kg in 5/11 dugites, 73 µg/kg in 4/10 bobtails from 2014-18, and not detected in 11 tiger snakes from 2018-19 in Greater Perth, WA</w:t>
            </w:r>
          </w:p>
        </w:tc>
        <w:tc>
          <w:tcPr>
            <w:tcW w:w="0" w:type="auto"/>
            <w:tcBorders>
              <w:top w:val="single" w:sz="4" w:space="0" w:color="auto"/>
              <w:left w:val="nil"/>
              <w:bottom w:val="nil"/>
              <w:right w:val="nil"/>
            </w:tcBorders>
          </w:tcPr>
          <w:p w14:paraId="39045BAA" w14:textId="346FC2DD" w:rsidR="0071004A" w:rsidRPr="00E673EB" w:rsidRDefault="0071004A" w:rsidP="00377F3A">
            <w:pPr>
              <w:pStyle w:val="TableText"/>
            </w:pPr>
            <w:r w:rsidRPr="00E673EB">
              <w:t xml:space="preserve">Lettoof </w:t>
            </w:r>
            <w:r w:rsidR="00B7183A" w:rsidRPr="00B7183A">
              <w:rPr>
                <w:i/>
                <w:iCs/>
              </w:rPr>
              <w:t>et al</w:t>
            </w:r>
            <w:r w:rsidRPr="00E673EB">
              <w:t>. 2020</w:t>
            </w:r>
          </w:p>
        </w:tc>
      </w:tr>
      <w:tr w:rsidR="0071004A" w14:paraId="13959EEC" w14:textId="77777777" w:rsidTr="00CF78CB">
        <w:trPr>
          <w:cantSplit/>
          <w:trHeight w:val="13"/>
        </w:trPr>
        <w:tc>
          <w:tcPr>
            <w:tcW w:w="0" w:type="auto"/>
            <w:tcBorders>
              <w:top w:val="nil"/>
              <w:left w:val="nil"/>
              <w:bottom w:val="single" w:sz="4" w:space="0" w:color="auto"/>
              <w:right w:val="nil"/>
            </w:tcBorders>
          </w:tcPr>
          <w:p w14:paraId="638D63E8"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423EB351" w14:textId="77777777" w:rsidR="0071004A" w:rsidRPr="00E673EB" w:rsidRDefault="0071004A" w:rsidP="00377F3A">
            <w:pPr>
              <w:pStyle w:val="TableText"/>
            </w:pPr>
            <w:r>
              <w:t>Europe</w:t>
            </w:r>
          </w:p>
        </w:tc>
        <w:tc>
          <w:tcPr>
            <w:tcW w:w="0" w:type="auto"/>
            <w:tcBorders>
              <w:top w:val="nil"/>
              <w:left w:val="nil"/>
              <w:bottom w:val="single" w:sz="4" w:space="0" w:color="auto"/>
              <w:right w:val="nil"/>
            </w:tcBorders>
          </w:tcPr>
          <w:p w14:paraId="7A7203D0"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nil"/>
              <w:left w:val="nil"/>
              <w:bottom w:val="single" w:sz="4" w:space="0" w:color="auto"/>
              <w:right w:val="nil"/>
            </w:tcBorders>
          </w:tcPr>
          <w:p w14:paraId="03093728" w14:textId="3E936576"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BB7766D" w14:textId="77777777" w:rsidTr="00CF78CB">
        <w:trPr>
          <w:cantSplit/>
          <w:trHeight w:val="13"/>
        </w:trPr>
        <w:tc>
          <w:tcPr>
            <w:tcW w:w="0" w:type="auto"/>
            <w:tcBorders>
              <w:top w:val="single" w:sz="4" w:space="0" w:color="auto"/>
              <w:left w:val="nil"/>
              <w:bottom w:val="nil"/>
              <w:right w:val="nil"/>
            </w:tcBorders>
          </w:tcPr>
          <w:p w14:paraId="59DC3100" w14:textId="77777777" w:rsidR="0071004A" w:rsidRPr="00E673EB" w:rsidRDefault="0071004A"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6F50BED0" w14:textId="77777777" w:rsidR="0071004A" w:rsidRPr="00E673EB" w:rsidDel="00F524CF" w:rsidRDefault="0071004A" w:rsidP="00377F3A">
            <w:pPr>
              <w:pStyle w:val="TableText"/>
            </w:pPr>
            <w:r>
              <w:t>Europe</w:t>
            </w:r>
          </w:p>
        </w:tc>
        <w:tc>
          <w:tcPr>
            <w:tcW w:w="0" w:type="auto"/>
            <w:tcBorders>
              <w:top w:val="single" w:sz="4" w:space="0" w:color="auto"/>
              <w:left w:val="nil"/>
              <w:bottom w:val="nil"/>
              <w:right w:val="nil"/>
            </w:tcBorders>
          </w:tcPr>
          <w:p w14:paraId="07B52E66" w14:textId="77777777" w:rsidR="0071004A" w:rsidRPr="00E673EB" w:rsidRDefault="0071004A" w:rsidP="00377F3A">
            <w:pPr>
              <w:pStyle w:val="TableText"/>
            </w:pPr>
            <w:r w:rsidRPr="00E673EB">
              <w:t>Max liver residues 7.1 µg/kg in bream from two German rivers between 1992 and 2015</w:t>
            </w:r>
          </w:p>
        </w:tc>
        <w:tc>
          <w:tcPr>
            <w:tcW w:w="0" w:type="auto"/>
            <w:tcBorders>
              <w:top w:val="single" w:sz="4" w:space="0" w:color="auto"/>
              <w:left w:val="nil"/>
              <w:bottom w:val="nil"/>
              <w:right w:val="nil"/>
            </w:tcBorders>
          </w:tcPr>
          <w:p w14:paraId="4CC1A3D8" w14:textId="37A83D27"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14:paraId="7FF1255F" w14:textId="77777777" w:rsidTr="00CF78CB">
        <w:trPr>
          <w:cantSplit/>
          <w:trHeight w:val="13"/>
        </w:trPr>
        <w:tc>
          <w:tcPr>
            <w:tcW w:w="0" w:type="auto"/>
            <w:tcBorders>
              <w:top w:val="nil"/>
              <w:left w:val="nil"/>
              <w:bottom w:val="nil"/>
              <w:right w:val="nil"/>
            </w:tcBorders>
          </w:tcPr>
          <w:p w14:paraId="291A908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B26E367" w14:textId="77777777" w:rsidR="0071004A" w:rsidRPr="00E673EB" w:rsidRDefault="0071004A" w:rsidP="00377F3A">
            <w:pPr>
              <w:pStyle w:val="TableText"/>
            </w:pPr>
          </w:p>
        </w:tc>
        <w:tc>
          <w:tcPr>
            <w:tcW w:w="0" w:type="auto"/>
            <w:tcBorders>
              <w:top w:val="nil"/>
              <w:left w:val="nil"/>
              <w:bottom w:val="nil"/>
              <w:right w:val="nil"/>
            </w:tcBorders>
          </w:tcPr>
          <w:p w14:paraId="1DEEE340" w14:textId="77777777" w:rsidR="0071004A" w:rsidRPr="00E673EB" w:rsidRDefault="0071004A" w:rsidP="00377F3A">
            <w:pPr>
              <w:pStyle w:val="TableText"/>
            </w:pPr>
            <w:r w:rsidRPr="00E673EB">
              <w:t>Max liver residues 2.0 µg/kg in 12/32 fish in bioaccumulation ponds and 2.0 µg/kg in 5/12 fish in receiving streams of municipal wastewater treatment plants in Germany between 2013 and 2016</w:t>
            </w:r>
          </w:p>
        </w:tc>
        <w:tc>
          <w:tcPr>
            <w:tcW w:w="0" w:type="auto"/>
            <w:tcBorders>
              <w:top w:val="nil"/>
              <w:left w:val="nil"/>
              <w:bottom w:val="nil"/>
              <w:right w:val="nil"/>
            </w:tcBorders>
          </w:tcPr>
          <w:p w14:paraId="7090D967" w14:textId="4C3EE07A" w:rsidR="0071004A" w:rsidRPr="00E673EB" w:rsidRDefault="0071004A" w:rsidP="00377F3A">
            <w:pPr>
              <w:pStyle w:val="TableText"/>
            </w:pPr>
            <w:r w:rsidRPr="00E673EB">
              <w:t xml:space="preserve">Regnery </w:t>
            </w:r>
            <w:r w:rsidR="00B7183A" w:rsidRPr="00B7183A">
              <w:rPr>
                <w:i/>
                <w:iCs/>
              </w:rPr>
              <w:t>et al</w:t>
            </w:r>
            <w:r w:rsidRPr="00E673EB">
              <w:t>. 2019</w:t>
            </w:r>
          </w:p>
        </w:tc>
      </w:tr>
      <w:tr w:rsidR="0071004A" w14:paraId="275F488C" w14:textId="77777777" w:rsidTr="00CF78CB">
        <w:trPr>
          <w:cantSplit/>
          <w:trHeight w:val="13"/>
        </w:trPr>
        <w:tc>
          <w:tcPr>
            <w:tcW w:w="0" w:type="auto"/>
            <w:tcBorders>
              <w:top w:val="nil"/>
              <w:left w:val="nil"/>
              <w:bottom w:val="single" w:sz="4" w:space="0" w:color="auto"/>
              <w:right w:val="nil"/>
            </w:tcBorders>
          </w:tcPr>
          <w:p w14:paraId="16E11420" w14:textId="00B72B0A"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3CDD9CE" w14:textId="0DFACDFE" w:rsidR="0071004A" w:rsidRPr="00E673EB" w:rsidRDefault="0071004A" w:rsidP="00377F3A">
            <w:pPr>
              <w:pStyle w:val="TableText"/>
            </w:pPr>
          </w:p>
        </w:tc>
        <w:tc>
          <w:tcPr>
            <w:tcW w:w="0" w:type="auto"/>
            <w:tcBorders>
              <w:top w:val="nil"/>
              <w:left w:val="nil"/>
              <w:bottom w:val="single" w:sz="4" w:space="0" w:color="auto"/>
              <w:right w:val="nil"/>
            </w:tcBorders>
          </w:tcPr>
          <w:p w14:paraId="1B2986EF" w14:textId="77777777" w:rsidR="0071004A" w:rsidRPr="00E673EB" w:rsidRDefault="0071004A" w:rsidP="00377F3A">
            <w:pPr>
              <w:pStyle w:val="TableText"/>
            </w:pPr>
            <w:r w:rsidRPr="00E673EB">
              <w:t>Max liver residues 7.5 µg/kg in 19/46 fish in receiving streams of municipal wastewater treatment plants in Germany in 2019</w:t>
            </w:r>
          </w:p>
        </w:tc>
        <w:tc>
          <w:tcPr>
            <w:tcW w:w="0" w:type="auto"/>
            <w:tcBorders>
              <w:top w:val="nil"/>
              <w:left w:val="nil"/>
              <w:bottom w:val="single" w:sz="4" w:space="0" w:color="auto"/>
              <w:right w:val="nil"/>
            </w:tcBorders>
          </w:tcPr>
          <w:p w14:paraId="232A4329" w14:textId="233683F6" w:rsidR="0071004A" w:rsidRPr="00E673EB" w:rsidRDefault="0071004A" w:rsidP="00377F3A">
            <w:pPr>
              <w:pStyle w:val="TableText"/>
            </w:pPr>
            <w:r w:rsidRPr="00E673EB">
              <w:t xml:space="preserve">Regnery </w:t>
            </w:r>
            <w:r w:rsidR="00B7183A" w:rsidRPr="00B7183A">
              <w:rPr>
                <w:i/>
                <w:iCs/>
              </w:rPr>
              <w:t>et al</w:t>
            </w:r>
            <w:r w:rsidRPr="00E673EB">
              <w:t>. 2020</w:t>
            </w:r>
          </w:p>
        </w:tc>
      </w:tr>
    </w:tbl>
    <w:p w14:paraId="6DCFD6D7" w14:textId="77777777" w:rsidR="00EE24E4" w:rsidRDefault="00EE24E4" w:rsidP="00377F3A">
      <w:pPr>
        <w:pStyle w:val="APVMAAppendixH3"/>
      </w:pPr>
      <w:bookmarkStart w:id="2062" w:name="_Toc214025620"/>
      <w:bookmarkStart w:id="2063" w:name="_Toc216695642"/>
      <w:r>
        <w:t>Effects on non-target species</w:t>
      </w:r>
      <w:bookmarkEnd w:id="2062"/>
      <w:bookmarkEnd w:id="2063"/>
    </w:p>
    <w:p w14:paraId="53BED168" w14:textId="3989EB05" w:rsidR="00980B2F" w:rsidRPr="00861CA0" w:rsidRDefault="00BA7F5F" w:rsidP="00377F3A">
      <w:pPr>
        <w:pStyle w:val="Caption"/>
      </w:pPr>
      <w:bookmarkStart w:id="2064" w:name="_Toc213946091"/>
      <w:bookmarkStart w:id="2065" w:name="_Toc216695782"/>
      <w:r>
        <w:t xml:space="preserve">Table </w:t>
      </w:r>
      <w:r>
        <w:fldChar w:fldCharType="begin"/>
      </w:r>
      <w:r>
        <w:instrText xml:space="preserve"> SEQ Table \* ARABIC </w:instrText>
      </w:r>
      <w:r>
        <w:fldChar w:fldCharType="separate"/>
      </w:r>
      <w:r w:rsidR="003861AC">
        <w:rPr>
          <w:noProof/>
        </w:rPr>
        <w:t>120</w:t>
      </w:r>
      <w:r>
        <w:fldChar w:fldCharType="end"/>
      </w:r>
      <w:r>
        <w:t xml:space="preserve">: </w:t>
      </w:r>
      <w:r w:rsidR="00073396">
        <w:t xml:space="preserve">Bromadiolone – </w:t>
      </w:r>
      <w:r w:rsidR="00980B2F">
        <w:t>Primary poisoning studies on terrestrial vertebrates</w:t>
      </w:r>
      <w:bookmarkEnd w:id="2064"/>
      <w:bookmarkEnd w:id="2065"/>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17"/>
        <w:gridCol w:w="1366"/>
        <w:gridCol w:w="2170"/>
        <w:gridCol w:w="2522"/>
        <w:gridCol w:w="2553"/>
      </w:tblGrid>
      <w:tr w:rsidR="00073396" w:rsidRPr="000B2FA7" w14:paraId="349EEA6C" w14:textId="77777777" w:rsidTr="0017134F">
        <w:trPr>
          <w:cantSplit/>
          <w:tblHeader/>
        </w:trPr>
        <w:tc>
          <w:tcPr>
            <w:tcW w:w="0" w:type="auto"/>
            <w:tcBorders>
              <w:bottom w:val="single" w:sz="4" w:space="0" w:color="auto"/>
            </w:tcBorders>
            <w:shd w:val="clear" w:color="auto" w:fill="53284F"/>
          </w:tcPr>
          <w:p w14:paraId="3CD5B426" w14:textId="77777777" w:rsidR="00073396" w:rsidRDefault="00073396" w:rsidP="00377F3A">
            <w:pPr>
              <w:pStyle w:val="TableHead"/>
            </w:pPr>
            <w:r>
              <w:t>Group</w:t>
            </w:r>
          </w:p>
        </w:tc>
        <w:tc>
          <w:tcPr>
            <w:tcW w:w="0" w:type="auto"/>
            <w:tcBorders>
              <w:bottom w:val="single" w:sz="4" w:space="0" w:color="auto"/>
            </w:tcBorders>
            <w:shd w:val="clear" w:color="auto" w:fill="53284F"/>
          </w:tcPr>
          <w:p w14:paraId="6D6CF902" w14:textId="77777777" w:rsidR="00073396" w:rsidRDefault="00073396" w:rsidP="00377F3A">
            <w:pPr>
              <w:pStyle w:val="TableHead"/>
            </w:pPr>
            <w:r>
              <w:t>Exposure</w:t>
            </w:r>
          </w:p>
        </w:tc>
        <w:tc>
          <w:tcPr>
            <w:tcW w:w="0" w:type="auto"/>
            <w:tcBorders>
              <w:bottom w:val="single" w:sz="4" w:space="0" w:color="auto"/>
            </w:tcBorders>
            <w:shd w:val="clear" w:color="auto" w:fill="53284F"/>
          </w:tcPr>
          <w:p w14:paraId="0899AE74" w14:textId="77777777" w:rsidR="00073396" w:rsidRPr="00CA558C" w:rsidRDefault="00073396" w:rsidP="00377F3A">
            <w:pPr>
              <w:pStyle w:val="TableHead"/>
            </w:pPr>
            <w:r>
              <w:t>Species</w:t>
            </w:r>
          </w:p>
        </w:tc>
        <w:tc>
          <w:tcPr>
            <w:tcW w:w="0" w:type="auto"/>
            <w:tcBorders>
              <w:bottom w:val="single" w:sz="4" w:space="0" w:color="auto"/>
            </w:tcBorders>
            <w:shd w:val="clear" w:color="auto" w:fill="53284F"/>
          </w:tcPr>
          <w:p w14:paraId="0AC63AD6" w14:textId="77777777" w:rsidR="00073396" w:rsidRPr="00CA558C" w:rsidRDefault="00073396" w:rsidP="00377F3A">
            <w:pPr>
              <w:pStyle w:val="TableHead"/>
            </w:pPr>
            <w:r>
              <w:t>Toxicity v</w:t>
            </w:r>
            <w:r w:rsidRPr="00CA558C">
              <w:t>alue</w:t>
            </w:r>
            <w:r>
              <w:rPr>
                <w:rStyle w:val="FootnoteReference"/>
                <w:rFonts w:ascii="Arial" w:hAnsi="Arial"/>
                <w:b/>
                <w:sz w:val="17"/>
                <w:szCs w:val="17"/>
              </w:rPr>
              <w:footnoteReference w:id="30"/>
            </w:r>
          </w:p>
        </w:tc>
        <w:tc>
          <w:tcPr>
            <w:tcW w:w="0" w:type="auto"/>
            <w:tcBorders>
              <w:bottom w:val="single" w:sz="4" w:space="0" w:color="auto"/>
            </w:tcBorders>
            <w:shd w:val="clear" w:color="auto" w:fill="53284F"/>
          </w:tcPr>
          <w:p w14:paraId="71CBDB09" w14:textId="77777777" w:rsidR="00073396" w:rsidRPr="00CA558C" w:rsidRDefault="00073396" w:rsidP="00377F3A">
            <w:pPr>
              <w:pStyle w:val="TableHead"/>
            </w:pPr>
            <w:r>
              <w:t>Reference</w:t>
            </w:r>
          </w:p>
        </w:tc>
      </w:tr>
      <w:tr w:rsidR="00073396" w:rsidRPr="000B2FA7" w14:paraId="13A46CAD" w14:textId="77777777" w:rsidTr="00073396">
        <w:trPr>
          <w:cantSplit/>
        </w:trPr>
        <w:tc>
          <w:tcPr>
            <w:tcW w:w="0" w:type="auto"/>
            <w:tcBorders>
              <w:top w:val="single" w:sz="4" w:space="0" w:color="auto"/>
              <w:left w:val="nil"/>
              <w:bottom w:val="nil"/>
              <w:right w:val="nil"/>
            </w:tcBorders>
          </w:tcPr>
          <w:p w14:paraId="52FB16D9" w14:textId="77777777" w:rsidR="00073396" w:rsidRDefault="00073396" w:rsidP="00377F3A">
            <w:pPr>
              <w:pStyle w:val="TableText"/>
            </w:pPr>
            <w:r>
              <w:t>Mammals</w:t>
            </w:r>
          </w:p>
        </w:tc>
        <w:tc>
          <w:tcPr>
            <w:tcW w:w="0" w:type="auto"/>
            <w:tcBorders>
              <w:top w:val="single" w:sz="4" w:space="0" w:color="auto"/>
              <w:left w:val="nil"/>
              <w:bottom w:val="nil"/>
              <w:right w:val="nil"/>
            </w:tcBorders>
          </w:tcPr>
          <w:p w14:paraId="05A866F1" w14:textId="77777777" w:rsidR="00073396" w:rsidRDefault="00073396" w:rsidP="00377F3A">
            <w:pPr>
              <w:pStyle w:val="TableText"/>
            </w:pPr>
            <w:r>
              <w:t>Acute</w:t>
            </w:r>
          </w:p>
        </w:tc>
        <w:tc>
          <w:tcPr>
            <w:tcW w:w="0" w:type="auto"/>
            <w:tcBorders>
              <w:top w:val="single" w:sz="4" w:space="0" w:color="auto"/>
              <w:left w:val="nil"/>
              <w:bottom w:val="nil"/>
              <w:right w:val="nil"/>
            </w:tcBorders>
          </w:tcPr>
          <w:p w14:paraId="2881D271" w14:textId="77777777" w:rsidR="00073396" w:rsidRDefault="00073396" w:rsidP="00377F3A">
            <w:pPr>
              <w:pStyle w:val="TableText"/>
            </w:pPr>
            <w:r>
              <w:t>Rattus norvegicus</w:t>
            </w:r>
          </w:p>
        </w:tc>
        <w:tc>
          <w:tcPr>
            <w:tcW w:w="0" w:type="auto"/>
            <w:tcBorders>
              <w:top w:val="single" w:sz="4" w:space="0" w:color="auto"/>
              <w:left w:val="nil"/>
              <w:bottom w:val="nil"/>
              <w:right w:val="nil"/>
            </w:tcBorders>
          </w:tcPr>
          <w:p w14:paraId="1772F6F2" w14:textId="77777777" w:rsidR="00073396" w:rsidRDefault="00073396" w:rsidP="00377F3A">
            <w:pPr>
              <w:pStyle w:val="TableText"/>
            </w:pPr>
            <w:r>
              <w:t>LD</w:t>
            </w:r>
            <w:r w:rsidRPr="001A4B6E">
              <w:rPr>
                <w:vertAlign w:val="subscript"/>
              </w:rPr>
              <w:t>50</w:t>
            </w:r>
            <w:r>
              <w:t xml:space="preserve"> &gt;0.56 mg/kg bw</w:t>
            </w:r>
          </w:p>
        </w:tc>
        <w:tc>
          <w:tcPr>
            <w:tcW w:w="0" w:type="auto"/>
            <w:tcBorders>
              <w:top w:val="single" w:sz="4" w:space="0" w:color="auto"/>
              <w:left w:val="nil"/>
              <w:bottom w:val="nil"/>
              <w:right w:val="nil"/>
            </w:tcBorders>
          </w:tcPr>
          <w:p w14:paraId="307856BD" w14:textId="77777777" w:rsidR="00073396" w:rsidRPr="00245D30" w:rsidRDefault="00073396" w:rsidP="00377F3A">
            <w:pPr>
              <w:pStyle w:val="TableText"/>
            </w:pPr>
            <w:r w:rsidRPr="00E413BD">
              <w:t>Mally &amp; Porret-Blanc 1987</w:t>
            </w:r>
          </w:p>
        </w:tc>
      </w:tr>
      <w:tr w:rsidR="00073396" w:rsidRPr="000B2FA7" w14:paraId="741100AC" w14:textId="77777777" w:rsidTr="00073396">
        <w:trPr>
          <w:cantSplit/>
        </w:trPr>
        <w:tc>
          <w:tcPr>
            <w:tcW w:w="0" w:type="auto"/>
            <w:tcBorders>
              <w:top w:val="nil"/>
              <w:left w:val="nil"/>
              <w:bottom w:val="nil"/>
              <w:right w:val="nil"/>
            </w:tcBorders>
          </w:tcPr>
          <w:p w14:paraId="1806AA35" w14:textId="77777777" w:rsidR="00073396" w:rsidRDefault="00073396" w:rsidP="00377F3A">
            <w:pPr>
              <w:pStyle w:val="TableText"/>
            </w:pPr>
          </w:p>
        </w:tc>
        <w:tc>
          <w:tcPr>
            <w:tcW w:w="0" w:type="auto"/>
            <w:tcBorders>
              <w:top w:val="nil"/>
              <w:left w:val="nil"/>
              <w:bottom w:val="nil"/>
              <w:right w:val="nil"/>
            </w:tcBorders>
          </w:tcPr>
          <w:p w14:paraId="52BC65FB" w14:textId="77777777" w:rsidR="00073396" w:rsidRDefault="00073396" w:rsidP="00377F3A">
            <w:pPr>
              <w:pStyle w:val="TableText"/>
            </w:pPr>
          </w:p>
        </w:tc>
        <w:tc>
          <w:tcPr>
            <w:tcW w:w="0" w:type="auto"/>
            <w:tcBorders>
              <w:top w:val="nil"/>
              <w:left w:val="nil"/>
              <w:bottom w:val="nil"/>
              <w:right w:val="nil"/>
            </w:tcBorders>
          </w:tcPr>
          <w:p w14:paraId="20A126E7" w14:textId="77777777" w:rsidR="00073396" w:rsidRDefault="00073396" w:rsidP="00377F3A">
            <w:pPr>
              <w:pStyle w:val="TableText"/>
            </w:pPr>
          </w:p>
        </w:tc>
        <w:tc>
          <w:tcPr>
            <w:tcW w:w="0" w:type="auto"/>
            <w:tcBorders>
              <w:top w:val="nil"/>
              <w:left w:val="nil"/>
              <w:bottom w:val="nil"/>
              <w:right w:val="nil"/>
            </w:tcBorders>
          </w:tcPr>
          <w:p w14:paraId="615E21CA" w14:textId="77777777" w:rsidR="00073396" w:rsidRDefault="00073396" w:rsidP="00377F3A">
            <w:pPr>
              <w:pStyle w:val="TableText"/>
            </w:pPr>
            <w:r>
              <w:t>LD</w:t>
            </w:r>
            <w:r w:rsidRPr="001A4B6E">
              <w:rPr>
                <w:vertAlign w:val="subscript"/>
              </w:rPr>
              <w:t>50</w:t>
            </w:r>
            <w:r>
              <w:t xml:space="preserve"> 1.3 mg/kg bw</w:t>
            </w:r>
          </w:p>
        </w:tc>
        <w:tc>
          <w:tcPr>
            <w:tcW w:w="0" w:type="auto"/>
            <w:tcBorders>
              <w:top w:val="nil"/>
              <w:left w:val="nil"/>
              <w:bottom w:val="nil"/>
              <w:right w:val="nil"/>
            </w:tcBorders>
          </w:tcPr>
          <w:p w14:paraId="73433339" w14:textId="77777777" w:rsidR="00073396" w:rsidRDefault="00073396" w:rsidP="00377F3A">
            <w:pPr>
              <w:pStyle w:val="TableText"/>
            </w:pPr>
            <w:r w:rsidRPr="00245D30">
              <w:t>Sebestyén</w:t>
            </w:r>
            <w:r>
              <w:t xml:space="preserve"> 1996</w:t>
            </w:r>
          </w:p>
        </w:tc>
      </w:tr>
      <w:tr w:rsidR="00073396" w:rsidRPr="000B2FA7" w14:paraId="3CC33344" w14:textId="77777777" w:rsidTr="00073396">
        <w:trPr>
          <w:cantSplit/>
        </w:trPr>
        <w:tc>
          <w:tcPr>
            <w:tcW w:w="0" w:type="auto"/>
            <w:tcBorders>
              <w:top w:val="nil"/>
              <w:left w:val="nil"/>
              <w:bottom w:val="nil"/>
              <w:right w:val="nil"/>
            </w:tcBorders>
          </w:tcPr>
          <w:p w14:paraId="680B5EE8" w14:textId="77777777" w:rsidR="00073396" w:rsidRDefault="00073396" w:rsidP="00377F3A">
            <w:pPr>
              <w:pStyle w:val="TableText"/>
            </w:pPr>
          </w:p>
        </w:tc>
        <w:tc>
          <w:tcPr>
            <w:tcW w:w="0" w:type="auto"/>
            <w:tcBorders>
              <w:top w:val="nil"/>
              <w:left w:val="nil"/>
              <w:bottom w:val="nil"/>
              <w:right w:val="nil"/>
            </w:tcBorders>
          </w:tcPr>
          <w:p w14:paraId="1744D847" w14:textId="77777777" w:rsidR="00073396" w:rsidRDefault="00073396" w:rsidP="00377F3A">
            <w:pPr>
              <w:pStyle w:val="TableText"/>
            </w:pPr>
          </w:p>
        </w:tc>
        <w:tc>
          <w:tcPr>
            <w:tcW w:w="0" w:type="auto"/>
            <w:tcBorders>
              <w:top w:val="nil"/>
              <w:left w:val="nil"/>
              <w:bottom w:val="nil"/>
              <w:right w:val="nil"/>
            </w:tcBorders>
          </w:tcPr>
          <w:p w14:paraId="4729E825" w14:textId="77777777" w:rsidR="00073396" w:rsidRPr="00D2303D" w:rsidRDefault="00073396" w:rsidP="00377F3A">
            <w:pPr>
              <w:pStyle w:val="TableText"/>
            </w:pPr>
            <w:r>
              <w:t>Canis familiaris</w:t>
            </w:r>
          </w:p>
        </w:tc>
        <w:tc>
          <w:tcPr>
            <w:tcW w:w="0" w:type="auto"/>
            <w:tcBorders>
              <w:top w:val="nil"/>
              <w:left w:val="nil"/>
              <w:bottom w:val="nil"/>
              <w:right w:val="nil"/>
            </w:tcBorders>
          </w:tcPr>
          <w:p w14:paraId="2DBBB0CE" w14:textId="77777777" w:rsidR="00073396" w:rsidRDefault="00073396" w:rsidP="00377F3A">
            <w:pPr>
              <w:pStyle w:val="TableText"/>
            </w:pPr>
            <w:r>
              <w:t>LD</w:t>
            </w:r>
            <w:r w:rsidRPr="001A4B6E">
              <w:rPr>
                <w:vertAlign w:val="subscript"/>
              </w:rPr>
              <w:t>50</w:t>
            </w:r>
            <w:r>
              <w:t xml:space="preserve"> 8.1 mg/kg bw</w:t>
            </w:r>
          </w:p>
        </w:tc>
        <w:tc>
          <w:tcPr>
            <w:tcW w:w="0" w:type="auto"/>
            <w:tcBorders>
              <w:top w:val="nil"/>
              <w:left w:val="nil"/>
              <w:bottom w:val="nil"/>
              <w:right w:val="nil"/>
            </w:tcBorders>
          </w:tcPr>
          <w:p w14:paraId="147A8EC1" w14:textId="77777777" w:rsidR="00073396" w:rsidRDefault="00073396" w:rsidP="00377F3A">
            <w:pPr>
              <w:pStyle w:val="TableText"/>
            </w:pPr>
            <w:r>
              <w:t>Reagan 1987</w:t>
            </w:r>
          </w:p>
        </w:tc>
      </w:tr>
      <w:tr w:rsidR="00073396" w:rsidRPr="000B2FA7" w14:paraId="77173B53" w14:textId="77777777" w:rsidTr="00073396">
        <w:trPr>
          <w:cantSplit/>
        </w:trPr>
        <w:tc>
          <w:tcPr>
            <w:tcW w:w="0" w:type="auto"/>
            <w:tcBorders>
              <w:top w:val="nil"/>
              <w:left w:val="nil"/>
              <w:bottom w:val="nil"/>
              <w:right w:val="nil"/>
            </w:tcBorders>
          </w:tcPr>
          <w:p w14:paraId="3DCC48D3" w14:textId="77777777" w:rsidR="00073396" w:rsidRDefault="00073396" w:rsidP="00377F3A">
            <w:pPr>
              <w:pStyle w:val="TableText"/>
            </w:pPr>
          </w:p>
        </w:tc>
        <w:tc>
          <w:tcPr>
            <w:tcW w:w="0" w:type="auto"/>
            <w:tcBorders>
              <w:top w:val="nil"/>
              <w:left w:val="nil"/>
              <w:bottom w:val="nil"/>
              <w:right w:val="nil"/>
            </w:tcBorders>
          </w:tcPr>
          <w:p w14:paraId="61128943" w14:textId="77777777" w:rsidR="00073396" w:rsidRDefault="00073396" w:rsidP="00377F3A">
            <w:pPr>
              <w:pStyle w:val="TableText"/>
            </w:pPr>
          </w:p>
        </w:tc>
        <w:tc>
          <w:tcPr>
            <w:tcW w:w="0" w:type="auto"/>
            <w:tcBorders>
              <w:top w:val="nil"/>
              <w:left w:val="nil"/>
              <w:bottom w:val="nil"/>
              <w:right w:val="nil"/>
            </w:tcBorders>
          </w:tcPr>
          <w:p w14:paraId="1F28BB8A" w14:textId="77777777" w:rsidR="00073396" w:rsidRDefault="00073396" w:rsidP="00377F3A">
            <w:pPr>
              <w:pStyle w:val="TableText"/>
            </w:pPr>
          </w:p>
        </w:tc>
        <w:tc>
          <w:tcPr>
            <w:tcW w:w="0" w:type="auto"/>
            <w:tcBorders>
              <w:top w:val="nil"/>
              <w:left w:val="nil"/>
              <w:bottom w:val="nil"/>
              <w:right w:val="nil"/>
            </w:tcBorders>
          </w:tcPr>
          <w:p w14:paraId="78AF5BB2" w14:textId="77777777" w:rsidR="00073396" w:rsidRDefault="00073396" w:rsidP="00377F3A">
            <w:pPr>
              <w:pStyle w:val="TableText"/>
            </w:pPr>
            <w:r>
              <w:t>LD</w:t>
            </w:r>
            <w:r w:rsidRPr="001A4B6E">
              <w:rPr>
                <w:vertAlign w:val="subscript"/>
              </w:rPr>
              <w:t>50</w:t>
            </w:r>
            <w:r>
              <w:t xml:space="preserve"> ~10 mg/kg bw</w:t>
            </w:r>
          </w:p>
        </w:tc>
        <w:tc>
          <w:tcPr>
            <w:tcW w:w="0" w:type="auto"/>
            <w:tcBorders>
              <w:top w:val="nil"/>
              <w:left w:val="nil"/>
              <w:bottom w:val="nil"/>
              <w:right w:val="nil"/>
            </w:tcBorders>
          </w:tcPr>
          <w:p w14:paraId="7A5DAF33" w14:textId="77777777" w:rsidR="00073396" w:rsidRPr="00BA1726" w:rsidRDefault="00073396" w:rsidP="00377F3A">
            <w:pPr>
              <w:pStyle w:val="TableText"/>
            </w:pPr>
            <w:r w:rsidRPr="00BA1726">
              <w:t>Poché</w:t>
            </w:r>
            <w:r>
              <w:t xml:space="preserve"> 1988</w:t>
            </w:r>
          </w:p>
        </w:tc>
      </w:tr>
      <w:tr w:rsidR="00073396" w:rsidRPr="000B2FA7" w14:paraId="6FF5E41D" w14:textId="77777777" w:rsidTr="00073396">
        <w:trPr>
          <w:cantSplit/>
        </w:trPr>
        <w:tc>
          <w:tcPr>
            <w:tcW w:w="0" w:type="auto"/>
            <w:tcBorders>
              <w:top w:val="nil"/>
              <w:left w:val="nil"/>
              <w:bottom w:val="nil"/>
              <w:right w:val="nil"/>
            </w:tcBorders>
          </w:tcPr>
          <w:p w14:paraId="63F01865" w14:textId="77777777" w:rsidR="00073396" w:rsidRDefault="00073396" w:rsidP="00377F3A">
            <w:pPr>
              <w:pStyle w:val="TableText"/>
            </w:pPr>
          </w:p>
        </w:tc>
        <w:tc>
          <w:tcPr>
            <w:tcW w:w="0" w:type="auto"/>
            <w:tcBorders>
              <w:top w:val="nil"/>
              <w:left w:val="nil"/>
              <w:bottom w:val="nil"/>
              <w:right w:val="nil"/>
            </w:tcBorders>
          </w:tcPr>
          <w:p w14:paraId="0CE4BDC0" w14:textId="77777777" w:rsidR="00073396" w:rsidRDefault="00073396" w:rsidP="00377F3A">
            <w:pPr>
              <w:pStyle w:val="TableText"/>
            </w:pPr>
            <w:r>
              <w:t>Dietary</w:t>
            </w:r>
          </w:p>
        </w:tc>
        <w:tc>
          <w:tcPr>
            <w:tcW w:w="0" w:type="auto"/>
            <w:tcBorders>
              <w:top w:val="nil"/>
              <w:left w:val="nil"/>
              <w:bottom w:val="nil"/>
              <w:right w:val="nil"/>
            </w:tcBorders>
          </w:tcPr>
          <w:p w14:paraId="3E50272C" w14:textId="77777777" w:rsidR="00073396" w:rsidRPr="00D2303D" w:rsidRDefault="00073396" w:rsidP="00377F3A">
            <w:pPr>
              <w:pStyle w:val="TableText"/>
            </w:pPr>
            <w:r>
              <w:t>Putorius furo</w:t>
            </w:r>
          </w:p>
        </w:tc>
        <w:tc>
          <w:tcPr>
            <w:tcW w:w="0" w:type="auto"/>
            <w:tcBorders>
              <w:top w:val="nil"/>
              <w:left w:val="nil"/>
              <w:bottom w:val="nil"/>
              <w:right w:val="nil"/>
            </w:tcBorders>
          </w:tcPr>
          <w:p w14:paraId="23FB9435" w14:textId="77777777" w:rsidR="00073396" w:rsidRDefault="00073396" w:rsidP="00377F3A">
            <w:pPr>
              <w:pStyle w:val="TableText"/>
            </w:pPr>
            <w:r>
              <w:t>LC</w:t>
            </w:r>
            <w:r w:rsidRPr="001D32CA">
              <w:rPr>
                <w:vertAlign w:val="subscript"/>
              </w:rPr>
              <w:t>50</w:t>
            </w:r>
            <w:r>
              <w:t xml:space="preserve"> 9.8 mg/kg food</w:t>
            </w:r>
          </w:p>
        </w:tc>
        <w:tc>
          <w:tcPr>
            <w:tcW w:w="0" w:type="auto"/>
            <w:tcBorders>
              <w:top w:val="nil"/>
              <w:left w:val="nil"/>
              <w:bottom w:val="nil"/>
              <w:right w:val="nil"/>
            </w:tcBorders>
          </w:tcPr>
          <w:p w14:paraId="05718B33" w14:textId="77777777" w:rsidR="00073396" w:rsidRDefault="00073396" w:rsidP="00377F3A">
            <w:pPr>
              <w:pStyle w:val="TableText"/>
            </w:pPr>
            <w:r w:rsidRPr="00BA1726">
              <w:t>Poché</w:t>
            </w:r>
            <w:r>
              <w:t xml:space="preserve"> 1988</w:t>
            </w:r>
          </w:p>
        </w:tc>
      </w:tr>
      <w:tr w:rsidR="00073396" w:rsidRPr="000B2FA7" w14:paraId="28119804" w14:textId="77777777" w:rsidTr="00B717B6">
        <w:trPr>
          <w:cantSplit/>
        </w:trPr>
        <w:tc>
          <w:tcPr>
            <w:tcW w:w="0" w:type="auto"/>
            <w:tcBorders>
              <w:top w:val="nil"/>
              <w:left w:val="nil"/>
              <w:bottom w:val="nil"/>
              <w:right w:val="nil"/>
            </w:tcBorders>
          </w:tcPr>
          <w:p w14:paraId="0E777C9A" w14:textId="77777777" w:rsidR="00073396" w:rsidRDefault="00073396" w:rsidP="00377F3A">
            <w:pPr>
              <w:pStyle w:val="TableText"/>
            </w:pPr>
          </w:p>
        </w:tc>
        <w:tc>
          <w:tcPr>
            <w:tcW w:w="0" w:type="auto"/>
            <w:tcBorders>
              <w:top w:val="nil"/>
              <w:left w:val="nil"/>
              <w:bottom w:val="nil"/>
              <w:right w:val="nil"/>
            </w:tcBorders>
          </w:tcPr>
          <w:p w14:paraId="18F3E9FA" w14:textId="77777777" w:rsidR="00073396" w:rsidRDefault="00073396" w:rsidP="00377F3A">
            <w:pPr>
              <w:pStyle w:val="TableText"/>
            </w:pPr>
            <w:r>
              <w:t>Chronic</w:t>
            </w:r>
          </w:p>
        </w:tc>
        <w:tc>
          <w:tcPr>
            <w:tcW w:w="0" w:type="auto"/>
            <w:tcBorders>
              <w:top w:val="nil"/>
              <w:left w:val="nil"/>
              <w:bottom w:val="nil"/>
              <w:right w:val="nil"/>
            </w:tcBorders>
          </w:tcPr>
          <w:p w14:paraId="6063E0FA" w14:textId="77777777" w:rsidR="00073396" w:rsidRDefault="00073396" w:rsidP="00377F3A">
            <w:pPr>
              <w:pStyle w:val="TableText"/>
            </w:pPr>
            <w:r w:rsidRPr="00D2303D">
              <w:t>Oryctolagus cuniculus</w:t>
            </w:r>
          </w:p>
        </w:tc>
        <w:tc>
          <w:tcPr>
            <w:tcW w:w="0" w:type="auto"/>
            <w:tcBorders>
              <w:top w:val="nil"/>
              <w:left w:val="nil"/>
              <w:bottom w:val="nil"/>
              <w:right w:val="nil"/>
            </w:tcBorders>
          </w:tcPr>
          <w:p w14:paraId="72BAC9C2" w14:textId="77777777" w:rsidR="00073396" w:rsidRPr="006F78D3" w:rsidRDefault="00073396" w:rsidP="00377F3A">
            <w:pPr>
              <w:pStyle w:val="TableText"/>
              <w:rPr>
                <w:lang w:val="de-CH"/>
              </w:rPr>
            </w:pPr>
            <w:r w:rsidRPr="006F78D3">
              <w:rPr>
                <w:lang w:val="de-CH"/>
              </w:rPr>
              <w:t>LOAEL 0.002 mg/kg bw/d</w:t>
            </w:r>
          </w:p>
        </w:tc>
        <w:tc>
          <w:tcPr>
            <w:tcW w:w="0" w:type="auto"/>
            <w:tcBorders>
              <w:top w:val="nil"/>
              <w:left w:val="nil"/>
              <w:bottom w:val="nil"/>
              <w:right w:val="nil"/>
            </w:tcBorders>
          </w:tcPr>
          <w:p w14:paraId="02DB09BF" w14:textId="77777777" w:rsidR="00073396" w:rsidRDefault="00073396" w:rsidP="00377F3A">
            <w:pPr>
              <w:pStyle w:val="TableText"/>
            </w:pPr>
            <w:r>
              <w:t>Druga 2004</w:t>
            </w:r>
          </w:p>
        </w:tc>
      </w:tr>
      <w:tr w:rsidR="00073396" w:rsidRPr="000B2FA7" w14:paraId="4D806BA8" w14:textId="77777777" w:rsidTr="00B717B6">
        <w:trPr>
          <w:cantSplit/>
        </w:trPr>
        <w:tc>
          <w:tcPr>
            <w:tcW w:w="0" w:type="auto"/>
            <w:tcBorders>
              <w:top w:val="nil"/>
              <w:left w:val="nil"/>
              <w:bottom w:val="single" w:sz="4" w:space="0" w:color="auto"/>
              <w:right w:val="nil"/>
            </w:tcBorders>
          </w:tcPr>
          <w:p w14:paraId="4432DD2E" w14:textId="77777777" w:rsidR="00073396" w:rsidRDefault="00073396" w:rsidP="00377F3A">
            <w:pPr>
              <w:pStyle w:val="TableText"/>
            </w:pPr>
          </w:p>
        </w:tc>
        <w:tc>
          <w:tcPr>
            <w:tcW w:w="0" w:type="auto"/>
            <w:tcBorders>
              <w:top w:val="nil"/>
              <w:left w:val="nil"/>
              <w:bottom w:val="single" w:sz="4" w:space="0" w:color="auto"/>
              <w:right w:val="nil"/>
            </w:tcBorders>
          </w:tcPr>
          <w:p w14:paraId="6E5BF39E" w14:textId="77777777" w:rsidR="00073396" w:rsidRDefault="00073396" w:rsidP="00377F3A">
            <w:pPr>
              <w:pStyle w:val="TableText"/>
            </w:pPr>
          </w:p>
        </w:tc>
        <w:tc>
          <w:tcPr>
            <w:tcW w:w="0" w:type="auto"/>
            <w:tcBorders>
              <w:top w:val="nil"/>
              <w:left w:val="nil"/>
              <w:bottom w:val="single" w:sz="4" w:space="0" w:color="auto"/>
              <w:right w:val="nil"/>
            </w:tcBorders>
          </w:tcPr>
          <w:p w14:paraId="589DE04B" w14:textId="77777777" w:rsidR="00073396" w:rsidRDefault="00073396" w:rsidP="00377F3A">
            <w:pPr>
              <w:pStyle w:val="TableText"/>
            </w:pPr>
          </w:p>
        </w:tc>
        <w:tc>
          <w:tcPr>
            <w:tcW w:w="0" w:type="auto"/>
            <w:tcBorders>
              <w:top w:val="nil"/>
              <w:left w:val="nil"/>
              <w:bottom w:val="single" w:sz="4" w:space="0" w:color="auto"/>
              <w:right w:val="nil"/>
            </w:tcBorders>
          </w:tcPr>
          <w:p w14:paraId="3BB28CAA" w14:textId="77777777" w:rsidR="00073396" w:rsidRPr="006F78D3" w:rsidRDefault="00073396" w:rsidP="00377F3A">
            <w:pPr>
              <w:pStyle w:val="TableText"/>
              <w:rPr>
                <w:lang w:val="de-CH"/>
              </w:rPr>
            </w:pPr>
            <w:r w:rsidRPr="006F78D3">
              <w:rPr>
                <w:lang w:val="de-CH"/>
              </w:rPr>
              <w:t>NOAEL 0.004 mg/kg bw/d</w:t>
            </w:r>
          </w:p>
        </w:tc>
        <w:tc>
          <w:tcPr>
            <w:tcW w:w="0" w:type="auto"/>
            <w:tcBorders>
              <w:top w:val="nil"/>
              <w:left w:val="nil"/>
              <w:bottom w:val="single" w:sz="4" w:space="0" w:color="auto"/>
              <w:right w:val="nil"/>
            </w:tcBorders>
          </w:tcPr>
          <w:p w14:paraId="4BCB336B" w14:textId="77777777" w:rsidR="00073396" w:rsidRPr="001616E7" w:rsidRDefault="00073396" w:rsidP="00377F3A">
            <w:pPr>
              <w:pStyle w:val="TableText"/>
            </w:pPr>
            <w:r>
              <w:t>Virat 1981</w:t>
            </w:r>
          </w:p>
        </w:tc>
      </w:tr>
      <w:tr w:rsidR="00073396" w:rsidRPr="000B2FA7" w14:paraId="76AF9355" w14:textId="77777777" w:rsidTr="00B717B6">
        <w:trPr>
          <w:cantSplit/>
        </w:trPr>
        <w:tc>
          <w:tcPr>
            <w:tcW w:w="0" w:type="auto"/>
            <w:tcBorders>
              <w:top w:val="single" w:sz="4" w:space="0" w:color="auto"/>
              <w:left w:val="nil"/>
              <w:bottom w:val="nil"/>
              <w:right w:val="nil"/>
            </w:tcBorders>
          </w:tcPr>
          <w:p w14:paraId="1DA3ABEF" w14:textId="77777777" w:rsidR="00073396" w:rsidRDefault="00073396" w:rsidP="00377F3A">
            <w:pPr>
              <w:pStyle w:val="TableText"/>
            </w:pPr>
            <w:r>
              <w:t>Birds</w:t>
            </w:r>
          </w:p>
        </w:tc>
        <w:tc>
          <w:tcPr>
            <w:tcW w:w="0" w:type="auto"/>
            <w:tcBorders>
              <w:top w:val="single" w:sz="4" w:space="0" w:color="auto"/>
              <w:left w:val="nil"/>
              <w:bottom w:val="nil"/>
              <w:right w:val="nil"/>
            </w:tcBorders>
          </w:tcPr>
          <w:p w14:paraId="2B07A16E" w14:textId="77777777" w:rsidR="00073396" w:rsidRDefault="00073396" w:rsidP="00377F3A">
            <w:pPr>
              <w:pStyle w:val="TableText"/>
            </w:pPr>
            <w:r>
              <w:t>Acute</w:t>
            </w:r>
          </w:p>
        </w:tc>
        <w:tc>
          <w:tcPr>
            <w:tcW w:w="0" w:type="auto"/>
            <w:tcBorders>
              <w:top w:val="single" w:sz="4" w:space="0" w:color="auto"/>
              <w:left w:val="nil"/>
              <w:bottom w:val="nil"/>
              <w:right w:val="nil"/>
            </w:tcBorders>
          </w:tcPr>
          <w:p w14:paraId="5EC8B5E0" w14:textId="77777777" w:rsidR="00073396" w:rsidRDefault="00073396" w:rsidP="00377F3A">
            <w:pPr>
              <w:pStyle w:val="TableText"/>
            </w:pPr>
            <w:r>
              <w:t>Coturnix japonica</w:t>
            </w:r>
          </w:p>
        </w:tc>
        <w:tc>
          <w:tcPr>
            <w:tcW w:w="0" w:type="auto"/>
            <w:tcBorders>
              <w:top w:val="single" w:sz="4" w:space="0" w:color="auto"/>
              <w:left w:val="nil"/>
              <w:bottom w:val="nil"/>
              <w:right w:val="nil"/>
            </w:tcBorders>
          </w:tcPr>
          <w:p w14:paraId="54F64610" w14:textId="77777777" w:rsidR="00073396" w:rsidRDefault="00073396" w:rsidP="00377F3A">
            <w:pPr>
              <w:pStyle w:val="TableText"/>
            </w:pPr>
            <w:r>
              <w:t>LD</w:t>
            </w:r>
            <w:r w:rsidRPr="007768D7">
              <w:rPr>
                <w:vertAlign w:val="subscript"/>
              </w:rPr>
              <w:t>50</w:t>
            </w:r>
            <w:r>
              <w:t xml:space="preserve"> 134 mg/kg bw</w:t>
            </w:r>
          </w:p>
        </w:tc>
        <w:tc>
          <w:tcPr>
            <w:tcW w:w="0" w:type="auto"/>
            <w:tcBorders>
              <w:top w:val="single" w:sz="4" w:space="0" w:color="auto"/>
              <w:left w:val="nil"/>
              <w:bottom w:val="nil"/>
              <w:right w:val="nil"/>
            </w:tcBorders>
          </w:tcPr>
          <w:p w14:paraId="06EABF0A" w14:textId="77777777" w:rsidR="00073396" w:rsidRDefault="00073396" w:rsidP="00377F3A">
            <w:pPr>
              <w:pStyle w:val="TableText"/>
            </w:pPr>
            <w:r w:rsidRPr="001616E7">
              <w:t>Gáty</w:t>
            </w:r>
            <w:r>
              <w:t xml:space="preserve"> 2005b</w:t>
            </w:r>
          </w:p>
        </w:tc>
      </w:tr>
      <w:tr w:rsidR="00073396" w:rsidRPr="000B2FA7" w14:paraId="3ECC6674" w14:textId="77777777" w:rsidTr="00073396">
        <w:trPr>
          <w:cantSplit/>
        </w:trPr>
        <w:tc>
          <w:tcPr>
            <w:tcW w:w="0" w:type="auto"/>
            <w:tcBorders>
              <w:top w:val="nil"/>
              <w:left w:val="nil"/>
              <w:bottom w:val="nil"/>
              <w:right w:val="nil"/>
            </w:tcBorders>
          </w:tcPr>
          <w:p w14:paraId="423AC6FB" w14:textId="77777777" w:rsidR="00073396" w:rsidRDefault="00073396" w:rsidP="00377F3A">
            <w:pPr>
              <w:pStyle w:val="TableText"/>
            </w:pPr>
          </w:p>
        </w:tc>
        <w:tc>
          <w:tcPr>
            <w:tcW w:w="0" w:type="auto"/>
            <w:tcBorders>
              <w:top w:val="nil"/>
              <w:left w:val="nil"/>
              <w:bottom w:val="nil"/>
              <w:right w:val="nil"/>
            </w:tcBorders>
          </w:tcPr>
          <w:p w14:paraId="63F05283" w14:textId="77777777" w:rsidR="00073396" w:rsidRDefault="00073396" w:rsidP="00377F3A">
            <w:pPr>
              <w:pStyle w:val="TableText"/>
            </w:pPr>
          </w:p>
        </w:tc>
        <w:tc>
          <w:tcPr>
            <w:tcW w:w="0" w:type="auto"/>
            <w:tcBorders>
              <w:top w:val="nil"/>
              <w:left w:val="nil"/>
              <w:bottom w:val="nil"/>
              <w:right w:val="nil"/>
            </w:tcBorders>
          </w:tcPr>
          <w:p w14:paraId="159A68CC" w14:textId="77777777" w:rsidR="00073396" w:rsidRDefault="00073396" w:rsidP="00377F3A">
            <w:pPr>
              <w:pStyle w:val="TableText"/>
            </w:pPr>
            <w:r>
              <w:t>Colinus virginianus</w:t>
            </w:r>
          </w:p>
        </w:tc>
        <w:tc>
          <w:tcPr>
            <w:tcW w:w="0" w:type="auto"/>
            <w:tcBorders>
              <w:top w:val="nil"/>
              <w:left w:val="nil"/>
              <w:bottom w:val="nil"/>
              <w:right w:val="nil"/>
            </w:tcBorders>
          </w:tcPr>
          <w:p w14:paraId="5FB32197" w14:textId="77777777" w:rsidR="00073396" w:rsidRDefault="00073396" w:rsidP="00377F3A">
            <w:pPr>
              <w:pStyle w:val="TableText"/>
            </w:pPr>
            <w:r>
              <w:t>LD</w:t>
            </w:r>
            <w:r w:rsidRPr="007768D7">
              <w:rPr>
                <w:vertAlign w:val="subscript"/>
              </w:rPr>
              <w:t>50</w:t>
            </w:r>
            <w:r>
              <w:t xml:space="preserve"> 138 mg/kg bw</w:t>
            </w:r>
          </w:p>
        </w:tc>
        <w:tc>
          <w:tcPr>
            <w:tcW w:w="0" w:type="auto"/>
            <w:tcBorders>
              <w:top w:val="nil"/>
              <w:left w:val="nil"/>
              <w:bottom w:val="nil"/>
              <w:right w:val="nil"/>
            </w:tcBorders>
          </w:tcPr>
          <w:p w14:paraId="761C82A2" w14:textId="77777777" w:rsidR="00073396" w:rsidRPr="001616E7" w:rsidRDefault="00073396" w:rsidP="00377F3A">
            <w:pPr>
              <w:pStyle w:val="TableText"/>
            </w:pPr>
            <w:r>
              <w:t>Shapiro 1985a</w:t>
            </w:r>
          </w:p>
        </w:tc>
      </w:tr>
      <w:tr w:rsidR="00073396" w:rsidRPr="000B2FA7" w14:paraId="4AD029B9" w14:textId="77777777" w:rsidTr="00073396">
        <w:trPr>
          <w:cantSplit/>
        </w:trPr>
        <w:tc>
          <w:tcPr>
            <w:tcW w:w="0" w:type="auto"/>
            <w:tcBorders>
              <w:top w:val="nil"/>
              <w:left w:val="nil"/>
              <w:bottom w:val="nil"/>
              <w:right w:val="nil"/>
            </w:tcBorders>
          </w:tcPr>
          <w:p w14:paraId="437A5FAE" w14:textId="77777777" w:rsidR="00073396" w:rsidRDefault="00073396" w:rsidP="00377F3A">
            <w:pPr>
              <w:pStyle w:val="TableText"/>
            </w:pPr>
          </w:p>
        </w:tc>
        <w:tc>
          <w:tcPr>
            <w:tcW w:w="0" w:type="auto"/>
            <w:tcBorders>
              <w:top w:val="nil"/>
              <w:left w:val="nil"/>
              <w:bottom w:val="nil"/>
              <w:right w:val="nil"/>
            </w:tcBorders>
          </w:tcPr>
          <w:p w14:paraId="48B578E4" w14:textId="77777777" w:rsidR="00073396" w:rsidRDefault="00073396" w:rsidP="00377F3A">
            <w:pPr>
              <w:pStyle w:val="TableText"/>
            </w:pPr>
          </w:p>
        </w:tc>
        <w:tc>
          <w:tcPr>
            <w:tcW w:w="0" w:type="auto"/>
            <w:tcBorders>
              <w:top w:val="nil"/>
              <w:left w:val="nil"/>
              <w:bottom w:val="nil"/>
              <w:right w:val="nil"/>
            </w:tcBorders>
          </w:tcPr>
          <w:p w14:paraId="74EBA522" w14:textId="77777777" w:rsidR="00073396" w:rsidRDefault="00073396" w:rsidP="00377F3A">
            <w:pPr>
              <w:pStyle w:val="TableText"/>
            </w:pPr>
            <w:r>
              <w:t>Anas platyrhynchos</w:t>
            </w:r>
          </w:p>
        </w:tc>
        <w:tc>
          <w:tcPr>
            <w:tcW w:w="0" w:type="auto"/>
            <w:tcBorders>
              <w:top w:val="nil"/>
              <w:left w:val="nil"/>
              <w:bottom w:val="nil"/>
              <w:right w:val="nil"/>
            </w:tcBorders>
          </w:tcPr>
          <w:p w14:paraId="0F2AEF2F" w14:textId="77777777" w:rsidR="00073396" w:rsidRDefault="00073396" w:rsidP="00377F3A">
            <w:pPr>
              <w:pStyle w:val="TableText"/>
            </w:pPr>
            <w:r>
              <w:t>LD</w:t>
            </w:r>
            <w:r w:rsidRPr="007768D7">
              <w:rPr>
                <w:vertAlign w:val="subscript"/>
              </w:rPr>
              <w:t>50</w:t>
            </w:r>
            <w:r>
              <w:t xml:space="preserve"> 1293 mg/kg bw</w:t>
            </w:r>
          </w:p>
        </w:tc>
        <w:tc>
          <w:tcPr>
            <w:tcW w:w="0" w:type="auto"/>
            <w:tcBorders>
              <w:top w:val="nil"/>
              <w:left w:val="nil"/>
              <w:bottom w:val="nil"/>
              <w:right w:val="nil"/>
            </w:tcBorders>
          </w:tcPr>
          <w:p w14:paraId="7D268BDA" w14:textId="77777777" w:rsidR="00073396" w:rsidRPr="001616E7" w:rsidRDefault="00073396" w:rsidP="00377F3A">
            <w:pPr>
              <w:pStyle w:val="TableText"/>
            </w:pPr>
            <w:r>
              <w:t>Rodgers 2000</w:t>
            </w:r>
          </w:p>
        </w:tc>
      </w:tr>
      <w:tr w:rsidR="00073396" w:rsidRPr="000B2FA7" w14:paraId="54268A35" w14:textId="77777777" w:rsidTr="00073396">
        <w:trPr>
          <w:cantSplit/>
        </w:trPr>
        <w:tc>
          <w:tcPr>
            <w:tcW w:w="0" w:type="auto"/>
            <w:tcBorders>
              <w:top w:val="nil"/>
              <w:left w:val="nil"/>
              <w:bottom w:val="nil"/>
              <w:right w:val="nil"/>
            </w:tcBorders>
          </w:tcPr>
          <w:p w14:paraId="02392BB0" w14:textId="77777777" w:rsidR="00073396" w:rsidRDefault="00073396" w:rsidP="00377F3A">
            <w:pPr>
              <w:pStyle w:val="TableText"/>
            </w:pPr>
          </w:p>
        </w:tc>
        <w:tc>
          <w:tcPr>
            <w:tcW w:w="0" w:type="auto"/>
            <w:tcBorders>
              <w:top w:val="nil"/>
              <w:left w:val="nil"/>
              <w:bottom w:val="nil"/>
              <w:right w:val="nil"/>
            </w:tcBorders>
          </w:tcPr>
          <w:p w14:paraId="664DC18C" w14:textId="77777777" w:rsidR="00073396" w:rsidRDefault="00073396" w:rsidP="00377F3A">
            <w:pPr>
              <w:pStyle w:val="TableText"/>
            </w:pPr>
            <w:r>
              <w:t>Dietary</w:t>
            </w:r>
          </w:p>
        </w:tc>
        <w:tc>
          <w:tcPr>
            <w:tcW w:w="0" w:type="auto"/>
            <w:tcBorders>
              <w:top w:val="nil"/>
              <w:left w:val="nil"/>
              <w:bottom w:val="nil"/>
              <w:right w:val="nil"/>
            </w:tcBorders>
          </w:tcPr>
          <w:p w14:paraId="5007040F" w14:textId="77777777" w:rsidR="00073396" w:rsidRDefault="00073396" w:rsidP="00377F3A">
            <w:pPr>
              <w:pStyle w:val="TableText"/>
            </w:pPr>
            <w:r>
              <w:t>Colinus virginianus</w:t>
            </w:r>
          </w:p>
        </w:tc>
        <w:tc>
          <w:tcPr>
            <w:tcW w:w="0" w:type="auto"/>
            <w:tcBorders>
              <w:top w:val="nil"/>
              <w:left w:val="nil"/>
              <w:bottom w:val="nil"/>
              <w:right w:val="nil"/>
            </w:tcBorders>
          </w:tcPr>
          <w:p w14:paraId="38338905" w14:textId="77777777" w:rsidR="00073396" w:rsidRPr="006F78D3" w:rsidRDefault="00073396" w:rsidP="00377F3A">
            <w:pPr>
              <w:pStyle w:val="TableText"/>
              <w:rPr>
                <w:lang w:val="de-CH"/>
              </w:rPr>
            </w:pPr>
            <w:r w:rsidRPr="006F78D3">
              <w:rPr>
                <w:lang w:val="de-CH"/>
              </w:rPr>
              <w:t>LDD</w:t>
            </w:r>
            <w:r w:rsidRPr="00F85D43">
              <w:rPr>
                <w:vertAlign w:val="subscript"/>
                <w:lang w:val="de-CH"/>
              </w:rPr>
              <w:t>50</w:t>
            </w:r>
            <w:r w:rsidRPr="006F78D3">
              <w:rPr>
                <w:lang w:val="de-CH"/>
              </w:rPr>
              <w:t xml:space="preserve"> 8.3 mg/kg bw/d</w:t>
            </w:r>
          </w:p>
        </w:tc>
        <w:tc>
          <w:tcPr>
            <w:tcW w:w="0" w:type="auto"/>
            <w:tcBorders>
              <w:top w:val="nil"/>
              <w:left w:val="nil"/>
              <w:bottom w:val="nil"/>
              <w:right w:val="nil"/>
            </w:tcBorders>
          </w:tcPr>
          <w:p w14:paraId="2C1C48EE" w14:textId="77777777" w:rsidR="00073396" w:rsidRPr="001616E7" w:rsidRDefault="00073396" w:rsidP="00377F3A">
            <w:pPr>
              <w:pStyle w:val="TableText"/>
            </w:pPr>
            <w:r>
              <w:t>Shapiro 1985b</w:t>
            </w:r>
          </w:p>
        </w:tc>
      </w:tr>
      <w:tr w:rsidR="00073396" w:rsidRPr="000B2FA7" w14:paraId="42EBBAB6" w14:textId="77777777" w:rsidTr="00073396">
        <w:trPr>
          <w:cantSplit/>
        </w:trPr>
        <w:tc>
          <w:tcPr>
            <w:tcW w:w="0" w:type="auto"/>
            <w:tcBorders>
              <w:top w:val="nil"/>
              <w:left w:val="nil"/>
              <w:bottom w:val="single" w:sz="4" w:space="0" w:color="auto"/>
              <w:right w:val="nil"/>
            </w:tcBorders>
          </w:tcPr>
          <w:p w14:paraId="04B37A15" w14:textId="77777777" w:rsidR="00073396" w:rsidRDefault="00073396" w:rsidP="00377F3A">
            <w:pPr>
              <w:pStyle w:val="TableText"/>
            </w:pPr>
          </w:p>
        </w:tc>
        <w:tc>
          <w:tcPr>
            <w:tcW w:w="0" w:type="auto"/>
            <w:tcBorders>
              <w:top w:val="nil"/>
              <w:left w:val="nil"/>
              <w:bottom w:val="single" w:sz="4" w:space="0" w:color="auto"/>
              <w:right w:val="nil"/>
            </w:tcBorders>
          </w:tcPr>
          <w:p w14:paraId="745F34D8" w14:textId="77777777" w:rsidR="00073396" w:rsidRDefault="00073396" w:rsidP="00377F3A">
            <w:pPr>
              <w:pStyle w:val="TableText"/>
            </w:pPr>
            <w:r>
              <w:t>Reproduction</w:t>
            </w:r>
          </w:p>
        </w:tc>
        <w:tc>
          <w:tcPr>
            <w:tcW w:w="0" w:type="auto"/>
            <w:tcBorders>
              <w:top w:val="nil"/>
              <w:left w:val="nil"/>
              <w:bottom w:val="single" w:sz="4" w:space="0" w:color="auto"/>
              <w:right w:val="nil"/>
            </w:tcBorders>
          </w:tcPr>
          <w:p w14:paraId="037B2BAC" w14:textId="77777777" w:rsidR="00073396" w:rsidRDefault="00073396" w:rsidP="00377F3A">
            <w:pPr>
              <w:pStyle w:val="TableText"/>
            </w:pPr>
            <w:r>
              <w:t>Coturnix japonica</w:t>
            </w:r>
          </w:p>
        </w:tc>
        <w:tc>
          <w:tcPr>
            <w:tcW w:w="0" w:type="auto"/>
            <w:tcBorders>
              <w:top w:val="nil"/>
              <w:left w:val="nil"/>
              <w:bottom w:val="single" w:sz="4" w:space="0" w:color="auto"/>
              <w:right w:val="nil"/>
            </w:tcBorders>
          </w:tcPr>
          <w:p w14:paraId="274719DC" w14:textId="77777777" w:rsidR="00073396" w:rsidRDefault="00073396" w:rsidP="00377F3A">
            <w:pPr>
              <w:pStyle w:val="TableText"/>
            </w:pPr>
            <w:r>
              <w:t>NOEC 0.26 mg/L</w:t>
            </w:r>
          </w:p>
        </w:tc>
        <w:tc>
          <w:tcPr>
            <w:tcW w:w="0" w:type="auto"/>
            <w:tcBorders>
              <w:top w:val="nil"/>
              <w:left w:val="nil"/>
              <w:bottom w:val="single" w:sz="4" w:space="0" w:color="auto"/>
              <w:right w:val="nil"/>
            </w:tcBorders>
          </w:tcPr>
          <w:p w14:paraId="6DB7E57C" w14:textId="77777777" w:rsidR="00073396" w:rsidRPr="001616E7" w:rsidRDefault="00073396" w:rsidP="00377F3A">
            <w:pPr>
              <w:pStyle w:val="TableText"/>
            </w:pPr>
            <w:r w:rsidRPr="001616E7">
              <w:t>Gáty</w:t>
            </w:r>
            <w:r>
              <w:t xml:space="preserve"> 2005c</w:t>
            </w:r>
          </w:p>
        </w:tc>
      </w:tr>
    </w:tbl>
    <w:p w14:paraId="7AE86FE1"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4218F4E9" w14:textId="1A32D316" w:rsidR="00980B2F" w:rsidRPr="00861CA0" w:rsidRDefault="00BA7F5F" w:rsidP="00377F3A">
      <w:pPr>
        <w:pStyle w:val="Caption"/>
      </w:pPr>
      <w:bookmarkStart w:id="2066" w:name="_Toc213946092"/>
      <w:bookmarkStart w:id="2067" w:name="_Toc216695783"/>
      <w:r>
        <w:t xml:space="preserve">Table </w:t>
      </w:r>
      <w:r>
        <w:fldChar w:fldCharType="begin"/>
      </w:r>
      <w:r>
        <w:instrText xml:space="preserve"> SEQ Table \* ARABIC </w:instrText>
      </w:r>
      <w:r>
        <w:fldChar w:fldCharType="separate"/>
      </w:r>
      <w:r w:rsidR="003861AC">
        <w:rPr>
          <w:noProof/>
        </w:rPr>
        <w:t>121</w:t>
      </w:r>
      <w:r>
        <w:fldChar w:fldCharType="end"/>
      </w:r>
      <w:r>
        <w:t xml:space="preserve">: </w:t>
      </w:r>
      <w:r w:rsidR="00073396">
        <w:t xml:space="preserve">Bromadiolone – </w:t>
      </w:r>
      <w:r w:rsidR="00980B2F">
        <w:t>Secondary poisoning studies on terrestrial vertebrates</w:t>
      </w:r>
      <w:bookmarkEnd w:id="2066"/>
      <w:bookmarkEnd w:id="20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77"/>
        <w:gridCol w:w="1199"/>
        <w:gridCol w:w="1311"/>
        <w:gridCol w:w="5019"/>
        <w:gridCol w:w="1322"/>
      </w:tblGrid>
      <w:tr w:rsidR="00073396" w:rsidRPr="000B2FA7" w14:paraId="5C44AAF5" w14:textId="77777777" w:rsidTr="0017134F">
        <w:trPr>
          <w:cantSplit/>
          <w:tblHeader/>
        </w:trPr>
        <w:tc>
          <w:tcPr>
            <w:tcW w:w="0" w:type="auto"/>
            <w:tcBorders>
              <w:bottom w:val="single" w:sz="4" w:space="0" w:color="auto"/>
            </w:tcBorders>
            <w:shd w:val="clear" w:color="auto" w:fill="53284F"/>
          </w:tcPr>
          <w:p w14:paraId="7286551C" w14:textId="77777777" w:rsidR="00073396" w:rsidRDefault="00073396" w:rsidP="00377F3A">
            <w:pPr>
              <w:pStyle w:val="TableHead"/>
            </w:pPr>
            <w:r>
              <w:t>Group</w:t>
            </w:r>
          </w:p>
        </w:tc>
        <w:tc>
          <w:tcPr>
            <w:tcW w:w="0" w:type="auto"/>
            <w:tcBorders>
              <w:bottom w:val="single" w:sz="4" w:space="0" w:color="auto"/>
            </w:tcBorders>
            <w:shd w:val="clear" w:color="auto" w:fill="53284F"/>
          </w:tcPr>
          <w:p w14:paraId="267C0896" w14:textId="77777777" w:rsidR="00073396" w:rsidRDefault="00073396" w:rsidP="00377F3A">
            <w:pPr>
              <w:pStyle w:val="TableHead"/>
            </w:pPr>
            <w:r>
              <w:t>Species</w:t>
            </w:r>
          </w:p>
        </w:tc>
        <w:tc>
          <w:tcPr>
            <w:tcW w:w="0" w:type="auto"/>
            <w:tcBorders>
              <w:bottom w:val="single" w:sz="4" w:space="0" w:color="auto"/>
            </w:tcBorders>
            <w:shd w:val="clear" w:color="auto" w:fill="53284F"/>
          </w:tcPr>
          <w:p w14:paraId="7F622E3E" w14:textId="77777777" w:rsidR="00073396" w:rsidRPr="00CA558C" w:rsidRDefault="00073396" w:rsidP="00377F3A">
            <w:pPr>
              <w:pStyle w:val="TableHead"/>
            </w:pPr>
            <w:r>
              <w:t>Poisoned food</w:t>
            </w:r>
          </w:p>
        </w:tc>
        <w:tc>
          <w:tcPr>
            <w:tcW w:w="0" w:type="auto"/>
            <w:tcBorders>
              <w:bottom w:val="single" w:sz="4" w:space="0" w:color="auto"/>
            </w:tcBorders>
            <w:shd w:val="clear" w:color="auto" w:fill="53284F"/>
          </w:tcPr>
          <w:p w14:paraId="7494F2DC" w14:textId="77777777" w:rsidR="00073396" w:rsidRPr="00CA558C" w:rsidRDefault="00073396" w:rsidP="00377F3A">
            <w:pPr>
              <w:pStyle w:val="TableHead"/>
            </w:pPr>
            <w:r>
              <w:t>Study details &amp; result</w:t>
            </w:r>
          </w:p>
        </w:tc>
        <w:tc>
          <w:tcPr>
            <w:tcW w:w="0" w:type="auto"/>
            <w:tcBorders>
              <w:bottom w:val="single" w:sz="4" w:space="0" w:color="auto"/>
            </w:tcBorders>
            <w:shd w:val="clear" w:color="auto" w:fill="53284F"/>
          </w:tcPr>
          <w:p w14:paraId="1135E952" w14:textId="77777777" w:rsidR="00073396" w:rsidRPr="00CA558C" w:rsidRDefault="00073396" w:rsidP="00377F3A">
            <w:pPr>
              <w:pStyle w:val="TableHead"/>
            </w:pPr>
            <w:r>
              <w:t>Reference</w:t>
            </w:r>
          </w:p>
        </w:tc>
      </w:tr>
      <w:tr w:rsidR="00073396" w:rsidRPr="000B2FA7" w14:paraId="37DB4B9E" w14:textId="77777777" w:rsidTr="00073396">
        <w:trPr>
          <w:cantSplit/>
        </w:trPr>
        <w:tc>
          <w:tcPr>
            <w:tcW w:w="0" w:type="auto"/>
            <w:tcBorders>
              <w:top w:val="single" w:sz="4" w:space="0" w:color="auto"/>
              <w:left w:val="nil"/>
              <w:bottom w:val="nil"/>
              <w:right w:val="nil"/>
            </w:tcBorders>
          </w:tcPr>
          <w:p w14:paraId="64E99E4B" w14:textId="77777777" w:rsidR="00073396" w:rsidRPr="00F85B76" w:rsidRDefault="00073396" w:rsidP="00377F3A">
            <w:pPr>
              <w:pStyle w:val="TableText"/>
            </w:pPr>
            <w:r w:rsidRPr="00F85B76">
              <w:t>Birds</w:t>
            </w:r>
          </w:p>
        </w:tc>
        <w:tc>
          <w:tcPr>
            <w:tcW w:w="0" w:type="auto"/>
            <w:tcBorders>
              <w:top w:val="single" w:sz="4" w:space="0" w:color="auto"/>
              <w:left w:val="nil"/>
              <w:bottom w:val="nil"/>
              <w:right w:val="nil"/>
            </w:tcBorders>
          </w:tcPr>
          <w:p w14:paraId="716A8733" w14:textId="77777777" w:rsidR="00073396" w:rsidRPr="00F85B76" w:rsidRDefault="00073396" w:rsidP="00377F3A">
            <w:pPr>
              <w:pStyle w:val="TableText"/>
            </w:pPr>
            <w:r w:rsidRPr="00F85B76">
              <w:t>Tyto alba</w:t>
            </w:r>
          </w:p>
        </w:tc>
        <w:tc>
          <w:tcPr>
            <w:tcW w:w="0" w:type="auto"/>
            <w:tcBorders>
              <w:top w:val="single" w:sz="4" w:space="0" w:color="auto"/>
              <w:left w:val="nil"/>
              <w:bottom w:val="nil"/>
              <w:right w:val="nil"/>
            </w:tcBorders>
          </w:tcPr>
          <w:p w14:paraId="1ED19535" w14:textId="77777777" w:rsidR="00073396" w:rsidRPr="00F85B76" w:rsidRDefault="00073396" w:rsidP="00377F3A">
            <w:pPr>
              <w:pStyle w:val="TableText"/>
            </w:pPr>
            <w:r w:rsidRPr="00F85B76">
              <w:t>17 mg/kg rats</w:t>
            </w:r>
          </w:p>
          <w:p w14:paraId="6955D876" w14:textId="77777777" w:rsidR="00073396" w:rsidRPr="00F85B76" w:rsidRDefault="00073396" w:rsidP="00377F3A">
            <w:pPr>
              <w:pStyle w:val="TableText"/>
            </w:pPr>
            <w:r w:rsidRPr="00F85B76">
              <w:t>for 1, 3, 6 or 10d</w:t>
            </w:r>
          </w:p>
        </w:tc>
        <w:tc>
          <w:tcPr>
            <w:tcW w:w="0" w:type="auto"/>
            <w:tcBorders>
              <w:top w:val="single" w:sz="4" w:space="0" w:color="auto"/>
              <w:left w:val="nil"/>
              <w:bottom w:val="nil"/>
              <w:right w:val="nil"/>
            </w:tcBorders>
          </w:tcPr>
          <w:p w14:paraId="1D5E0847" w14:textId="77777777" w:rsidR="00073396" w:rsidRPr="00F85B76" w:rsidRDefault="00073396" w:rsidP="00377F3A">
            <w:pPr>
              <w:pStyle w:val="TableText"/>
            </w:pPr>
            <w:r w:rsidRPr="00F85B76">
              <w:t>No mortality in 1, 3 or 5d exposure groups after 20d (1.8-3.8 mg/kg/d). In 10d exposure group, 1 owl died (0.99 mg/kg/d), one survived (1.4 mg/kg/d)</w:t>
            </w:r>
          </w:p>
          <w:p w14:paraId="3B70445D" w14:textId="77777777" w:rsidR="00073396" w:rsidRPr="00F85B76" w:rsidRDefault="00073396" w:rsidP="00377F3A">
            <w:pPr>
              <w:pStyle w:val="TableText"/>
            </w:pPr>
            <w:r w:rsidRPr="00F85B76">
              <w:t>No haemorrhage in survivors.</w:t>
            </w:r>
          </w:p>
        </w:tc>
        <w:tc>
          <w:tcPr>
            <w:tcW w:w="0" w:type="auto"/>
            <w:tcBorders>
              <w:top w:val="single" w:sz="4" w:space="0" w:color="auto"/>
              <w:left w:val="nil"/>
              <w:bottom w:val="nil"/>
              <w:right w:val="nil"/>
            </w:tcBorders>
          </w:tcPr>
          <w:p w14:paraId="5CFB82F1" w14:textId="77777777" w:rsidR="00073396" w:rsidRPr="00F85B76" w:rsidRDefault="00073396" w:rsidP="00377F3A">
            <w:pPr>
              <w:pStyle w:val="TableText"/>
            </w:pPr>
            <w:r w:rsidRPr="00F85B76">
              <w:t>Mendenhall &amp; Pank 1980</w:t>
            </w:r>
          </w:p>
        </w:tc>
      </w:tr>
      <w:tr w:rsidR="00073396" w:rsidRPr="000B2FA7" w14:paraId="6F385910" w14:textId="77777777" w:rsidTr="00073396">
        <w:trPr>
          <w:cantSplit/>
        </w:trPr>
        <w:tc>
          <w:tcPr>
            <w:tcW w:w="0" w:type="auto"/>
            <w:tcBorders>
              <w:top w:val="nil"/>
              <w:left w:val="nil"/>
              <w:bottom w:val="nil"/>
              <w:right w:val="nil"/>
            </w:tcBorders>
          </w:tcPr>
          <w:p w14:paraId="1645EE20" w14:textId="77777777" w:rsidR="00073396" w:rsidRPr="00F85B76" w:rsidRDefault="00073396" w:rsidP="00377F3A">
            <w:pPr>
              <w:pStyle w:val="TableText"/>
            </w:pPr>
          </w:p>
        </w:tc>
        <w:tc>
          <w:tcPr>
            <w:tcW w:w="0" w:type="auto"/>
            <w:tcBorders>
              <w:top w:val="nil"/>
              <w:left w:val="nil"/>
              <w:bottom w:val="nil"/>
              <w:right w:val="nil"/>
            </w:tcBorders>
          </w:tcPr>
          <w:p w14:paraId="13CCF999" w14:textId="77777777" w:rsidR="00073396" w:rsidRPr="00F85B76" w:rsidRDefault="00073396" w:rsidP="00377F3A">
            <w:pPr>
              <w:pStyle w:val="TableText"/>
            </w:pPr>
          </w:p>
        </w:tc>
        <w:tc>
          <w:tcPr>
            <w:tcW w:w="0" w:type="auto"/>
            <w:tcBorders>
              <w:top w:val="nil"/>
              <w:left w:val="nil"/>
              <w:bottom w:val="nil"/>
              <w:right w:val="nil"/>
            </w:tcBorders>
          </w:tcPr>
          <w:p w14:paraId="3990305C" w14:textId="77777777" w:rsidR="00073396" w:rsidRPr="00F85B76" w:rsidRDefault="00073396" w:rsidP="00377F3A">
            <w:pPr>
              <w:pStyle w:val="TableText"/>
            </w:pPr>
            <w:r w:rsidRPr="00F85B76">
              <w:t xml:space="preserve">5.4 mg/kg rats on day 1, 3, 5, 7 </w:t>
            </w:r>
          </w:p>
        </w:tc>
        <w:tc>
          <w:tcPr>
            <w:tcW w:w="0" w:type="auto"/>
            <w:tcBorders>
              <w:top w:val="nil"/>
              <w:left w:val="nil"/>
              <w:bottom w:val="nil"/>
              <w:right w:val="nil"/>
            </w:tcBorders>
          </w:tcPr>
          <w:p w14:paraId="6B9C01BA" w14:textId="77777777" w:rsidR="00073396" w:rsidRPr="00F85B76" w:rsidRDefault="00073396" w:rsidP="00377F3A">
            <w:pPr>
              <w:pStyle w:val="TableText"/>
            </w:pPr>
            <w:r w:rsidRPr="00F85B76">
              <w:t xml:space="preserve">1/4 birds showed signs of haemorrhaging on days 6/7; 4/4 showed reduced weight at 7d; all birds recovered by 30d </w:t>
            </w:r>
          </w:p>
        </w:tc>
        <w:tc>
          <w:tcPr>
            <w:tcW w:w="0" w:type="auto"/>
            <w:tcBorders>
              <w:top w:val="nil"/>
              <w:left w:val="nil"/>
              <w:bottom w:val="nil"/>
              <w:right w:val="nil"/>
            </w:tcBorders>
          </w:tcPr>
          <w:p w14:paraId="5AFB2146" w14:textId="7D712D76" w:rsidR="00073396" w:rsidRPr="00F85B76" w:rsidRDefault="00073396" w:rsidP="00377F3A">
            <w:pPr>
              <w:pStyle w:val="TableText"/>
            </w:pPr>
            <w:r w:rsidRPr="00F85B76">
              <w:t xml:space="preserve">Salim </w:t>
            </w:r>
            <w:r w:rsidR="00B7183A" w:rsidRPr="00B7183A">
              <w:rPr>
                <w:i/>
                <w:iCs/>
              </w:rPr>
              <w:t>et al</w:t>
            </w:r>
            <w:r w:rsidRPr="00F85B76">
              <w:t>. 2014</w:t>
            </w:r>
          </w:p>
        </w:tc>
      </w:tr>
      <w:tr w:rsidR="00073396" w:rsidRPr="000B2FA7" w14:paraId="5FC822F5" w14:textId="77777777" w:rsidTr="00073396">
        <w:trPr>
          <w:cantSplit/>
        </w:trPr>
        <w:tc>
          <w:tcPr>
            <w:tcW w:w="0" w:type="auto"/>
            <w:tcBorders>
              <w:top w:val="nil"/>
              <w:left w:val="nil"/>
              <w:bottom w:val="nil"/>
              <w:right w:val="nil"/>
            </w:tcBorders>
          </w:tcPr>
          <w:p w14:paraId="095B2135" w14:textId="77777777" w:rsidR="00073396" w:rsidRPr="00F85B76" w:rsidRDefault="00073396" w:rsidP="00377F3A">
            <w:pPr>
              <w:pStyle w:val="TableText"/>
            </w:pPr>
          </w:p>
        </w:tc>
        <w:tc>
          <w:tcPr>
            <w:tcW w:w="0" w:type="auto"/>
            <w:tcBorders>
              <w:top w:val="nil"/>
              <w:left w:val="nil"/>
              <w:bottom w:val="nil"/>
              <w:right w:val="nil"/>
            </w:tcBorders>
          </w:tcPr>
          <w:p w14:paraId="081595AC" w14:textId="77777777" w:rsidR="00073396" w:rsidRPr="00F85B76" w:rsidRDefault="00073396" w:rsidP="00377F3A">
            <w:pPr>
              <w:pStyle w:val="TableText"/>
            </w:pPr>
          </w:p>
        </w:tc>
        <w:tc>
          <w:tcPr>
            <w:tcW w:w="0" w:type="auto"/>
            <w:tcBorders>
              <w:top w:val="nil"/>
              <w:left w:val="nil"/>
              <w:bottom w:val="nil"/>
              <w:right w:val="nil"/>
            </w:tcBorders>
          </w:tcPr>
          <w:p w14:paraId="3F1B896D" w14:textId="77777777" w:rsidR="00073396" w:rsidRPr="00F85B76" w:rsidRDefault="00073396" w:rsidP="00377F3A">
            <w:pPr>
              <w:pStyle w:val="TableText"/>
            </w:pPr>
            <w:r w:rsidRPr="00F85B76">
              <w:t>0.10 mg/kg mice for 1, 3 or 6d</w:t>
            </w:r>
          </w:p>
        </w:tc>
        <w:tc>
          <w:tcPr>
            <w:tcW w:w="0" w:type="auto"/>
            <w:tcBorders>
              <w:top w:val="nil"/>
              <w:left w:val="nil"/>
              <w:bottom w:val="nil"/>
              <w:right w:val="nil"/>
            </w:tcBorders>
          </w:tcPr>
          <w:p w14:paraId="1E73FF4E" w14:textId="77777777" w:rsidR="00073396" w:rsidRPr="00F85B76" w:rsidRDefault="00073396" w:rsidP="00377F3A">
            <w:pPr>
              <w:pStyle w:val="TableText"/>
            </w:pPr>
            <w:r w:rsidRPr="00F85B76">
              <w:t>No mortality or haemorrhage in 1d group (0.035 mg/kg/d), 3d exposure group (0.013 mg/kg/d), or 6d exposure group (0.012 mg/kg/d). Increased blood coagulation time, returning to normal within 7d.</w:t>
            </w:r>
          </w:p>
        </w:tc>
        <w:tc>
          <w:tcPr>
            <w:tcW w:w="0" w:type="auto"/>
            <w:tcBorders>
              <w:top w:val="nil"/>
              <w:left w:val="nil"/>
              <w:bottom w:val="nil"/>
              <w:right w:val="nil"/>
            </w:tcBorders>
          </w:tcPr>
          <w:p w14:paraId="63160B9B" w14:textId="77777777" w:rsidR="00073396" w:rsidRPr="00F85B76" w:rsidRDefault="00073396" w:rsidP="00377F3A">
            <w:pPr>
              <w:pStyle w:val="TableText"/>
            </w:pPr>
            <w:r w:rsidRPr="00F85B76">
              <w:t>Wyllie 1995</w:t>
            </w:r>
          </w:p>
        </w:tc>
      </w:tr>
      <w:tr w:rsidR="00073396" w:rsidRPr="000B2FA7" w14:paraId="67C85375" w14:textId="77777777" w:rsidTr="00073396">
        <w:trPr>
          <w:cantSplit/>
        </w:trPr>
        <w:tc>
          <w:tcPr>
            <w:tcW w:w="0" w:type="auto"/>
            <w:tcBorders>
              <w:top w:val="nil"/>
              <w:left w:val="nil"/>
              <w:bottom w:val="nil"/>
              <w:right w:val="nil"/>
            </w:tcBorders>
          </w:tcPr>
          <w:p w14:paraId="2B71EAA4" w14:textId="77777777" w:rsidR="00073396" w:rsidRPr="00F85B76" w:rsidRDefault="00073396" w:rsidP="00377F3A">
            <w:pPr>
              <w:pStyle w:val="TableText"/>
            </w:pPr>
          </w:p>
        </w:tc>
        <w:tc>
          <w:tcPr>
            <w:tcW w:w="0" w:type="auto"/>
            <w:tcBorders>
              <w:top w:val="nil"/>
              <w:left w:val="nil"/>
              <w:bottom w:val="nil"/>
              <w:right w:val="nil"/>
            </w:tcBorders>
          </w:tcPr>
          <w:p w14:paraId="4C436620" w14:textId="77777777" w:rsidR="00073396" w:rsidRPr="00F85B76" w:rsidRDefault="00073396" w:rsidP="00377F3A">
            <w:pPr>
              <w:pStyle w:val="TableText"/>
            </w:pPr>
            <w:r w:rsidRPr="00F85B76">
              <w:t>Bubo virginianus</w:t>
            </w:r>
          </w:p>
        </w:tc>
        <w:tc>
          <w:tcPr>
            <w:tcW w:w="0" w:type="auto"/>
            <w:tcBorders>
              <w:top w:val="nil"/>
              <w:left w:val="nil"/>
              <w:bottom w:val="nil"/>
              <w:right w:val="nil"/>
            </w:tcBorders>
          </w:tcPr>
          <w:p w14:paraId="50B1BD94" w14:textId="77777777" w:rsidR="00073396" w:rsidRPr="00F85B76" w:rsidRDefault="00073396" w:rsidP="00377F3A">
            <w:pPr>
              <w:pStyle w:val="TableText"/>
            </w:pPr>
          </w:p>
        </w:tc>
        <w:tc>
          <w:tcPr>
            <w:tcW w:w="0" w:type="auto"/>
            <w:tcBorders>
              <w:top w:val="nil"/>
              <w:left w:val="nil"/>
              <w:bottom w:val="nil"/>
              <w:right w:val="nil"/>
            </w:tcBorders>
          </w:tcPr>
          <w:p w14:paraId="4DC2BC71" w14:textId="77777777" w:rsidR="00073396" w:rsidRPr="00F85B76" w:rsidRDefault="00073396" w:rsidP="00377F3A">
            <w:pPr>
              <w:pStyle w:val="TableText"/>
            </w:pPr>
            <w:r w:rsidRPr="00F85B76">
              <w:t>Rats fed 6 ppm bait for 3d followed by 1d untreated feed.</w:t>
            </w:r>
          </w:p>
          <w:p w14:paraId="42C4278C" w14:textId="77777777" w:rsidR="00073396" w:rsidRPr="00F85B76" w:rsidRDefault="00073396" w:rsidP="00377F3A">
            <w:pPr>
              <w:pStyle w:val="TableText"/>
            </w:pPr>
            <w:r w:rsidRPr="00F85B76">
              <w:t>1 poisoned rat fed daily to each owl for 7d.</w:t>
            </w:r>
          </w:p>
          <w:p w14:paraId="7A2E004B" w14:textId="77777777" w:rsidR="00073396" w:rsidRPr="00F85B76" w:rsidRDefault="00073396" w:rsidP="00377F3A">
            <w:pPr>
              <w:pStyle w:val="TableText"/>
            </w:pPr>
            <w:r w:rsidRPr="00F85B76">
              <w:t>All owls died within 37 days except 1 that avoided eating livers and intestines. Surviving owl showed evidence of earlier internal haemorrhaging.</w:t>
            </w:r>
          </w:p>
          <w:p w14:paraId="51CE46AA" w14:textId="77777777" w:rsidR="00073396" w:rsidRPr="00F85B76" w:rsidRDefault="00073396" w:rsidP="00377F3A">
            <w:pPr>
              <w:pStyle w:val="TableText"/>
            </w:pPr>
            <w:r w:rsidRPr="00F85B76">
              <w:t>Estimated lethal dose 0.056 mg/kg/d.</w:t>
            </w:r>
          </w:p>
        </w:tc>
        <w:tc>
          <w:tcPr>
            <w:tcW w:w="0" w:type="auto"/>
            <w:tcBorders>
              <w:top w:val="nil"/>
              <w:left w:val="nil"/>
              <w:bottom w:val="nil"/>
              <w:right w:val="nil"/>
            </w:tcBorders>
          </w:tcPr>
          <w:p w14:paraId="7179C6B0" w14:textId="77777777" w:rsidR="00073396" w:rsidRPr="00F85B76" w:rsidRDefault="00073396" w:rsidP="00377F3A">
            <w:pPr>
              <w:pStyle w:val="TableText"/>
            </w:pPr>
            <w:r w:rsidRPr="00F85B76">
              <w:t>Fletcher 1987</w:t>
            </w:r>
          </w:p>
        </w:tc>
      </w:tr>
      <w:tr w:rsidR="00073396" w:rsidRPr="000B2FA7" w14:paraId="5EE56C65" w14:textId="77777777" w:rsidTr="00B717B6">
        <w:trPr>
          <w:cantSplit/>
        </w:trPr>
        <w:tc>
          <w:tcPr>
            <w:tcW w:w="0" w:type="auto"/>
            <w:tcBorders>
              <w:top w:val="nil"/>
              <w:left w:val="nil"/>
              <w:bottom w:val="nil"/>
              <w:right w:val="nil"/>
            </w:tcBorders>
          </w:tcPr>
          <w:p w14:paraId="4A33991E" w14:textId="77777777" w:rsidR="00073396" w:rsidRPr="00F85B76" w:rsidRDefault="00073396" w:rsidP="00377F3A">
            <w:pPr>
              <w:pStyle w:val="TableText"/>
            </w:pPr>
          </w:p>
        </w:tc>
        <w:tc>
          <w:tcPr>
            <w:tcW w:w="0" w:type="auto"/>
            <w:tcBorders>
              <w:top w:val="nil"/>
              <w:left w:val="nil"/>
              <w:bottom w:val="nil"/>
              <w:right w:val="nil"/>
            </w:tcBorders>
          </w:tcPr>
          <w:p w14:paraId="3885F47B" w14:textId="77777777" w:rsidR="00073396" w:rsidRPr="00F85B76" w:rsidRDefault="00073396" w:rsidP="00377F3A">
            <w:pPr>
              <w:pStyle w:val="TableText"/>
            </w:pPr>
          </w:p>
        </w:tc>
        <w:tc>
          <w:tcPr>
            <w:tcW w:w="0" w:type="auto"/>
            <w:tcBorders>
              <w:top w:val="nil"/>
              <w:left w:val="nil"/>
              <w:bottom w:val="nil"/>
              <w:right w:val="nil"/>
            </w:tcBorders>
          </w:tcPr>
          <w:p w14:paraId="0600F1B2" w14:textId="77777777" w:rsidR="00073396" w:rsidRPr="00F85B76" w:rsidRDefault="00073396" w:rsidP="00377F3A">
            <w:pPr>
              <w:pStyle w:val="TableText"/>
            </w:pPr>
          </w:p>
        </w:tc>
        <w:tc>
          <w:tcPr>
            <w:tcW w:w="0" w:type="auto"/>
            <w:tcBorders>
              <w:top w:val="nil"/>
              <w:left w:val="nil"/>
              <w:bottom w:val="nil"/>
              <w:right w:val="nil"/>
            </w:tcBorders>
          </w:tcPr>
          <w:p w14:paraId="6D44F96D" w14:textId="77777777" w:rsidR="00073396" w:rsidRPr="00F85B76" w:rsidRDefault="00073396" w:rsidP="00377F3A">
            <w:pPr>
              <w:pStyle w:val="TableText"/>
            </w:pPr>
            <w:r w:rsidRPr="00F85B76">
              <w:t>Ground squirrels fed 25 or 50 ppm bait for 3 or 4d.</w:t>
            </w:r>
          </w:p>
          <w:p w14:paraId="0A21BA8B" w14:textId="77777777" w:rsidR="00073396" w:rsidRPr="00F85B76" w:rsidRDefault="00073396" w:rsidP="00377F3A">
            <w:pPr>
              <w:pStyle w:val="TableText"/>
            </w:pPr>
            <w:r w:rsidRPr="00F85B76">
              <w:t>1 poisoned squirrel fed daily to owls for 3 or 4d.</w:t>
            </w:r>
          </w:p>
          <w:p w14:paraId="4AFE285C" w14:textId="77777777" w:rsidR="00073396" w:rsidRPr="00F85B76" w:rsidRDefault="00073396" w:rsidP="00377F3A">
            <w:pPr>
              <w:pStyle w:val="TableText"/>
            </w:pPr>
            <w:r w:rsidRPr="00F85B76">
              <w:t>No treatment related mortality after 31d.</w:t>
            </w:r>
          </w:p>
          <w:p w14:paraId="135F1E4D" w14:textId="77777777" w:rsidR="00073396" w:rsidRPr="00F85B76" w:rsidRDefault="00073396" w:rsidP="00377F3A">
            <w:pPr>
              <w:pStyle w:val="TableText"/>
            </w:pPr>
            <w:r w:rsidRPr="00F85B76">
              <w:t>Estimated non-lethal dose 0.96-4.2 mg/kg.</w:t>
            </w:r>
          </w:p>
        </w:tc>
        <w:tc>
          <w:tcPr>
            <w:tcW w:w="0" w:type="auto"/>
            <w:tcBorders>
              <w:top w:val="nil"/>
              <w:left w:val="nil"/>
              <w:bottom w:val="nil"/>
              <w:right w:val="nil"/>
            </w:tcBorders>
          </w:tcPr>
          <w:p w14:paraId="431A3163" w14:textId="77777777" w:rsidR="00073396" w:rsidRPr="00F85B76" w:rsidRDefault="00073396" w:rsidP="00377F3A">
            <w:pPr>
              <w:pStyle w:val="TableText"/>
            </w:pPr>
            <w:r w:rsidRPr="00F85B76">
              <w:t>Poché 1988</w:t>
            </w:r>
          </w:p>
        </w:tc>
      </w:tr>
      <w:tr w:rsidR="00073396" w:rsidRPr="000B2FA7" w14:paraId="78368163" w14:textId="77777777" w:rsidTr="00B717B6">
        <w:trPr>
          <w:cantSplit/>
        </w:trPr>
        <w:tc>
          <w:tcPr>
            <w:tcW w:w="0" w:type="auto"/>
            <w:tcBorders>
              <w:top w:val="nil"/>
              <w:left w:val="nil"/>
              <w:bottom w:val="single" w:sz="4" w:space="0" w:color="auto"/>
              <w:right w:val="nil"/>
            </w:tcBorders>
          </w:tcPr>
          <w:p w14:paraId="129D0A90" w14:textId="77777777" w:rsidR="00073396" w:rsidRPr="00F85B76" w:rsidRDefault="00073396" w:rsidP="00377F3A">
            <w:pPr>
              <w:pStyle w:val="TableText"/>
            </w:pPr>
          </w:p>
        </w:tc>
        <w:tc>
          <w:tcPr>
            <w:tcW w:w="0" w:type="auto"/>
            <w:tcBorders>
              <w:top w:val="nil"/>
              <w:left w:val="nil"/>
              <w:bottom w:val="single" w:sz="4" w:space="0" w:color="auto"/>
              <w:right w:val="nil"/>
            </w:tcBorders>
          </w:tcPr>
          <w:p w14:paraId="2DAAFF38" w14:textId="77777777" w:rsidR="00073396" w:rsidRPr="00F85B76" w:rsidRDefault="00073396" w:rsidP="00377F3A">
            <w:pPr>
              <w:pStyle w:val="TableText"/>
            </w:pPr>
            <w:r w:rsidRPr="00F85B76">
              <w:t>Buteo jamaicensis</w:t>
            </w:r>
          </w:p>
        </w:tc>
        <w:tc>
          <w:tcPr>
            <w:tcW w:w="0" w:type="auto"/>
            <w:tcBorders>
              <w:top w:val="nil"/>
              <w:left w:val="nil"/>
              <w:bottom w:val="single" w:sz="4" w:space="0" w:color="auto"/>
              <w:right w:val="nil"/>
            </w:tcBorders>
          </w:tcPr>
          <w:p w14:paraId="140DD712" w14:textId="77777777" w:rsidR="00073396" w:rsidRPr="00F85B76" w:rsidRDefault="00073396" w:rsidP="00377F3A">
            <w:pPr>
              <w:pStyle w:val="TableText"/>
            </w:pPr>
          </w:p>
        </w:tc>
        <w:tc>
          <w:tcPr>
            <w:tcW w:w="0" w:type="auto"/>
            <w:tcBorders>
              <w:top w:val="nil"/>
              <w:left w:val="nil"/>
              <w:bottom w:val="single" w:sz="4" w:space="0" w:color="auto"/>
              <w:right w:val="nil"/>
            </w:tcBorders>
          </w:tcPr>
          <w:p w14:paraId="72008B34" w14:textId="77777777" w:rsidR="00073396" w:rsidRPr="00F85B76" w:rsidRDefault="00073396" w:rsidP="00377F3A">
            <w:pPr>
              <w:pStyle w:val="TableText"/>
            </w:pPr>
            <w:r w:rsidRPr="00F85B76">
              <w:t>Ground squirrels fed 25 or 50 ppm bait for 3 or 4d.</w:t>
            </w:r>
          </w:p>
          <w:p w14:paraId="19E9368A" w14:textId="77777777" w:rsidR="00073396" w:rsidRPr="00F85B76" w:rsidRDefault="00073396" w:rsidP="00377F3A">
            <w:pPr>
              <w:pStyle w:val="TableText"/>
            </w:pPr>
            <w:r w:rsidRPr="00F85B76">
              <w:t>1 poisoned squirrel fed daily to owls for 3 or 4d.</w:t>
            </w:r>
          </w:p>
          <w:p w14:paraId="22DE0E4C" w14:textId="77777777" w:rsidR="00073396" w:rsidRPr="00F85B76" w:rsidRDefault="00073396" w:rsidP="00377F3A">
            <w:pPr>
              <w:pStyle w:val="TableText"/>
            </w:pPr>
            <w:r w:rsidRPr="00F85B76">
              <w:t>No treatment related mortality after 31d.</w:t>
            </w:r>
          </w:p>
          <w:p w14:paraId="3BD73BFF" w14:textId="77777777" w:rsidR="00073396" w:rsidRPr="00F85B76" w:rsidRDefault="00073396" w:rsidP="00377F3A">
            <w:pPr>
              <w:pStyle w:val="TableText"/>
            </w:pPr>
            <w:r w:rsidRPr="00F85B76">
              <w:t>Estimated non-lethal dose 4.1-5.2 mg/kg.</w:t>
            </w:r>
          </w:p>
        </w:tc>
        <w:tc>
          <w:tcPr>
            <w:tcW w:w="0" w:type="auto"/>
            <w:tcBorders>
              <w:top w:val="nil"/>
              <w:left w:val="nil"/>
              <w:bottom w:val="single" w:sz="4" w:space="0" w:color="auto"/>
              <w:right w:val="nil"/>
            </w:tcBorders>
          </w:tcPr>
          <w:p w14:paraId="4B257CEE" w14:textId="77777777" w:rsidR="00073396" w:rsidRPr="00F85B76" w:rsidRDefault="00073396" w:rsidP="00377F3A">
            <w:pPr>
              <w:pStyle w:val="TableText"/>
            </w:pPr>
            <w:r w:rsidRPr="00F85B76">
              <w:t>Poché 1988</w:t>
            </w:r>
          </w:p>
        </w:tc>
      </w:tr>
      <w:tr w:rsidR="00073396" w:rsidRPr="000B2FA7" w14:paraId="4454A72D" w14:textId="77777777" w:rsidTr="00B717B6">
        <w:trPr>
          <w:cantSplit/>
        </w:trPr>
        <w:tc>
          <w:tcPr>
            <w:tcW w:w="0" w:type="auto"/>
            <w:tcBorders>
              <w:top w:val="single" w:sz="4" w:space="0" w:color="auto"/>
              <w:left w:val="nil"/>
              <w:bottom w:val="single" w:sz="4" w:space="0" w:color="auto"/>
              <w:right w:val="nil"/>
            </w:tcBorders>
          </w:tcPr>
          <w:p w14:paraId="72EB6229" w14:textId="77777777" w:rsidR="00073396" w:rsidRPr="00F85B76" w:rsidRDefault="00073396" w:rsidP="00377F3A">
            <w:pPr>
              <w:pStyle w:val="TableText"/>
            </w:pPr>
            <w:r w:rsidRPr="00F85B76">
              <w:t>Reptiles</w:t>
            </w:r>
          </w:p>
        </w:tc>
        <w:tc>
          <w:tcPr>
            <w:tcW w:w="0" w:type="auto"/>
            <w:tcBorders>
              <w:top w:val="single" w:sz="4" w:space="0" w:color="auto"/>
              <w:left w:val="nil"/>
              <w:bottom w:val="single" w:sz="4" w:space="0" w:color="auto"/>
              <w:right w:val="nil"/>
            </w:tcBorders>
          </w:tcPr>
          <w:p w14:paraId="4B21BCA0" w14:textId="77777777" w:rsidR="00073396" w:rsidRPr="00F85B76" w:rsidRDefault="00073396" w:rsidP="00377F3A">
            <w:pPr>
              <w:pStyle w:val="TableText"/>
            </w:pPr>
            <w:r w:rsidRPr="00F85B76">
              <w:t>Crotalus viridis</w:t>
            </w:r>
          </w:p>
        </w:tc>
        <w:tc>
          <w:tcPr>
            <w:tcW w:w="0" w:type="auto"/>
            <w:tcBorders>
              <w:top w:val="single" w:sz="4" w:space="0" w:color="auto"/>
              <w:left w:val="nil"/>
              <w:bottom w:val="single" w:sz="4" w:space="0" w:color="auto"/>
              <w:right w:val="nil"/>
            </w:tcBorders>
          </w:tcPr>
          <w:p w14:paraId="684E182B" w14:textId="77777777" w:rsidR="00073396" w:rsidRPr="00F85B76" w:rsidRDefault="00073396" w:rsidP="00377F3A">
            <w:pPr>
              <w:pStyle w:val="TableText"/>
            </w:pPr>
          </w:p>
        </w:tc>
        <w:tc>
          <w:tcPr>
            <w:tcW w:w="0" w:type="auto"/>
            <w:tcBorders>
              <w:top w:val="single" w:sz="4" w:space="0" w:color="auto"/>
              <w:left w:val="nil"/>
              <w:bottom w:val="single" w:sz="4" w:space="0" w:color="auto"/>
              <w:right w:val="nil"/>
            </w:tcBorders>
          </w:tcPr>
          <w:p w14:paraId="170225DB" w14:textId="77777777" w:rsidR="00073396" w:rsidRPr="00F85B76" w:rsidRDefault="00073396" w:rsidP="00377F3A">
            <w:pPr>
              <w:pStyle w:val="TableText"/>
            </w:pPr>
            <w:r w:rsidRPr="00F85B76">
              <w:t>Mice fed 50 ppm bait until moribund.</w:t>
            </w:r>
          </w:p>
          <w:p w14:paraId="4872FC2E" w14:textId="77777777" w:rsidR="00073396" w:rsidRPr="00F85B76" w:rsidRDefault="00073396" w:rsidP="00377F3A">
            <w:pPr>
              <w:pStyle w:val="TableText"/>
            </w:pPr>
            <w:r w:rsidRPr="00F85B76">
              <w:t>1 poisoned mouse fed weekly to snakes for 3 weeks.</w:t>
            </w:r>
          </w:p>
          <w:p w14:paraId="7E413E55" w14:textId="77777777" w:rsidR="00073396" w:rsidRPr="00F85B76" w:rsidRDefault="00073396" w:rsidP="00377F3A">
            <w:pPr>
              <w:pStyle w:val="TableText"/>
            </w:pPr>
            <w:r w:rsidRPr="00F85B76">
              <w:t>No snakes died after 30d</w:t>
            </w:r>
          </w:p>
          <w:p w14:paraId="280149FA" w14:textId="77777777" w:rsidR="00073396" w:rsidRPr="00F85B76" w:rsidRDefault="00073396" w:rsidP="00377F3A">
            <w:pPr>
              <w:pStyle w:val="TableText"/>
            </w:pPr>
            <w:r w:rsidRPr="00F85B76">
              <w:t>Estimated non-lethal dose 7.7-32 mg/kg bw</w:t>
            </w:r>
          </w:p>
        </w:tc>
        <w:tc>
          <w:tcPr>
            <w:tcW w:w="0" w:type="auto"/>
            <w:tcBorders>
              <w:top w:val="single" w:sz="4" w:space="0" w:color="auto"/>
              <w:left w:val="nil"/>
              <w:bottom w:val="single" w:sz="4" w:space="0" w:color="auto"/>
              <w:right w:val="nil"/>
            </w:tcBorders>
          </w:tcPr>
          <w:p w14:paraId="547FC27A" w14:textId="77777777" w:rsidR="00073396" w:rsidRPr="00F85B76" w:rsidRDefault="00073396" w:rsidP="00377F3A">
            <w:pPr>
              <w:pStyle w:val="TableText"/>
            </w:pPr>
            <w:r w:rsidRPr="00F85B76">
              <w:t>Poché 1988</w:t>
            </w:r>
          </w:p>
        </w:tc>
      </w:tr>
    </w:tbl>
    <w:p w14:paraId="138517B6" w14:textId="79B66144" w:rsidR="00980B2F" w:rsidRPr="00861CA0" w:rsidRDefault="00BA7F5F" w:rsidP="00377F3A">
      <w:pPr>
        <w:pStyle w:val="Caption"/>
      </w:pPr>
      <w:bookmarkStart w:id="2068" w:name="_Ref214822799"/>
      <w:bookmarkStart w:id="2069" w:name="_Toc213946093"/>
      <w:bookmarkStart w:id="2070" w:name="_Toc216695784"/>
      <w:r>
        <w:t xml:space="preserve">Table </w:t>
      </w:r>
      <w:r>
        <w:fldChar w:fldCharType="begin"/>
      </w:r>
      <w:r>
        <w:instrText xml:space="preserve"> SEQ Table \* ARABIC </w:instrText>
      </w:r>
      <w:r>
        <w:fldChar w:fldCharType="separate"/>
      </w:r>
      <w:r w:rsidR="003861AC">
        <w:rPr>
          <w:noProof/>
        </w:rPr>
        <w:t>122</w:t>
      </w:r>
      <w:r>
        <w:fldChar w:fldCharType="end"/>
      </w:r>
      <w:bookmarkEnd w:id="2068"/>
      <w:r>
        <w:t xml:space="preserve">: </w:t>
      </w:r>
      <w:r w:rsidR="00073396">
        <w:t xml:space="preserve">Bromadiolone – </w:t>
      </w:r>
      <w:r w:rsidR="00980B2F" w:rsidRPr="003B601F">
        <w:t>Field studies and adverse incidents</w:t>
      </w:r>
      <w:r w:rsidR="00980B2F">
        <w:t xml:space="preserve"> involving terrestrial vertebrates from approved or unspecified use</w:t>
      </w:r>
      <w:bookmarkEnd w:id="2069"/>
      <w:bookmarkEnd w:id="2070"/>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451"/>
        <w:gridCol w:w="1664"/>
        <w:gridCol w:w="5476"/>
        <w:gridCol w:w="1104"/>
      </w:tblGrid>
      <w:tr w:rsidR="00073396" w:rsidRPr="000B2FA7" w14:paraId="13610494" w14:textId="77777777" w:rsidTr="0017134F">
        <w:trPr>
          <w:cantSplit/>
          <w:tblHeader/>
        </w:trPr>
        <w:tc>
          <w:tcPr>
            <w:tcW w:w="0" w:type="auto"/>
            <w:tcBorders>
              <w:bottom w:val="single" w:sz="4" w:space="0" w:color="auto"/>
            </w:tcBorders>
            <w:shd w:val="clear" w:color="auto" w:fill="53284F"/>
          </w:tcPr>
          <w:p w14:paraId="25A901F0" w14:textId="77777777" w:rsidR="00073396" w:rsidRPr="00CA558C" w:rsidRDefault="00073396" w:rsidP="00377F3A">
            <w:pPr>
              <w:pStyle w:val="TableHead"/>
            </w:pPr>
            <w:r>
              <w:t>Use area</w:t>
            </w:r>
          </w:p>
        </w:tc>
        <w:tc>
          <w:tcPr>
            <w:tcW w:w="0" w:type="auto"/>
            <w:tcBorders>
              <w:bottom w:val="single" w:sz="4" w:space="0" w:color="auto"/>
            </w:tcBorders>
            <w:shd w:val="clear" w:color="auto" w:fill="53284F"/>
          </w:tcPr>
          <w:p w14:paraId="5FBC0E8E" w14:textId="77777777" w:rsidR="00073396" w:rsidRDefault="00073396" w:rsidP="00377F3A">
            <w:pPr>
              <w:pStyle w:val="TableHead"/>
            </w:pPr>
            <w:r>
              <w:t>Exposure</w:t>
            </w:r>
          </w:p>
        </w:tc>
        <w:tc>
          <w:tcPr>
            <w:tcW w:w="0" w:type="auto"/>
            <w:tcBorders>
              <w:bottom w:val="single" w:sz="4" w:space="0" w:color="auto"/>
            </w:tcBorders>
            <w:shd w:val="clear" w:color="auto" w:fill="53284F"/>
          </w:tcPr>
          <w:p w14:paraId="4C874A88" w14:textId="77777777" w:rsidR="00073396" w:rsidRDefault="00073396" w:rsidP="00377F3A">
            <w:pPr>
              <w:pStyle w:val="TableHead"/>
            </w:pPr>
            <w:r>
              <w:t>Effect</w:t>
            </w:r>
          </w:p>
        </w:tc>
        <w:tc>
          <w:tcPr>
            <w:tcW w:w="0" w:type="auto"/>
            <w:tcBorders>
              <w:bottom w:val="single" w:sz="4" w:space="0" w:color="auto"/>
            </w:tcBorders>
            <w:shd w:val="clear" w:color="auto" w:fill="53284F"/>
          </w:tcPr>
          <w:p w14:paraId="7D43214A" w14:textId="77777777" w:rsidR="00073396" w:rsidRPr="00CA558C" w:rsidRDefault="00073396" w:rsidP="00377F3A">
            <w:pPr>
              <w:pStyle w:val="TableHead"/>
            </w:pPr>
            <w:r>
              <w:t>Reference</w:t>
            </w:r>
          </w:p>
        </w:tc>
      </w:tr>
      <w:tr w:rsidR="00073396" w:rsidRPr="003B601F" w14:paraId="5C9178D9" w14:textId="77777777" w:rsidTr="00B717B6">
        <w:trPr>
          <w:cantSplit/>
        </w:trPr>
        <w:tc>
          <w:tcPr>
            <w:tcW w:w="0" w:type="auto"/>
            <w:tcBorders>
              <w:top w:val="single" w:sz="4" w:space="0" w:color="auto"/>
              <w:left w:val="nil"/>
              <w:bottom w:val="single" w:sz="4" w:space="0" w:color="auto"/>
            </w:tcBorders>
          </w:tcPr>
          <w:p w14:paraId="59A6EE36" w14:textId="77777777" w:rsidR="00073396" w:rsidRPr="003B601F" w:rsidRDefault="00073396" w:rsidP="00377F3A">
            <w:pPr>
              <w:pStyle w:val="TableText"/>
            </w:pPr>
            <w:r w:rsidRPr="003B601F">
              <w:t>Large residential garden in Victoria</w:t>
            </w:r>
          </w:p>
        </w:tc>
        <w:tc>
          <w:tcPr>
            <w:tcW w:w="0" w:type="auto"/>
            <w:tcBorders>
              <w:top w:val="single" w:sz="4" w:space="0" w:color="auto"/>
              <w:bottom w:val="single" w:sz="4" w:space="0" w:color="auto"/>
            </w:tcBorders>
          </w:tcPr>
          <w:p w14:paraId="740D6D73" w14:textId="77777777" w:rsidR="00073396" w:rsidRPr="003B601F" w:rsidRDefault="00073396" w:rsidP="00377F3A">
            <w:pPr>
              <w:pStyle w:val="TableText"/>
            </w:pPr>
            <w:r w:rsidRPr="003B601F">
              <w:t>Unspecified</w:t>
            </w:r>
          </w:p>
        </w:tc>
        <w:tc>
          <w:tcPr>
            <w:tcW w:w="0" w:type="auto"/>
            <w:tcBorders>
              <w:top w:val="single" w:sz="4" w:space="0" w:color="auto"/>
              <w:bottom w:val="single" w:sz="4" w:space="0" w:color="auto"/>
            </w:tcBorders>
          </w:tcPr>
          <w:p w14:paraId="422CBAD4" w14:textId="77777777" w:rsidR="00073396" w:rsidRPr="003B601F" w:rsidRDefault="00073396" w:rsidP="00377F3A">
            <w:pPr>
              <w:pStyle w:val="TableText"/>
            </w:pPr>
            <w:r w:rsidRPr="003B601F">
              <w:t>5 bird deaths (1 peacock, 1 little raven, 1 purple swamphen) attributed to bromadiolone poisoning a few days after baits set out</w:t>
            </w:r>
          </w:p>
        </w:tc>
        <w:tc>
          <w:tcPr>
            <w:tcW w:w="0" w:type="auto"/>
            <w:tcBorders>
              <w:top w:val="single" w:sz="4" w:space="0" w:color="auto"/>
              <w:bottom w:val="single" w:sz="4" w:space="0" w:color="auto"/>
            </w:tcBorders>
          </w:tcPr>
          <w:p w14:paraId="49084024" w14:textId="79E9F170" w:rsidR="00073396" w:rsidRPr="003B601F" w:rsidRDefault="00073396" w:rsidP="00377F3A">
            <w:pPr>
              <w:pStyle w:val="TableText"/>
            </w:pPr>
            <w:r w:rsidRPr="003B601F">
              <w:t xml:space="preserve">Reece </w:t>
            </w:r>
            <w:r w:rsidR="00B7183A" w:rsidRPr="00B7183A">
              <w:rPr>
                <w:i/>
                <w:iCs/>
              </w:rPr>
              <w:t>et al</w:t>
            </w:r>
            <w:r w:rsidRPr="003B601F">
              <w:t>. 1985</w:t>
            </w:r>
          </w:p>
        </w:tc>
      </w:tr>
      <w:tr w:rsidR="00B717B6" w:rsidRPr="003B601F" w14:paraId="636A8E29" w14:textId="77777777" w:rsidTr="00B717B6">
        <w:trPr>
          <w:cantSplit/>
        </w:trPr>
        <w:tc>
          <w:tcPr>
            <w:tcW w:w="0" w:type="auto"/>
            <w:tcBorders>
              <w:top w:val="single" w:sz="4" w:space="0" w:color="auto"/>
              <w:left w:val="nil"/>
              <w:bottom w:val="single" w:sz="4" w:space="0" w:color="auto"/>
            </w:tcBorders>
          </w:tcPr>
          <w:p w14:paraId="7805BEED" w14:textId="77777777" w:rsidR="00B717B6" w:rsidRPr="003B601F" w:rsidRDefault="00B717B6" w:rsidP="00377F3A">
            <w:pPr>
              <w:pStyle w:val="TableText"/>
            </w:pPr>
            <w:r w:rsidRPr="003B601F">
              <w:t>Poultry shed in Victoria</w:t>
            </w:r>
          </w:p>
        </w:tc>
        <w:tc>
          <w:tcPr>
            <w:tcW w:w="0" w:type="auto"/>
            <w:tcBorders>
              <w:top w:val="single" w:sz="4" w:space="0" w:color="auto"/>
              <w:bottom w:val="single" w:sz="4" w:space="0" w:color="auto"/>
            </w:tcBorders>
          </w:tcPr>
          <w:p w14:paraId="0F7A8116" w14:textId="77777777" w:rsidR="00B717B6" w:rsidRPr="003B601F" w:rsidRDefault="00B717B6" w:rsidP="00377F3A">
            <w:pPr>
              <w:pStyle w:val="TableText"/>
            </w:pPr>
            <w:r w:rsidRPr="003B601F">
              <w:t>Unspecified</w:t>
            </w:r>
          </w:p>
        </w:tc>
        <w:tc>
          <w:tcPr>
            <w:tcW w:w="0" w:type="auto"/>
            <w:tcBorders>
              <w:top w:val="single" w:sz="4" w:space="0" w:color="auto"/>
              <w:bottom w:val="single" w:sz="4" w:space="0" w:color="auto"/>
            </w:tcBorders>
          </w:tcPr>
          <w:p w14:paraId="69B6ED8D" w14:textId="77777777" w:rsidR="00B717B6" w:rsidRPr="003B601F" w:rsidRDefault="00B717B6" w:rsidP="00377F3A">
            <w:pPr>
              <w:pStyle w:val="TableText"/>
            </w:pPr>
            <w:r w:rsidRPr="003B601F">
              <w:t>57 hen deaths and significant reduction in egg production attributed to bromadiolone poisoning in back-to-back sheds</w:t>
            </w:r>
          </w:p>
        </w:tc>
        <w:tc>
          <w:tcPr>
            <w:tcW w:w="0" w:type="auto"/>
            <w:tcBorders>
              <w:top w:val="single" w:sz="4" w:space="0" w:color="auto"/>
              <w:bottom w:val="single" w:sz="4" w:space="0" w:color="auto"/>
            </w:tcBorders>
          </w:tcPr>
          <w:p w14:paraId="29C41BC8" w14:textId="1EE05358" w:rsidR="00B717B6" w:rsidRPr="003B601F" w:rsidRDefault="00B717B6" w:rsidP="00377F3A">
            <w:pPr>
              <w:pStyle w:val="TableText"/>
            </w:pPr>
            <w:r w:rsidRPr="003B601F">
              <w:t xml:space="preserve">Reece </w:t>
            </w:r>
            <w:r w:rsidR="00B7183A" w:rsidRPr="00B7183A">
              <w:rPr>
                <w:i/>
                <w:iCs/>
              </w:rPr>
              <w:t>et al</w:t>
            </w:r>
            <w:r w:rsidRPr="003B601F">
              <w:t>. 1985</w:t>
            </w:r>
          </w:p>
        </w:tc>
      </w:tr>
      <w:tr w:rsidR="00B717B6" w:rsidRPr="003B601F" w14:paraId="71122994" w14:textId="77777777" w:rsidTr="00B717B6">
        <w:trPr>
          <w:cantSplit/>
        </w:trPr>
        <w:tc>
          <w:tcPr>
            <w:tcW w:w="0" w:type="auto"/>
            <w:tcBorders>
              <w:top w:val="single" w:sz="4" w:space="0" w:color="auto"/>
              <w:left w:val="nil"/>
              <w:bottom w:val="single" w:sz="4" w:space="0" w:color="auto"/>
            </w:tcBorders>
          </w:tcPr>
          <w:p w14:paraId="09DCB82E" w14:textId="77777777" w:rsidR="00B717B6" w:rsidRPr="003B601F" w:rsidRDefault="00B717B6" w:rsidP="00377F3A">
            <w:pPr>
              <w:pStyle w:val="TableText"/>
            </w:pPr>
            <w:r w:rsidRPr="003B601F">
              <w:t>Irrigated sunflower in NSW</w:t>
            </w:r>
          </w:p>
        </w:tc>
        <w:tc>
          <w:tcPr>
            <w:tcW w:w="0" w:type="auto"/>
            <w:tcBorders>
              <w:top w:val="single" w:sz="4" w:space="0" w:color="auto"/>
              <w:bottom w:val="single" w:sz="4" w:space="0" w:color="auto"/>
            </w:tcBorders>
          </w:tcPr>
          <w:p w14:paraId="739264CB" w14:textId="743B6E37" w:rsidR="00B717B6" w:rsidRPr="003B601F" w:rsidRDefault="00B717B6" w:rsidP="00377F3A">
            <w:pPr>
              <w:pStyle w:val="TableText"/>
            </w:pPr>
            <w:r w:rsidRPr="003B601F">
              <w:t>50 mg a</w:t>
            </w:r>
            <w:r w:rsidR="00C874AD">
              <w:t>.</w:t>
            </w:r>
            <w:r w:rsidRPr="003B601F">
              <w:t>c</w:t>
            </w:r>
            <w:r w:rsidR="00C874AD">
              <w:t>.</w:t>
            </w:r>
            <w:r w:rsidRPr="003B601F">
              <w:t>/kg bait</w:t>
            </w:r>
          </w:p>
          <w:p w14:paraId="5231C6C4" w14:textId="77777777" w:rsidR="00B717B6" w:rsidRPr="003B601F" w:rsidRDefault="00B717B6" w:rsidP="00377F3A">
            <w:pPr>
              <w:pStyle w:val="TableText"/>
            </w:pPr>
            <w:r w:rsidRPr="003B601F">
              <w:t>(one aerial broadcast at 5 kg bait/ha)</w:t>
            </w:r>
          </w:p>
        </w:tc>
        <w:tc>
          <w:tcPr>
            <w:tcW w:w="0" w:type="auto"/>
            <w:tcBorders>
              <w:top w:val="single" w:sz="4" w:space="0" w:color="auto"/>
              <w:bottom w:val="single" w:sz="4" w:space="0" w:color="auto"/>
            </w:tcBorders>
          </w:tcPr>
          <w:p w14:paraId="5AA33354" w14:textId="77777777" w:rsidR="00B717B6" w:rsidRPr="003B601F" w:rsidRDefault="00B717B6" w:rsidP="00377F3A">
            <w:pPr>
              <w:pStyle w:val="TableText"/>
            </w:pPr>
            <w:r w:rsidRPr="003B601F">
              <w:t>1 straw-necked ibis death attributed to AR poisoning</w:t>
            </w:r>
          </w:p>
        </w:tc>
        <w:tc>
          <w:tcPr>
            <w:tcW w:w="0" w:type="auto"/>
            <w:tcBorders>
              <w:top w:val="single" w:sz="4" w:space="0" w:color="auto"/>
              <w:bottom w:val="single" w:sz="4" w:space="0" w:color="auto"/>
            </w:tcBorders>
          </w:tcPr>
          <w:p w14:paraId="41F50D75" w14:textId="77777777" w:rsidR="00B717B6" w:rsidRPr="003B601F" w:rsidRDefault="00B717B6" w:rsidP="00377F3A">
            <w:pPr>
              <w:pStyle w:val="TableText"/>
            </w:pPr>
            <w:r w:rsidRPr="003B601F">
              <w:t>Saunders 1983</w:t>
            </w:r>
          </w:p>
        </w:tc>
      </w:tr>
      <w:tr w:rsidR="00073396" w:rsidRPr="003B601F" w14:paraId="2FAD90C3" w14:textId="77777777" w:rsidTr="00B717B6">
        <w:trPr>
          <w:cantSplit/>
        </w:trPr>
        <w:tc>
          <w:tcPr>
            <w:tcW w:w="0" w:type="auto"/>
            <w:tcBorders>
              <w:top w:val="single" w:sz="4" w:space="0" w:color="auto"/>
              <w:left w:val="nil"/>
              <w:bottom w:val="single" w:sz="4" w:space="0" w:color="auto"/>
            </w:tcBorders>
          </w:tcPr>
          <w:p w14:paraId="52D2313E" w14:textId="77777777" w:rsidR="00073396" w:rsidRPr="003B601F" w:rsidRDefault="00073396" w:rsidP="00377F3A">
            <w:pPr>
              <w:pStyle w:val="TableText"/>
            </w:pPr>
            <w:r w:rsidRPr="003B601F">
              <w:lastRenderedPageBreak/>
              <w:t>Central &amp; Highland counties UK</w:t>
            </w:r>
          </w:p>
        </w:tc>
        <w:tc>
          <w:tcPr>
            <w:tcW w:w="0" w:type="auto"/>
            <w:tcBorders>
              <w:top w:val="single" w:sz="4" w:space="0" w:color="auto"/>
              <w:bottom w:val="single" w:sz="4" w:space="0" w:color="auto"/>
            </w:tcBorders>
          </w:tcPr>
          <w:p w14:paraId="64B7EDC4" w14:textId="77777777" w:rsidR="00073396" w:rsidRPr="003B601F" w:rsidRDefault="00073396" w:rsidP="00377F3A">
            <w:pPr>
              <w:pStyle w:val="TableText"/>
            </w:pPr>
            <w:r w:rsidRPr="003B601F">
              <w:t>Approved rodent control measures</w:t>
            </w:r>
          </w:p>
        </w:tc>
        <w:tc>
          <w:tcPr>
            <w:tcW w:w="0" w:type="auto"/>
            <w:tcBorders>
              <w:top w:val="single" w:sz="4" w:space="0" w:color="auto"/>
              <w:bottom w:val="single" w:sz="4" w:space="0" w:color="auto"/>
            </w:tcBorders>
          </w:tcPr>
          <w:p w14:paraId="7F2954A9" w14:textId="77777777" w:rsidR="00073396" w:rsidRPr="003B601F" w:rsidRDefault="00073396" w:rsidP="00377F3A">
            <w:pPr>
              <w:pStyle w:val="TableText"/>
            </w:pPr>
            <w:r w:rsidRPr="003B601F">
              <w:t>One adult female red kite at its nest site died from internal haemorrhaging (0.24 mg/kg liver residue); one red kite road traffic casualty had significant residue (0.13 mg/kg liver residue) thought to increase susceptibility; one red kite chick death (0.35 mg/kg liver residue)</w:t>
            </w:r>
          </w:p>
        </w:tc>
        <w:tc>
          <w:tcPr>
            <w:tcW w:w="0" w:type="auto"/>
            <w:tcBorders>
              <w:top w:val="single" w:sz="4" w:space="0" w:color="auto"/>
              <w:bottom w:val="single" w:sz="4" w:space="0" w:color="auto"/>
            </w:tcBorders>
          </w:tcPr>
          <w:p w14:paraId="6FA1DD24" w14:textId="1EEA21F9" w:rsidR="00073396" w:rsidRPr="003B601F" w:rsidRDefault="00073396" w:rsidP="00377F3A">
            <w:pPr>
              <w:pStyle w:val="TableText"/>
            </w:pPr>
            <w:r w:rsidRPr="003B601F">
              <w:t xml:space="preserve">Barnett </w:t>
            </w:r>
            <w:r w:rsidR="00B7183A" w:rsidRPr="00B7183A">
              <w:rPr>
                <w:i/>
                <w:iCs/>
              </w:rPr>
              <w:t>et al</w:t>
            </w:r>
            <w:r w:rsidRPr="003B601F">
              <w:t>. 2002a</w:t>
            </w:r>
          </w:p>
        </w:tc>
      </w:tr>
      <w:tr w:rsidR="00073396" w:rsidRPr="003B601F" w14:paraId="37421367" w14:textId="77777777" w:rsidTr="00B717B6">
        <w:trPr>
          <w:cantSplit/>
        </w:trPr>
        <w:tc>
          <w:tcPr>
            <w:tcW w:w="0" w:type="auto"/>
            <w:tcBorders>
              <w:top w:val="single" w:sz="4" w:space="0" w:color="auto"/>
              <w:left w:val="nil"/>
              <w:bottom w:val="single" w:sz="4" w:space="0" w:color="auto"/>
            </w:tcBorders>
          </w:tcPr>
          <w:p w14:paraId="3639725B" w14:textId="77777777" w:rsidR="00073396" w:rsidRPr="003B601F" w:rsidRDefault="00073396" w:rsidP="00377F3A">
            <w:pPr>
              <w:pStyle w:val="TableText"/>
            </w:pPr>
            <w:r w:rsidRPr="003B601F">
              <w:t>Tayside UK</w:t>
            </w:r>
          </w:p>
        </w:tc>
        <w:tc>
          <w:tcPr>
            <w:tcW w:w="0" w:type="auto"/>
            <w:tcBorders>
              <w:top w:val="single" w:sz="4" w:space="0" w:color="auto"/>
              <w:bottom w:val="single" w:sz="4" w:space="0" w:color="auto"/>
            </w:tcBorders>
          </w:tcPr>
          <w:p w14:paraId="54E4DD02" w14:textId="77777777" w:rsidR="00073396" w:rsidRPr="003B601F" w:rsidRDefault="00073396" w:rsidP="00377F3A">
            <w:pPr>
              <w:pStyle w:val="TableText"/>
            </w:pPr>
            <w:r w:rsidRPr="003B601F">
              <w:t>Wheat-based bait in tunnel boxes</w:t>
            </w:r>
          </w:p>
        </w:tc>
        <w:tc>
          <w:tcPr>
            <w:tcW w:w="0" w:type="auto"/>
            <w:tcBorders>
              <w:top w:val="single" w:sz="4" w:space="0" w:color="auto"/>
              <w:bottom w:val="single" w:sz="4" w:space="0" w:color="auto"/>
            </w:tcBorders>
          </w:tcPr>
          <w:p w14:paraId="6AFF684C" w14:textId="77777777" w:rsidR="00073396" w:rsidRPr="003B601F" w:rsidRDefault="00073396" w:rsidP="00377F3A">
            <w:pPr>
              <w:pStyle w:val="TableText"/>
            </w:pPr>
            <w:r w:rsidRPr="003B601F">
              <w:t>~150 ducks were able to access bait from tunnels of insufficient length despite baffles being present to limit movement from hopper</w:t>
            </w:r>
          </w:p>
        </w:tc>
        <w:tc>
          <w:tcPr>
            <w:tcW w:w="0" w:type="auto"/>
            <w:tcBorders>
              <w:top w:val="single" w:sz="4" w:space="0" w:color="auto"/>
              <w:bottom w:val="single" w:sz="4" w:space="0" w:color="auto"/>
            </w:tcBorders>
          </w:tcPr>
          <w:p w14:paraId="63510BE4" w14:textId="1726207B" w:rsidR="00073396" w:rsidRPr="003B601F" w:rsidRDefault="00073396" w:rsidP="00377F3A">
            <w:pPr>
              <w:pStyle w:val="TableText"/>
            </w:pPr>
            <w:r w:rsidRPr="003B601F">
              <w:t xml:space="preserve">Barnett </w:t>
            </w:r>
            <w:r w:rsidR="00B7183A" w:rsidRPr="00B7183A">
              <w:rPr>
                <w:i/>
                <w:iCs/>
              </w:rPr>
              <w:t>et al</w:t>
            </w:r>
            <w:r w:rsidRPr="003B601F">
              <w:t>. 2002b</w:t>
            </w:r>
          </w:p>
        </w:tc>
      </w:tr>
      <w:tr w:rsidR="00073396" w:rsidRPr="003B601F" w14:paraId="48AFAE79" w14:textId="77777777" w:rsidTr="00B717B6">
        <w:trPr>
          <w:cantSplit/>
        </w:trPr>
        <w:tc>
          <w:tcPr>
            <w:tcW w:w="0" w:type="auto"/>
            <w:tcBorders>
              <w:top w:val="single" w:sz="4" w:space="0" w:color="auto"/>
              <w:left w:val="nil"/>
              <w:bottom w:val="single" w:sz="4" w:space="0" w:color="auto"/>
            </w:tcBorders>
          </w:tcPr>
          <w:p w14:paraId="7EB68A2C" w14:textId="77777777" w:rsidR="00073396" w:rsidRPr="003B601F" w:rsidRDefault="00073396" w:rsidP="00377F3A">
            <w:pPr>
              <w:pStyle w:val="TableText"/>
            </w:pPr>
            <w:r w:rsidRPr="003B601F">
              <w:t>Norfolk UK</w:t>
            </w:r>
          </w:p>
        </w:tc>
        <w:tc>
          <w:tcPr>
            <w:tcW w:w="0" w:type="auto"/>
            <w:tcBorders>
              <w:top w:val="single" w:sz="4" w:space="0" w:color="auto"/>
              <w:bottom w:val="single" w:sz="4" w:space="0" w:color="auto"/>
            </w:tcBorders>
          </w:tcPr>
          <w:p w14:paraId="3BDFB099" w14:textId="77777777" w:rsidR="00073396" w:rsidRPr="003B601F" w:rsidRDefault="00073396" w:rsidP="00377F3A">
            <w:pPr>
              <w:pStyle w:val="TableText"/>
            </w:pPr>
            <w:r w:rsidRPr="003B601F">
              <w:t>Wholewheat bait in bait boxes to control rodents</w:t>
            </w:r>
          </w:p>
        </w:tc>
        <w:tc>
          <w:tcPr>
            <w:tcW w:w="0" w:type="auto"/>
            <w:tcBorders>
              <w:top w:val="single" w:sz="4" w:space="0" w:color="auto"/>
              <w:bottom w:val="single" w:sz="4" w:space="0" w:color="auto"/>
            </w:tcBorders>
          </w:tcPr>
          <w:p w14:paraId="0F86A5BE" w14:textId="77777777" w:rsidR="00073396" w:rsidRPr="003B601F" w:rsidRDefault="00073396" w:rsidP="00377F3A">
            <w:pPr>
              <w:pStyle w:val="TableText"/>
            </w:pPr>
            <w:r w:rsidRPr="003B601F">
              <w:t>1 dead weasel near a cottage neighbouring a treated property. Liver was within the lethal range, although no haemorrhage was found</w:t>
            </w:r>
          </w:p>
        </w:tc>
        <w:tc>
          <w:tcPr>
            <w:tcW w:w="0" w:type="auto"/>
            <w:tcBorders>
              <w:top w:val="single" w:sz="4" w:space="0" w:color="auto"/>
              <w:bottom w:val="single" w:sz="4" w:space="0" w:color="auto"/>
            </w:tcBorders>
          </w:tcPr>
          <w:p w14:paraId="3B911A6D" w14:textId="2CB8CC0D" w:rsidR="00073396" w:rsidRPr="003B601F" w:rsidRDefault="00073396" w:rsidP="00377F3A">
            <w:pPr>
              <w:pStyle w:val="TableText"/>
            </w:pPr>
            <w:r w:rsidRPr="003B601F">
              <w:t xml:space="preserve">Barnett </w:t>
            </w:r>
            <w:r w:rsidR="00B7183A" w:rsidRPr="00B7183A">
              <w:rPr>
                <w:i/>
                <w:iCs/>
              </w:rPr>
              <w:t>et al</w:t>
            </w:r>
            <w:r w:rsidRPr="003B601F">
              <w:t>. 2006</w:t>
            </w:r>
          </w:p>
        </w:tc>
      </w:tr>
      <w:tr w:rsidR="00073396" w:rsidRPr="003B601F" w14:paraId="3F6F670F" w14:textId="77777777" w:rsidTr="00B717B6">
        <w:trPr>
          <w:cantSplit/>
        </w:trPr>
        <w:tc>
          <w:tcPr>
            <w:tcW w:w="0" w:type="auto"/>
            <w:tcBorders>
              <w:top w:val="single" w:sz="4" w:space="0" w:color="auto"/>
              <w:left w:val="nil"/>
              <w:bottom w:val="single" w:sz="4" w:space="0" w:color="auto"/>
            </w:tcBorders>
          </w:tcPr>
          <w:p w14:paraId="2855F6CA" w14:textId="77777777" w:rsidR="00073396" w:rsidRPr="003B601F" w:rsidRDefault="00073396" w:rsidP="00377F3A">
            <w:pPr>
              <w:pStyle w:val="TableText"/>
            </w:pPr>
            <w:r w:rsidRPr="003B601F">
              <w:t xml:space="preserve">Strathclyde UK </w:t>
            </w:r>
          </w:p>
        </w:tc>
        <w:tc>
          <w:tcPr>
            <w:tcW w:w="0" w:type="auto"/>
            <w:tcBorders>
              <w:top w:val="single" w:sz="4" w:space="0" w:color="auto"/>
              <w:bottom w:val="single" w:sz="4" w:space="0" w:color="auto"/>
            </w:tcBorders>
          </w:tcPr>
          <w:p w14:paraId="04E96613" w14:textId="77777777" w:rsidR="00073396" w:rsidRPr="003B601F" w:rsidRDefault="00073396" w:rsidP="00377F3A">
            <w:pPr>
              <w:pStyle w:val="TableText"/>
            </w:pPr>
            <w:r w:rsidRPr="003B601F">
              <w:t>Rat bait in garden area by local district council</w:t>
            </w:r>
          </w:p>
        </w:tc>
        <w:tc>
          <w:tcPr>
            <w:tcW w:w="0" w:type="auto"/>
            <w:tcBorders>
              <w:top w:val="single" w:sz="4" w:space="0" w:color="auto"/>
              <w:bottom w:val="single" w:sz="4" w:space="0" w:color="auto"/>
            </w:tcBorders>
          </w:tcPr>
          <w:p w14:paraId="08FD8D58" w14:textId="77777777" w:rsidR="00073396" w:rsidRPr="003B601F" w:rsidRDefault="00073396" w:rsidP="00377F3A">
            <w:pPr>
              <w:pStyle w:val="TableText"/>
            </w:pPr>
            <w:r w:rsidRPr="003B601F">
              <w:t>1 dead grey squirrel with liver residue in lethal range and pale blue/green material in stomach/intestines</w:t>
            </w:r>
          </w:p>
        </w:tc>
        <w:tc>
          <w:tcPr>
            <w:tcW w:w="0" w:type="auto"/>
            <w:tcBorders>
              <w:top w:val="single" w:sz="4" w:space="0" w:color="auto"/>
              <w:bottom w:val="single" w:sz="4" w:space="0" w:color="auto"/>
            </w:tcBorders>
          </w:tcPr>
          <w:p w14:paraId="0224236B" w14:textId="4878DF7F" w:rsidR="00073396" w:rsidRPr="003B601F" w:rsidRDefault="00073396" w:rsidP="00377F3A">
            <w:pPr>
              <w:pStyle w:val="TableText"/>
            </w:pPr>
            <w:r w:rsidRPr="003B601F">
              <w:t xml:space="preserve">Barnett </w:t>
            </w:r>
            <w:r w:rsidR="00B7183A" w:rsidRPr="00B7183A">
              <w:rPr>
                <w:i/>
                <w:iCs/>
              </w:rPr>
              <w:t>et al</w:t>
            </w:r>
            <w:r w:rsidRPr="003B601F">
              <w:t>. 2006</w:t>
            </w:r>
          </w:p>
        </w:tc>
      </w:tr>
      <w:tr w:rsidR="00073396" w:rsidRPr="003B601F" w14:paraId="5E41C8E3" w14:textId="77777777" w:rsidTr="00B717B6">
        <w:trPr>
          <w:cantSplit/>
        </w:trPr>
        <w:tc>
          <w:tcPr>
            <w:tcW w:w="0" w:type="auto"/>
            <w:tcBorders>
              <w:top w:val="single" w:sz="4" w:space="0" w:color="auto"/>
              <w:left w:val="nil"/>
              <w:bottom w:val="single" w:sz="4" w:space="0" w:color="auto"/>
            </w:tcBorders>
          </w:tcPr>
          <w:p w14:paraId="13CA13B1" w14:textId="77777777" w:rsidR="00073396" w:rsidRPr="003B601F" w:rsidRDefault="00073396" w:rsidP="00377F3A">
            <w:pPr>
              <w:pStyle w:val="TableText"/>
            </w:pPr>
            <w:r w:rsidRPr="003B601F">
              <w:t>Border county UK</w:t>
            </w:r>
          </w:p>
        </w:tc>
        <w:tc>
          <w:tcPr>
            <w:tcW w:w="0" w:type="auto"/>
            <w:tcBorders>
              <w:top w:val="single" w:sz="4" w:space="0" w:color="auto"/>
              <w:bottom w:val="single" w:sz="4" w:space="0" w:color="auto"/>
            </w:tcBorders>
          </w:tcPr>
          <w:p w14:paraId="4A621B62" w14:textId="77777777" w:rsidR="00073396" w:rsidRPr="003B601F" w:rsidRDefault="00073396" w:rsidP="00377F3A">
            <w:pPr>
              <w:pStyle w:val="TableText"/>
            </w:pPr>
            <w:r w:rsidRPr="003B601F">
              <w:t>Rodent control on farm by local authority</w:t>
            </w:r>
          </w:p>
        </w:tc>
        <w:tc>
          <w:tcPr>
            <w:tcW w:w="0" w:type="auto"/>
            <w:tcBorders>
              <w:top w:val="single" w:sz="4" w:space="0" w:color="auto"/>
              <w:bottom w:val="single" w:sz="4" w:space="0" w:color="auto"/>
            </w:tcBorders>
          </w:tcPr>
          <w:p w14:paraId="30C14D47" w14:textId="77777777" w:rsidR="00073396" w:rsidRPr="003B601F" w:rsidRDefault="00073396" w:rsidP="00377F3A">
            <w:pPr>
              <w:pStyle w:val="TableText"/>
            </w:pPr>
            <w:r w:rsidRPr="003B601F">
              <w:t>1 fox poisoning, some dead rats recovered between bales in an open barn</w:t>
            </w:r>
          </w:p>
        </w:tc>
        <w:tc>
          <w:tcPr>
            <w:tcW w:w="0" w:type="auto"/>
            <w:tcBorders>
              <w:top w:val="single" w:sz="4" w:space="0" w:color="auto"/>
              <w:bottom w:val="single" w:sz="4" w:space="0" w:color="auto"/>
            </w:tcBorders>
          </w:tcPr>
          <w:p w14:paraId="02BE6BFF" w14:textId="6022DDA2" w:rsidR="00073396" w:rsidRPr="003B601F" w:rsidRDefault="00073396" w:rsidP="00377F3A">
            <w:pPr>
              <w:pStyle w:val="TableText"/>
            </w:pPr>
            <w:r w:rsidRPr="003B601F">
              <w:t xml:space="preserve">Barnett </w:t>
            </w:r>
            <w:r w:rsidR="00B7183A" w:rsidRPr="00B7183A">
              <w:rPr>
                <w:i/>
                <w:iCs/>
              </w:rPr>
              <w:t>et al</w:t>
            </w:r>
            <w:r w:rsidRPr="003B601F">
              <w:t>. 2007</w:t>
            </w:r>
          </w:p>
        </w:tc>
      </w:tr>
      <w:tr w:rsidR="00073396" w:rsidRPr="003B601F" w14:paraId="6D5C41E5" w14:textId="77777777" w:rsidTr="00B717B6">
        <w:trPr>
          <w:cantSplit/>
        </w:trPr>
        <w:tc>
          <w:tcPr>
            <w:tcW w:w="0" w:type="auto"/>
            <w:tcBorders>
              <w:top w:val="single" w:sz="4" w:space="0" w:color="auto"/>
              <w:left w:val="nil"/>
              <w:bottom w:val="single" w:sz="4" w:space="0" w:color="auto"/>
            </w:tcBorders>
          </w:tcPr>
          <w:p w14:paraId="3BC5B6FA" w14:textId="77777777" w:rsidR="00073396" w:rsidRPr="003B601F" w:rsidRDefault="00073396" w:rsidP="00377F3A">
            <w:pPr>
              <w:pStyle w:val="TableText"/>
            </w:pPr>
            <w:r w:rsidRPr="003B601F">
              <w:t>Suffolk UK</w:t>
            </w:r>
          </w:p>
        </w:tc>
        <w:tc>
          <w:tcPr>
            <w:tcW w:w="0" w:type="auto"/>
            <w:tcBorders>
              <w:top w:val="single" w:sz="4" w:space="0" w:color="auto"/>
              <w:bottom w:val="single" w:sz="4" w:space="0" w:color="auto"/>
            </w:tcBorders>
          </w:tcPr>
          <w:p w14:paraId="2B0958DB" w14:textId="77777777" w:rsidR="00073396" w:rsidRPr="003B601F" w:rsidRDefault="00073396" w:rsidP="00377F3A">
            <w:pPr>
              <w:pStyle w:val="TableText"/>
            </w:pPr>
            <w:r w:rsidRPr="003B601F">
              <w:t>Approved use of baiting points</w:t>
            </w:r>
          </w:p>
        </w:tc>
        <w:tc>
          <w:tcPr>
            <w:tcW w:w="0" w:type="auto"/>
            <w:tcBorders>
              <w:top w:val="single" w:sz="4" w:space="0" w:color="auto"/>
              <w:bottom w:val="single" w:sz="4" w:space="0" w:color="auto"/>
            </w:tcBorders>
          </w:tcPr>
          <w:p w14:paraId="20A2A0B4" w14:textId="77777777" w:rsidR="00073396" w:rsidRPr="003B601F" w:rsidRDefault="00073396" w:rsidP="00377F3A">
            <w:pPr>
              <w:pStyle w:val="TableText"/>
            </w:pPr>
            <w:r w:rsidRPr="003B601F">
              <w:t>1 fox poisoning, found in farm outbuilding, may have eaten poisoned rats</w:t>
            </w:r>
          </w:p>
        </w:tc>
        <w:tc>
          <w:tcPr>
            <w:tcW w:w="0" w:type="auto"/>
            <w:tcBorders>
              <w:top w:val="single" w:sz="4" w:space="0" w:color="auto"/>
              <w:bottom w:val="single" w:sz="4" w:space="0" w:color="auto"/>
            </w:tcBorders>
          </w:tcPr>
          <w:p w14:paraId="19FBD663" w14:textId="349D692B" w:rsidR="00073396" w:rsidRPr="003B601F" w:rsidRDefault="00073396" w:rsidP="00377F3A">
            <w:pPr>
              <w:pStyle w:val="TableText"/>
            </w:pPr>
            <w:r w:rsidRPr="003B601F">
              <w:t xml:space="preserve">Fletcher </w:t>
            </w:r>
            <w:r w:rsidR="00B7183A" w:rsidRPr="00B7183A">
              <w:rPr>
                <w:i/>
                <w:iCs/>
              </w:rPr>
              <w:t>et al</w:t>
            </w:r>
            <w:r w:rsidRPr="003B601F">
              <w:t>. 2000</w:t>
            </w:r>
          </w:p>
        </w:tc>
      </w:tr>
      <w:tr w:rsidR="00073396" w:rsidRPr="003B601F" w14:paraId="46241AA2" w14:textId="77777777" w:rsidTr="00B717B6">
        <w:trPr>
          <w:cantSplit/>
        </w:trPr>
        <w:tc>
          <w:tcPr>
            <w:tcW w:w="0" w:type="auto"/>
            <w:tcBorders>
              <w:top w:val="single" w:sz="4" w:space="0" w:color="auto"/>
              <w:left w:val="nil"/>
              <w:bottom w:val="single" w:sz="4" w:space="0" w:color="auto"/>
            </w:tcBorders>
          </w:tcPr>
          <w:p w14:paraId="75FB75AF" w14:textId="77777777" w:rsidR="00073396" w:rsidRPr="003B601F" w:rsidRDefault="00073396" w:rsidP="00377F3A">
            <w:pPr>
              <w:pStyle w:val="TableText"/>
            </w:pPr>
            <w:r w:rsidRPr="003B601F">
              <w:t>Dorset UK</w:t>
            </w:r>
          </w:p>
        </w:tc>
        <w:tc>
          <w:tcPr>
            <w:tcW w:w="0" w:type="auto"/>
            <w:tcBorders>
              <w:top w:val="single" w:sz="4" w:space="0" w:color="auto"/>
              <w:bottom w:val="single" w:sz="4" w:space="0" w:color="auto"/>
            </w:tcBorders>
          </w:tcPr>
          <w:p w14:paraId="4ADEB9CD" w14:textId="77777777" w:rsidR="00073396" w:rsidRPr="003B601F" w:rsidRDefault="00073396" w:rsidP="00377F3A">
            <w:pPr>
              <w:pStyle w:val="TableText"/>
            </w:pPr>
            <w:r w:rsidRPr="003B601F">
              <w:t>Approved use of baiting boxes</w:t>
            </w:r>
          </w:p>
        </w:tc>
        <w:tc>
          <w:tcPr>
            <w:tcW w:w="0" w:type="auto"/>
            <w:tcBorders>
              <w:top w:val="single" w:sz="4" w:space="0" w:color="auto"/>
              <w:bottom w:val="single" w:sz="4" w:space="0" w:color="auto"/>
            </w:tcBorders>
          </w:tcPr>
          <w:p w14:paraId="5D8AD7CB" w14:textId="77777777" w:rsidR="00073396" w:rsidRPr="003B601F" w:rsidRDefault="00073396" w:rsidP="00377F3A">
            <w:pPr>
              <w:pStyle w:val="TableText"/>
            </w:pPr>
            <w:r w:rsidRPr="003B601F">
              <w:t>3 grey squirrel poisonings, chewed corner of a bait box allowed access</w:t>
            </w:r>
          </w:p>
        </w:tc>
        <w:tc>
          <w:tcPr>
            <w:tcW w:w="0" w:type="auto"/>
            <w:tcBorders>
              <w:top w:val="single" w:sz="4" w:space="0" w:color="auto"/>
              <w:bottom w:val="single" w:sz="4" w:space="0" w:color="auto"/>
            </w:tcBorders>
          </w:tcPr>
          <w:p w14:paraId="32857D49" w14:textId="15D85DE1" w:rsidR="00073396" w:rsidRPr="003B601F" w:rsidRDefault="00073396" w:rsidP="00377F3A">
            <w:pPr>
              <w:pStyle w:val="TableText"/>
            </w:pPr>
            <w:r w:rsidRPr="003B601F">
              <w:t xml:space="preserve">Fletcher </w:t>
            </w:r>
            <w:r w:rsidR="00B7183A" w:rsidRPr="00B7183A">
              <w:rPr>
                <w:i/>
                <w:iCs/>
              </w:rPr>
              <w:t>et al</w:t>
            </w:r>
            <w:r w:rsidRPr="003B601F">
              <w:t>. 2000</w:t>
            </w:r>
          </w:p>
        </w:tc>
      </w:tr>
      <w:tr w:rsidR="00073396" w:rsidRPr="003B601F" w14:paraId="486F6976" w14:textId="77777777" w:rsidTr="00B717B6">
        <w:trPr>
          <w:cantSplit/>
        </w:trPr>
        <w:tc>
          <w:tcPr>
            <w:tcW w:w="0" w:type="auto"/>
            <w:tcBorders>
              <w:top w:val="single" w:sz="4" w:space="0" w:color="auto"/>
              <w:left w:val="nil"/>
              <w:bottom w:val="single" w:sz="4" w:space="0" w:color="auto"/>
            </w:tcBorders>
          </w:tcPr>
          <w:p w14:paraId="190B4C31" w14:textId="77777777" w:rsidR="00073396" w:rsidRPr="003B601F" w:rsidRDefault="00073396" w:rsidP="00377F3A">
            <w:pPr>
              <w:pStyle w:val="TableText"/>
            </w:pPr>
            <w:r w:rsidRPr="003B601F">
              <w:t>Highland UK</w:t>
            </w:r>
          </w:p>
        </w:tc>
        <w:tc>
          <w:tcPr>
            <w:tcW w:w="0" w:type="auto"/>
            <w:tcBorders>
              <w:top w:val="single" w:sz="4" w:space="0" w:color="auto"/>
              <w:bottom w:val="single" w:sz="4" w:space="0" w:color="auto"/>
            </w:tcBorders>
          </w:tcPr>
          <w:p w14:paraId="6176B98F" w14:textId="77777777" w:rsidR="00073396" w:rsidRPr="003B601F" w:rsidRDefault="00073396" w:rsidP="00377F3A">
            <w:pPr>
              <w:pStyle w:val="TableText"/>
            </w:pPr>
            <w:r w:rsidRPr="003B601F">
              <w:t>Bait laid along walls in pipes/ under boards</w:t>
            </w:r>
          </w:p>
        </w:tc>
        <w:tc>
          <w:tcPr>
            <w:tcW w:w="0" w:type="auto"/>
            <w:tcBorders>
              <w:top w:val="single" w:sz="4" w:space="0" w:color="auto"/>
              <w:bottom w:val="single" w:sz="4" w:space="0" w:color="auto"/>
            </w:tcBorders>
          </w:tcPr>
          <w:p w14:paraId="22B980E9" w14:textId="77777777" w:rsidR="00073396" w:rsidRPr="003B601F" w:rsidRDefault="00073396" w:rsidP="00377F3A">
            <w:pPr>
              <w:pStyle w:val="TableText"/>
            </w:pPr>
            <w:r w:rsidRPr="003B601F">
              <w:t>3 juvenile red kite poisonings, few rat bodies found after baiting</w:t>
            </w:r>
          </w:p>
        </w:tc>
        <w:tc>
          <w:tcPr>
            <w:tcW w:w="0" w:type="auto"/>
            <w:tcBorders>
              <w:top w:val="single" w:sz="4" w:space="0" w:color="auto"/>
              <w:bottom w:val="single" w:sz="4" w:space="0" w:color="auto"/>
            </w:tcBorders>
          </w:tcPr>
          <w:p w14:paraId="41933BF1" w14:textId="2896509D" w:rsidR="00073396" w:rsidRPr="003B601F" w:rsidRDefault="00073396" w:rsidP="00377F3A">
            <w:pPr>
              <w:pStyle w:val="TableText"/>
            </w:pPr>
            <w:r w:rsidRPr="003B601F">
              <w:t xml:space="preserve">Fletcher </w:t>
            </w:r>
            <w:r w:rsidR="00B7183A" w:rsidRPr="00B7183A">
              <w:rPr>
                <w:i/>
                <w:iCs/>
              </w:rPr>
              <w:t>et al</w:t>
            </w:r>
            <w:r w:rsidRPr="003B601F">
              <w:t>. 2000</w:t>
            </w:r>
          </w:p>
        </w:tc>
      </w:tr>
      <w:tr w:rsidR="00073396" w:rsidRPr="003B601F" w14:paraId="4F0B18A4" w14:textId="77777777" w:rsidTr="00B717B6">
        <w:trPr>
          <w:cantSplit/>
        </w:trPr>
        <w:tc>
          <w:tcPr>
            <w:tcW w:w="0" w:type="auto"/>
            <w:tcBorders>
              <w:top w:val="single" w:sz="4" w:space="0" w:color="auto"/>
              <w:left w:val="nil"/>
              <w:bottom w:val="single" w:sz="4" w:space="0" w:color="auto"/>
            </w:tcBorders>
          </w:tcPr>
          <w:p w14:paraId="75C6BAE7" w14:textId="77777777" w:rsidR="00073396" w:rsidRPr="003B601F" w:rsidRDefault="00073396" w:rsidP="00377F3A">
            <w:pPr>
              <w:pStyle w:val="TableText"/>
            </w:pPr>
            <w:r w:rsidRPr="003B601F">
              <w:t>Grampian UK</w:t>
            </w:r>
          </w:p>
        </w:tc>
        <w:tc>
          <w:tcPr>
            <w:tcW w:w="0" w:type="auto"/>
            <w:tcBorders>
              <w:top w:val="single" w:sz="4" w:space="0" w:color="auto"/>
              <w:bottom w:val="single" w:sz="4" w:space="0" w:color="auto"/>
            </w:tcBorders>
          </w:tcPr>
          <w:p w14:paraId="63FD3404" w14:textId="77777777" w:rsidR="00073396" w:rsidRPr="003B601F" w:rsidRDefault="00073396" w:rsidP="00377F3A">
            <w:pPr>
              <w:pStyle w:val="TableText"/>
            </w:pPr>
            <w:r w:rsidRPr="003B601F">
              <w:t>Approved bait use in piggery</w:t>
            </w:r>
          </w:p>
        </w:tc>
        <w:tc>
          <w:tcPr>
            <w:tcW w:w="0" w:type="auto"/>
            <w:tcBorders>
              <w:top w:val="single" w:sz="4" w:space="0" w:color="auto"/>
              <w:bottom w:val="single" w:sz="4" w:space="0" w:color="auto"/>
            </w:tcBorders>
          </w:tcPr>
          <w:p w14:paraId="03C1604A" w14:textId="77777777" w:rsidR="00073396" w:rsidRPr="003B601F" w:rsidRDefault="00073396" w:rsidP="00377F3A">
            <w:pPr>
              <w:pStyle w:val="TableText"/>
            </w:pPr>
            <w:r w:rsidRPr="003B601F">
              <w:t>2 fox poisonings adjacent to treated farm</w:t>
            </w:r>
          </w:p>
        </w:tc>
        <w:tc>
          <w:tcPr>
            <w:tcW w:w="0" w:type="auto"/>
            <w:tcBorders>
              <w:top w:val="single" w:sz="4" w:space="0" w:color="auto"/>
              <w:bottom w:val="single" w:sz="4" w:space="0" w:color="auto"/>
            </w:tcBorders>
          </w:tcPr>
          <w:p w14:paraId="2C979A66" w14:textId="299F62A4" w:rsidR="00073396" w:rsidRPr="003B601F" w:rsidRDefault="00073396" w:rsidP="00377F3A">
            <w:pPr>
              <w:pStyle w:val="TableText"/>
            </w:pPr>
            <w:r w:rsidRPr="003B601F">
              <w:t xml:space="preserve">Fletcher </w:t>
            </w:r>
            <w:r w:rsidR="00B7183A" w:rsidRPr="00B7183A">
              <w:rPr>
                <w:i/>
                <w:iCs/>
              </w:rPr>
              <w:t>et al</w:t>
            </w:r>
            <w:r w:rsidRPr="003B601F">
              <w:t>. 2000</w:t>
            </w:r>
          </w:p>
        </w:tc>
      </w:tr>
      <w:tr w:rsidR="00073396" w:rsidRPr="003B601F" w14:paraId="4934FA9C" w14:textId="77777777" w:rsidTr="00B717B6">
        <w:trPr>
          <w:cantSplit/>
        </w:trPr>
        <w:tc>
          <w:tcPr>
            <w:tcW w:w="0" w:type="auto"/>
            <w:vMerge w:val="restart"/>
            <w:tcBorders>
              <w:top w:val="single" w:sz="4" w:space="0" w:color="auto"/>
              <w:left w:val="nil"/>
            </w:tcBorders>
          </w:tcPr>
          <w:p w14:paraId="2D90B436" w14:textId="77777777" w:rsidR="00073396" w:rsidRPr="003B601F" w:rsidRDefault="00073396" w:rsidP="00377F3A">
            <w:pPr>
              <w:pStyle w:val="TableText"/>
            </w:pPr>
            <w:r w:rsidRPr="003B601F">
              <w:t>Various counties across UK</w:t>
            </w:r>
          </w:p>
        </w:tc>
        <w:tc>
          <w:tcPr>
            <w:tcW w:w="0" w:type="auto"/>
            <w:tcBorders>
              <w:top w:val="single" w:sz="4" w:space="0" w:color="auto"/>
              <w:bottom w:val="nil"/>
            </w:tcBorders>
          </w:tcPr>
          <w:p w14:paraId="235E364A" w14:textId="77777777" w:rsidR="00073396" w:rsidRPr="003B601F" w:rsidRDefault="00073396" w:rsidP="00377F3A">
            <w:pPr>
              <w:pStyle w:val="TableText"/>
            </w:pPr>
            <w:r w:rsidRPr="003B601F">
              <w:t>Unspecified</w:t>
            </w:r>
          </w:p>
        </w:tc>
        <w:tc>
          <w:tcPr>
            <w:tcW w:w="0" w:type="auto"/>
            <w:tcBorders>
              <w:top w:val="single" w:sz="4" w:space="0" w:color="auto"/>
              <w:bottom w:val="nil"/>
            </w:tcBorders>
          </w:tcPr>
          <w:p w14:paraId="705570F9" w14:textId="77777777" w:rsidR="00073396" w:rsidRPr="003B601F" w:rsidRDefault="00073396" w:rsidP="00377F3A">
            <w:pPr>
              <w:pStyle w:val="TableText"/>
            </w:pPr>
            <w:r w:rsidRPr="003B601F">
              <w:t>1 fox and 6 red kite fledglings in 1998</w:t>
            </w:r>
          </w:p>
        </w:tc>
        <w:tc>
          <w:tcPr>
            <w:tcW w:w="0" w:type="auto"/>
            <w:tcBorders>
              <w:top w:val="single" w:sz="4" w:space="0" w:color="auto"/>
              <w:bottom w:val="nil"/>
            </w:tcBorders>
          </w:tcPr>
          <w:p w14:paraId="18DBF439" w14:textId="6297EB9E" w:rsidR="00073396" w:rsidRPr="003B601F" w:rsidRDefault="00073396" w:rsidP="00377F3A">
            <w:pPr>
              <w:pStyle w:val="TableText"/>
            </w:pPr>
            <w:r w:rsidRPr="003B601F">
              <w:t xml:space="preserve">Fletcher </w:t>
            </w:r>
            <w:r w:rsidR="00B7183A" w:rsidRPr="00B7183A">
              <w:rPr>
                <w:i/>
                <w:iCs/>
              </w:rPr>
              <w:t>et al</w:t>
            </w:r>
            <w:r w:rsidRPr="003B601F">
              <w:t>. 1999</w:t>
            </w:r>
          </w:p>
        </w:tc>
      </w:tr>
      <w:tr w:rsidR="00073396" w:rsidRPr="003B601F" w14:paraId="5927D4F8" w14:textId="77777777" w:rsidTr="00073396">
        <w:trPr>
          <w:cantSplit/>
        </w:trPr>
        <w:tc>
          <w:tcPr>
            <w:tcW w:w="0" w:type="auto"/>
            <w:vMerge/>
            <w:tcBorders>
              <w:left w:val="nil"/>
              <w:bottom w:val="nil"/>
            </w:tcBorders>
          </w:tcPr>
          <w:p w14:paraId="7512AF21" w14:textId="77777777" w:rsidR="00073396" w:rsidRPr="003B601F" w:rsidRDefault="00073396" w:rsidP="00377F3A">
            <w:pPr>
              <w:pStyle w:val="TableText"/>
            </w:pPr>
          </w:p>
        </w:tc>
        <w:tc>
          <w:tcPr>
            <w:tcW w:w="0" w:type="auto"/>
            <w:tcBorders>
              <w:top w:val="nil"/>
              <w:bottom w:val="nil"/>
            </w:tcBorders>
          </w:tcPr>
          <w:p w14:paraId="68D5809E" w14:textId="77777777" w:rsidR="00073396" w:rsidRPr="003B601F" w:rsidRDefault="00073396" w:rsidP="00377F3A">
            <w:pPr>
              <w:pStyle w:val="TableText"/>
            </w:pPr>
          </w:p>
        </w:tc>
        <w:tc>
          <w:tcPr>
            <w:tcW w:w="0" w:type="auto"/>
            <w:tcBorders>
              <w:top w:val="nil"/>
              <w:bottom w:val="nil"/>
            </w:tcBorders>
          </w:tcPr>
          <w:p w14:paraId="61B42282" w14:textId="77777777" w:rsidR="00073396" w:rsidRPr="003B601F" w:rsidRDefault="00073396" w:rsidP="00377F3A">
            <w:pPr>
              <w:pStyle w:val="TableText"/>
            </w:pPr>
            <w:r w:rsidRPr="003B601F">
              <w:t>1 red kite, 1 buzzard and 5 fox poisonings</w:t>
            </w:r>
          </w:p>
        </w:tc>
        <w:tc>
          <w:tcPr>
            <w:tcW w:w="0" w:type="auto"/>
            <w:tcBorders>
              <w:top w:val="nil"/>
              <w:bottom w:val="nil"/>
            </w:tcBorders>
          </w:tcPr>
          <w:p w14:paraId="569CD1C2" w14:textId="7936F585" w:rsidR="00073396" w:rsidRPr="003B601F" w:rsidRDefault="00073396" w:rsidP="00377F3A">
            <w:pPr>
              <w:pStyle w:val="TableText"/>
            </w:pPr>
            <w:r w:rsidRPr="003B601F">
              <w:t xml:space="preserve">Fletcher </w:t>
            </w:r>
            <w:r w:rsidR="00B7183A" w:rsidRPr="00B7183A">
              <w:rPr>
                <w:i/>
                <w:iCs/>
              </w:rPr>
              <w:t>et al</w:t>
            </w:r>
            <w:r w:rsidRPr="003B601F">
              <w:t>. 2000</w:t>
            </w:r>
          </w:p>
        </w:tc>
      </w:tr>
      <w:tr w:rsidR="00073396" w:rsidRPr="003B601F" w14:paraId="2E375BFB" w14:textId="77777777" w:rsidTr="00073396">
        <w:trPr>
          <w:cantSplit/>
        </w:trPr>
        <w:tc>
          <w:tcPr>
            <w:tcW w:w="0" w:type="auto"/>
            <w:tcBorders>
              <w:top w:val="nil"/>
              <w:left w:val="nil"/>
              <w:bottom w:val="nil"/>
            </w:tcBorders>
          </w:tcPr>
          <w:p w14:paraId="7E09FCCF" w14:textId="77777777" w:rsidR="00073396" w:rsidRPr="003B601F" w:rsidRDefault="00073396" w:rsidP="00377F3A">
            <w:pPr>
              <w:pStyle w:val="TableText"/>
            </w:pPr>
          </w:p>
        </w:tc>
        <w:tc>
          <w:tcPr>
            <w:tcW w:w="0" w:type="auto"/>
            <w:tcBorders>
              <w:top w:val="nil"/>
              <w:bottom w:val="nil"/>
            </w:tcBorders>
          </w:tcPr>
          <w:p w14:paraId="6034966C" w14:textId="77777777" w:rsidR="00073396" w:rsidRPr="003B601F" w:rsidRDefault="00073396" w:rsidP="00377F3A">
            <w:pPr>
              <w:pStyle w:val="TableText"/>
            </w:pPr>
          </w:p>
        </w:tc>
        <w:tc>
          <w:tcPr>
            <w:tcW w:w="0" w:type="auto"/>
            <w:tcBorders>
              <w:top w:val="nil"/>
              <w:bottom w:val="nil"/>
            </w:tcBorders>
          </w:tcPr>
          <w:p w14:paraId="5C7B8593" w14:textId="77777777" w:rsidR="00073396" w:rsidRPr="003B601F" w:rsidRDefault="00073396" w:rsidP="00377F3A">
            <w:pPr>
              <w:pStyle w:val="TableText"/>
            </w:pPr>
            <w:r w:rsidRPr="003B601F">
              <w:t>2 badgers, 2 foxes, 1 pheasant, and 3 red kite poisonings in 2000</w:t>
            </w:r>
          </w:p>
        </w:tc>
        <w:tc>
          <w:tcPr>
            <w:tcW w:w="0" w:type="auto"/>
            <w:tcBorders>
              <w:top w:val="nil"/>
              <w:bottom w:val="nil"/>
            </w:tcBorders>
          </w:tcPr>
          <w:p w14:paraId="09C0382A" w14:textId="4C75E973" w:rsidR="00073396" w:rsidRPr="003B601F" w:rsidRDefault="00073396" w:rsidP="00377F3A">
            <w:pPr>
              <w:pStyle w:val="TableText"/>
            </w:pPr>
            <w:r w:rsidRPr="003B601F">
              <w:t xml:space="preserve">Barnett </w:t>
            </w:r>
            <w:r w:rsidR="00B7183A" w:rsidRPr="00B7183A">
              <w:rPr>
                <w:i/>
                <w:iCs/>
              </w:rPr>
              <w:t>et al</w:t>
            </w:r>
            <w:r w:rsidRPr="003B601F">
              <w:t>. 2002a</w:t>
            </w:r>
          </w:p>
        </w:tc>
      </w:tr>
      <w:tr w:rsidR="00073396" w:rsidRPr="003B601F" w14:paraId="2D0BCB6B" w14:textId="77777777" w:rsidTr="00073396">
        <w:trPr>
          <w:cantSplit/>
        </w:trPr>
        <w:tc>
          <w:tcPr>
            <w:tcW w:w="0" w:type="auto"/>
            <w:tcBorders>
              <w:top w:val="nil"/>
              <w:left w:val="nil"/>
              <w:bottom w:val="nil"/>
            </w:tcBorders>
          </w:tcPr>
          <w:p w14:paraId="03D566D5" w14:textId="77777777" w:rsidR="00073396" w:rsidRPr="003B601F" w:rsidRDefault="00073396" w:rsidP="00377F3A">
            <w:pPr>
              <w:pStyle w:val="TableText"/>
            </w:pPr>
          </w:p>
        </w:tc>
        <w:tc>
          <w:tcPr>
            <w:tcW w:w="0" w:type="auto"/>
            <w:tcBorders>
              <w:top w:val="nil"/>
              <w:bottom w:val="nil"/>
            </w:tcBorders>
          </w:tcPr>
          <w:p w14:paraId="2CD6BB78" w14:textId="77777777" w:rsidR="00073396" w:rsidRPr="003B601F" w:rsidRDefault="00073396" w:rsidP="00377F3A">
            <w:pPr>
              <w:pStyle w:val="TableText"/>
            </w:pPr>
          </w:p>
        </w:tc>
        <w:tc>
          <w:tcPr>
            <w:tcW w:w="0" w:type="auto"/>
            <w:tcBorders>
              <w:top w:val="nil"/>
              <w:bottom w:val="nil"/>
            </w:tcBorders>
          </w:tcPr>
          <w:p w14:paraId="44E2A603" w14:textId="77777777" w:rsidR="00073396" w:rsidRPr="003B601F" w:rsidRDefault="00073396" w:rsidP="00377F3A">
            <w:pPr>
              <w:pStyle w:val="TableText"/>
            </w:pPr>
            <w:r w:rsidRPr="003B601F">
              <w:t>1 fox, 1 barn owl, 1 tawny owl, 1 red kite, and 2 buzzard poisonings in 2001</w:t>
            </w:r>
          </w:p>
        </w:tc>
        <w:tc>
          <w:tcPr>
            <w:tcW w:w="0" w:type="auto"/>
            <w:tcBorders>
              <w:top w:val="nil"/>
              <w:bottom w:val="nil"/>
            </w:tcBorders>
          </w:tcPr>
          <w:p w14:paraId="46079C81" w14:textId="6289BD9D" w:rsidR="00073396" w:rsidRPr="003B601F" w:rsidRDefault="00057E4A" w:rsidP="00377F3A">
            <w:pPr>
              <w:pStyle w:val="TableText"/>
            </w:pPr>
            <w:r>
              <w:t xml:space="preserve">Barnett </w:t>
            </w:r>
            <w:r w:rsidR="00B7183A" w:rsidRPr="00B7183A">
              <w:rPr>
                <w:i/>
                <w:iCs/>
              </w:rPr>
              <w:t>et al</w:t>
            </w:r>
            <w:r>
              <w:t>. 2002b</w:t>
            </w:r>
          </w:p>
        </w:tc>
      </w:tr>
      <w:tr w:rsidR="00073396" w:rsidRPr="003B601F" w14:paraId="2EA88477" w14:textId="77777777" w:rsidTr="00073396">
        <w:trPr>
          <w:cantSplit/>
        </w:trPr>
        <w:tc>
          <w:tcPr>
            <w:tcW w:w="0" w:type="auto"/>
            <w:tcBorders>
              <w:top w:val="nil"/>
              <w:left w:val="nil"/>
              <w:bottom w:val="nil"/>
            </w:tcBorders>
          </w:tcPr>
          <w:p w14:paraId="44C9C682" w14:textId="77777777" w:rsidR="00073396" w:rsidRPr="003B601F" w:rsidRDefault="00073396" w:rsidP="00377F3A">
            <w:pPr>
              <w:pStyle w:val="TableText"/>
            </w:pPr>
          </w:p>
        </w:tc>
        <w:tc>
          <w:tcPr>
            <w:tcW w:w="0" w:type="auto"/>
            <w:tcBorders>
              <w:top w:val="nil"/>
              <w:bottom w:val="nil"/>
            </w:tcBorders>
          </w:tcPr>
          <w:p w14:paraId="0BD137C1" w14:textId="77777777" w:rsidR="00073396" w:rsidRPr="003B601F" w:rsidRDefault="00073396" w:rsidP="00377F3A">
            <w:pPr>
              <w:pStyle w:val="TableText"/>
            </w:pPr>
          </w:p>
        </w:tc>
        <w:tc>
          <w:tcPr>
            <w:tcW w:w="0" w:type="auto"/>
            <w:tcBorders>
              <w:top w:val="nil"/>
              <w:bottom w:val="nil"/>
            </w:tcBorders>
          </w:tcPr>
          <w:p w14:paraId="7454A85F" w14:textId="77777777" w:rsidR="00073396" w:rsidRPr="003B601F" w:rsidRDefault="00073396" w:rsidP="00377F3A">
            <w:pPr>
              <w:pStyle w:val="TableText"/>
            </w:pPr>
            <w:r w:rsidRPr="003B601F">
              <w:t>6 fox, 2 dog and 1 red kite poisonings; 1 badger death from trauma but bromadiolone may have contributed</w:t>
            </w:r>
            <w:r w:rsidRPr="004249C4">
              <w:t>.</w:t>
            </w:r>
          </w:p>
        </w:tc>
        <w:tc>
          <w:tcPr>
            <w:tcW w:w="0" w:type="auto"/>
            <w:tcBorders>
              <w:top w:val="nil"/>
              <w:bottom w:val="nil"/>
            </w:tcBorders>
          </w:tcPr>
          <w:p w14:paraId="6ECC4CBB" w14:textId="593C0BE5" w:rsidR="00073396" w:rsidRPr="003B601F" w:rsidRDefault="00073396" w:rsidP="00377F3A">
            <w:pPr>
              <w:pStyle w:val="TableText"/>
            </w:pPr>
            <w:r w:rsidRPr="003B601F">
              <w:t xml:space="preserve">Barnett </w:t>
            </w:r>
            <w:r w:rsidR="00B7183A" w:rsidRPr="00B7183A">
              <w:rPr>
                <w:i/>
                <w:iCs/>
              </w:rPr>
              <w:t>et al</w:t>
            </w:r>
            <w:r w:rsidRPr="003B601F">
              <w:t xml:space="preserve">. 2003 </w:t>
            </w:r>
          </w:p>
        </w:tc>
      </w:tr>
      <w:tr w:rsidR="00073396" w:rsidRPr="003B601F" w14:paraId="4283537B" w14:textId="77777777" w:rsidTr="00073396">
        <w:trPr>
          <w:cantSplit/>
        </w:trPr>
        <w:tc>
          <w:tcPr>
            <w:tcW w:w="0" w:type="auto"/>
            <w:tcBorders>
              <w:top w:val="nil"/>
              <w:left w:val="nil"/>
              <w:bottom w:val="nil"/>
            </w:tcBorders>
          </w:tcPr>
          <w:p w14:paraId="0A23C487" w14:textId="77777777" w:rsidR="00073396" w:rsidRPr="003B601F" w:rsidRDefault="00073396" w:rsidP="00377F3A">
            <w:pPr>
              <w:pStyle w:val="TableText"/>
            </w:pPr>
          </w:p>
        </w:tc>
        <w:tc>
          <w:tcPr>
            <w:tcW w:w="0" w:type="auto"/>
            <w:tcBorders>
              <w:top w:val="nil"/>
              <w:bottom w:val="nil"/>
            </w:tcBorders>
          </w:tcPr>
          <w:p w14:paraId="193717E2" w14:textId="77777777" w:rsidR="00073396" w:rsidRPr="003B601F" w:rsidRDefault="00073396" w:rsidP="00377F3A">
            <w:pPr>
              <w:pStyle w:val="TableText"/>
            </w:pPr>
          </w:p>
        </w:tc>
        <w:tc>
          <w:tcPr>
            <w:tcW w:w="0" w:type="auto"/>
            <w:tcBorders>
              <w:top w:val="nil"/>
              <w:bottom w:val="nil"/>
            </w:tcBorders>
          </w:tcPr>
          <w:p w14:paraId="719BEC5A" w14:textId="77777777" w:rsidR="00073396" w:rsidRPr="003B601F" w:rsidRDefault="00073396" w:rsidP="00377F3A">
            <w:pPr>
              <w:pStyle w:val="TableText"/>
            </w:pPr>
            <w:r w:rsidRPr="003B601F">
              <w:t>4 red kites (one in rural area with sheep farming) and 22 feral pigeon poisonings</w:t>
            </w:r>
          </w:p>
        </w:tc>
        <w:tc>
          <w:tcPr>
            <w:tcW w:w="0" w:type="auto"/>
            <w:tcBorders>
              <w:top w:val="nil"/>
              <w:bottom w:val="nil"/>
            </w:tcBorders>
          </w:tcPr>
          <w:p w14:paraId="05C71BD4" w14:textId="6FA1448D" w:rsidR="00073396" w:rsidRPr="003B601F" w:rsidRDefault="00073396" w:rsidP="00377F3A">
            <w:pPr>
              <w:pStyle w:val="TableText"/>
            </w:pPr>
            <w:r w:rsidRPr="003B601F">
              <w:t xml:space="preserve">Barnett </w:t>
            </w:r>
            <w:r w:rsidR="00B7183A" w:rsidRPr="00B7183A">
              <w:rPr>
                <w:i/>
                <w:iCs/>
              </w:rPr>
              <w:t>et al</w:t>
            </w:r>
            <w:r w:rsidRPr="003B601F">
              <w:t>. 2004</w:t>
            </w:r>
          </w:p>
        </w:tc>
      </w:tr>
      <w:tr w:rsidR="00073396" w:rsidRPr="003B601F" w14:paraId="4E297C43" w14:textId="77777777" w:rsidTr="00073396">
        <w:trPr>
          <w:cantSplit/>
        </w:trPr>
        <w:tc>
          <w:tcPr>
            <w:tcW w:w="0" w:type="auto"/>
            <w:tcBorders>
              <w:top w:val="nil"/>
              <w:left w:val="nil"/>
              <w:bottom w:val="nil"/>
            </w:tcBorders>
          </w:tcPr>
          <w:p w14:paraId="33B3E350" w14:textId="77777777" w:rsidR="00073396" w:rsidRPr="003B601F" w:rsidRDefault="00073396" w:rsidP="00377F3A">
            <w:pPr>
              <w:pStyle w:val="TableText"/>
            </w:pPr>
          </w:p>
        </w:tc>
        <w:tc>
          <w:tcPr>
            <w:tcW w:w="0" w:type="auto"/>
            <w:tcBorders>
              <w:top w:val="nil"/>
              <w:bottom w:val="nil"/>
            </w:tcBorders>
          </w:tcPr>
          <w:p w14:paraId="17243182" w14:textId="77777777" w:rsidR="00073396" w:rsidRPr="003B601F" w:rsidRDefault="00073396" w:rsidP="00377F3A">
            <w:pPr>
              <w:pStyle w:val="TableText"/>
            </w:pPr>
          </w:p>
        </w:tc>
        <w:tc>
          <w:tcPr>
            <w:tcW w:w="0" w:type="auto"/>
            <w:tcBorders>
              <w:top w:val="nil"/>
              <w:bottom w:val="nil"/>
            </w:tcBorders>
          </w:tcPr>
          <w:p w14:paraId="628BF99A" w14:textId="77777777" w:rsidR="00073396" w:rsidRPr="003B601F" w:rsidRDefault="00073396" w:rsidP="00377F3A">
            <w:pPr>
              <w:pStyle w:val="TableText"/>
            </w:pPr>
            <w:r w:rsidRPr="003B601F">
              <w:t>5 fox, 1 sparrowhawk, 1 tawny owl, 1 barn owl, 4 crows (accessed protected bait points), and 4 buzzard poisonings in 2004</w:t>
            </w:r>
          </w:p>
        </w:tc>
        <w:tc>
          <w:tcPr>
            <w:tcW w:w="0" w:type="auto"/>
            <w:tcBorders>
              <w:top w:val="nil"/>
              <w:bottom w:val="nil"/>
            </w:tcBorders>
          </w:tcPr>
          <w:p w14:paraId="2EF37DAF" w14:textId="18CFD8CD" w:rsidR="00073396" w:rsidRPr="003B601F" w:rsidRDefault="00073396" w:rsidP="00377F3A">
            <w:pPr>
              <w:pStyle w:val="TableText"/>
            </w:pPr>
            <w:r w:rsidRPr="003B601F">
              <w:t xml:space="preserve">Barnett </w:t>
            </w:r>
            <w:r w:rsidR="00B7183A" w:rsidRPr="00B7183A">
              <w:rPr>
                <w:i/>
                <w:iCs/>
              </w:rPr>
              <w:t>et al</w:t>
            </w:r>
            <w:r w:rsidRPr="003B601F">
              <w:t>. 2005</w:t>
            </w:r>
          </w:p>
        </w:tc>
      </w:tr>
      <w:tr w:rsidR="00073396" w:rsidRPr="003B601F" w14:paraId="27DECE4A" w14:textId="77777777" w:rsidTr="00B717B6">
        <w:trPr>
          <w:cantSplit/>
        </w:trPr>
        <w:tc>
          <w:tcPr>
            <w:tcW w:w="0" w:type="auto"/>
            <w:tcBorders>
              <w:top w:val="nil"/>
              <w:left w:val="nil"/>
              <w:bottom w:val="nil"/>
            </w:tcBorders>
          </w:tcPr>
          <w:p w14:paraId="5DCAAA51" w14:textId="77777777" w:rsidR="00073396" w:rsidRPr="003B601F" w:rsidRDefault="00073396" w:rsidP="00377F3A">
            <w:pPr>
              <w:pStyle w:val="TableText"/>
            </w:pPr>
          </w:p>
        </w:tc>
        <w:tc>
          <w:tcPr>
            <w:tcW w:w="0" w:type="auto"/>
            <w:tcBorders>
              <w:top w:val="nil"/>
              <w:bottom w:val="nil"/>
            </w:tcBorders>
          </w:tcPr>
          <w:p w14:paraId="42F4D944" w14:textId="77777777" w:rsidR="00073396" w:rsidRPr="003B601F" w:rsidRDefault="00073396" w:rsidP="00377F3A">
            <w:pPr>
              <w:pStyle w:val="TableText"/>
            </w:pPr>
          </w:p>
        </w:tc>
        <w:tc>
          <w:tcPr>
            <w:tcW w:w="0" w:type="auto"/>
            <w:tcBorders>
              <w:top w:val="nil"/>
              <w:bottom w:val="nil"/>
            </w:tcBorders>
          </w:tcPr>
          <w:p w14:paraId="463FD880" w14:textId="77777777" w:rsidR="00073396" w:rsidRPr="003B601F" w:rsidRDefault="00073396" w:rsidP="00377F3A">
            <w:pPr>
              <w:pStyle w:val="TableText"/>
            </w:pPr>
            <w:r w:rsidRPr="003B601F">
              <w:t>1 otter, 4 fox, 1 barn owl, and 1 red kite poisoning in 2005</w:t>
            </w:r>
          </w:p>
        </w:tc>
        <w:tc>
          <w:tcPr>
            <w:tcW w:w="0" w:type="auto"/>
            <w:tcBorders>
              <w:top w:val="nil"/>
              <w:bottom w:val="nil"/>
            </w:tcBorders>
          </w:tcPr>
          <w:p w14:paraId="1A617554" w14:textId="78BCE272" w:rsidR="00073396" w:rsidRPr="003B601F" w:rsidRDefault="00073396" w:rsidP="00377F3A">
            <w:pPr>
              <w:pStyle w:val="TableText"/>
            </w:pPr>
            <w:r w:rsidRPr="003B601F">
              <w:t xml:space="preserve">Barnett </w:t>
            </w:r>
            <w:r w:rsidR="00B7183A" w:rsidRPr="00B7183A">
              <w:rPr>
                <w:i/>
                <w:iCs/>
              </w:rPr>
              <w:t>et al</w:t>
            </w:r>
            <w:r w:rsidRPr="003B601F">
              <w:t>. 2006</w:t>
            </w:r>
          </w:p>
        </w:tc>
      </w:tr>
      <w:tr w:rsidR="00073396" w:rsidRPr="003B601F" w14:paraId="1B0D21B8" w14:textId="77777777" w:rsidTr="00B717B6">
        <w:trPr>
          <w:cantSplit/>
        </w:trPr>
        <w:tc>
          <w:tcPr>
            <w:tcW w:w="0" w:type="auto"/>
            <w:tcBorders>
              <w:top w:val="nil"/>
              <w:left w:val="nil"/>
              <w:bottom w:val="single" w:sz="4" w:space="0" w:color="auto"/>
            </w:tcBorders>
          </w:tcPr>
          <w:p w14:paraId="7D3BA77D" w14:textId="564B9B85" w:rsidR="00073396" w:rsidRPr="003B601F" w:rsidRDefault="00073396" w:rsidP="00377F3A">
            <w:pPr>
              <w:pStyle w:val="TableText"/>
            </w:pPr>
          </w:p>
        </w:tc>
        <w:tc>
          <w:tcPr>
            <w:tcW w:w="0" w:type="auto"/>
            <w:tcBorders>
              <w:top w:val="nil"/>
              <w:bottom w:val="single" w:sz="4" w:space="0" w:color="auto"/>
            </w:tcBorders>
          </w:tcPr>
          <w:p w14:paraId="74956B7B" w14:textId="2E0A2574" w:rsidR="00073396" w:rsidRPr="003B601F" w:rsidRDefault="00073396" w:rsidP="00377F3A">
            <w:pPr>
              <w:pStyle w:val="TableText"/>
            </w:pPr>
          </w:p>
        </w:tc>
        <w:tc>
          <w:tcPr>
            <w:tcW w:w="0" w:type="auto"/>
            <w:tcBorders>
              <w:top w:val="nil"/>
              <w:bottom w:val="single" w:sz="4" w:space="0" w:color="auto"/>
            </w:tcBorders>
          </w:tcPr>
          <w:p w14:paraId="23493E4E" w14:textId="77777777" w:rsidR="00073396" w:rsidRPr="003B601F" w:rsidRDefault="00073396" w:rsidP="00377F3A">
            <w:pPr>
              <w:pStyle w:val="TableText"/>
            </w:pPr>
            <w:r w:rsidRPr="003B601F">
              <w:t>1 grey squirrel, 6 fox, 1 barn owl, 1 red kite, and 1 buzzard poisoning in 2006</w:t>
            </w:r>
          </w:p>
        </w:tc>
        <w:tc>
          <w:tcPr>
            <w:tcW w:w="0" w:type="auto"/>
            <w:tcBorders>
              <w:top w:val="nil"/>
              <w:bottom w:val="single" w:sz="4" w:space="0" w:color="auto"/>
            </w:tcBorders>
          </w:tcPr>
          <w:p w14:paraId="4BE7EA1C" w14:textId="0148358A" w:rsidR="00073396" w:rsidRPr="003B601F" w:rsidRDefault="00073396" w:rsidP="00377F3A">
            <w:pPr>
              <w:pStyle w:val="TableText"/>
            </w:pPr>
            <w:r w:rsidRPr="003B601F">
              <w:t xml:space="preserve">Barnett </w:t>
            </w:r>
            <w:r w:rsidR="00B7183A" w:rsidRPr="00B7183A">
              <w:rPr>
                <w:i/>
                <w:iCs/>
              </w:rPr>
              <w:t>et al</w:t>
            </w:r>
            <w:r w:rsidRPr="003B601F">
              <w:t>. 2007</w:t>
            </w:r>
          </w:p>
        </w:tc>
      </w:tr>
      <w:tr w:rsidR="00073396" w:rsidRPr="003B601F" w14:paraId="095C3F2A" w14:textId="77777777" w:rsidTr="00B717B6">
        <w:trPr>
          <w:cantSplit/>
        </w:trPr>
        <w:tc>
          <w:tcPr>
            <w:tcW w:w="0" w:type="auto"/>
            <w:tcBorders>
              <w:top w:val="single" w:sz="4" w:space="0" w:color="auto"/>
              <w:left w:val="nil"/>
              <w:bottom w:val="single" w:sz="4" w:space="0" w:color="auto"/>
            </w:tcBorders>
          </w:tcPr>
          <w:p w14:paraId="04008D7A" w14:textId="77777777" w:rsidR="00073396" w:rsidRPr="003B601F" w:rsidRDefault="00073396" w:rsidP="00377F3A">
            <w:pPr>
              <w:pStyle w:val="TableText"/>
            </w:pPr>
            <w:r w:rsidRPr="003B601F">
              <w:t>France, UK, Netherlands</w:t>
            </w:r>
          </w:p>
        </w:tc>
        <w:tc>
          <w:tcPr>
            <w:tcW w:w="0" w:type="auto"/>
            <w:tcBorders>
              <w:top w:val="single" w:sz="4" w:space="0" w:color="auto"/>
              <w:bottom w:val="single" w:sz="4" w:space="0" w:color="auto"/>
            </w:tcBorders>
          </w:tcPr>
          <w:p w14:paraId="24403EFD" w14:textId="77777777" w:rsidR="00073396" w:rsidRPr="003B601F" w:rsidRDefault="00073396" w:rsidP="00377F3A">
            <w:pPr>
              <w:pStyle w:val="TableText"/>
            </w:pPr>
            <w:r w:rsidRPr="003B601F">
              <w:t>Approved use</w:t>
            </w:r>
          </w:p>
        </w:tc>
        <w:tc>
          <w:tcPr>
            <w:tcW w:w="0" w:type="auto"/>
            <w:tcBorders>
              <w:top w:val="single" w:sz="4" w:space="0" w:color="auto"/>
              <w:bottom w:val="single" w:sz="4" w:space="0" w:color="auto"/>
            </w:tcBorders>
          </w:tcPr>
          <w:p w14:paraId="4FBD3631" w14:textId="77777777" w:rsidR="00073396" w:rsidRPr="003B601F" w:rsidRDefault="00073396" w:rsidP="00377F3A">
            <w:pPr>
              <w:pStyle w:val="TableText"/>
            </w:pPr>
            <w:r w:rsidRPr="003B601F">
              <w:t>7 roedeer, boar, 4 rabbit, dunnock, fox poisonings in 1990-1994, 1 wild duck in 1994-1995</w:t>
            </w:r>
          </w:p>
        </w:tc>
        <w:tc>
          <w:tcPr>
            <w:tcW w:w="0" w:type="auto"/>
            <w:tcBorders>
              <w:top w:val="single" w:sz="4" w:space="0" w:color="auto"/>
              <w:bottom w:val="single" w:sz="4" w:space="0" w:color="auto"/>
            </w:tcBorders>
          </w:tcPr>
          <w:p w14:paraId="28D4DE2D" w14:textId="4A3AA801" w:rsidR="00073396" w:rsidRPr="003B601F" w:rsidRDefault="00073396" w:rsidP="00377F3A">
            <w:pPr>
              <w:pStyle w:val="TableText"/>
            </w:pPr>
            <w:r w:rsidRPr="003B601F">
              <w:t xml:space="preserve">de Snoo </w:t>
            </w:r>
            <w:r w:rsidR="00B7183A" w:rsidRPr="00B7183A">
              <w:rPr>
                <w:i/>
                <w:iCs/>
              </w:rPr>
              <w:t>et al</w:t>
            </w:r>
            <w:r w:rsidRPr="003B601F">
              <w:t>. 1999</w:t>
            </w:r>
          </w:p>
        </w:tc>
      </w:tr>
      <w:tr w:rsidR="00073396" w:rsidRPr="003B601F" w14:paraId="5759DCF1" w14:textId="77777777" w:rsidTr="00B717B6">
        <w:trPr>
          <w:cantSplit/>
        </w:trPr>
        <w:tc>
          <w:tcPr>
            <w:tcW w:w="0" w:type="auto"/>
            <w:tcBorders>
              <w:top w:val="single" w:sz="4" w:space="0" w:color="auto"/>
              <w:left w:val="nil"/>
              <w:bottom w:val="single" w:sz="4" w:space="0" w:color="auto"/>
            </w:tcBorders>
          </w:tcPr>
          <w:p w14:paraId="388E3124" w14:textId="77777777" w:rsidR="00073396" w:rsidRPr="003B601F" w:rsidRDefault="00073396" w:rsidP="00377F3A">
            <w:pPr>
              <w:pStyle w:val="TableText"/>
            </w:pPr>
            <w:r w:rsidRPr="003B601F">
              <w:t>New York, USA &amp; adjoining states</w:t>
            </w:r>
          </w:p>
        </w:tc>
        <w:tc>
          <w:tcPr>
            <w:tcW w:w="0" w:type="auto"/>
            <w:tcBorders>
              <w:top w:val="single" w:sz="4" w:space="0" w:color="auto"/>
              <w:bottom w:val="single" w:sz="4" w:space="0" w:color="auto"/>
            </w:tcBorders>
          </w:tcPr>
          <w:p w14:paraId="4200052C" w14:textId="77777777" w:rsidR="00073396" w:rsidRPr="003B601F" w:rsidRDefault="00073396" w:rsidP="00377F3A">
            <w:pPr>
              <w:pStyle w:val="TableText"/>
            </w:pPr>
            <w:r w:rsidRPr="003B601F">
              <w:t>Unspecified</w:t>
            </w:r>
          </w:p>
        </w:tc>
        <w:tc>
          <w:tcPr>
            <w:tcW w:w="0" w:type="auto"/>
            <w:tcBorders>
              <w:top w:val="single" w:sz="4" w:space="0" w:color="auto"/>
              <w:bottom w:val="single" w:sz="4" w:space="0" w:color="auto"/>
            </w:tcBorders>
          </w:tcPr>
          <w:p w14:paraId="15D353AF" w14:textId="77777777" w:rsidR="00073396" w:rsidRPr="003B601F" w:rsidRDefault="00073396" w:rsidP="00377F3A">
            <w:pPr>
              <w:pStyle w:val="TableText"/>
            </w:pPr>
            <w:r w:rsidRPr="003B601F">
              <w:t>3 skunk, 1 opossum, 1 great-horned owl poisonings in 1971-1997</w:t>
            </w:r>
          </w:p>
        </w:tc>
        <w:tc>
          <w:tcPr>
            <w:tcW w:w="0" w:type="auto"/>
            <w:tcBorders>
              <w:top w:val="single" w:sz="4" w:space="0" w:color="auto"/>
              <w:bottom w:val="single" w:sz="4" w:space="0" w:color="auto"/>
            </w:tcBorders>
          </w:tcPr>
          <w:p w14:paraId="673E2D39" w14:textId="474C0309" w:rsidR="00073396" w:rsidRPr="003B601F" w:rsidRDefault="00073396" w:rsidP="00377F3A">
            <w:pPr>
              <w:pStyle w:val="TableText"/>
            </w:pPr>
            <w:r w:rsidRPr="003B601F">
              <w:t xml:space="preserve">Stone </w:t>
            </w:r>
            <w:r w:rsidR="00B7183A" w:rsidRPr="00B7183A">
              <w:rPr>
                <w:i/>
                <w:iCs/>
              </w:rPr>
              <w:t>et al</w:t>
            </w:r>
            <w:r w:rsidRPr="003B601F">
              <w:t>. 1999</w:t>
            </w:r>
          </w:p>
        </w:tc>
      </w:tr>
    </w:tbl>
    <w:p w14:paraId="2D43C7BC" w14:textId="18F3288E" w:rsidR="000D594D" w:rsidRPr="00861CA0" w:rsidRDefault="00BA7F5F" w:rsidP="00377F3A">
      <w:pPr>
        <w:pStyle w:val="Caption"/>
      </w:pPr>
      <w:bookmarkStart w:id="2071" w:name="_Toc213946094"/>
      <w:bookmarkStart w:id="2072" w:name="_Toc216695785"/>
      <w:r>
        <w:t xml:space="preserve">Table </w:t>
      </w:r>
      <w:r>
        <w:fldChar w:fldCharType="begin"/>
      </w:r>
      <w:r>
        <w:instrText xml:space="preserve"> SEQ Table \* ARABIC </w:instrText>
      </w:r>
      <w:r>
        <w:fldChar w:fldCharType="separate"/>
      </w:r>
      <w:r w:rsidR="003861AC">
        <w:rPr>
          <w:noProof/>
        </w:rPr>
        <w:t>123</w:t>
      </w:r>
      <w:r>
        <w:fldChar w:fldCharType="end"/>
      </w:r>
      <w:r>
        <w:t xml:space="preserve">: </w:t>
      </w:r>
      <w:r w:rsidR="00C75073">
        <w:t xml:space="preserve">Bromadiolone – </w:t>
      </w:r>
      <w:r w:rsidR="000D594D">
        <w:t>Effects on aquatic species</w:t>
      </w:r>
      <w:bookmarkEnd w:id="2071"/>
      <w:bookmarkEnd w:id="2072"/>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7"/>
        <w:gridCol w:w="2467"/>
        <w:gridCol w:w="1286"/>
        <w:gridCol w:w="1705"/>
        <w:gridCol w:w="2753"/>
      </w:tblGrid>
      <w:tr w:rsidR="000D594D" w:rsidRPr="000B2FA7" w14:paraId="5639609F" w14:textId="77777777" w:rsidTr="0017134F">
        <w:trPr>
          <w:tblHeader/>
        </w:trPr>
        <w:tc>
          <w:tcPr>
            <w:tcW w:w="0" w:type="auto"/>
            <w:tcBorders>
              <w:bottom w:val="single" w:sz="4" w:space="0" w:color="auto"/>
            </w:tcBorders>
            <w:shd w:val="clear" w:color="auto" w:fill="53284F"/>
          </w:tcPr>
          <w:p w14:paraId="180BD66C" w14:textId="77777777" w:rsidR="000D594D" w:rsidRDefault="000D594D" w:rsidP="00377F3A">
            <w:pPr>
              <w:pStyle w:val="TableHead"/>
            </w:pPr>
            <w:r>
              <w:t>Group</w:t>
            </w:r>
          </w:p>
        </w:tc>
        <w:tc>
          <w:tcPr>
            <w:tcW w:w="1281" w:type="pct"/>
            <w:tcBorders>
              <w:bottom w:val="single" w:sz="4" w:space="0" w:color="auto"/>
            </w:tcBorders>
            <w:shd w:val="clear" w:color="auto" w:fill="53284F"/>
          </w:tcPr>
          <w:p w14:paraId="192DAE93" w14:textId="77777777" w:rsidR="000D594D" w:rsidRDefault="000D594D" w:rsidP="00377F3A">
            <w:pPr>
              <w:pStyle w:val="TableHead"/>
            </w:pPr>
            <w:r>
              <w:t>Exposure</w:t>
            </w:r>
          </w:p>
        </w:tc>
        <w:tc>
          <w:tcPr>
            <w:tcW w:w="668" w:type="pct"/>
            <w:tcBorders>
              <w:bottom w:val="single" w:sz="4" w:space="0" w:color="auto"/>
            </w:tcBorders>
            <w:shd w:val="clear" w:color="auto" w:fill="53284F"/>
          </w:tcPr>
          <w:p w14:paraId="088EFFDE"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70FA9F8B" w14:textId="77777777" w:rsidR="000D594D" w:rsidRPr="00CA558C" w:rsidRDefault="000D594D" w:rsidP="00377F3A">
            <w:pPr>
              <w:pStyle w:val="TableHead"/>
            </w:pPr>
            <w:r>
              <w:t>Toxicity v</w:t>
            </w:r>
            <w:r w:rsidRPr="00CA558C">
              <w:t>alue</w:t>
            </w:r>
          </w:p>
        </w:tc>
        <w:tc>
          <w:tcPr>
            <w:tcW w:w="0" w:type="auto"/>
            <w:tcBorders>
              <w:bottom w:val="single" w:sz="4" w:space="0" w:color="auto"/>
            </w:tcBorders>
            <w:shd w:val="clear" w:color="auto" w:fill="53284F"/>
          </w:tcPr>
          <w:p w14:paraId="59C784AA" w14:textId="77777777" w:rsidR="000D594D" w:rsidRPr="00CA558C" w:rsidRDefault="000D594D" w:rsidP="00377F3A">
            <w:pPr>
              <w:pStyle w:val="TableHead"/>
            </w:pPr>
            <w:r>
              <w:t>Reference</w:t>
            </w:r>
          </w:p>
        </w:tc>
      </w:tr>
      <w:tr w:rsidR="000D594D" w:rsidRPr="000B2FA7" w14:paraId="71E9E8E5" w14:textId="77777777" w:rsidTr="00377F3A">
        <w:tc>
          <w:tcPr>
            <w:tcW w:w="0" w:type="auto"/>
            <w:tcBorders>
              <w:top w:val="single" w:sz="4" w:space="0" w:color="auto"/>
              <w:left w:val="nil"/>
              <w:bottom w:val="nil"/>
              <w:right w:val="nil"/>
            </w:tcBorders>
          </w:tcPr>
          <w:p w14:paraId="0409BB3C" w14:textId="77777777" w:rsidR="000D594D" w:rsidRDefault="000D594D" w:rsidP="00377F3A">
            <w:pPr>
              <w:pStyle w:val="TableText"/>
            </w:pPr>
            <w:r>
              <w:t>Fish</w:t>
            </w:r>
          </w:p>
        </w:tc>
        <w:tc>
          <w:tcPr>
            <w:tcW w:w="1281" w:type="pct"/>
            <w:tcBorders>
              <w:top w:val="single" w:sz="4" w:space="0" w:color="auto"/>
              <w:left w:val="nil"/>
              <w:bottom w:val="nil"/>
              <w:right w:val="nil"/>
            </w:tcBorders>
          </w:tcPr>
          <w:p w14:paraId="0460ADB0" w14:textId="77777777" w:rsidR="000D594D" w:rsidRDefault="000D594D" w:rsidP="00377F3A">
            <w:pPr>
              <w:pStyle w:val="TableText"/>
            </w:pPr>
            <w:r>
              <w:t>Acute</w:t>
            </w:r>
          </w:p>
        </w:tc>
        <w:tc>
          <w:tcPr>
            <w:tcW w:w="668" w:type="pct"/>
            <w:tcBorders>
              <w:top w:val="single" w:sz="4" w:space="0" w:color="auto"/>
              <w:left w:val="nil"/>
              <w:bottom w:val="nil"/>
              <w:right w:val="nil"/>
            </w:tcBorders>
          </w:tcPr>
          <w:p w14:paraId="0BF3F7F5" w14:textId="77777777" w:rsidR="000D594D" w:rsidRPr="007528B2" w:rsidRDefault="000D594D" w:rsidP="00377F3A">
            <w:pPr>
              <w:pStyle w:val="TableText"/>
            </w:pPr>
            <w:r>
              <w:t>Oncorhynchus mykiss</w:t>
            </w:r>
          </w:p>
        </w:tc>
        <w:tc>
          <w:tcPr>
            <w:tcW w:w="0" w:type="auto"/>
            <w:tcBorders>
              <w:top w:val="single" w:sz="4" w:space="0" w:color="auto"/>
              <w:left w:val="nil"/>
              <w:bottom w:val="nil"/>
              <w:right w:val="nil"/>
            </w:tcBorders>
          </w:tcPr>
          <w:p w14:paraId="297C1C44" w14:textId="77777777" w:rsidR="000D594D" w:rsidRPr="007528B2" w:rsidRDefault="000D594D" w:rsidP="00377F3A">
            <w:pPr>
              <w:pStyle w:val="TableText"/>
            </w:pPr>
            <w:r>
              <w:t>LC</w:t>
            </w:r>
            <w:r w:rsidRPr="00066436">
              <w:rPr>
                <w:vertAlign w:val="subscript"/>
              </w:rPr>
              <w:t>50</w:t>
            </w:r>
            <w:r>
              <w:t xml:space="preserve"> 2.9 mg/L</w:t>
            </w:r>
          </w:p>
        </w:tc>
        <w:tc>
          <w:tcPr>
            <w:tcW w:w="0" w:type="auto"/>
            <w:tcBorders>
              <w:top w:val="single" w:sz="4" w:space="0" w:color="auto"/>
              <w:left w:val="nil"/>
              <w:bottom w:val="nil"/>
              <w:right w:val="nil"/>
            </w:tcBorders>
          </w:tcPr>
          <w:p w14:paraId="19552144" w14:textId="77777777" w:rsidR="000D594D" w:rsidRPr="007528B2" w:rsidRDefault="000D594D" w:rsidP="00377F3A">
            <w:pPr>
              <w:pStyle w:val="TableText"/>
            </w:pPr>
            <w:r>
              <w:t xml:space="preserve">Scheerbaum </w:t>
            </w:r>
            <w:r w:rsidRPr="00592995">
              <w:rPr>
                <w:szCs w:val="16"/>
              </w:rPr>
              <w:t>2007a, 2007b</w:t>
            </w:r>
          </w:p>
        </w:tc>
      </w:tr>
      <w:tr w:rsidR="000D594D" w:rsidRPr="000B2FA7" w14:paraId="4F51AE3D" w14:textId="77777777" w:rsidTr="00377F3A">
        <w:tc>
          <w:tcPr>
            <w:tcW w:w="0" w:type="auto"/>
            <w:tcBorders>
              <w:top w:val="nil"/>
              <w:left w:val="nil"/>
              <w:bottom w:val="single" w:sz="4" w:space="0" w:color="auto"/>
              <w:right w:val="nil"/>
            </w:tcBorders>
          </w:tcPr>
          <w:p w14:paraId="375BEACE" w14:textId="77777777" w:rsidR="000D594D" w:rsidRDefault="000D594D" w:rsidP="00377F3A">
            <w:pPr>
              <w:pStyle w:val="TableText"/>
            </w:pPr>
          </w:p>
        </w:tc>
        <w:tc>
          <w:tcPr>
            <w:tcW w:w="1281" w:type="pct"/>
            <w:tcBorders>
              <w:top w:val="nil"/>
              <w:left w:val="nil"/>
              <w:bottom w:val="single" w:sz="4" w:space="0" w:color="auto"/>
              <w:right w:val="nil"/>
            </w:tcBorders>
          </w:tcPr>
          <w:p w14:paraId="5C4BB641" w14:textId="77777777" w:rsidR="000D594D" w:rsidRDefault="000D594D" w:rsidP="00377F3A">
            <w:pPr>
              <w:pStyle w:val="TableText"/>
            </w:pPr>
          </w:p>
        </w:tc>
        <w:tc>
          <w:tcPr>
            <w:tcW w:w="668" w:type="pct"/>
            <w:tcBorders>
              <w:top w:val="nil"/>
              <w:left w:val="nil"/>
              <w:bottom w:val="single" w:sz="4" w:space="0" w:color="auto"/>
              <w:right w:val="nil"/>
            </w:tcBorders>
          </w:tcPr>
          <w:p w14:paraId="5F9BB826" w14:textId="77777777" w:rsidR="000D594D" w:rsidRDefault="000D594D" w:rsidP="00377F3A">
            <w:pPr>
              <w:pStyle w:val="TableText"/>
            </w:pPr>
          </w:p>
        </w:tc>
        <w:tc>
          <w:tcPr>
            <w:tcW w:w="0" w:type="auto"/>
            <w:tcBorders>
              <w:top w:val="nil"/>
              <w:left w:val="nil"/>
              <w:bottom w:val="single" w:sz="4" w:space="0" w:color="auto"/>
              <w:right w:val="nil"/>
            </w:tcBorders>
          </w:tcPr>
          <w:p w14:paraId="73F47027" w14:textId="77777777" w:rsidR="000D594D" w:rsidRDefault="000D594D" w:rsidP="00377F3A">
            <w:pPr>
              <w:pStyle w:val="TableText"/>
            </w:pPr>
            <w:r>
              <w:t>LC</w:t>
            </w:r>
            <w:r w:rsidRPr="00F60524">
              <w:rPr>
                <w:vertAlign w:val="subscript"/>
              </w:rPr>
              <w:t>50</w:t>
            </w:r>
            <w:r>
              <w:t xml:space="preserve"> &gt;8.0 mg/L</w:t>
            </w:r>
          </w:p>
        </w:tc>
        <w:tc>
          <w:tcPr>
            <w:tcW w:w="0" w:type="auto"/>
            <w:tcBorders>
              <w:top w:val="nil"/>
              <w:left w:val="nil"/>
              <w:bottom w:val="single" w:sz="4" w:space="0" w:color="auto"/>
              <w:right w:val="nil"/>
            </w:tcBorders>
          </w:tcPr>
          <w:p w14:paraId="037F8D05" w14:textId="77777777" w:rsidR="000D594D" w:rsidRDefault="000D594D" w:rsidP="00377F3A">
            <w:pPr>
              <w:pStyle w:val="TableText"/>
            </w:pPr>
            <w:r>
              <w:t>Wetton &amp; McKenzi 2003</w:t>
            </w:r>
          </w:p>
        </w:tc>
      </w:tr>
      <w:tr w:rsidR="000D594D" w:rsidRPr="000B2FA7" w14:paraId="57E6048F" w14:textId="77777777" w:rsidTr="00377F3A">
        <w:tc>
          <w:tcPr>
            <w:tcW w:w="0" w:type="auto"/>
            <w:tcBorders>
              <w:top w:val="single" w:sz="4" w:space="0" w:color="auto"/>
              <w:left w:val="nil"/>
              <w:bottom w:val="nil"/>
              <w:right w:val="nil"/>
            </w:tcBorders>
          </w:tcPr>
          <w:p w14:paraId="1F43F3EC" w14:textId="77777777" w:rsidR="000D594D" w:rsidRDefault="000D594D" w:rsidP="00377F3A">
            <w:pPr>
              <w:pStyle w:val="TableText"/>
            </w:pPr>
            <w:r>
              <w:t>Invertebrates</w:t>
            </w:r>
          </w:p>
        </w:tc>
        <w:tc>
          <w:tcPr>
            <w:tcW w:w="1281" w:type="pct"/>
            <w:tcBorders>
              <w:top w:val="single" w:sz="4" w:space="0" w:color="auto"/>
              <w:left w:val="nil"/>
              <w:bottom w:val="nil"/>
              <w:right w:val="nil"/>
            </w:tcBorders>
          </w:tcPr>
          <w:p w14:paraId="0CF15657" w14:textId="77777777" w:rsidR="000D594D" w:rsidRDefault="000D594D" w:rsidP="00377F3A">
            <w:pPr>
              <w:pStyle w:val="TableText"/>
            </w:pPr>
            <w:r>
              <w:t>Acute</w:t>
            </w:r>
          </w:p>
        </w:tc>
        <w:tc>
          <w:tcPr>
            <w:tcW w:w="668" w:type="pct"/>
            <w:tcBorders>
              <w:top w:val="single" w:sz="4" w:space="0" w:color="auto"/>
              <w:left w:val="nil"/>
              <w:bottom w:val="nil"/>
              <w:right w:val="nil"/>
            </w:tcBorders>
          </w:tcPr>
          <w:p w14:paraId="218A0486" w14:textId="77777777" w:rsidR="000D594D" w:rsidRDefault="000D594D" w:rsidP="00377F3A">
            <w:pPr>
              <w:pStyle w:val="TableText"/>
            </w:pPr>
            <w:r>
              <w:t>Daphnia magna</w:t>
            </w:r>
          </w:p>
        </w:tc>
        <w:tc>
          <w:tcPr>
            <w:tcW w:w="0" w:type="auto"/>
            <w:tcBorders>
              <w:top w:val="single" w:sz="4" w:space="0" w:color="auto"/>
              <w:left w:val="nil"/>
              <w:bottom w:val="nil"/>
              <w:right w:val="nil"/>
            </w:tcBorders>
          </w:tcPr>
          <w:p w14:paraId="46DC5601" w14:textId="77777777" w:rsidR="000D594D" w:rsidRDefault="000D594D" w:rsidP="00377F3A">
            <w:pPr>
              <w:pStyle w:val="TableText"/>
            </w:pPr>
            <w:r>
              <w:t>EC</w:t>
            </w:r>
            <w:r w:rsidRPr="00066436">
              <w:rPr>
                <w:vertAlign w:val="subscript"/>
              </w:rPr>
              <w:t>50</w:t>
            </w:r>
            <w:r>
              <w:t xml:space="preserve"> 2.0 mg/L</w:t>
            </w:r>
          </w:p>
        </w:tc>
        <w:tc>
          <w:tcPr>
            <w:tcW w:w="0" w:type="auto"/>
            <w:tcBorders>
              <w:top w:val="single" w:sz="4" w:space="0" w:color="auto"/>
              <w:left w:val="nil"/>
              <w:bottom w:val="nil"/>
              <w:right w:val="nil"/>
            </w:tcBorders>
          </w:tcPr>
          <w:p w14:paraId="0DDC4F97" w14:textId="77777777" w:rsidR="000D594D" w:rsidRDefault="000D594D" w:rsidP="00377F3A">
            <w:pPr>
              <w:pStyle w:val="TableText"/>
            </w:pPr>
            <w:r>
              <w:t>Boeri &amp; Ward 1991</w:t>
            </w:r>
          </w:p>
        </w:tc>
      </w:tr>
      <w:tr w:rsidR="000D594D" w:rsidRPr="000B2FA7" w14:paraId="7A4E0438" w14:textId="77777777" w:rsidTr="00377F3A">
        <w:tc>
          <w:tcPr>
            <w:tcW w:w="0" w:type="auto"/>
            <w:tcBorders>
              <w:top w:val="nil"/>
              <w:left w:val="nil"/>
              <w:bottom w:val="single" w:sz="4" w:space="0" w:color="auto"/>
              <w:right w:val="nil"/>
            </w:tcBorders>
          </w:tcPr>
          <w:p w14:paraId="5E17C1A8" w14:textId="77777777" w:rsidR="000D594D" w:rsidRDefault="000D594D" w:rsidP="00377F3A">
            <w:pPr>
              <w:pStyle w:val="TableText"/>
            </w:pPr>
          </w:p>
        </w:tc>
        <w:tc>
          <w:tcPr>
            <w:tcW w:w="1281" w:type="pct"/>
            <w:tcBorders>
              <w:top w:val="nil"/>
              <w:left w:val="nil"/>
              <w:bottom w:val="single" w:sz="4" w:space="0" w:color="auto"/>
              <w:right w:val="nil"/>
            </w:tcBorders>
          </w:tcPr>
          <w:p w14:paraId="506D30C2" w14:textId="77777777" w:rsidR="000D594D" w:rsidRDefault="000D594D" w:rsidP="00377F3A">
            <w:pPr>
              <w:pStyle w:val="TableText"/>
            </w:pPr>
          </w:p>
        </w:tc>
        <w:tc>
          <w:tcPr>
            <w:tcW w:w="668" w:type="pct"/>
            <w:tcBorders>
              <w:top w:val="nil"/>
              <w:left w:val="nil"/>
              <w:bottom w:val="single" w:sz="4" w:space="0" w:color="auto"/>
              <w:right w:val="nil"/>
            </w:tcBorders>
          </w:tcPr>
          <w:p w14:paraId="07F45D71" w14:textId="77777777" w:rsidR="000D594D" w:rsidRPr="007528B2" w:rsidRDefault="000D594D" w:rsidP="00377F3A">
            <w:pPr>
              <w:pStyle w:val="TableText"/>
            </w:pPr>
          </w:p>
        </w:tc>
        <w:tc>
          <w:tcPr>
            <w:tcW w:w="0" w:type="auto"/>
            <w:tcBorders>
              <w:top w:val="nil"/>
              <w:left w:val="nil"/>
              <w:bottom w:val="single" w:sz="4" w:space="0" w:color="auto"/>
              <w:right w:val="nil"/>
            </w:tcBorders>
          </w:tcPr>
          <w:p w14:paraId="44B17F28" w14:textId="77777777" w:rsidR="000D594D" w:rsidRPr="007528B2" w:rsidRDefault="000D594D" w:rsidP="00377F3A">
            <w:pPr>
              <w:pStyle w:val="TableText"/>
            </w:pPr>
            <w:r>
              <w:t>EC</w:t>
            </w:r>
            <w:r w:rsidRPr="00066436">
              <w:rPr>
                <w:vertAlign w:val="subscript"/>
              </w:rPr>
              <w:t>50</w:t>
            </w:r>
            <w:r>
              <w:t xml:space="preserve"> 5.8 mg/L</w:t>
            </w:r>
          </w:p>
        </w:tc>
        <w:tc>
          <w:tcPr>
            <w:tcW w:w="0" w:type="auto"/>
            <w:tcBorders>
              <w:top w:val="nil"/>
              <w:left w:val="nil"/>
              <w:bottom w:val="single" w:sz="4" w:space="0" w:color="auto"/>
              <w:right w:val="nil"/>
            </w:tcBorders>
          </w:tcPr>
          <w:p w14:paraId="686809D4" w14:textId="77777777" w:rsidR="000D594D" w:rsidRPr="007528B2" w:rsidRDefault="000D594D" w:rsidP="00377F3A">
            <w:pPr>
              <w:pStyle w:val="TableText"/>
            </w:pPr>
            <w:r>
              <w:t>Noack 2007</w:t>
            </w:r>
          </w:p>
        </w:tc>
      </w:tr>
      <w:tr w:rsidR="000D594D" w:rsidRPr="000B2FA7" w14:paraId="2764C80A" w14:textId="77777777" w:rsidTr="00377F3A">
        <w:tc>
          <w:tcPr>
            <w:tcW w:w="0" w:type="auto"/>
            <w:tcBorders>
              <w:top w:val="single" w:sz="4" w:space="0" w:color="auto"/>
              <w:left w:val="nil"/>
              <w:bottom w:val="nil"/>
              <w:right w:val="nil"/>
            </w:tcBorders>
          </w:tcPr>
          <w:p w14:paraId="3C6CD3BD" w14:textId="77777777" w:rsidR="000D594D" w:rsidRDefault="000D594D" w:rsidP="00377F3A">
            <w:pPr>
              <w:pStyle w:val="TableText"/>
            </w:pPr>
            <w:r>
              <w:t>Algae</w:t>
            </w:r>
          </w:p>
        </w:tc>
        <w:tc>
          <w:tcPr>
            <w:tcW w:w="1281" w:type="pct"/>
            <w:tcBorders>
              <w:top w:val="single" w:sz="4" w:space="0" w:color="auto"/>
              <w:left w:val="nil"/>
              <w:bottom w:val="nil"/>
              <w:right w:val="nil"/>
            </w:tcBorders>
          </w:tcPr>
          <w:p w14:paraId="3603DE37" w14:textId="77777777" w:rsidR="000D594D" w:rsidRDefault="000D594D" w:rsidP="00377F3A">
            <w:pPr>
              <w:pStyle w:val="TableText"/>
            </w:pPr>
            <w:r>
              <w:t>Chronic</w:t>
            </w:r>
          </w:p>
        </w:tc>
        <w:tc>
          <w:tcPr>
            <w:tcW w:w="668" w:type="pct"/>
            <w:tcBorders>
              <w:top w:val="single" w:sz="4" w:space="0" w:color="auto"/>
              <w:left w:val="nil"/>
              <w:bottom w:val="nil"/>
              <w:right w:val="nil"/>
            </w:tcBorders>
          </w:tcPr>
          <w:p w14:paraId="4D70B4AE" w14:textId="77777777" w:rsidR="000D594D" w:rsidRDefault="000D594D" w:rsidP="00377F3A">
            <w:pPr>
              <w:pStyle w:val="TableText"/>
            </w:pPr>
            <w:r>
              <w:t>Scenedesmus subspicatus</w:t>
            </w:r>
          </w:p>
        </w:tc>
        <w:tc>
          <w:tcPr>
            <w:tcW w:w="0" w:type="auto"/>
            <w:tcBorders>
              <w:top w:val="single" w:sz="4" w:space="0" w:color="auto"/>
              <w:left w:val="nil"/>
              <w:bottom w:val="nil"/>
              <w:right w:val="nil"/>
            </w:tcBorders>
          </w:tcPr>
          <w:p w14:paraId="77D042BC" w14:textId="77777777" w:rsidR="000D594D" w:rsidRDefault="000D594D" w:rsidP="00377F3A">
            <w:pPr>
              <w:pStyle w:val="TableText"/>
            </w:pPr>
            <w:r>
              <w:t>E</w:t>
            </w:r>
            <w:r w:rsidRPr="00E11407">
              <w:rPr>
                <w:vertAlign w:val="subscript"/>
              </w:rPr>
              <w:t>b</w:t>
            </w:r>
            <w:r>
              <w:t>C</w:t>
            </w:r>
            <w:r w:rsidRPr="00E11407">
              <w:rPr>
                <w:vertAlign w:val="subscript"/>
              </w:rPr>
              <w:t>50</w:t>
            </w:r>
            <w:r>
              <w:t xml:space="preserve"> 0.17 mg/L</w:t>
            </w:r>
          </w:p>
        </w:tc>
        <w:tc>
          <w:tcPr>
            <w:tcW w:w="0" w:type="auto"/>
            <w:tcBorders>
              <w:top w:val="single" w:sz="4" w:space="0" w:color="auto"/>
              <w:left w:val="nil"/>
              <w:bottom w:val="nil"/>
              <w:right w:val="nil"/>
            </w:tcBorders>
          </w:tcPr>
          <w:p w14:paraId="0B9D2A19" w14:textId="77777777" w:rsidR="000D594D" w:rsidRDefault="000D594D" w:rsidP="00377F3A">
            <w:pPr>
              <w:pStyle w:val="TableText"/>
            </w:pPr>
            <w:r w:rsidRPr="00E11407">
              <w:t>Müllerschön</w:t>
            </w:r>
            <w:r>
              <w:t xml:space="preserve"> 1990</w:t>
            </w:r>
          </w:p>
        </w:tc>
      </w:tr>
      <w:tr w:rsidR="000D594D" w:rsidRPr="000B2FA7" w14:paraId="1356BE25" w14:textId="77777777" w:rsidTr="00377F3A">
        <w:tc>
          <w:tcPr>
            <w:tcW w:w="0" w:type="auto"/>
            <w:tcBorders>
              <w:top w:val="nil"/>
              <w:left w:val="nil"/>
              <w:bottom w:val="nil"/>
              <w:right w:val="nil"/>
            </w:tcBorders>
          </w:tcPr>
          <w:p w14:paraId="1E686FBA" w14:textId="77777777" w:rsidR="000D594D" w:rsidRDefault="000D594D" w:rsidP="00377F3A">
            <w:pPr>
              <w:pStyle w:val="TableText"/>
            </w:pPr>
          </w:p>
        </w:tc>
        <w:tc>
          <w:tcPr>
            <w:tcW w:w="1281" w:type="pct"/>
            <w:tcBorders>
              <w:top w:val="nil"/>
              <w:left w:val="nil"/>
              <w:bottom w:val="nil"/>
              <w:right w:val="nil"/>
            </w:tcBorders>
          </w:tcPr>
          <w:p w14:paraId="2792EF1D" w14:textId="77777777" w:rsidR="000D594D" w:rsidRDefault="000D594D" w:rsidP="00377F3A">
            <w:pPr>
              <w:pStyle w:val="TableText"/>
            </w:pPr>
          </w:p>
        </w:tc>
        <w:tc>
          <w:tcPr>
            <w:tcW w:w="668" w:type="pct"/>
            <w:tcBorders>
              <w:top w:val="nil"/>
              <w:left w:val="nil"/>
              <w:bottom w:val="nil"/>
              <w:right w:val="nil"/>
            </w:tcBorders>
          </w:tcPr>
          <w:p w14:paraId="4AEBFC62" w14:textId="77777777" w:rsidR="000D594D" w:rsidRPr="007528B2" w:rsidRDefault="000D594D" w:rsidP="00377F3A">
            <w:pPr>
              <w:pStyle w:val="TableText"/>
            </w:pPr>
            <w:r>
              <w:t>Raphidocelis subcapitata</w:t>
            </w:r>
          </w:p>
        </w:tc>
        <w:tc>
          <w:tcPr>
            <w:tcW w:w="0" w:type="auto"/>
            <w:tcBorders>
              <w:top w:val="nil"/>
              <w:left w:val="nil"/>
              <w:bottom w:val="nil"/>
              <w:right w:val="nil"/>
            </w:tcBorders>
          </w:tcPr>
          <w:p w14:paraId="5A3E1511" w14:textId="77777777" w:rsidR="000D594D" w:rsidRPr="007528B2" w:rsidRDefault="000D594D" w:rsidP="00377F3A">
            <w:pPr>
              <w:pStyle w:val="TableText"/>
            </w:pPr>
            <w:r>
              <w:t>E</w:t>
            </w:r>
            <w:r w:rsidRPr="00707E8F">
              <w:rPr>
                <w:vertAlign w:val="subscript"/>
              </w:rPr>
              <w:t>r</w:t>
            </w:r>
            <w:r>
              <w:t>C</w:t>
            </w:r>
            <w:r w:rsidRPr="00707E8F">
              <w:rPr>
                <w:vertAlign w:val="subscript"/>
              </w:rPr>
              <w:t>50</w:t>
            </w:r>
            <w:r>
              <w:t xml:space="preserve"> 1.1 mg/L</w:t>
            </w:r>
          </w:p>
        </w:tc>
        <w:tc>
          <w:tcPr>
            <w:tcW w:w="0" w:type="auto"/>
            <w:tcBorders>
              <w:top w:val="nil"/>
              <w:left w:val="nil"/>
              <w:bottom w:val="nil"/>
              <w:right w:val="nil"/>
            </w:tcBorders>
          </w:tcPr>
          <w:p w14:paraId="1ABB025F" w14:textId="77777777" w:rsidR="000D594D" w:rsidRPr="007528B2" w:rsidRDefault="000D594D" w:rsidP="00377F3A">
            <w:pPr>
              <w:pStyle w:val="TableText"/>
            </w:pPr>
            <w:r>
              <w:t>Scheerbaum 2007c</w:t>
            </w:r>
          </w:p>
        </w:tc>
      </w:tr>
      <w:tr w:rsidR="000D594D" w:rsidRPr="000B2FA7" w14:paraId="05FE14BA" w14:textId="77777777" w:rsidTr="00377F3A">
        <w:tc>
          <w:tcPr>
            <w:tcW w:w="0" w:type="auto"/>
            <w:tcBorders>
              <w:top w:val="nil"/>
              <w:left w:val="nil"/>
              <w:bottom w:val="single" w:sz="4" w:space="0" w:color="auto"/>
              <w:right w:val="nil"/>
            </w:tcBorders>
          </w:tcPr>
          <w:p w14:paraId="2520121C" w14:textId="77777777" w:rsidR="000D594D" w:rsidRDefault="000D594D" w:rsidP="00377F3A">
            <w:pPr>
              <w:pStyle w:val="TableText"/>
            </w:pPr>
          </w:p>
        </w:tc>
        <w:tc>
          <w:tcPr>
            <w:tcW w:w="1281" w:type="pct"/>
            <w:tcBorders>
              <w:top w:val="nil"/>
              <w:left w:val="nil"/>
              <w:bottom w:val="single" w:sz="4" w:space="0" w:color="auto"/>
              <w:right w:val="nil"/>
            </w:tcBorders>
          </w:tcPr>
          <w:p w14:paraId="5A637C16" w14:textId="77777777" w:rsidR="000D594D" w:rsidRDefault="000D594D" w:rsidP="00377F3A">
            <w:pPr>
              <w:pStyle w:val="TableText"/>
            </w:pPr>
          </w:p>
        </w:tc>
        <w:tc>
          <w:tcPr>
            <w:tcW w:w="668" w:type="pct"/>
            <w:tcBorders>
              <w:top w:val="nil"/>
              <w:left w:val="nil"/>
              <w:bottom w:val="single" w:sz="4" w:space="0" w:color="auto"/>
              <w:right w:val="nil"/>
            </w:tcBorders>
          </w:tcPr>
          <w:p w14:paraId="359C4683" w14:textId="77777777" w:rsidR="000D594D" w:rsidRDefault="000D594D" w:rsidP="00377F3A">
            <w:pPr>
              <w:pStyle w:val="TableText"/>
            </w:pPr>
          </w:p>
        </w:tc>
        <w:tc>
          <w:tcPr>
            <w:tcW w:w="0" w:type="auto"/>
            <w:tcBorders>
              <w:top w:val="nil"/>
              <w:left w:val="nil"/>
              <w:bottom w:val="single" w:sz="4" w:space="0" w:color="auto"/>
              <w:right w:val="nil"/>
            </w:tcBorders>
          </w:tcPr>
          <w:p w14:paraId="4749E65B" w14:textId="77777777" w:rsidR="000D594D" w:rsidRDefault="000D594D" w:rsidP="00377F3A">
            <w:pPr>
              <w:pStyle w:val="TableText"/>
            </w:pPr>
            <w:r>
              <w:t>E</w:t>
            </w:r>
            <w:r w:rsidRPr="004524FD">
              <w:rPr>
                <w:vertAlign w:val="subscript"/>
              </w:rPr>
              <w:t>r</w:t>
            </w:r>
            <w:r>
              <w:t>C</w:t>
            </w:r>
            <w:r w:rsidRPr="004524FD">
              <w:rPr>
                <w:vertAlign w:val="subscript"/>
              </w:rPr>
              <w:t>50</w:t>
            </w:r>
            <w:r>
              <w:t xml:space="preserve"> &gt;3.4 mg/L</w:t>
            </w:r>
          </w:p>
        </w:tc>
        <w:tc>
          <w:tcPr>
            <w:tcW w:w="0" w:type="auto"/>
            <w:tcBorders>
              <w:top w:val="nil"/>
              <w:left w:val="nil"/>
              <w:bottom w:val="single" w:sz="4" w:space="0" w:color="auto"/>
              <w:right w:val="nil"/>
            </w:tcBorders>
          </w:tcPr>
          <w:p w14:paraId="791717EF" w14:textId="77777777" w:rsidR="000D594D" w:rsidRDefault="000D594D" w:rsidP="00377F3A">
            <w:pPr>
              <w:pStyle w:val="TableText"/>
            </w:pPr>
            <w:r>
              <w:t>Ward &amp; Boeri 2002</w:t>
            </w:r>
          </w:p>
        </w:tc>
      </w:tr>
    </w:tbl>
    <w:p w14:paraId="6B1BEF58" w14:textId="489F75F7" w:rsidR="007F0040" w:rsidRPr="00861CA0" w:rsidRDefault="00BA7F5F" w:rsidP="00377F3A">
      <w:pPr>
        <w:pStyle w:val="Caption"/>
      </w:pPr>
      <w:bookmarkStart w:id="2073" w:name="_Ref213315890"/>
      <w:bookmarkStart w:id="2074" w:name="_Toc213946095"/>
      <w:bookmarkStart w:id="2075" w:name="_Toc216695786"/>
      <w:r>
        <w:lastRenderedPageBreak/>
        <w:t xml:space="preserve">Table </w:t>
      </w:r>
      <w:r>
        <w:fldChar w:fldCharType="begin"/>
      </w:r>
      <w:r>
        <w:instrText xml:space="preserve"> SEQ Table \* ARABIC </w:instrText>
      </w:r>
      <w:r>
        <w:fldChar w:fldCharType="separate"/>
      </w:r>
      <w:r w:rsidR="003861AC">
        <w:rPr>
          <w:noProof/>
        </w:rPr>
        <w:t>124</w:t>
      </w:r>
      <w:r>
        <w:fldChar w:fldCharType="end"/>
      </w:r>
      <w:bookmarkEnd w:id="2073"/>
      <w:r>
        <w:t xml:space="preserve">: </w:t>
      </w:r>
      <w:r w:rsidR="007F0040">
        <w:t>Bromadiolone – Effects on soil organisms</w:t>
      </w:r>
      <w:bookmarkEnd w:id="2074"/>
      <w:bookmarkEnd w:id="20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73"/>
        <w:gridCol w:w="1067"/>
        <w:gridCol w:w="1830"/>
        <w:gridCol w:w="2887"/>
        <w:gridCol w:w="1971"/>
      </w:tblGrid>
      <w:tr w:rsidR="007F0040" w:rsidRPr="000B2FA7" w14:paraId="4D88ECD9" w14:textId="77777777" w:rsidTr="0017134F">
        <w:trPr>
          <w:tblHeader/>
        </w:trPr>
        <w:tc>
          <w:tcPr>
            <w:tcW w:w="0" w:type="auto"/>
            <w:tcBorders>
              <w:bottom w:val="single" w:sz="4" w:space="0" w:color="auto"/>
            </w:tcBorders>
            <w:shd w:val="clear" w:color="auto" w:fill="53284F"/>
          </w:tcPr>
          <w:p w14:paraId="5FF8E214" w14:textId="77777777" w:rsidR="007F0040" w:rsidRDefault="007F0040" w:rsidP="00377F3A">
            <w:pPr>
              <w:pStyle w:val="TableHead"/>
            </w:pPr>
            <w:r>
              <w:t>Group</w:t>
            </w:r>
          </w:p>
        </w:tc>
        <w:tc>
          <w:tcPr>
            <w:tcW w:w="0" w:type="auto"/>
            <w:tcBorders>
              <w:bottom w:val="single" w:sz="4" w:space="0" w:color="auto"/>
            </w:tcBorders>
            <w:shd w:val="clear" w:color="auto" w:fill="53284F"/>
          </w:tcPr>
          <w:p w14:paraId="6A05F99F" w14:textId="77777777" w:rsidR="007F0040" w:rsidRDefault="007F0040" w:rsidP="00377F3A">
            <w:pPr>
              <w:pStyle w:val="TableHead"/>
            </w:pPr>
            <w:r>
              <w:t>Exposure</w:t>
            </w:r>
          </w:p>
        </w:tc>
        <w:tc>
          <w:tcPr>
            <w:tcW w:w="0" w:type="auto"/>
            <w:tcBorders>
              <w:bottom w:val="single" w:sz="4" w:space="0" w:color="auto"/>
            </w:tcBorders>
            <w:shd w:val="clear" w:color="auto" w:fill="53284F"/>
          </w:tcPr>
          <w:p w14:paraId="0246393C"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5B0E588F"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506854C5" w14:textId="77777777" w:rsidR="007F0040" w:rsidRPr="00CA558C" w:rsidRDefault="007F0040" w:rsidP="00377F3A">
            <w:pPr>
              <w:pStyle w:val="TableHead"/>
            </w:pPr>
            <w:r>
              <w:t>Reference</w:t>
            </w:r>
          </w:p>
        </w:tc>
      </w:tr>
      <w:tr w:rsidR="007F0040" w:rsidRPr="000B2FA7" w14:paraId="50F98C6E" w14:textId="77777777" w:rsidTr="007F0040">
        <w:tc>
          <w:tcPr>
            <w:tcW w:w="0" w:type="auto"/>
            <w:tcBorders>
              <w:top w:val="nil"/>
              <w:left w:val="nil"/>
              <w:bottom w:val="nil"/>
              <w:right w:val="nil"/>
            </w:tcBorders>
          </w:tcPr>
          <w:p w14:paraId="152D392D" w14:textId="77777777" w:rsidR="007F0040" w:rsidRDefault="007F0040" w:rsidP="00377F3A">
            <w:pPr>
              <w:pStyle w:val="TableText"/>
            </w:pPr>
            <w:r>
              <w:t>Macro-organisms</w:t>
            </w:r>
          </w:p>
        </w:tc>
        <w:tc>
          <w:tcPr>
            <w:tcW w:w="0" w:type="auto"/>
            <w:tcBorders>
              <w:top w:val="nil"/>
              <w:left w:val="nil"/>
              <w:bottom w:val="nil"/>
              <w:right w:val="nil"/>
            </w:tcBorders>
          </w:tcPr>
          <w:p w14:paraId="02F741A7" w14:textId="77777777" w:rsidR="007F0040" w:rsidRDefault="007F0040" w:rsidP="00377F3A">
            <w:pPr>
              <w:pStyle w:val="TableText"/>
            </w:pPr>
            <w:r>
              <w:t>Acute</w:t>
            </w:r>
          </w:p>
        </w:tc>
        <w:tc>
          <w:tcPr>
            <w:tcW w:w="0" w:type="auto"/>
            <w:tcBorders>
              <w:top w:val="nil"/>
              <w:left w:val="nil"/>
              <w:bottom w:val="nil"/>
              <w:right w:val="nil"/>
            </w:tcBorders>
          </w:tcPr>
          <w:p w14:paraId="629E5006" w14:textId="77777777" w:rsidR="007F0040" w:rsidRDefault="007F0040" w:rsidP="00377F3A">
            <w:pPr>
              <w:pStyle w:val="TableText"/>
            </w:pPr>
            <w:r w:rsidRPr="00C72A63">
              <w:t>Eisenia fetida</w:t>
            </w:r>
          </w:p>
        </w:tc>
        <w:tc>
          <w:tcPr>
            <w:tcW w:w="0" w:type="auto"/>
            <w:tcBorders>
              <w:top w:val="nil"/>
              <w:left w:val="nil"/>
              <w:bottom w:val="nil"/>
              <w:right w:val="nil"/>
            </w:tcBorders>
          </w:tcPr>
          <w:p w14:paraId="6E70E466" w14:textId="77777777" w:rsidR="007F0040" w:rsidRDefault="007F0040" w:rsidP="00377F3A">
            <w:pPr>
              <w:pStyle w:val="TableText"/>
            </w:pPr>
            <w:r>
              <w:t>LC</w:t>
            </w:r>
            <w:r w:rsidRPr="00C72A63">
              <w:rPr>
                <w:vertAlign w:val="subscript"/>
              </w:rPr>
              <w:t>50</w:t>
            </w:r>
            <w:r>
              <w:rPr>
                <w:vertAlign w:val="subscript"/>
              </w:rPr>
              <w:t>corr</w:t>
            </w:r>
            <w:r>
              <w:t xml:space="preserve"> &gt;665 mg/kg dry soil</w:t>
            </w:r>
          </w:p>
        </w:tc>
        <w:tc>
          <w:tcPr>
            <w:tcW w:w="0" w:type="auto"/>
            <w:tcBorders>
              <w:top w:val="nil"/>
              <w:left w:val="nil"/>
              <w:bottom w:val="nil"/>
              <w:right w:val="nil"/>
            </w:tcBorders>
          </w:tcPr>
          <w:p w14:paraId="7BF71550" w14:textId="77777777" w:rsidR="007F0040" w:rsidRDefault="007F0040" w:rsidP="00377F3A">
            <w:pPr>
              <w:pStyle w:val="TableText"/>
            </w:pPr>
            <w:r>
              <w:t>Staniland 2005b</w:t>
            </w:r>
          </w:p>
        </w:tc>
      </w:tr>
      <w:tr w:rsidR="007F0040" w:rsidRPr="000B2FA7" w14:paraId="1B4FF539" w14:textId="77777777" w:rsidTr="007F0040">
        <w:tc>
          <w:tcPr>
            <w:tcW w:w="0" w:type="auto"/>
            <w:tcBorders>
              <w:top w:val="nil"/>
              <w:left w:val="nil"/>
              <w:bottom w:val="single" w:sz="4" w:space="0" w:color="auto"/>
              <w:right w:val="nil"/>
            </w:tcBorders>
          </w:tcPr>
          <w:p w14:paraId="16F27229" w14:textId="77777777" w:rsidR="007F0040" w:rsidRDefault="007F0040" w:rsidP="00377F3A">
            <w:pPr>
              <w:pStyle w:val="TableText"/>
            </w:pPr>
          </w:p>
        </w:tc>
        <w:tc>
          <w:tcPr>
            <w:tcW w:w="0" w:type="auto"/>
            <w:tcBorders>
              <w:top w:val="nil"/>
              <w:left w:val="nil"/>
              <w:bottom w:val="single" w:sz="4" w:space="0" w:color="auto"/>
              <w:right w:val="nil"/>
            </w:tcBorders>
          </w:tcPr>
          <w:p w14:paraId="6E124C8F" w14:textId="77777777" w:rsidR="007F0040" w:rsidRDefault="007F0040" w:rsidP="00377F3A">
            <w:pPr>
              <w:pStyle w:val="TableText"/>
            </w:pPr>
          </w:p>
        </w:tc>
        <w:tc>
          <w:tcPr>
            <w:tcW w:w="0" w:type="auto"/>
            <w:tcBorders>
              <w:top w:val="nil"/>
              <w:left w:val="nil"/>
              <w:bottom w:val="single" w:sz="4" w:space="0" w:color="auto"/>
              <w:right w:val="nil"/>
            </w:tcBorders>
          </w:tcPr>
          <w:p w14:paraId="4F0FF698" w14:textId="77777777" w:rsidR="007F0040" w:rsidRPr="00C72A63" w:rsidRDefault="007F0040" w:rsidP="00377F3A">
            <w:pPr>
              <w:pStyle w:val="TableText"/>
            </w:pPr>
          </w:p>
        </w:tc>
        <w:tc>
          <w:tcPr>
            <w:tcW w:w="0" w:type="auto"/>
            <w:tcBorders>
              <w:top w:val="nil"/>
              <w:left w:val="nil"/>
              <w:bottom w:val="single" w:sz="4" w:space="0" w:color="auto"/>
              <w:right w:val="nil"/>
            </w:tcBorders>
          </w:tcPr>
          <w:p w14:paraId="32740DBF" w14:textId="77777777" w:rsidR="007F0040" w:rsidRDefault="007F0040" w:rsidP="00377F3A">
            <w:pPr>
              <w:pStyle w:val="TableText"/>
            </w:pPr>
            <w:r>
              <w:t>LC</w:t>
            </w:r>
            <w:r w:rsidRPr="00C72A63">
              <w:rPr>
                <w:vertAlign w:val="subscript"/>
              </w:rPr>
              <w:t>50</w:t>
            </w:r>
            <w:r>
              <w:rPr>
                <w:vertAlign w:val="subscript"/>
              </w:rPr>
              <w:t>corr</w:t>
            </w:r>
            <w:r>
              <w:t xml:space="preserve"> &gt;4.7 mg/kg dry soil</w:t>
            </w:r>
          </w:p>
        </w:tc>
        <w:tc>
          <w:tcPr>
            <w:tcW w:w="0" w:type="auto"/>
            <w:tcBorders>
              <w:top w:val="nil"/>
              <w:left w:val="nil"/>
              <w:bottom w:val="single" w:sz="4" w:space="0" w:color="auto"/>
              <w:right w:val="nil"/>
            </w:tcBorders>
          </w:tcPr>
          <w:p w14:paraId="29401AC6" w14:textId="77777777" w:rsidR="007F0040" w:rsidRDefault="007F0040" w:rsidP="00377F3A">
            <w:pPr>
              <w:pStyle w:val="TableText"/>
            </w:pPr>
            <w:r>
              <w:t>Odin-Feurtet 1999</w:t>
            </w:r>
          </w:p>
        </w:tc>
      </w:tr>
    </w:tbl>
    <w:p w14:paraId="668BFF7C" w14:textId="2E8D7869" w:rsidR="007F0040" w:rsidRPr="007F0040" w:rsidRDefault="00BA7F5F" w:rsidP="00377F3A">
      <w:pPr>
        <w:pStyle w:val="Caption"/>
      </w:pPr>
      <w:bookmarkStart w:id="2076" w:name="_Toc213946096"/>
      <w:bookmarkStart w:id="2077" w:name="_Toc216695787"/>
      <w:r>
        <w:t xml:space="preserve">Table </w:t>
      </w:r>
      <w:r>
        <w:fldChar w:fldCharType="begin"/>
      </w:r>
      <w:r>
        <w:instrText xml:space="preserve"> SEQ Table \* ARABIC </w:instrText>
      </w:r>
      <w:r>
        <w:fldChar w:fldCharType="separate"/>
      </w:r>
      <w:r w:rsidR="003861AC">
        <w:rPr>
          <w:noProof/>
        </w:rPr>
        <w:t>125</w:t>
      </w:r>
      <w:r>
        <w:fldChar w:fldCharType="end"/>
      </w:r>
      <w:r>
        <w:t xml:space="preserve">: </w:t>
      </w:r>
      <w:r w:rsidR="007F0040" w:rsidRPr="007F0040">
        <w:t>Bromadiolone – Effects on biological methods of sewage treatment</w:t>
      </w:r>
      <w:bookmarkEnd w:id="2076"/>
      <w:bookmarkEnd w:id="20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71"/>
        <w:gridCol w:w="2900"/>
        <w:gridCol w:w="3357"/>
      </w:tblGrid>
      <w:tr w:rsidR="007F0040" w:rsidRPr="007F0040" w14:paraId="7059FE32" w14:textId="77777777" w:rsidTr="0017134F">
        <w:trPr>
          <w:cantSplit/>
          <w:tblHeader/>
        </w:trPr>
        <w:tc>
          <w:tcPr>
            <w:tcW w:w="0" w:type="auto"/>
            <w:tcBorders>
              <w:bottom w:val="single" w:sz="4" w:space="0" w:color="auto"/>
            </w:tcBorders>
            <w:shd w:val="clear" w:color="auto" w:fill="53284F"/>
          </w:tcPr>
          <w:p w14:paraId="4385DBD2" w14:textId="77777777" w:rsidR="007F0040" w:rsidRPr="007F0040" w:rsidRDefault="007F004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014EEDDF" w14:textId="77777777" w:rsidR="007F0040" w:rsidRPr="007F0040" w:rsidRDefault="007F004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4C082AAD" w14:textId="77777777" w:rsidR="007F0040" w:rsidRPr="007F0040" w:rsidRDefault="007F0040" w:rsidP="00377F3A">
            <w:pPr>
              <w:pStyle w:val="TableHead"/>
              <w:rPr>
                <w:lang w:eastAsia="en-AU"/>
              </w:rPr>
            </w:pPr>
            <w:r w:rsidRPr="007F0040">
              <w:rPr>
                <w:lang w:eastAsia="en-AU"/>
              </w:rPr>
              <w:t>Reference</w:t>
            </w:r>
          </w:p>
        </w:tc>
      </w:tr>
      <w:tr w:rsidR="007F0040" w:rsidRPr="007F0040" w14:paraId="1A0E5DF0" w14:textId="77777777" w:rsidTr="007F0040">
        <w:trPr>
          <w:cantSplit/>
        </w:trPr>
        <w:tc>
          <w:tcPr>
            <w:tcW w:w="0" w:type="auto"/>
            <w:tcBorders>
              <w:top w:val="nil"/>
              <w:left w:val="nil"/>
              <w:bottom w:val="nil"/>
              <w:right w:val="nil"/>
            </w:tcBorders>
          </w:tcPr>
          <w:p w14:paraId="22D5F36C" w14:textId="77777777" w:rsidR="007F0040" w:rsidRPr="007F0040" w:rsidRDefault="007F0040" w:rsidP="00377F3A">
            <w:pPr>
              <w:pStyle w:val="TableText"/>
              <w:rPr>
                <w:lang w:eastAsia="en-AU"/>
              </w:rPr>
            </w:pPr>
            <w:r w:rsidRPr="007F0040">
              <w:t>Pseudomonas putida</w:t>
            </w:r>
          </w:p>
        </w:tc>
        <w:tc>
          <w:tcPr>
            <w:tcW w:w="0" w:type="auto"/>
            <w:tcBorders>
              <w:top w:val="nil"/>
              <w:left w:val="nil"/>
              <w:bottom w:val="nil"/>
              <w:right w:val="nil"/>
            </w:tcBorders>
          </w:tcPr>
          <w:p w14:paraId="04E83541" w14:textId="77777777" w:rsidR="007F0040" w:rsidRPr="007F0040" w:rsidRDefault="007F0040" w:rsidP="00377F3A">
            <w:pPr>
              <w:pStyle w:val="TableText"/>
            </w:pPr>
            <w:r w:rsidRPr="007F0040">
              <w:t>EC</w:t>
            </w:r>
            <w:r w:rsidRPr="007F0040">
              <w:rPr>
                <w:vertAlign w:val="subscript"/>
              </w:rPr>
              <w:t>50</w:t>
            </w:r>
            <w:r w:rsidRPr="007F0040">
              <w:t xml:space="preserve"> &gt;0.058 mg/L</w:t>
            </w:r>
          </w:p>
        </w:tc>
        <w:tc>
          <w:tcPr>
            <w:tcW w:w="0" w:type="auto"/>
            <w:tcBorders>
              <w:top w:val="nil"/>
              <w:left w:val="nil"/>
              <w:bottom w:val="nil"/>
              <w:right w:val="nil"/>
            </w:tcBorders>
          </w:tcPr>
          <w:p w14:paraId="5B4FA8DF" w14:textId="77777777" w:rsidR="007F0040" w:rsidRPr="007F0040" w:rsidRDefault="007F0040" w:rsidP="00377F3A">
            <w:pPr>
              <w:pStyle w:val="TableText"/>
            </w:pPr>
            <w:r w:rsidRPr="007F0040">
              <w:t>Mather &amp; Tapp 1988</w:t>
            </w:r>
          </w:p>
        </w:tc>
      </w:tr>
      <w:tr w:rsidR="007F0040" w:rsidRPr="007F0040" w14:paraId="0E48C97F" w14:textId="77777777" w:rsidTr="007F0040">
        <w:trPr>
          <w:cantSplit/>
        </w:trPr>
        <w:tc>
          <w:tcPr>
            <w:tcW w:w="0" w:type="auto"/>
            <w:tcBorders>
              <w:top w:val="nil"/>
              <w:left w:val="nil"/>
              <w:bottom w:val="nil"/>
              <w:right w:val="nil"/>
            </w:tcBorders>
          </w:tcPr>
          <w:p w14:paraId="2928251C" w14:textId="77777777" w:rsidR="007F0040" w:rsidRPr="007F0040" w:rsidRDefault="007F0040" w:rsidP="00377F3A">
            <w:pPr>
              <w:pStyle w:val="TableText"/>
            </w:pPr>
            <w:r w:rsidRPr="007F0040">
              <w:rPr>
                <w:lang w:eastAsia="en-AU"/>
              </w:rPr>
              <w:t>Activated sludge</w:t>
            </w:r>
          </w:p>
        </w:tc>
        <w:tc>
          <w:tcPr>
            <w:tcW w:w="0" w:type="auto"/>
            <w:tcBorders>
              <w:top w:val="nil"/>
              <w:left w:val="nil"/>
              <w:bottom w:val="nil"/>
              <w:right w:val="nil"/>
            </w:tcBorders>
          </w:tcPr>
          <w:p w14:paraId="04247A18" w14:textId="77777777" w:rsidR="007F0040" w:rsidRPr="007F0040" w:rsidRDefault="007F0040" w:rsidP="00377F3A">
            <w:pPr>
              <w:pStyle w:val="TableText"/>
            </w:pPr>
            <w:r w:rsidRPr="007F0040">
              <w:t>EC</w:t>
            </w:r>
            <w:r w:rsidRPr="007F0040">
              <w:rPr>
                <w:vertAlign w:val="subscript"/>
              </w:rPr>
              <w:t>50</w:t>
            </w:r>
            <w:r w:rsidRPr="007F0040">
              <w:t xml:space="preserve"> 133 mg/L</w:t>
            </w:r>
          </w:p>
        </w:tc>
        <w:tc>
          <w:tcPr>
            <w:tcW w:w="0" w:type="auto"/>
            <w:tcBorders>
              <w:top w:val="nil"/>
              <w:left w:val="nil"/>
              <w:bottom w:val="nil"/>
              <w:right w:val="nil"/>
            </w:tcBorders>
          </w:tcPr>
          <w:p w14:paraId="066C92CF" w14:textId="77777777" w:rsidR="007F0040" w:rsidRPr="007F0040" w:rsidRDefault="007F0040" w:rsidP="00377F3A">
            <w:pPr>
              <w:pStyle w:val="TableText"/>
            </w:pPr>
            <w:r w:rsidRPr="007F0040">
              <w:t>Gáty 2002</w:t>
            </w:r>
          </w:p>
        </w:tc>
      </w:tr>
      <w:tr w:rsidR="007F0040" w:rsidRPr="007F0040" w14:paraId="009F03A8" w14:textId="77777777" w:rsidTr="007F0040">
        <w:trPr>
          <w:cantSplit/>
        </w:trPr>
        <w:tc>
          <w:tcPr>
            <w:tcW w:w="0" w:type="auto"/>
            <w:tcBorders>
              <w:top w:val="nil"/>
              <w:left w:val="nil"/>
              <w:bottom w:val="single" w:sz="4" w:space="0" w:color="auto"/>
              <w:right w:val="nil"/>
            </w:tcBorders>
          </w:tcPr>
          <w:p w14:paraId="17C9C3C2" w14:textId="77777777" w:rsidR="007F0040" w:rsidRPr="007F0040" w:rsidRDefault="007F0040" w:rsidP="00377F3A">
            <w:pPr>
              <w:pStyle w:val="TableText"/>
              <w:rPr>
                <w:lang w:eastAsia="en-AU"/>
              </w:rPr>
            </w:pPr>
          </w:p>
        </w:tc>
        <w:tc>
          <w:tcPr>
            <w:tcW w:w="0" w:type="auto"/>
            <w:tcBorders>
              <w:top w:val="nil"/>
              <w:left w:val="nil"/>
              <w:bottom w:val="single" w:sz="4" w:space="0" w:color="auto"/>
              <w:right w:val="nil"/>
            </w:tcBorders>
          </w:tcPr>
          <w:p w14:paraId="3267B36F" w14:textId="77777777" w:rsidR="007F0040" w:rsidRPr="007F0040" w:rsidRDefault="007F0040" w:rsidP="00377F3A">
            <w:pPr>
              <w:pStyle w:val="TableText"/>
            </w:pPr>
            <w:r w:rsidRPr="007F0040">
              <w:t>EC</w:t>
            </w:r>
            <w:r w:rsidRPr="007F0040">
              <w:rPr>
                <w:vertAlign w:val="subscript"/>
              </w:rPr>
              <w:t>50</w:t>
            </w:r>
            <w:r w:rsidRPr="007F0040">
              <w:t xml:space="preserve"> 32 mg/L</w:t>
            </w:r>
          </w:p>
        </w:tc>
        <w:tc>
          <w:tcPr>
            <w:tcW w:w="0" w:type="auto"/>
            <w:tcBorders>
              <w:top w:val="nil"/>
              <w:left w:val="nil"/>
              <w:bottom w:val="single" w:sz="4" w:space="0" w:color="auto"/>
              <w:right w:val="nil"/>
            </w:tcBorders>
          </w:tcPr>
          <w:p w14:paraId="4F5B6784" w14:textId="77777777" w:rsidR="007F0040" w:rsidRPr="007F0040" w:rsidRDefault="007F0040" w:rsidP="00377F3A">
            <w:pPr>
              <w:pStyle w:val="TableText"/>
            </w:pPr>
            <w:r w:rsidRPr="007F0040">
              <w:t>Kelly &amp; Clayton 2002</w:t>
            </w:r>
          </w:p>
        </w:tc>
      </w:tr>
    </w:tbl>
    <w:p w14:paraId="38D6360B" w14:textId="2BE47B33" w:rsidR="00EE24E4" w:rsidRDefault="00EE24E4" w:rsidP="00377F3A">
      <w:pPr>
        <w:pStyle w:val="APVMAAppendixH2"/>
      </w:pPr>
      <w:bookmarkStart w:id="2078" w:name="_Toc214025621"/>
      <w:bookmarkStart w:id="2079" w:name="_Toc216695643"/>
      <w:r>
        <w:t>Difenacoum</w:t>
      </w:r>
      <w:bookmarkEnd w:id="2078"/>
      <w:bookmarkEnd w:id="2079"/>
    </w:p>
    <w:p w14:paraId="710DF9B4" w14:textId="77777777" w:rsidR="00EE24E4" w:rsidRDefault="00EE24E4" w:rsidP="00377F3A">
      <w:pPr>
        <w:pStyle w:val="APVMAAppendixH3"/>
      </w:pPr>
      <w:bookmarkStart w:id="2080" w:name="_Toc214025622"/>
      <w:bookmarkStart w:id="2081" w:name="_Toc216695644"/>
      <w:r>
        <w:t>Fate and behaviour in the environment</w:t>
      </w:r>
      <w:bookmarkEnd w:id="2080"/>
      <w:bookmarkEnd w:id="2081"/>
    </w:p>
    <w:p w14:paraId="37AD98DC" w14:textId="1F3803DD" w:rsidR="00EE24E4" w:rsidRPr="00542311" w:rsidRDefault="00BA7F5F" w:rsidP="00377F3A">
      <w:pPr>
        <w:pStyle w:val="Caption"/>
        <w:rPr>
          <w:color w:val="auto"/>
        </w:rPr>
      </w:pPr>
      <w:bookmarkStart w:id="2082" w:name="_Toc213946097"/>
      <w:bookmarkStart w:id="2083" w:name="_Toc216695788"/>
      <w:r>
        <w:t xml:space="preserve">Table </w:t>
      </w:r>
      <w:r>
        <w:fldChar w:fldCharType="begin"/>
      </w:r>
      <w:r>
        <w:instrText xml:space="preserve"> SEQ Table \* ARABIC </w:instrText>
      </w:r>
      <w:r>
        <w:fldChar w:fldCharType="separate"/>
      </w:r>
      <w:r w:rsidR="003861AC">
        <w:rPr>
          <w:noProof/>
        </w:rPr>
        <w:t>126</w:t>
      </w:r>
      <w:r>
        <w:fldChar w:fldCharType="end"/>
      </w:r>
      <w:r>
        <w:t xml:space="preserve">: </w:t>
      </w:r>
      <w:r w:rsidR="00E935FC">
        <w:t xml:space="preserve">Difenacoum – </w:t>
      </w:r>
      <w:r w:rsidR="00EE24E4" w:rsidRPr="008B4AF6">
        <w:t>Physical</w:t>
      </w:r>
      <w:r w:rsidR="00E935FC">
        <w:t xml:space="preserve"> </w:t>
      </w:r>
      <w:r w:rsidR="00EE24E4" w:rsidRPr="008B4AF6">
        <w:t>and chemical properties</w:t>
      </w:r>
      <w:r w:rsidR="00EE24E4">
        <w:t xml:space="preserve"> of difenacoum</w:t>
      </w:r>
      <w:bookmarkEnd w:id="2082"/>
      <w:bookmarkEnd w:id="20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2"/>
        <w:gridCol w:w="3655"/>
        <w:gridCol w:w="3391"/>
      </w:tblGrid>
      <w:tr w:rsidR="00EE24E4" w:rsidRPr="00542311" w14:paraId="62E9D2F8" w14:textId="77777777" w:rsidTr="0017134F">
        <w:trPr>
          <w:tblHeader/>
        </w:trPr>
        <w:tc>
          <w:tcPr>
            <w:tcW w:w="0" w:type="auto"/>
            <w:tcBorders>
              <w:bottom w:val="single" w:sz="4" w:space="0" w:color="auto"/>
            </w:tcBorders>
            <w:shd w:val="clear" w:color="auto" w:fill="53284F"/>
          </w:tcPr>
          <w:p w14:paraId="19CE0352" w14:textId="77777777" w:rsidR="00EE24E4" w:rsidRPr="00542311" w:rsidRDefault="00EE24E4" w:rsidP="00377F3A">
            <w:pPr>
              <w:pStyle w:val="TableHead"/>
            </w:pPr>
            <w:r w:rsidRPr="00542311">
              <w:t>Study</w:t>
            </w:r>
          </w:p>
        </w:tc>
        <w:tc>
          <w:tcPr>
            <w:tcW w:w="0" w:type="auto"/>
            <w:tcBorders>
              <w:bottom w:val="single" w:sz="4" w:space="0" w:color="auto"/>
            </w:tcBorders>
            <w:shd w:val="clear" w:color="auto" w:fill="53284F"/>
          </w:tcPr>
          <w:p w14:paraId="0F621AA3" w14:textId="77777777" w:rsidR="00EE24E4" w:rsidRPr="00542311" w:rsidRDefault="00EE24E4" w:rsidP="00377F3A">
            <w:pPr>
              <w:pStyle w:val="TableHead"/>
            </w:pPr>
            <w:r w:rsidRPr="00542311">
              <w:t>Result</w:t>
            </w:r>
          </w:p>
        </w:tc>
        <w:tc>
          <w:tcPr>
            <w:tcW w:w="0" w:type="auto"/>
            <w:tcBorders>
              <w:bottom w:val="single" w:sz="4" w:space="0" w:color="auto"/>
            </w:tcBorders>
            <w:shd w:val="clear" w:color="auto" w:fill="53284F"/>
          </w:tcPr>
          <w:p w14:paraId="41A49B62" w14:textId="77777777" w:rsidR="00EE24E4" w:rsidRPr="00542311" w:rsidRDefault="00EE24E4" w:rsidP="00377F3A">
            <w:pPr>
              <w:pStyle w:val="TableHead"/>
            </w:pPr>
            <w:r w:rsidRPr="00542311">
              <w:t>Reference</w:t>
            </w:r>
          </w:p>
        </w:tc>
      </w:tr>
      <w:tr w:rsidR="00EE24E4" w:rsidRPr="008B4AF6" w14:paraId="72161003" w14:textId="77777777" w:rsidTr="000B24BE">
        <w:tc>
          <w:tcPr>
            <w:tcW w:w="0" w:type="auto"/>
            <w:tcBorders>
              <w:top w:val="single" w:sz="4" w:space="0" w:color="auto"/>
              <w:left w:val="nil"/>
              <w:bottom w:val="nil"/>
              <w:right w:val="nil"/>
            </w:tcBorders>
          </w:tcPr>
          <w:p w14:paraId="3F4F622A" w14:textId="77777777" w:rsidR="00EE24E4" w:rsidRPr="008B4AF6" w:rsidRDefault="00EE24E4" w:rsidP="00377F3A">
            <w:pPr>
              <w:pStyle w:val="TableText"/>
            </w:pPr>
            <w:r w:rsidRPr="008B4AF6">
              <w:t>Vapour pressure</w:t>
            </w:r>
          </w:p>
        </w:tc>
        <w:tc>
          <w:tcPr>
            <w:tcW w:w="0" w:type="auto"/>
            <w:tcBorders>
              <w:top w:val="single" w:sz="4" w:space="0" w:color="auto"/>
              <w:left w:val="nil"/>
              <w:bottom w:val="nil"/>
              <w:right w:val="nil"/>
            </w:tcBorders>
          </w:tcPr>
          <w:p w14:paraId="6375B894" w14:textId="77777777" w:rsidR="00EE24E4" w:rsidRPr="00700E9F" w:rsidRDefault="00EE24E4" w:rsidP="00377F3A">
            <w:pPr>
              <w:pStyle w:val="TableText"/>
              <w:rPr>
                <w:u w:val="single"/>
              </w:rPr>
            </w:pPr>
            <w:r w:rsidRPr="007108DD">
              <w:t>&lt;0.05</w:t>
            </w:r>
            <w:r>
              <w:t xml:space="preserve"> × 10</w:t>
            </w:r>
            <w:r w:rsidRPr="001B1C10">
              <w:rPr>
                <w:vertAlign w:val="superscript"/>
              </w:rPr>
              <w:t>-</w:t>
            </w:r>
            <w:r>
              <w:rPr>
                <w:vertAlign w:val="superscript"/>
              </w:rPr>
              <w:t>3</w:t>
            </w:r>
            <w:r>
              <w:t xml:space="preserve"> Pa at 45°C</w:t>
            </w:r>
          </w:p>
        </w:tc>
        <w:tc>
          <w:tcPr>
            <w:tcW w:w="0" w:type="auto"/>
            <w:tcBorders>
              <w:top w:val="single" w:sz="4" w:space="0" w:color="auto"/>
              <w:left w:val="nil"/>
              <w:bottom w:val="nil"/>
              <w:right w:val="nil"/>
            </w:tcBorders>
          </w:tcPr>
          <w:p w14:paraId="3636DF02" w14:textId="77777777" w:rsidR="00EE24E4" w:rsidRDefault="00EE24E4" w:rsidP="00377F3A">
            <w:pPr>
              <w:pStyle w:val="TableText"/>
            </w:pPr>
            <w:r>
              <w:t>Fabbrini 1997b</w:t>
            </w:r>
          </w:p>
        </w:tc>
      </w:tr>
      <w:tr w:rsidR="00EE24E4" w:rsidRPr="008B4AF6" w14:paraId="5BCD1E23" w14:textId="77777777" w:rsidTr="000B24BE">
        <w:tc>
          <w:tcPr>
            <w:tcW w:w="0" w:type="auto"/>
            <w:tcBorders>
              <w:top w:val="nil"/>
              <w:left w:val="nil"/>
              <w:bottom w:val="nil"/>
              <w:right w:val="nil"/>
            </w:tcBorders>
          </w:tcPr>
          <w:p w14:paraId="53713D72" w14:textId="77777777" w:rsidR="00EE24E4" w:rsidRDefault="00EE24E4" w:rsidP="00377F3A">
            <w:pPr>
              <w:pStyle w:val="TableText"/>
            </w:pPr>
          </w:p>
        </w:tc>
        <w:tc>
          <w:tcPr>
            <w:tcW w:w="0" w:type="auto"/>
            <w:tcBorders>
              <w:top w:val="nil"/>
              <w:left w:val="nil"/>
              <w:bottom w:val="nil"/>
              <w:right w:val="nil"/>
            </w:tcBorders>
          </w:tcPr>
          <w:p w14:paraId="3A4F3015" w14:textId="77777777" w:rsidR="00EE24E4" w:rsidRDefault="00EE24E4" w:rsidP="00377F3A">
            <w:pPr>
              <w:pStyle w:val="TableText"/>
            </w:pPr>
            <w:r>
              <w:t>1.9 × 10</w:t>
            </w:r>
            <w:r w:rsidRPr="001B1C10">
              <w:rPr>
                <w:vertAlign w:val="superscript"/>
              </w:rPr>
              <w:t>-</w:t>
            </w:r>
            <w:r>
              <w:rPr>
                <w:vertAlign w:val="superscript"/>
              </w:rPr>
              <w:t>3</w:t>
            </w:r>
            <w:r>
              <w:t xml:space="preserve"> Pa at 25°C (estimate)</w:t>
            </w:r>
          </w:p>
        </w:tc>
        <w:tc>
          <w:tcPr>
            <w:tcW w:w="0" w:type="auto"/>
            <w:tcBorders>
              <w:top w:val="nil"/>
              <w:left w:val="nil"/>
              <w:bottom w:val="nil"/>
              <w:right w:val="nil"/>
            </w:tcBorders>
          </w:tcPr>
          <w:p w14:paraId="0AF45E2A" w14:textId="77777777" w:rsidR="00EE24E4" w:rsidRDefault="00EE24E4" w:rsidP="00377F3A">
            <w:pPr>
              <w:pStyle w:val="TableText"/>
            </w:pPr>
            <w:r>
              <w:t>Russell 1996</w:t>
            </w:r>
          </w:p>
        </w:tc>
      </w:tr>
      <w:tr w:rsidR="00EE24E4" w:rsidRPr="008B4AF6" w14:paraId="6ACCE7B5" w14:textId="77777777" w:rsidTr="000B24BE">
        <w:tc>
          <w:tcPr>
            <w:tcW w:w="0" w:type="auto"/>
            <w:tcBorders>
              <w:top w:val="nil"/>
              <w:left w:val="nil"/>
              <w:bottom w:val="nil"/>
              <w:right w:val="nil"/>
            </w:tcBorders>
          </w:tcPr>
          <w:p w14:paraId="670A1D59" w14:textId="77777777" w:rsidR="00EE24E4" w:rsidRPr="008B4AF6" w:rsidRDefault="00EE24E4" w:rsidP="00377F3A">
            <w:pPr>
              <w:pStyle w:val="TableText"/>
            </w:pPr>
            <w:r>
              <w:t>Henry’s law constant</w:t>
            </w:r>
          </w:p>
        </w:tc>
        <w:tc>
          <w:tcPr>
            <w:tcW w:w="0" w:type="auto"/>
            <w:tcBorders>
              <w:top w:val="nil"/>
              <w:left w:val="nil"/>
              <w:bottom w:val="nil"/>
              <w:right w:val="nil"/>
            </w:tcBorders>
          </w:tcPr>
          <w:p w14:paraId="0A14CA1C" w14:textId="77777777" w:rsidR="00EE24E4" w:rsidRPr="00E65C02" w:rsidRDefault="00EE24E4" w:rsidP="00377F3A">
            <w:pPr>
              <w:pStyle w:val="TableText"/>
            </w:pPr>
            <w:r>
              <w:t>&lt;0.046 Pa m</w:t>
            </w:r>
            <w:r w:rsidRPr="00005672">
              <w:rPr>
                <w:vertAlign w:val="superscript"/>
              </w:rPr>
              <w:t>3</w:t>
            </w:r>
            <w:r>
              <w:t xml:space="preserve"> mol</w:t>
            </w:r>
            <w:r w:rsidRPr="001B1C10">
              <w:rPr>
                <w:vertAlign w:val="superscript"/>
              </w:rPr>
              <w:t>-1</w:t>
            </w:r>
          </w:p>
        </w:tc>
        <w:tc>
          <w:tcPr>
            <w:tcW w:w="0" w:type="auto"/>
            <w:tcBorders>
              <w:top w:val="nil"/>
              <w:left w:val="nil"/>
              <w:bottom w:val="nil"/>
              <w:right w:val="nil"/>
            </w:tcBorders>
          </w:tcPr>
          <w:p w14:paraId="5A9A416D" w14:textId="77777777" w:rsidR="00EE24E4" w:rsidRDefault="00EE24E4" w:rsidP="00377F3A">
            <w:pPr>
              <w:pStyle w:val="TableText"/>
            </w:pPr>
            <w:r>
              <w:t>Worthington 2006a</w:t>
            </w:r>
          </w:p>
        </w:tc>
      </w:tr>
      <w:tr w:rsidR="00EE24E4" w:rsidRPr="008B4AF6" w14:paraId="04E0E626" w14:textId="77777777" w:rsidTr="000B24BE">
        <w:tc>
          <w:tcPr>
            <w:tcW w:w="0" w:type="auto"/>
            <w:tcBorders>
              <w:top w:val="nil"/>
              <w:left w:val="nil"/>
              <w:bottom w:val="nil"/>
              <w:right w:val="nil"/>
            </w:tcBorders>
          </w:tcPr>
          <w:p w14:paraId="51E20749" w14:textId="77777777" w:rsidR="00EE24E4" w:rsidRDefault="00EE24E4" w:rsidP="00377F3A">
            <w:pPr>
              <w:pStyle w:val="TableText"/>
            </w:pPr>
            <w:r w:rsidRPr="008B4AF6">
              <w:t>Solubility in water</w:t>
            </w:r>
          </w:p>
        </w:tc>
        <w:tc>
          <w:tcPr>
            <w:tcW w:w="0" w:type="auto"/>
            <w:tcBorders>
              <w:top w:val="nil"/>
              <w:left w:val="nil"/>
              <w:bottom w:val="nil"/>
              <w:right w:val="nil"/>
            </w:tcBorders>
          </w:tcPr>
          <w:p w14:paraId="673E5129" w14:textId="77777777" w:rsidR="00EE24E4" w:rsidRPr="006F78D3" w:rsidRDefault="00EE24E4" w:rsidP="00377F3A">
            <w:pPr>
              <w:pStyle w:val="TableText"/>
              <w:rPr>
                <w:lang w:val="de-CH"/>
              </w:rPr>
            </w:pPr>
            <w:r w:rsidRPr="006F78D3">
              <w:rPr>
                <w:lang w:val="de-CH"/>
              </w:rPr>
              <w:t>pH 5, 20°C: 0.048 mg/L</w:t>
            </w:r>
          </w:p>
          <w:p w14:paraId="5CBC8356" w14:textId="77777777" w:rsidR="00EE24E4" w:rsidRPr="006F78D3" w:rsidRDefault="00EE24E4" w:rsidP="00377F3A">
            <w:pPr>
              <w:pStyle w:val="TableText"/>
              <w:rPr>
                <w:lang w:val="de-CH"/>
              </w:rPr>
            </w:pPr>
            <w:r w:rsidRPr="006F78D3">
              <w:rPr>
                <w:lang w:val="de-CH"/>
              </w:rPr>
              <w:t>pH 7, 20°C: 0.48 mg/L</w:t>
            </w:r>
          </w:p>
          <w:p w14:paraId="4707543B" w14:textId="77777777" w:rsidR="00EE24E4" w:rsidRPr="00E65C02" w:rsidRDefault="00EE24E4" w:rsidP="00377F3A">
            <w:pPr>
              <w:pStyle w:val="TableText"/>
            </w:pPr>
            <w:r>
              <w:t>pH 9, 20°C: 3.7 mg/L</w:t>
            </w:r>
          </w:p>
        </w:tc>
        <w:tc>
          <w:tcPr>
            <w:tcW w:w="0" w:type="auto"/>
            <w:tcBorders>
              <w:top w:val="nil"/>
              <w:left w:val="nil"/>
              <w:bottom w:val="nil"/>
              <w:right w:val="nil"/>
            </w:tcBorders>
          </w:tcPr>
          <w:p w14:paraId="7F373B0A" w14:textId="77777777" w:rsidR="00EE24E4" w:rsidRDefault="00EE24E4" w:rsidP="00377F3A">
            <w:pPr>
              <w:pStyle w:val="TableText"/>
            </w:pPr>
            <w:r>
              <w:t>Woolley &amp; Mullee 2005</w:t>
            </w:r>
          </w:p>
        </w:tc>
      </w:tr>
      <w:tr w:rsidR="00EE24E4" w:rsidRPr="008B4AF6" w14:paraId="08056C36" w14:textId="77777777" w:rsidTr="000B24BE">
        <w:tc>
          <w:tcPr>
            <w:tcW w:w="0" w:type="auto"/>
            <w:tcBorders>
              <w:top w:val="nil"/>
              <w:left w:val="nil"/>
              <w:bottom w:val="nil"/>
              <w:right w:val="nil"/>
            </w:tcBorders>
          </w:tcPr>
          <w:p w14:paraId="42E9E87E" w14:textId="77777777" w:rsidR="00EE24E4" w:rsidRPr="008B4AF6" w:rsidRDefault="00EE24E4" w:rsidP="00377F3A">
            <w:pPr>
              <w:pStyle w:val="TableText"/>
            </w:pPr>
          </w:p>
        </w:tc>
        <w:tc>
          <w:tcPr>
            <w:tcW w:w="0" w:type="auto"/>
            <w:tcBorders>
              <w:top w:val="nil"/>
              <w:left w:val="nil"/>
              <w:bottom w:val="nil"/>
              <w:right w:val="nil"/>
            </w:tcBorders>
          </w:tcPr>
          <w:p w14:paraId="2288F574" w14:textId="77777777" w:rsidR="00EE24E4" w:rsidRPr="006F78D3" w:rsidRDefault="00EE24E4" w:rsidP="00377F3A">
            <w:pPr>
              <w:pStyle w:val="TableText"/>
              <w:rPr>
                <w:lang w:val="de-CH"/>
              </w:rPr>
            </w:pPr>
            <w:r w:rsidRPr="006F78D3">
              <w:rPr>
                <w:lang w:val="de-CH"/>
              </w:rPr>
              <w:t>pH 4, 20°C: &lt;0.05 mg/L</w:t>
            </w:r>
          </w:p>
          <w:p w14:paraId="7B3D2825" w14:textId="77777777" w:rsidR="00EE24E4" w:rsidRPr="006F78D3" w:rsidRDefault="00EE24E4" w:rsidP="00377F3A">
            <w:pPr>
              <w:pStyle w:val="TableText"/>
              <w:rPr>
                <w:lang w:val="de-CH"/>
              </w:rPr>
            </w:pPr>
            <w:r w:rsidRPr="006F78D3">
              <w:rPr>
                <w:lang w:val="de-CH"/>
              </w:rPr>
              <w:t>pH 7, 20°C: 1.7 mg/L</w:t>
            </w:r>
          </w:p>
          <w:p w14:paraId="743A1ECE" w14:textId="77777777" w:rsidR="00EE24E4" w:rsidRDefault="00EE24E4" w:rsidP="00377F3A">
            <w:pPr>
              <w:pStyle w:val="TableText"/>
            </w:pPr>
            <w:r>
              <w:t>pH 9, 20°C: 61 mg/L</w:t>
            </w:r>
          </w:p>
        </w:tc>
        <w:tc>
          <w:tcPr>
            <w:tcW w:w="0" w:type="auto"/>
            <w:tcBorders>
              <w:top w:val="nil"/>
              <w:left w:val="nil"/>
              <w:bottom w:val="nil"/>
              <w:right w:val="nil"/>
            </w:tcBorders>
          </w:tcPr>
          <w:p w14:paraId="74BCBF57" w14:textId="77777777" w:rsidR="00EE24E4" w:rsidRDefault="00EE24E4" w:rsidP="00377F3A">
            <w:pPr>
              <w:pStyle w:val="TableText"/>
            </w:pPr>
            <w:r>
              <w:t>Russell 1996</w:t>
            </w:r>
          </w:p>
        </w:tc>
      </w:tr>
      <w:tr w:rsidR="00EE24E4" w:rsidRPr="008B4AF6" w14:paraId="132F01F3" w14:textId="77777777" w:rsidTr="000B24BE">
        <w:tc>
          <w:tcPr>
            <w:tcW w:w="0" w:type="auto"/>
            <w:tcBorders>
              <w:top w:val="nil"/>
              <w:left w:val="nil"/>
              <w:bottom w:val="nil"/>
              <w:right w:val="nil"/>
            </w:tcBorders>
          </w:tcPr>
          <w:p w14:paraId="531513FB" w14:textId="77777777" w:rsidR="00EE24E4" w:rsidRPr="008B4AF6" w:rsidRDefault="00EE24E4" w:rsidP="00377F3A">
            <w:pPr>
              <w:pStyle w:val="TableText"/>
            </w:pPr>
            <w:r w:rsidRPr="008B4AF6">
              <w:t>Partition coefficient</w:t>
            </w:r>
          </w:p>
        </w:tc>
        <w:tc>
          <w:tcPr>
            <w:tcW w:w="0" w:type="auto"/>
            <w:tcBorders>
              <w:top w:val="nil"/>
              <w:left w:val="nil"/>
              <w:bottom w:val="nil"/>
              <w:right w:val="nil"/>
            </w:tcBorders>
          </w:tcPr>
          <w:p w14:paraId="6AAC5F25" w14:textId="77777777" w:rsidR="00EE24E4" w:rsidRPr="00E65C02" w:rsidRDefault="00EE24E4" w:rsidP="00377F3A">
            <w:pPr>
              <w:pStyle w:val="TableText"/>
            </w:pPr>
            <w:r>
              <w:t>log P</w:t>
            </w:r>
            <w:r w:rsidRPr="00F81098">
              <w:rPr>
                <w:vertAlign w:val="subscript"/>
              </w:rPr>
              <w:t>OW</w:t>
            </w:r>
            <w:r>
              <w:t xml:space="preserve"> 7.6 (estimate)</w:t>
            </w:r>
          </w:p>
        </w:tc>
        <w:tc>
          <w:tcPr>
            <w:tcW w:w="0" w:type="auto"/>
            <w:tcBorders>
              <w:top w:val="nil"/>
              <w:left w:val="nil"/>
              <w:bottom w:val="nil"/>
              <w:right w:val="nil"/>
            </w:tcBorders>
          </w:tcPr>
          <w:p w14:paraId="71CAFBE9" w14:textId="77777777" w:rsidR="00EE24E4" w:rsidRDefault="00EE24E4" w:rsidP="00377F3A">
            <w:pPr>
              <w:pStyle w:val="TableText"/>
            </w:pPr>
            <w:r>
              <w:t>Worthington 2006b, Russell 1996</w:t>
            </w:r>
          </w:p>
        </w:tc>
      </w:tr>
      <w:tr w:rsidR="00EE24E4" w:rsidRPr="008B4AF6" w14:paraId="7A625925" w14:textId="77777777" w:rsidTr="000B24BE">
        <w:tc>
          <w:tcPr>
            <w:tcW w:w="0" w:type="auto"/>
            <w:tcBorders>
              <w:top w:val="nil"/>
              <w:left w:val="nil"/>
              <w:bottom w:val="nil"/>
              <w:right w:val="nil"/>
            </w:tcBorders>
          </w:tcPr>
          <w:p w14:paraId="0D6A74C3" w14:textId="77777777" w:rsidR="00EE24E4" w:rsidRPr="008B4AF6" w:rsidRDefault="00EE24E4" w:rsidP="00377F3A">
            <w:pPr>
              <w:pStyle w:val="TableText"/>
            </w:pPr>
            <w:r w:rsidRPr="008B4AF6">
              <w:t>Dissociation constant</w:t>
            </w:r>
          </w:p>
        </w:tc>
        <w:tc>
          <w:tcPr>
            <w:tcW w:w="0" w:type="auto"/>
            <w:tcBorders>
              <w:top w:val="nil"/>
              <w:left w:val="nil"/>
              <w:bottom w:val="nil"/>
              <w:right w:val="nil"/>
            </w:tcBorders>
          </w:tcPr>
          <w:p w14:paraId="480E1A22" w14:textId="77777777" w:rsidR="00EE24E4" w:rsidRPr="00E65C02" w:rsidRDefault="00EE24E4" w:rsidP="00377F3A">
            <w:pPr>
              <w:pStyle w:val="TableText"/>
            </w:pPr>
            <w:r>
              <w:t>pKa 4.5</w:t>
            </w:r>
          </w:p>
        </w:tc>
        <w:tc>
          <w:tcPr>
            <w:tcW w:w="0" w:type="auto"/>
            <w:tcBorders>
              <w:top w:val="nil"/>
              <w:left w:val="nil"/>
              <w:bottom w:val="nil"/>
              <w:right w:val="nil"/>
            </w:tcBorders>
          </w:tcPr>
          <w:p w14:paraId="600D5428" w14:textId="77777777" w:rsidR="00EE24E4" w:rsidRDefault="00EE24E4" w:rsidP="00377F3A">
            <w:pPr>
              <w:pStyle w:val="TableText"/>
            </w:pPr>
            <w:r>
              <w:t>Anon 2004a</w:t>
            </w:r>
          </w:p>
        </w:tc>
      </w:tr>
      <w:tr w:rsidR="00EE24E4" w:rsidRPr="008B4AF6" w14:paraId="126E2E49" w14:textId="77777777" w:rsidTr="000B24BE">
        <w:tc>
          <w:tcPr>
            <w:tcW w:w="0" w:type="auto"/>
            <w:tcBorders>
              <w:top w:val="nil"/>
              <w:left w:val="nil"/>
              <w:bottom w:val="nil"/>
              <w:right w:val="nil"/>
            </w:tcBorders>
          </w:tcPr>
          <w:p w14:paraId="2A02DFBF" w14:textId="77777777" w:rsidR="00EE24E4" w:rsidRPr="008B4AF6" w:rsidRDefault="00EE24E4" w:rsidP="00377F3A">
            <w:pPr>
              <w:pStyle w:val="TableText"/>
            </w:pPr>
            <w:r w:rsidRPr="008B4AF6">
              <w:lastRenderedPageBreak/>
              <w:t>UV-VIS absorption (max)</w:t>
            </w:r>
          </w:p>
        </w:tc>
        <w:tc>
          <w:tcPr>
            <w:tcW w:w="0" w:type="auto"/>
            <w:tcBorders>
              <w:top w:val="nil"/>
              <w:left w:val="nil"/>
              <w:bottom w:val="nil"/>
              <w:right w:val="nil"/>
            </w:tcBorders>
          </w:tcPr>
          <w:p w14:paraId="4B4E6D3D" w14:textId="77777777" w:rsidR="00EE24E4" w:rsidRPr="00E65C02" w:rsidRDefault="00EE24E4" w:rsidP="00377F3A">
            <w:pPr>
              <w:pStyle w:val="TableText"/>
            </w:pPr>
            <w:r>
              <w:t>solution</w:t>
            </w:r>
            <w:r w:rsidRPr="00C94AB5">
              <w:tab/>
            </w: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tc>
        <w:tc>
          <w:tcPr>
            <w:tcW w:w="0" w:type="auto"/>
            <w:tcBorders>
              <w:top w:val="nil"/>
              <w:left w:val="nil"/>
              <w:bottom w:val="nil"/>
              <w:right w:val="nil"/>
            </w:tcBorders>
          </w:tcPr>
          <w:p w14:paraId="1AC1A89C" w14:textId="77777777" w:rsidR="00EE24E4" w:rsidRDefault="00EE24E4" w:rsidP="00377F3A">
            <w:pPr>
              <w:pStyle w:val="TableText"/>
            </w:pPr>
          </w:p>
        </w:tc>
      </w:tr>
      <w:tr w:rsidR="00EE24E4" w:rsidRPr="008B4AF6" w14:paraId="3FF46694" w14:textId="77777777" w:rsidTr="000B24BE">
        <w:tc>
          <w:tcPr>
            <w:tcW w:w="0" w:type="auto"/>
            <w:tcBorders>
              <w:top w:val="nil"/>
              <w:left w:val="nil"/>
              <w:bottom w:val="nil"/>
              <w:right w:val="nil"/>
            </w:tcBorders>
          </w:tcPr>
          <w:p w14:paraId="27F2502E" w14:textId="77777777" w:rsidR="00EE24E4" w:rsidRPr="008B4AF6" w:rsidRDefault="00EE24E4" w:rsidP="00377F3A">
            <w:pPr>
              <w:pStyle w:val="TableText"/>
            </w:pPr>
          </w:p>
        </w:tc>
        <w:tc>
          <w:tcPr>
            <w:tcW w:w="0" w:type="auto"/>
            <w:tcBorders>
              <w:top w:val="nil"/>
              <w:left w:val="nil"/>
              <w:bottom w:val="nil"/>
              <w:right w:val="nil"/>
            </w:tcBorders>
          </w:tcPr>
          <w:p w14:paraId="15FACE41" w14:textId="77777777" w:rsidR="00EE24E4" w:rsidRDefault="00EE24E4" w:rsidP="00377F3A">
            <w:pPr>
              <w:pStyle w:val="TableText"/>
            </w:pPr>
            <w:r>
              <w:t>acidic</w:t>
            </w:r>
            <w:r>
              <w:tab/>
              <w:t>259 nm</w:t>
            </w:r>
            <w:r>
              <w:tab/>
              <w:t>29085</w:t>
            </w:r>
          </w:p>
          <w:p w14:paraId="51C74969" w14:textId="77777777" w:rsidR="00EE24E4" w:rsidRDefault="00EE24E4" w:rsidP="00377F3A">
            <w:pPr>
              <w:pStyle w:val="TableText"/>
            </w:pPr>
            <w:r>
              <w:t>acidic</w:t>
            </w:r>
            <w:r>
              <w:tab/>
              <w:t>308 nm</w:t>
            </w:r>
            <w:r>
              <w:tab/>
              <w:t>13279</w:t>
            </w:r>
          </w:p>
          <w:p w14:paraId="65582B04" w14:textId="77777777" w:rsidR="00EE24E4" w:rsidRDefault="00EE24E4" w:rsidP="00377F3A">
            <w:pPr>
              <w:pStyle w:val="TableText"/>
            </w:pPr>
            <w:r>
              <w:t>neutral</w:t>
            </w:r>
            <w:r>
              <w:tab/>
              <w:t>259 nm</w:t>
            </w:r>
            <w:r>
              <w:tab/>
              <w:t>28515</w:t>
            </w:r>
          </w:p>
          <w:p w14:paraId="02772B8C" w14:textId="77777777" w:rsidR="00EE24E4" w:rsidRDefault="00EE24E4" w:rsidP="00377F3A">
            <w:pPr>
              <w:pStyle w:val="TableText"/>
            </w:pPr>
            <w:r>
              <w:t>neutral</w:t>
            </w:r>
            <w:r>
              <w:tab/>
              <w:t>308 nm</w:t>
            </w:r>
            <w:r>
              <w:tab/>
              <w:t>12926</w:t>
            </w:r>
          </w:p>
          <w:p w14:paraId="30CE4D56" w14:textId="77777777" w:rsidR="00EE24E4" w:rsidRDefault="00EE24E4" w:rsidP="00377F3A">
            <w:pPr>
              <w:pStyle w:val="TableText"/>
            </w:pPr>
            <w:r>
              <w:t>basic</w:t>
            </w:r>
            <w:r>
              <w:tab/>
              <w:t>252 nm</w:t>
            </w:r>
            <w:r>
              <w:tab/>
              <w:t>28004</w:t>
            </w:r>
          </w:p>
          <w:p w14:paraId="7579ADEA" w14:textId="77777777" w:rsidR="00EE24E4" w:rsidRPr="00E65C02" w:rsidRDefault="00EE24E4" w:rsidP="00377F3A">
            <w:pPr>
              <w:pStyle w:val="TableText"/>
            </w:pPr>
            <w:r>
              <w:t>basic</w:t>
            </w:r>
            <w:r>
              <w:tab/>
              <w:t>312 nm</w:t>
            </w:r>
            <w:r>
              <w:tab/>
              <w:t>14901</w:t>
            </w:r>
          </w:p>
        </w:tc>
        <w:tc>
          <w:tcPr>
            <w:tcW w:w="0" w:type="auto"/>
            <w:tcBorders>
              <w:top w:val="nil"/>
              <w:left w:val="nil"/>
              <w:bottom w:val="nil"/>
              <w:right w:val="nil"/>
            </w:tcBorders>
          </w:tcPr>
          <w:p w14:paraId="5811DA66" w14:textId="77777777" w:rsidR="00EE24E4" w:rsidRDefault="00EE24E4" w:rsidP="00377F3A">
            <w:pPr>
              <w:pStyle w:val="TableText"/>
            </w:pPr>
            <w:r>
              <w:t>Garofani 2001b</w:t>
            </w:r>
          </w:p>
        </w:tc>
      </w:tr>
      <w:tr w:rsidR="00EE24E4" w:rsidRPr="008B4AF6" w14:paraId="580B40B0" w14:textId="77777777" w:rsidTr="000B24BE">
        <w:tc>
          <w:tcPr>
            <w:tcW w:w="0" w:type="auto"/>
            <w:tcBorders>
              <w:top w:val="nil"/>
              <w:left w:val="nil"/>
              <w:bottom w:val="nil"/>
              <w:right w:val="nil"/>
            </w:tcBorders>
          </w:tcPr>
          <w:p w14:paraId="1E100858" w14:textId="77777777" w:rsidR="00EE24E4" w:rsidRPr="008B4AF6" w:rsidRDefault="00EE24E4" w:rsidP="00377F3A">
            <w:pPr>
              <w:pStyle w:val="TableText"/>
            </w:pPr>
          </w:p>
        </w:tc>
        <w:tc>
          <w:tcPr>
            <w:tcW w:w="0" w:type="auto"/>
            <w:tcBorders>
              <w:top w:val="nil"/>
              <w:left w:val="nil"/>
              <w:bottom w:val="nil"/>
              <w:right w:val="nil"/>
            </w:tcBorders>
          </w:tcPr>
          <w:p w14:paraId="681CE3DE" w14:textId="77777777" w:rsidR="00EE24E4" w:rsidRDefault="00EE24E4" w:rsidP="00377F3A">
            <w:pPr>
              <w:pStyle w:val="TableText"/>
            </w:pPr>
            <w:r>
              <w:t>acidic</w:t>
            </w:r>
            <w:r>
              <w:tab/>
              <w:t>262 nm</w:t>
            </w:r>
            <w:r>
              <w:tab/>
              <w:t>36600</w:t>
            </w:r>
          </w:p>
          <w:p w14:paraId="375EBBED" w14:textId="77777777" w:rsidR="00EE24E4" w:rsidRDefault="00EE24E4" w:rsidP="00377F3A">
            <w:pPr>
              <w:pStyle w:val="TableText"/>
            </w:pPr>
            <w:r>
              <w:t>acidic</w:t>
            </w:r>
            <w:r>
              <w:tab/>
              <w:t>310 nm</w:t>
            </w:r>
            <w:r>
              <w:tab/>
              <w:t>13290</w:t>
            </w:r>
          </w:p>
          <w:p w14:paraId="485C4BBD" w14:textId="77777777" w:rsidR="00EE24E4" w:rsidRDefault="00EE24E4" w:rsidP="00377F3A">
            <w:pPr>
              <w:pStyle w:val="TableText"/>
            </w:pPr>
            <w:r>
              <w:t>neutral</w:t>
            </w:r>
            <w:r>
              <w:tab/>
              <w:t>262 nm</w:t>
            </w:r>
            <w:r>
              <w:tab/>
              <w:t>34800</w:t>
            </w:r>
          </w:p>
          <w:p w14:paraId="17D266EE" w14:textId="77777777" w:rsidR="00EE24E4" w:rsidRDefault="00EE24E4" w:rsidP="00377F3A">
            <w:pPr>
              <w:pStyle w:val="TableText"/>
            </w:pPr>
            <w:r>
              <w:t>neutral</w:t>
            </w:r>
            <w:r>
              <w:tab/>
              <w:t>310 nm</w:t>
            </w:r>
            <w:r>
              <w:tab/>
              <w:t>15470</w:t>
            </w:r>
          </w:p>
          <w:p w14:paraId="7DC3870F" w14:textId="77777777" w:rsidR="00EE24E4" w:rsidRDefault="00EE24E4" w:rsidP="00377F3A">
            <w:pPr>
              <w:pStyle w:val="TableText"/>
            </w:pPr>
            <w:r>
              <w:t>basic</w:t>
            </w:r>
            <w:r>
              <w:tab/>
              <w:t>262 nm</w:t>
            </w:r>
            <w:r>
              <w:tab/>
              <w:t>30170</w:t>
            </w:r>
          </w:p>
          <w:p w14:paraId="5121390B" w14:textId="77777777" w:rsidR="00EE24E4" w:rsidRPr="00E65C02" w:rsidRDefault="00EE24E4" w:rsidP="00377F3A">
            <w:pPr>
              <w:pStyle w:val="TableText"/>
            </w:pPr>
            <w:r>
              <w:t>basic</w:t>
            </w:r>
            <w:r>
              <w:tab/>
              <w:t>310 nm</w:t>
            </w:r>
            <w:r>
              <w:tab/>
              <w:t>14630</w:t>
            </w:r>
          </w:p>
        </w:tc>
        <w:tc>
          <w:tcPr>
            <w:tcW w:w="0" w:type="auto"/>
            <w:tcBorders>
              <w:top w:val="nil"/>
              <w:left w:val="nil"/>
              <w:bottom w:val="nil"/>
              <w:right w:val="nil"/>
            </w:tcBorders>
          </w:tcPr>
          <w:p w14:paraId="029638BC" w14:textId="77777777" w:rsidR="00EE24E4" w:rsidRDefault="00EE24E4" w:rsidP="00377F3A">
            <w:pPr>
              <w:pStyle w:val="TableText"/>
            </w:pPr>
            <w:r>
              <w:t>Garofani 2001c</w:t>
            </w:r>
          </w:p>
        </w:tc>
      </w:tr>
      <w:tr w:rsidR="00EE24E4" w:rsidRPr="008B4AF6" w14:paraId="675B072A" w14:textId="77777777" w:rsidTr="000B24BE">
        <w:tc>
          <w:tcPr>
            <w:tcW w:w="0" w:type="auto"/>
            <w:tcBorders>
              <w:top w:val="nil"/>
              <w:left w:val="nil"/>
              <w:bottom w:val="single" w:sz="4" w:space="0" w:color="auto"/>
              <w:right w:val="nil"/>
            </w:tcBorders>
          </w:tcPr>
          <w:p w14:paraId="42BD8937" w14:textId="77777777" w:rsidR="00EE24E4" w:rsidRPr="008B4AF6" w:rsidRDefault="00EE24E4" w:rsidP="00377F3A">
            <w:pPr>
              <w:pStyle w:val="TableText"/>
            </w:pPr>
          </w:p>
        </w:tc>
        <w:tc>
          <w:tcPr>
            <w:tcW w:w="0" w:type="auto"/>
            <w:tcBorders>
              <w:top w:val="nil"/>
              <w:left w:val="nil"/>
              <w:bottom w:val="single" w:sz="4" w:space="0" w:color="auto"/>
              <w:right w:val="nil"/>
            </w:tcBorders>
          </w:tcPr>
          <w:p w14:paraId="7C45D553" w14:textId="77777777" w:rsidR="00EE24E4" w:rsidRDefault="00EE24E4" w:rsidP="00377F3A">
            <w:pPr>
              <w:pStyle w:val="TableText"/>
            </w:pPr>
            <w:r>
              <w:t>CH</w:t>
            </w:r>
            <w:r w:rsidRPr="007C5C66">
              <w:rPr>
                <w:vertAlign w:val="subscript"/>
              </w:rPr>
              <w:t>2</w:t>
            </w:r>
            <w:r>
              <w:t>Cl</w:t>
            </w:r>
            <w:r w:rsidRPr="007C5C66">
              <w:rPr>
                <w:vertAlign w:val="subscript"/>
              </w:rPr>
              <w:t>2</w:t>
            </w:r>
            <w:r>
              <w:tab/>
              <w:t>259 nm</w:t>
            </w:r>
            <w:r>
              <w:tab/>
              <w:t>46600</w:t>
            </w:r>
          </w:p>
          <w:p w14:paraId="1E15C2E5" w14:textId="77777777" w:rsidR="00EE24E4" w:rsidRDefault="00EE24E4" w:rsidP="00377F3A">
            <w:pPr>
              <w:pStyle w:val="TableText"/>
            </w:pPr>
            <w:r>
              <w:t>CH</w:t>
            </w:r>
            <w:r w:rsidRPr="007C5C66">
              <w:rPr>
                <w:vertAlign w:val="subscript"/>
              </w:rPr>
              <w:t>2</w:t>
            </w:r>
            <w:r>
              <w:t>Cl</w:t>
            </w:r>
            <w:r w:rsidRPr="007C5C66">
              <w:rPr>
                <w:vertAlign w:val="subscript"/>
              </w:rPr>
              <w:t>2</w:t>
            </w:r>
            <w:r>
              <w:tab/>
              <w:t>311 nm</w:t>
            </w:r>
            <w:r>
              <w:tab/>
              <w:t>17100</w:t>
            </w:r>
          </w:p>
        </w:tc>
        <w:tc>
          <w:tcPr>
            <w:tcW w:w="0" w:type="auto"/>
            <w:tcBorders>
              <w:top w:val="nil"/>
              <w:left w:val="nil"/>
              <w:bottom w:val="single" w:sz="4" w:space="0" w:color="auto"/>
              <w:right w:val="nil"/>
            </w:tcBorders>
          </w:tcPr>
          <w:p w14:paraId="43E29AD7" w14:textId="77777777" w:rsidR="00EE24E4" w:rsidRDefault="00EE24E4" w:rsidP="00377F3A">
            <w:pPr>
              <w:pStyle w:val="TableText"/>
            </w:pPr>
            <w:r>
              <w:t>Russell 1996</w:t>
            </w:r>
          </w:p>
        </w:tc>
      </w:tr>
    </w:tbl>
    <w:p w14:paraId="1EEDE8E2" w14:textId="4F560187" w:rsidR="00EE24E4" w:rsidRPr="00861CA0" w:rsidRDefault="00BA7F5F" w:rsidP="00377F3A">
      <w:pPr>
        <w:pStyle w:val="Caption"/>
      </w:pPr>
      <w:bookmarkStart w:id="2084" w:name="_Toc213946098"/>
      <w:bookmarkStart w:id="2085" w:name="_Toc216695789"/>
      <w:r>
        <w:t xml:space="preserve">Table </w:t>
      </w:r>
      <w:r>
        <w:fldChar w:fldCharType="begin"/>
      </w:r>
      <w:r>
        <w:instrText xml:space="preserve"> SEQ Table \* ARABIC </w:instrText>
      </w:r>
      <w:r>
        <w:fldChar w:fldCharType="separate"/>
      </w:r>
      <w:r w:rsidR="003861AC">
        <w:rPr>
          <w:noProof/>
        </w:rPr>
        <w:t>127</w:t>
      </w:r>
      <w:r>
        <w:fldChar w:fldCharType="end"/>
      </w:r>
      <w:r>
        <w:t xml:space="preserve">: </w:t>
      </w:r>
      <w:r w:rsidR="00E935FC">
        <w:t xml:space="preserve">Difenacoum – </w:t>
      </w:r>
      <w:r w:rsidR="00EE24E4">
        <w:t xml:space="preserve">Fate and behaviour in </w:t>
      </w:r>
      <w:r w:rsidR="00E935FC">
        <w:t>environmental media</w:t>
      </w:r>
      <w:bookmarkEnd w:id="2084"/>
      <w:bookmarkEnd w:id="2085"/>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60"/>
        <w:gridCol w:w="2205"/>
        <w:gridCol w:w="3097"/>
        <w:gridCol w:w="3071"/>
      </w:tblGrid>
      <w:tr w:rsidR="00EE24E4" w:rsidRPr="000B2FA7" w14:paraId="084624A8" w14:textId="77777777" w:rsidTr="0017134F">
        <w:trPr>
          <w:cantSplit/>
          <w:tblHeader/>
        </w:trPr>
        <w:tc>
          <w:tcPr>
            <w:tcW w:w="0" w:type="auto"/>
            <w:tcBorders>
              <w:bottom w:val="single" w:sz="4" w:space="0" w:color="auto"/>
            </w:tcBorders>
            <w:shd w:val="clear" w:color="auto" w:fill="53284F"/>
          </w:tcPr>
          <w:p w14:paraId="280BE6D7" w14:textId="7A640AA9" w:rsidR="00EE24E4" w:rsidRDefault="00E935FC" w:rsidP="00377F3A">
            <w:pPr>
              <w:pStyle w:val="TableHead"/>
            </w:pPr>
            <w:r>
              <w:t>Compartment</w:t>
            </w:r>
          </w:p>
        </w:tc>
        <w:tc>
          <w:tcPr>
            <w:tcW w:w="0" w:type="auto"/>
            <w:tcBorders>
              <w:bottom w:val="single" w:sz="4" w:space="0" w:color="auto"/>
            </w:tcBorders>
            <w:shd w:val="clear" w:color="auto" w:fill="53284F"/>
          </w:tcPr>
          <w:p w14:paraId="6BA39D8B" w14:textId="77777777" w:rsidR="00EE24E4" w:rsidRDefault="00EE24E4" w:rsidP="00377F3A">
            <w:pPr>
              <w:pStyle w:val="TableHead"/>
            </w:pPr>
            <w:r>
              <w:t>Study</w:t>
            </w:r>
          </w:p>
        </w:tc>
        <w:tc>
          <w:tcPr>
            <w:tcW w:w="0" w:type="auto"/>
            <w:tcBorders>
              <w:bottom w:val="single" w:sz="4" w:space="0" w:color="auto"/>
            </w:tcBorders>
            <w:shd w:val="clear" w:color="auto" w:fill="53284F"/>
          </w:tcPr>
          <w:p w14:paraId="7EDFDCB9" w14:textId="77777777" w:rsidR="00EE24E4" w:rsidRPr="00CA558C" w:rsidRDefault="00EE24E4" w:rsidP="00377F3A">
            <w:pPr>
              <w:pStyle w:val="TableHead"/>
            </w:pPr>
            <w:r>
              <w:t>Result</w:t>
            </w:r>
          </w:p>
        </w:tc>
        <w:tc>
          <w:tcPr>
            <w:tcW w:w="0" w:type="auto"/>
            <w:tcBorders>
              <w:bottom w:val="single" w:sz="4" w:space="0" w:color="auto"/>
            </w:tcBorders>
            <w:shd w:val="clear" w:color="auto" w:fill="53284F"/>
          </w:tcPr>
          <w:p w14:paraId="6D238F87" w14:textId="77777777" w:rsidR="00EE24E4" w:rsidRPr="00CA558C" w:rsidRDefault="00EE24E4" w:rsidP="00377F3A">
            <w:pPr>
              <w:pStyle w:val="TableHead"/>
            </w:pPr>
            <w:r>
              <w:t>Reference</w:t>
            </w:r>
          </w:p>
        </w:tc>
      </w:tr>
      <w:tr w:rsidR="00EE24E4" w:rsidRPr="000B2FA7" w14:paraId="7570F6E7" w14:textId="77777777" w:rsidTr="00EC47E5">
        <w:trPr>
          <w:cantSplit/>
        </w:trPr>
        <w:tc>
          <w:tcPr>
            <w:tcW w:w="0" w:type="auto"/>
            <w:tcBorders>
              <w:top w:val="nil"/>
              <w:left w:val="nil"/>
              <w:bottom w:val="nil"/>
            </w:tcBorders>
          </w:tcPr>
          <w:p w14:paraId="6C89E7F0" w14:textId="65610117" w:rsidR="00EE24E4" w:rsidRDefault="00E935FC" w:rsidP="00377F3A">
            <w:pPr>
              <w:pStyle w:val="TableText"/>
            </w:pPr>
            <w:r>
              <w:t>Soil</w:t>
            </w:r>
          </w:p>
        </w:tc>
        <w:tc>
          <w:tcPr>
            <w:tcW w:w="0" w:type="auto"/>
            <w:vMerge w:val="restart"/>
            <w:tcBorders>
              <w:top w:val="nil"/>
              <w:left w:val="nil"/>
            </w:tcBorders>
          </w:tcPr>
          <w:p w14:paraId="0193E2D8" w14:textId="77777777" w:rsidR="00EE24E4" w:rsidRDefault="00EE24E4" w:rsidP="00377F3A">
            <w:pPr>
              <w:pStyle w:val="TableText"/>
            </w:pPr>
            <w:r>
              <w:t>Adsorption/</w:t>
            </w:r>
          </w:p>
          <w:p w14:paraId="2172274D" w14:textId="77777777" w:rsidR="00EE24E4" w:rsidRPr="00BA1B5C" w:rsidRDefault="00EE24E4" w:rsidP="00377F3A">
            <w:pPr>
              <w:pStyle w:val="TableText"/>
            </w:pPr>
            <w:r>
              <w:t>desorption</w:t>
            </w:r>
          </w:p>
        </w:tc>
        <w:tc>
          <w:tcPr>
            <w:tcW w:w="0" w:type="auto"/>
            <w:tcBorders>
              <w:top w:val="nil"/>
              <w:bottom w:val="nil"/>
            </w:tcBorders>
          </w:tcPr>
          <w:p w14:paraId="335A7C9B" w14:textId="77777777" w:rsidR="00EE24E4" w:rsidRPr="00BA1B5C" w:rsidRDefault="00EE24E4" w:rsidP="00377F3A">
            <w:pPr>
              <w:pStyle w:val="TableText"/>
            </w:pPr>
            <w:r>
              <w:t>Koc 67 mL/g</w:t>
            </w:r>
          </w:p>
        </w:tc>
        <w:tc>
          <w:tcPr>
            <w:tcW w:w="0" w:type="auto"/>
            <w:tcBorders>
              <w:top w:val="nil"/>
              <w:bottom w:val="nil"/>
            </w:tcBorders>
          </w:tcPr>
          <w:p w14:paraId="316B1E2A" w14:textId="77777777" w:rsidR="00EE24E4" w:rsidRPr="00BA1B5C" w:rsidRDefault="00EE24E4" w:rsidP="00377F3A">
            <w:pPr>
              <w:pStyle w:val="TableText"/>
            </w:pPr>
            <w:r>
              <w:t>Drake 2005c</w:t>
            </w:r>
          </w:p>
        </w:tc>
      </w:tr>
      <w:tr w:rsidR="00EE24E4" w:rsidRPr="000B2FA7" w14:paraId="13C166C9" w14:textId="77777777" w:rsidTr="00EC47E5">
        <w:trPr>
          <w:cantSplit/>
        </w:trPr>
        <w:tc>
          <w:tcPr>
            <w:tcW w:w="0" w:type="auto"/>
            <w:tcBorders>
              <w:top w:val="nil"/>
              <w:left w:val="nil"/>
              <w:bottom w:val="nil"/>
            </w:tcBorders>
          </w:tcPr>
          <w:p w14:paraId="09BCE29C" w14:textId="77777777" w:rsidR="00EE24E4" w:rsidRDefault="00EE24E4" w:rsidP="00377F3A">
            <w:pPr>
              <w:pStyle w:val="TableText"/>
            </w:pPr>
          </w:p>
        </w:tc>
        <w:tc>
          <w:tcPr>
            <w:tcW w:w="0" w:type="auto"/>
            <w:vMerge/>
            <w:tcBorders>
              <w:left w:val="nil"/>
              <w:bottom w:val="nil"/>
            </w:tcBorders>
          </w:tcPr>
          <w:p w14:paraId="2E4E3F15" w14:textId="77777777" w:rsidR="00EE24E4" w:rsidRDefault="00EE24E4" w:rsidP="00377F3A">
            <w:pPr>
              <w:pStyle w:val="TableText"/>
            </w:pPr>
          </w:p>
        </w:tc>
        <w:tc>
          <w:tcPr>
            <w:tcW w:w="0" w:type="auto"/>
            <w:tcBorders>
              <w:top w:val="nil"/>
              <w:bottom w:val="nil"/>
            </w:tcBorders>
          </w:tcPr>
          <w:p w14:paraId="0AD6DC41" w14:textId="77777777" w:rsidR="00EE24E4" w:rsidRDefault="00EE24E4" w:rsidP="00377F3A">
            <w:pPr>
              <w:pStyle w:val="TableText"/>
            </w:pPr>
            <w:r>
              <w:t>pH 2.5: log Koc &gt;5.63</w:t>
            </w:r>
          </w:p>
          <w:p w14:paraId="6FCC51FF" w14:textId="77777777" w:rsidR="00EE24E4" w:rsidRDefault="00EE24E4" w:rsidP="00377F3A">
            <w:pPr>
              <w:pStyle w:val="TableText"/>
            </w:pPr>
            <w:r>
              <w:t>pH 3.6: log Koc &gt;5.63</w:t>
            </w:r>
          </w:p>
          <w:p w14:paraId="0C72A02C" w14:textId="77777777" w:rsidR="00EE24E4" w:rsidRDefault="00EE24E4" w:rsidP="00377F3A">
            <w:pPr>
              <w:pStyle w:val="TableText"/>
            </w:pPr>
            <w:r>
              <w:t>pH 7.0: log Koc &lt;1.25</w:t>
            </w:r>
          </w:p>
        </w:tc>
        <w:tc>
          <w:tcPr>
            <w:tcW w:w="0" w:type="auto"/>
            <w:tcBorders>
              <w:top w:val="nil"/>
              <w:bottom w:val="nil"/>
            </w:tcBorders>
          </w:tcPr>
          <w:p w14:paraId="24776744" w14:textId="77777777" w:rsidR="00EE24E4" w:rsidRDefault="00EE24E4" w:rsidP="00377F3A">
            <w:pPr>
              <w:pStyle w:val="TableText"/>
            </w:pPr>
            <w:r>
              <w:t>Hogg 2003</w:t>
            </w:r>
          </w:p>
        </w:tc>
      </w:tr>
      <w:tr w:rsidR="00EE24E4" w:rsidRPr="000B2FA7" w14:paraId="67779477" w14:textId="77777777" w:rsidTr="00EC47E5">
        <w:trPr>
          <w:cantSplit/>
        </w:trPr>
        <w:tc>
          <w:tcPr>
            <w:tcW w:w="0" w:type="auto"/>
            <w:tcBorders>
              <w:top w:val="nil"/>
              <w:left w:val="nil"/>
              <w:bottom w:val="single" w:sz="4" w:space="0" w:color="auto"/>
            </w:tcBorders>
          </w:tcPr>
          <w:p w14:paraId="7D90E0A4" w14:textId="77777777" w:rsidR="00EE24E4" w:rsidRDefault="00EE24E4" w:rsidP="00377F3A">
            <w:pPr>
              <w:pStyle w:val="TableText"/>
            </w:pPr>
          </w:p>
        </w:tc>
        <w:tc>
          <w:tcPr>
            <w:tcW w:w="0" w:type="auto"/>
            <w:tcBorders>
              <w:top w:val="nil"/>
              <w:left w:val="nil"/>
              <w:bottom w:val="single" w:sz="4" w:space="0" w:color="auto"/>
            </w:tcBorders>
          </w:tcPr>
          <w:p w14:paraId="3A06F98D" w14:textId="77777777" w:rsidR="00EE24E4" w:rsidRDefault="00EE24E4" w:rsidP="00377F3A">
            <w:pPr>
              <w:pStyle w:val="TableText"/>
            </w:pPr>
            <w:r>
              <w:t>Column leaching</w:t>
            </w:r>
          </w:p>
        </w:tc>
        <w:tc>
          <w:tcPr>
            <w:tcW w:w="0" w:type="auto"/>
            <w:tcBorders>
              <w:top w:val="nil"/>
              <w:bottom w:val="single" w:sz="4" w:space="0" w:color="auto"/>
            </w:tcBorders>
          </w:tcPr>
          <w:p w14:paraId="38A0675F" w14:textId="77777777" w:rsidR="00EE24E4" w:rsidRDefault="00EE24E4" w:rsidP="00377F3A">
            <w:pPr>
              <w:pStyle w:val="TableText"/>
            </w:pPr>
            <w:r>
              <w:t>200 mm elution over 2d, three soils:</w:t>
            </w:r>
          </w:p>
          <w:p w14:paraId="7CAA767C" w14:textId="77777777" w:rsidR="00EE24E4" w:rsidRDefault="00EE24E4" w:rsidP="00377F3A">
            <w:pPr>
              <w:pStyle w:val="TableText"/>
            </w:pPr>
            <w:r>
              <w:t>Difenacoum not detected in leachate</w:t>
            </w:r>
          </w:p>
        </w:tc>
        <w:tc>
          <w:tcPr>
            <w:tcW w:w="0" w:type="auto"/>
            <w:tcBorders>
              <w:top w:val="nil"/>
              <w:bottom w:val="single" w:sz="4" w:space="0" w:color="auto"/>
            </w:tcBorders>
          </w:tcPr>
          <w:p w14:paraId="32905E1F" w14:textId="77777777" w:rsidR="00EE24E4" w:rsidRDefault="00EE24E4" w:rsidP="00377F3A">
            <w:pPr>
              <w:pStyle w:val="TableText"/>
            </w:pPr>
            <w:r>
              <w:t>Stevens &amp; Arnold 1982</w:t>
            </w:r>
          </w:p>
        </w:tc>
      </w:tr>
      <w:tr w:rsidR="00E935FC" w:rsidRPr="000B2FA7" w14:paraId="2E2951BF" w14:textId="77777777" w:rsidTr="00EC47E5">
        <w:trPr>
          <w:cantSplit/>
        </w:trPr>
        <w:tc>
          <w:tcPr>
            <w:tcW w:w="0" w:type="auto"/>
            <w:tcBorders>
              <w:top w:val="single" w:sz="4" w:space="0" w:color="auto"/>
              <w:left w:val="nil"/>
              <w:bottom w:val="nil"/>
            </w:tcBorders>
          </w:tcPr>
          <w:p w14:paraId="0AD68A1A" w14:textId="77777777" w:rsidR="00E935FC" w:rsidRDefault="00E935FC" w:rsidP="00377F3A">
            <w:pPr>
              <w:pStyle w:val="TableText"/>
            </w:pPr>
            <w:r>
              <w:t>Water and</w:t>
            </w:r>
          </w:p>
          <w:p w14:paraId="6C3BDEFC" w14:textId="7D61EE25" w:rsidR="00E935FC" w:rsidRDefault="00E935FC" w:rsidP="00377F3A">
            <w:pPr>
              <w:pStyle w:val="TableText"/>
            </w:pPr>
            <w:r>
              <w:t>sediment</w:t>
            </w:r>
          </w:p>
        </w:tc>
        <w:tc>
          <w:tcPr>
            <w:tcW w:w="0" w:type="auto"/>
            <w:tcBorders>
              <w:top w:val="single" w:sz="4" w:space="0" w:color="auto"/>
              <w:left w:val="nil"/>
              <w:bottom w:val="nil"/>
            </w:tcBorders>
          </w:tcPr>
          <w:p w14:paraId="4FE65C43" w14:textId="3BEC1415" w:rsidR="00E935FC" w:rsidRDefault="00E935FC" w:rsidP="00377F3A">
            <w:pPr>
              <w:pStyle w:val="TableText"/>
            </w:pPr>
            <w:r>
              <w:t>Hydrolysis</w:t>
            </w:r>
          </w:p>
        </w:tc>
        <w:tc>
          <w:tcPr>
            <w:tcW w:w="0" w:type="auto"/>
            <w:tcBorders>
              <w:top w:val="single" w:sz="4" w:space="0" w:color="auto"/>
              <w:bottom w:val="nil"/>
            </w:tcBorders>
          </w:tcPr>
          <w:p w14:paraId="6ACB5034" w14:textId="77777777" w:rsidR="00E935FC" w:rsidRDefault="00E935FC" w:rsidP="00377F3A">
            <w:pPr>
              <w:pStyle w:val="TableText"/>
            </w:pPr>
            <w:r>
              <w:t>pH 4, 50°C: stable</w:t>
            </w:r>
          </w:p>
          <w:p w14:paraId="14D0CE48" w14:textId="77777777" w:rsidR="00E935FC" w:rsidRDefault="00E935FC" w:rsidP="00377F3A">
            <w:pPr>
              <w:pStyle w:val="TableText"/>
            </w:pPr>
            <w:r>
              <w:t>pH 7, 50°C: stable</w:t>
            </w:r>
          </w:p>
          <w:p w14:paraId="536E53C6" w14:textId="29866F82" w:rsidR="00E935FC" w:rsidRDefault="00E935FC" w:rsidP="00377F3A">
            <w:pPr>
              <w:pStyle w:val="TableText"/>
            </w:pPr>
            <w:r>
              <w:t>pH 9, 50°C: stable</w:t>
            </w:r>
          </w:p>
        </w:tc>
        <w:tc>
          <w:tcPr>
            <w:tcW w:w="0" w:type="auto"/>
            <w:tcBorders>
              <w:top w:val="single" w:sz="4" w:space="0" w:color="auto"/>
              <w:bottom w:val="nil"/>
            </w:tcBorders>
          </w:tcPr>
          <w:p w14:paraId="4A90C02D" w14:textId="25708F6B" w:rsidR="00E935FC" w:rsidRDefault="00E935FC" w:rsidP="00377F3A">
            <w:pPr>
              <w:pStyle w:val="TableText"/>
            </w:pPr>
            <w:r>
              <w:t>Fabbrini 1997d, Russell 1996</w:t>
            </w:r>
          </w:p>
        </w:tc>
      </w:tr>
      <w:tr w:rsidR="00E935FC" w:rsidRPr="000B2FA7" w14:paraId="52EBB4B7" w14:textId="77777777" w:rsidTr="00EC47E5">
        <w:trPr>
          <w:cantSplit/>
        </w:trPr>
        <w:tc>
          <w:tcPr>
            <w:tcW w:w="0" w:type="auto"/>
            <w:tcBorders>
              <w:top w:val="nil"/>
              <w:left w:val="nil"/>
              <w:bottom w:val="nil"/>
            </w:tcBorders>
          </w:tcPr>
          <w:p w14:paraId="43360C86" w14:textId="77777777" w:rsidR="00E935FC" w:rsidRDefault="00E935FC" w:rsidP="00377F3A">
            <w:pPr>
              <w:pStyle w:val="TableText"/>
            </w:pPr>
          </w:p>
        </w:tc>
        <w:tc>
          <w:tcPr>
            <w:tcW w:w="0" w:type="auto"/>
            <w:tcBorders>
              <w:top w:val="nil"/>
              <w:left w:val="nil"/>
              <w:bottom w:val="nil"/>
            </w:tcBorders>
          </w:tcPr>
          <w:p w14:paraId="0B8B4F18" w14:textId="77777777" w:rsidR="00E935FC" w:rsidRDefault="00E935FC" w:rsidP="00377F3A">
            <w:pPr>
              <w:pStyle w:val="TableText"/>
            </w:pPr>
          </w:p>
        </w:tc>
        <w:tc>
          <w:tcPr>
            <w:tcW w:w="0" w:type="auto"/>
            <w:tcBorders>
              <w:top w:val="nil"/>
              <w:bottom w:val="nil"/>
            </w:tcBorders>
          </w:tcPr>
          <w:p w14:paraId="3780B988" w14:textId="77777777" w:rsidR="00E935FC" w:rsidRDefault="00E935FC" w:rsidP="00377F3A">
            <w:pPr>
              <w:pStyle w:val="TableText"/>
            </w:pPr>
            <w:r>
              <w:t>pH 5, 25°C: stable</w:t>
            </w:r>
          </w:p>
          <w:p w14:paraId="605A6335" w14:textId="77777777" w:rsidR="00E935FC" w:rsidRDefault="00E935FC" w:rsidP="00377F3A">
            <w:pPr>
              <w:pStyle w:val="TableText"/>
            </w:pPr>
            <w:r>
              <w:t>pH 7, 25°C: DT</w:t>
            </w:r>
            <w:r w:rsidRPr="00C26CE3">
              <w:rPr>
                <w:vertAlign w:val="subscript"/>
              </w:rPr>
              <w:t>50</w:t>
            </w:r>
            <w:r>
              <w:t xml:space="preserve"> 1000 d</w:t>
            </w:r>
          </w:p>
          <w:p w14:paraId="7A65FA19" w14:textId="069CC911" w:rsidR="00E935FC" w:rsidRDefault="00E935FC" w:rsidP="00377F3A">
            <w:pPr>
              <w:pStyle w:val="TableText"/>
            </w:pPr>
            <w:r>
              <w:t>pH 9, 25°C: DT</w:t>
            </w:r>
            <w:r w:rsidRPr="00C26CE3">
              <w:rPr>
                <w:vertAlign w:val="subscript"/>
              </w:rPr>
              <w:t>50</w:t>
            </w:r>
            <w:r>
              <w:t xml:space="preserve"> 80 d</w:t>
            </w:r>
          </w:p>
        </w:tc>
        <w:tc>
          <w:tcPr>
            <w:tcW w:w="0" w:type="auto"/>
            <w:tcBorders>
              <w:top w:val="nil"/>
              <w:bottom w:val="nil"/>
            </w:tcBorders>
          </w:tcPr>
          <w:p w14:paraId="35387BA2" w14:textId="47DA385D" w:rsidR="00E935FC" w:rsidRDefault="00E935FC" w:rsidP="00377F3A">
            <w:pPr>
              <w:pStyle w:val="TableText"/>
            </w:pPr>
            <w:r>
              <w:t>Lewis 1992</w:t>
            </w:r>
          </w:p>
        </w:tc>
      </w:tr>
      <w:tr w:rsidR="00E935FC" w:rsidRPr="000B2FA7" w14:paraId="09B16467" w14:textId="77777777" w:rsidTr="00EC47E5">
        <w:trPr>
          <w:cantSplit/>
        </w:trPr>
        <w:tc>
          <w:tcPr>
            <w:tcW w:w="0" w:type="auto"/>
            <w:tcBorders>
              <w:top w:val="nil"/>
              <w:left w:val="nil"/>
              <w:bottom w:val="nil"/>
            </w:tcBorders>
          </w:tcPr>
          <w:p w14:paraId="5BD74AF4" w14:textId="77777777" w:rsidR="00E935FC" w:rsidRDefault="00E935FC" w:rsidP="00377F3A">
            <w:pPr>
              <w:pStyle w:val="TableText"/>
            </w:pPr>
          </w:p>
        </w:tc>
        <w:tc>
          <w:tcPr>
            <w:tcW w:w="0" w:type="auto"/>
            <w:tcBorders>
              <w:top w:val="nil"/>
              <w:left w:val="nil"/>
              <w:bottom w:val="nil"/>
            </w:tcBorders>
          </w:tcPr>
          <w:p w14:paraId="6D63535F" w14:textId="756575D7" w:rsidR="00E935FC" w:rsidRDefault="00E935FC" w:rsidP="00377F3A">
            <w:pPr>
              <w:pStyle w:val="TableText"/>
            </w:pPr>
            <w:r>
              <w:t>Aqueous photolysis</w:t>
            </w:r>
          </w:p>
        </w:tc>
        <w:tc>
          <w:tcPr>
            <w:tcW w:w="0" w:type="auto"/>
            <w:tcBorders>
              <w:top w:val="nil"/>
              <w:bottom w:val="nil"/>
            </w:tcBorders>
          </w:tcPr>
          <w:p w14:paraId="5066C2AC" w14:textId="77777777" w:rsidR="00E935FC" w:rsidRDefault="00E935FC" w:rsidP="00377F3A">
            <w:pPr>
              <w:pStyle w:val="TableText"/>
            </w:pPr>
            <w:r>
              <w:t>DT</w:t>
            </w:r>
            <w:r w:rsidRPr="003B78E0">
              <w:rPr>
                <w:vertAlign w:val="subscript"/>
              </w:rPr>
              <w:t>50</w:t>
            </w:r>
            <w:r>
              <w:t xml:space="preserve"> 0.053 d in summer at 52°N</w:t>
            </w:r>
          </w:p>
          <w:p w14:paraId="16825076" w14:textId="11472D35" w:rsidR="00E935FC" w:rsidRDefault="00E935FC" w:rsidP="00377F3A">
            <w:pPr>
              <w:pStyle w:val="TableText"/>
            </w:pPr>
            <w:r>
              <w:t>DT</w:t>
            </w:r>
            <w:r w:rsidRPr="003B78E0">
              <w:rPr>
                <w:vertAlign w:val="subscript"/>
              </w:rPr>
              <w:t>50</w:t>
            </w:r>
            <w:r>
              <w:t xml:space="preserve"> 0.32 d in winter at 52°N</w:t>
            </w:r>
          </w:p>
        </w:tc>
        <w:tc>
          <w:tcPr>
            <w:tcW w:w="0" w:type="auto"/>
            <w:tcBorders>
              <w:top w:val="nil"/>
              <w:bottom w:val="nil"/>
            </w:tcBorders>
          </w:tcPr>
          <w:p w14:paraId="2055768B" w14:textId="729E133B" w:rsidR="00E935FC" w:rsidRDefault="00E935FC" w:rsidP="00377F3A">
            <w:pPr>
              <w:pStyle w:val="TableText"/>
            </w:pPr>
            <w:r>
              <w:t>Drake 2004b, 2005h, Gomez 2005</w:t>
            </w:r>
          </w:p>
        </w:tc>
      </w:tr>
      <w:tr w:rsidR="00E935FC" w:rsidRPr="000B2FA7" w14:paraId="48AD2A5A" w14:textId="77777777" w:rsidTr="00EC47E5">
        <w:trPr>
          <w:cantSplit/>
        </w:trPr>
        <w:tc>
          <w:tcPr>
            <w:tcW w:w="0" w:type="auto"/>
            <w:tcBorders>
              <w:top w:val="nil"/>
              <w:left w:val="nil"/>
              <w:bottom w:val="nil"/>
            </w:tcBorders>
          </w:tcPr>
          <w:p w14:paraId="1E00817B" w14:textId="77777777" w:rsidR="00E935FC" w:rsidRDefault="00E935FC" w:rsidP="00377F3A">
            <w:pPr>
              <w:pStyle w:val="TableText"/>
            </w:pPr>
          </w:p>
        </w:tc>
        <w:tc>
          <w:tcPr>
            <w:tcW w:w="0" w:type="auto"/>
            <w:tcBorders>
              <w:top w:val="nil"/>
              <w:left w:val="nil"/>
              <w:bottom w:val="nil"/>
            </w:tcBorders>
          </w:tcPr>
          <w:p w14:paraId="14740335" w14:textId="77777777" w:rsidR="00E935FC" w:rsidRDefault="00E935FC" w:rsidP="00377F3A">
            <w:pPr>
              <w:pStyle w:val="TableText"/>
            </w:pPr>
          </w:p>
        </w:tc>
        <w:tc>
          <w:tcPr>
            <w:tcW w:w="0" w:type="auto"/>
            <w:tcBorders>
              <w:top w:val="nil"/>
              <w:bottom w:val="nil"/>
            </w:tcBorders>
          </w:tcPr>
          <w:p w14:paraId="363E8C3F" w14:textId="77777777" w:rsidR="00E935FC" w:rsidRDefault="00E935FC" w:rsidP="00377F3A">
            <w:pPr>
              <w:pStyle w:val="TableText"/>
            </w:pPr>
            <w:r>
              <w:t>Summer sunlight in Scotland:</w:t>
            </w:r>
          </w:p>
          <w:p w14:paraId="189726A7" w14:textId="77777777" w:rsidR="00E935FC" w:rsidRDefault="00E935FC" w:rsidP="00377F3A">
            <w:pPr>
              <w:pStyle w:val="TableText"/>
            </w:pPr>
            <w:r>
              <w:t>pH 5: DT</w:t>
            </w:r>
            <w:r w:rsidRPr="00A848C7">
              <w:rPr>
                <w:vertAlign w:val="subscript"/>
              </w:rPr>
              <w:t>50</w:t>
            </w:r>
            <w:r>
              <w:t xml:space="preserve"> 0.14 d</w:t>
            </w:r>
          </w:p>
          <w:p w14:paraId="79B29F5E" w14:textId="77777777" w:rsidR="00E935FC" w:rsidRPr="006F78D3" w:rsidRDefault="00E935FC" w:rsidP="00377F3A">
            <w:pPr>
              <w:pStyle w:val="TableText"/>
              <w:rPr>
                <w:lang w:val="de-CH"/>
              </w:rPr>
            </w:pPr>
            <w:r w:rsidRPr="006F78D3">
              <w:rPr>
                <w:lang w:val="de-CH"/>
              </w:rPr>
              <w:t>pH 7: DT</w:t>
            </w:r>
            <w:r w:rsidRPr="00F85D43">
              <w:rPr>
                <w:vertAlign w:val="subscript"/>
                <w:lang w:val="de-CH"/>
              </w:rPr>
              <w:t>50</w:t>
            </w:r>
            <w:r w:rsidRPr="006F78D3">
              <w:rPr>
                <w:lang w:val="de-CH"/>
              </w:rPr>
              <w:t xml:space="preserve"> 0.34 d</w:t>
            </w:r>
          </w:p>
          <w:p w14:paraId="41ABD295" w14:textId="5498DD05" w:rsidR="00E935FC" w:rsidRPr="006F78D3" w:rsidRDefault="00E935FC" w:rsidP="00377F3A">
            <w:pPr>
              <w:pStyle w:val="TableText"/>
              <w:rPr>
                <w:lang w:val="de-CH"/>
              </w:rPr>
            </w:pPr>
            <w:r w:rsidRPr="006F78D3">
              <w:rPr>
                <w:lang w:val="de-CH"/>
              </w:rPr>
              <w:t>pH 9: DT</w:t>
            </w:r>
            <w:r w:rsidRPr="00F85D43">
              <w:rPr>
                <w:vertAlign w:val="subscript"/>
                <w:lang w:val="de-CH"/>
              </w:rPr>
              <w:t>50</w:t>
            </w:r>
            <w:r w:rsidRPr="006F78D3">
              <w:rPr>
                <w:lang w:val="de-CH"/>
              </w:rPr>
              <w:t xml:space="preserve"> 0.30 d</w:t>
            </w:r>
          </w:p>
        </w:tc>
        <w:tc>
          <w:tcPr>
            <w:tcW w:w="0" w:type="auto"/>
            <w:tcBorders>
              <w:top w:val="nil"/>
              <w:bottom w:val="nil"/>
            </w:tcBorders>
          </w:tcPr>
          <w:p w14:paraId="77BA7F28" w14:textId="4A1D38F3" w:rsidR="00E935FC" w:rsidRDefault="00E935FC" w:rsidP="00377F3A">
            <w:pPr>
              <w:pStyle w:val="TableText"/>
            </w:pPr>
            <w:r>
              <w:t xml:space="preserve">Hall </w:t>
            </w:r>
            <w:r w:rsidR="00B7183A" w:rsidRPr="00B7183A">
              <w:rPr>
                <w:i/>
                <w:iCs/>
              </w:rPr>
              <w:t>et al</w:t>
            </w:r>
            <w:r>
              <w:t>. 1992</w:t>
            </w:r>
          </w:p>
        </w:tc>
      </w:tr>
      <w:tr w:rsidR="00E935FC" w:rsidRPr="000B2FA7" w14:paraId="09E8E80E" w14:textId="77777777" w:rsidTr="00EC47E5">
        <w:trPr>
          <w:cantSplit/>
        </w:trPr>
        <w:tc>
          <w:tcPr>
            <w:tcW w:w="0" w:type="auto"/>
            <w:tcBorders>
              <w:top w:val="nil"/>
              <w:left w:val="nil"/>
              <w:bottom w:val="nil"/>
            </w:tcBorders>
          </w:tcPr>
          <w:p w14:paraId="5214299A" w14:textId="77777777" w:rsidR="00E935FC" w:rsidRDefault="00E935FC" w:rsidP="00377F3A">
            <w:pPr>
              <w:pStyle w:val="TableText"/>
            </w:pPr>
          </w:p>
        </w:tc>
        <w:tc>
          <w:tcPr>
            <w:tcW w:w="0" w:type="auto"/>
            <w:tcBorders>
              <w:top w:val="nil"/>
              <w:left w:val="nil"/>
              <w:bottom w:val="nil"/>
            </w:tcBorders>
          </w:tcPr>
          <w:p w14:paraId="6A8CE105" w14:textId="471B1C0E" w:rsidR="00E935FC" w:rsidRDefault="00E935FC" w:rsidP="00377F3A">
            <w:pPr>
              <w:pStyle w:val="TableText"/>
            </w:pPr>
            <w:r>
              <w:t>Readily biodegradable</w:t>
            </w:r>
          </w:p>
        </w:tc>
        <w:tc>
          <w:tcPr>
            <w:tcW w:w="0" w:type="auto"/>
            <w:tcBorders>
              <w:top w:val="nil"/>
              <w:bottom w:val="nil"/>
            </w:tcBorders>
          </w:tcPr>
          <w:p w14:paraId="39A1621F" w14:textId="76101D0C" w:rsidR="00E935FC" w:rsidRDefault="00E935FC" w:rsidP="00377F3A">
            <w:pPr>
              <w:pStyle w:val="TableText"/>
            </w:pPr>
            <w:r>
              <w:t>No</w:t>
            </w:r>
          </w:p>
        </w:tc>
        <w:tc>
          <w:tcPr>
            <w:tcW w:w="0" w:type="auto"/>
            <w:tcBorders>
              <w:top w:val="nil"/>
              <w:bottom w:val="nil"/>
            </w:tcBorders>
          </w:tcPr>
          <w:p w14:paraId="7F3E08EA" w14:textId="63375F00" w:rsidR="00E935FC" w:rsidRDefault="00E935FC" w:rsidP="00377F3A">
            <w:pPr>
              <w:pStyle w:val="TableText"/>
            </w:pPr>
            <w:r>
              <w:t>Drake 2003b, Kelly &amp; Clayton 2003b</w:t>
            </w:r>
          </w:p>
        </w:tc>
      </w:tr>
      <w:tr w:rsidR="00E935FC" w:rsidRPr="000B2FA7" w14:paraId="22AC25B1" w14:textId="77777777" w:rsidTr="00EC47E5">
        <w:trPr>
          <w:cantSplit/>
        </w:trPr>
        <w:tc>
          <w:tcPr>
            <w:tcW w:w="0" w:type="auto"/>
            <w:tcBorders>
              <w:top w:val="nil"/>
              <w:left w:val="nil"/>
              <w:bottom w:val="nil"/>
            </w:tcBorders>
          </w:tcPr>
          <w:p w14:paraId="3B41B0E6" w14:textId="77777777" w:rsidR="00E935FC" w:rsidRDefault="00E935FC" w:rsidP="00377F3A">
            <w:pPr>
              <w:pStyle w:val="TableText"/>
            </w:pPr>
          </w:p>
        </w:tc>
        <w:tc>
          <w:tcPr>
            <w:tcW w:w="0" w:type="auto"/>
            <w:tcBorders>
              <w:top w:val="nil"/>
              <w:left w:val="nil"/>
              <w:bottom w:val="nil"/>
            </w:tcBorders>
          </w:tcPr>
          <w:p w14:paraId="622C39AD" w14:textId="412EAE39" w:rsidR="00E935FC" w:rsidRDefault="00E935FC" w:rsidP="00377F3A">
            <w:pPr>
              <w:pStyle w:val="TableText"/>
            </w:pPr>
            <w:r>
              <w:t>Inherently biodegradable</w:t>
            </w:r>
          </w:p>
        </w:tc>
        <w:tc>
          <w:tcPr>
            <w:tcW w:w="0" w:type="auto"/>
            <w:tcBorders>
              <w:top w:val="nil"/>
              <w:bottom w:val="nil"/>
            </w:tcBorders>
          </w:tcPr>
          <w:p w14:paraId="55AD7EAF" w14:textId="36DEA004" w:rsidR="00E935FC" w:rsidRDefault="00E935FC" w:rsidP="00377F3A">
            <w:pPr>
              <w:pStyle w:val="TableText"/>
            </w:pPr>
            <w:r>
              <w:t>No</w:t>
            </w:r>
          </w:p>
        </w:tc>
        <w:tc>
          <w:tcPr>
            <w:tcW w:w="0" w:type="auto"/>
            <w:tcBorders>
              <w:top w:val="nil"/>
              <w:bottom w:val="nil"/>
            </w:tcBorders>
          </w:tcPr>
          <w:p w14:paraId="7BE1DB6F" w14:textId="15AD9518" w:rsidR="00E935FC" w:rsidRDefault="00E935FC" w:rsidP="00377F3A">
            <w:pPr>
              <w:pStyle w:val="TableText"/>
            </w:pPr>
            <w:r>
              <w:t>Drake 2005i</w:t>
            </w:r>
          </w:p>
        </w:tc>
      </w:tr>
      <w:tr w:rsidR="00E935FC" w:rsidRPr="000B2FA7" w14:paraId="2F67F3B5" w14:textId="77777777" w:rsidTr="00EC47E5">
        <w:trPr>
          <w:cantSplit/>
        </w:trPr>
        <w:tc>
          <w:tcPr>
            <w:tcW w:w="0" w:type="auto"/>
            <w:tcBorders>
              <w:top w:val="nil"/>
              <w:left w:val="nil"/>
              <w:bottom w:val="single" w:sz="4" w:space="0" w:color="auto"/>
            </w:tcBorders>
          </w:tcPr>
          <w:p w14:paraId="58C8AB31" w14:textId="77777777" w:rsidR="00E935FC" w:rsidRDefault="00E935FC" w:rsidP="00377F3A">
            <w:pPr>
              <w:pStyle w:val="TableText"/>
            </w:pPr>
          </w:p>
        </w:tc>
        <w:tc>
          <w:tcPr>
            <w:tcW w:w="0" w:type="auto"/>
            <w:tcBorders>
              <w:top w:val="nil"/>
              <w:left w:val="nil"/>
              <w:bottom w:val="single" w:sz="4" w:space="0" w:color="auto"/>
            </w:tcBorders>
          </w:tcPr>
          <w:p w14:paraId="255C5E47" w14:textId="41FD3DBF" w:rsidR="00E935FC" w:rsidRDefault="00E935FC" w:rsidP="00377F3A">
            <w:pPr>
              <w:pStyle w:val="TableText"/>
            </w:pPr>
            <w:r>
              <w:t>Anaerobic biodegradable</w:t>
            </w:r>
          </w:p>
        </w:tc>
        <w:tc>
          <w:tcPr>
            <w:tcW w:w="0" w:type="auto"/>
            <w:tcBorders>
              <w:top w:val="nil"/>
              <w:bottom w:val="single" w:sz="4" w:space="0" w:color="auto"/>
            </w:tcBorders>
          </w:tcPr>
          <w:p w14:paraId="63999DB6" w14:textId="2B369DCE" w:rsidR="00E935FC" w:rsidRDefault="00E935FC" w:rsidP="00377F3A">
            <w:pPr>
              <w:pStyle w:val="TableText"/>
            </w:pPr>
            <w:r>
              <w:t>No</w:t>
            </w:r>
          </w:p>
        </w:tc>
        <w:tc>
          <w:tcPr>
            <w:tcW w:w="0" w:type="auto"/>
            <w:tcBorders>
              <w:top w:val="nil"/>
              <w:bottom w:val="single" w:sz="4" w:space="0" w:color="auto"/>
            </w:tcBorders>
          </w:tcPr>
          <w:p w14:paraId="174439BE" w14:textId="6950C45F" w:rsidR="00E935FC" w:rsidRDefault="00E935FC" w:rsidP="00377F3A">
            <w:pPr>
              <w:pStyle w:val="TableText"/>
            </w:pPr>
            <w:r>
              <w:t>Drake 2005j</w:t>
            </w:r>
          </w:p>
        </w:tc>
      </w:tr>
      <w:tr w:rsidR="00E935FC" w:rsidRPr="000B2FA7" w14:paraId="6B8AE0EE" w14:textId="77777777" w:rsidTr="00EC47E5">
        <w:trPr>
          <w:cantSplit/>
        </w:trPr>
        <w:tc>
          <w:tcPr>
            <w:tcW w:w="0" w:type="auto"/>
            <w:tcBorders>
              <w:top w:val="single" w:sz="4" w:space="0" w:color="auto"/>
              <w:left w:val="nil"/>
              <w:bottom w:val="single" w:sz="4" w:space="0" w:color="auto"/>
            </w:tcBorders>
          </w:tcPr>
          <w:p w14:paraId="7179C24F" w14:textId="0A87FC14" w:rsidR="00E935FC" w:rsidRDefault="00E935FC" w:rsidP="00377F3A">
            <w:pPr>
              <w:pStyle w:val="TableText"/>
            </w:pPr>
            <w:r>
              <w:t>Air</w:t>
            </w:r>
          </w:p>
        </w:tc>
        <w:tc>
          <w:tcPr>
            <w:tcW w:w="0" w:type="auto"/>
            <w:tcBorders>
              <w:top w:val="single" w:sz="4" w:space="0" w:color="auto"/>
              <w:left w:val="nil"/>
              <w:bottom w:val="single" w:sz="4" w:space="0" w:color="auto"/>
            </w:tcBorders>
          </w:tcPr>
          <w:p w14:paraId="67203EC4" w14:textId="727E3F44" w:rsidR="00E935FC" w:rsidRDefault="00E935FC" w:rsidP="00377F3A">
            <w:pPr>
              <w:pStyle w:val="TableText"/>
            </w:pPr>
            <w:r>
              <w:t>Tropospheric degradation</w:t>
            </w:r>
          </w:p>
        </w:tc>
        <w:tc>
          <w:tcPr>
            <w:tcW w:w="0" w:type="auto"/>
            <w:tcBorders>
              <w:top w:val="single" w:sz="4" w:space="0" w:color="auto"/>
              <w:bottom w:val="single" w:sz="4" w:space="0" w:color="auto"/>
            </w:tcBorders>
          </w:tcPr>
          <w:p w14:paraId="704DFFBF" w14:textId="77777777" w:rsidR="00E935FC" w:rsidRDefault="00E935FC" w:rsidP="00377F3A">
            <w:pPr>
              <w:pStyle w:val="TableText"/>
            </w:pPr>
            <w:r>
              <w:t>DT</w:t>
            </w:r>
            <w:r w:rsidRPr="00642D1D">
              <w:rPr>
                <w:vertAlign w:val="subscript"/>
              </w:rPr>
              <w:t>50</w:t>
            </w:r>
            <w:r>
              <w:t xml:space="preserve"> 2.1 h (OH radical reaction)</w:t>
            </w:r>
          </w:p>
          <w:p w14:paraId="5B14DEF6" w14:textId="7B593FE3" w:rsidR="00E935FC" w:rsidRDefault="00E935FC" w:rsidP="00377F3A">
            <w:pPr>
              <w:pStyle w:val="TableText"/>
            </w:pPr>
            <w:r>
              <w:t>DT</w:t>
            </w:r>
            <w:r w:rsidRPr="00642D1D">
              <w:rPr>
                <w:vertAlign w:val="subscript"/>
              </w:rPr>
              <w:t>50</w:t>
            </w:r>
            <w:r>
              <w:t xml:space="preserve"> 2.0 h (ozone reaction)</w:t>
            </w:r>
          </w:p>
        </w:tc>
        <w:tc>
          <w:tcPr>
            <w:tcW w:w="0" w:type="auto"/>
            <w:tcBorders>
              <w:top w:val="single" w:sz="4" w:space="0" w:color="auto"/>
              <w:bottom w:val="single" w:sz="4" w:space="0" w:color="auto"/>
            </w:tcBorders>
          </w:tcPr>
          <w:p w14:paraId="4ABA6393" w14:textId="29F4F142" w:rsidR="00E935FC" w:rsidRDefault="00E935FC" w:rsidP="00377F3A">
            <w:pPr>
              <w:pStyle w:val="TableText"/>
            </w:pPr>
            <w:r>
              <w:t>Anon 2004b</w:t>
            </w:r>
          </w:p>
        </w:tc>
      </w:tr>
      <w:tr w:rsidR="00E935FC" w:rsidRPr="000B2FA7" w14:paraId="621D1DD2" w14:textId="77777777" w:rsidTr="00EC47E5">
        <w:trPr>
          <w:cantSplit/>
        </w:trPr>
        <w:tc>
          <w:tcPr>
            <w:tcW w:w="0" w:type="auto"/>
            <w:tcBorders>
              <w:top w:val="single" w:sz="4" w:space="0" w:color="auto"/>
              <w:left w:val="nil"/>
              <w:bottom w:val="nil"/>
            </w:tcBorders>
          </w:tcPr>
          <w:p w14:paraId="2A344DB5" w14:textId="17A502BC" w:rsidR="00E935FC" w:rsidRDefault="00E935FC" w:rsidP="00377F3A">
            <w:pPr>
              <w:pStyle w:val="TableText"/>
            </w:pPr>
            <w:r>
              <w:t>Biota</w:t>
            </w:r>
          </w:p>
        </w:tc>
        <w:tc>
          <w:tcPr>
            <w:tcW w:w="0" w:type="auto"/>
            <w:tcBorders>
              <w:top w:val="single" w:sz="4" w:space="0" w:color="auto"/>
              <w:left w:val="nil"/>
              <w:bottom w:val="nil"/>
            </w:tcBorders>
          </w:tcPr>
          <w:p w14:paraId="3395EE9F" w14:textId="4C445E50" w:rsidR="00E935FC" w:rsidRPr="00E935FC" w:rsidRDefault="00E935FC" w:rsidP="00377F3A">
            <w:pPr>
              <w:pStyle w:val="TableText"/>
            </w:pPr>
            <w:r w:rsidRPr="00E935FC">
              <w:t>Rat</w:t>
            </w:r>
          </w:p>
        </w:tc>
        <w:tc>
          <w:tcPr>
            <w:tcW w:w="0" w:type="auto"/>
            <w:tcBorders>
              <w:top w:val="single" w:sz="4" w:space="0" w:color="auto"/>
              <w:bottom w:val="nil"/>
            </w:tcBorders>
          </w:tcPr>
          <w:p w14:paraId="3FFF3BAC" w14:textId="77777777" w:rsidR="00E935FC" w:rsidRDefault="00E935FC" w:rsidP="00377F3A">
            <w:pPr>
              <w:pStyle w:val="TableText"/>
            </w:pPr>
            <w:r>
              <w:t>67-68% oral absorption</w:t>
            </w:r>
          </w:p>
          <w:p w14:paraId="3DA11E9C" w14:textId="77777777" w:rsidR="00E935FC" w:rsidRDefault="00E935FC" w:rsidP="00377F3A">
            <w:pPr>
              <w:pStyle w:val="TableText"/>
            </w:pPr>
            <w:r>
              <w:t>41-71% elimination after 7d</w:t>
            </w:r>
          </w:p>
          <w:p w14:paraId="19F029BF" w14:textId="69201A71" w:rsidR="00E935FC" w:rsidRDefault="00E935FC" w:rsidP="00377F3A">
            <w:pPr>
              <w:pStyle w:val="TableText"/>
            </w:pPr>
            <w:r>
              <w:t>Elimination DT</w:t>
            </w:r>
            <w:r w:rsidRPr="00576492">
              <w:rPr>
                <w:vertAlign w:val="subscript"/>
              </w:rPr>
              <w:t>50</w:t>
            </w:r>
            <w:r>
              <w:t xml:space="preserve"> 1.3-2.3 d</w:t>
            </w:r>
          </w:p>
        </w:tc>
        <w:tc>
          <w:tcPr>
            <w:tcW w:w="0" w:type="auto"/>
            <w:tcBorders>
              <w:top w:val="single" w:sz="4" w:space="0" w:color="auto"/>
              <w:bottom w:val="nil"/>
            </w:tcBorders>
          </w:tcPr>
          <w:p w14:paraId="2D7E5204" w14:textId="0FA33DBE" w:rsidR="00E935FC" w:rsidRDefault="00E935FC" w:rsidP="00377F3A">
            <w:pPr>
              <w:pStyle w:val="TableText"/>
            </w:pPr>
            <w:r>
              <w:t>Swan 2006</w:t>
            </w:r>
          </w:p>
        </w:tc>
      </w:tr>
      <w:tr w:rsidR="00E935FC" w:rsidRPr="000B2FA7" w14:paraId="0535D013" w14:textId="77777777" w:rsidTr="00EC47E5">
        <w:trPr>
          <w:cantSplit/>
        </w:trPr>
        <w:tc>
          <w:tcPr>
            <w:tcW w:w="0" w:type="auto"/>
            <w:tcBorders>
              <w:top w:val="nil"/>
              <w:left w:val="nil"/>
              <w:bottom w:val="nil"/>
            </w:tcBorders>
          </w:tcPr>
          <w:p w14:paraId="60DED887" w14:textId="77777777" w:rsidR="00E935FC" w:rsidRDefault="00E935FC" w:rsidP="00377F3A">
            <w:pPr>
              <w:pStyle w:val="TableText"/>
            </w:pPr>
          </w:p>
        </w:tc>
        <w:tc>
          <w:tcPr>
            <w:tcW w:w="0" w:type="auto"/>
            <w:tcBorders>
              <w:top w:val="nil"/>
              <w:left w:val="nil"/>
              <w:bottom w:val="nil"/>
            </w:tcBorders>
          </w:tcPr>
          <w:p w14:paraId="60258E61" w14:textId="77777777" w:rsidR="00E935FC" w:rsidRPr="00E935FC" w:rsidRDefault="00E935FC" w:rsidP="00377F3A">
            <w:pPr>
              <w:pStyle w:val="TableText"/>
            </w:pPr>
          </w:p>
        </w:tc>
        <w:tc>
          <w:tcPr>
            <w:tcW w:w="0" w:type="auto"/>
            <w:tcBorders>
              <w:top w:val="nil"/>
              <w:bottom w:val="nil"/>
            </w:tcBorders>
          </w:tcPr>
          <w:p w14:paraId="7C7C1495" w14:textId="77777777" w:rsidR="00E935FC" w:rsidRDefault="00E935FC" w:rsidP="00377F3A">
            <w:pPr>
              <w:pStyle w:val="TableText"/>
            </w:pPr>
            <w:r>
              <w:t>74-82% oral absorption</w:t>
            </w:r>
          </w:p>
          <w:p w14:paraId="1BD40930" w14:textId="3F2E945C" w:rsidR="00E935FC" w:rsidRDefault="00E935FC" w:rsidP="00377F3A">
            <w:pPr>
              <w:pStyle w:val="TableText"/>
            </w:pPr>
            <w:r>
              <w:t>40-60% elimination after 7d</w:t>
            </w:r>
          </w:p>
        </w:tc>
        <w:tc>
          <w:tcPr>
            <w:tcW w:w="0" w:type="auto"/>
            <w:tcBorders>
              <w:top w:val="nil"/>
              <w:bottom w:val="nil"/>
            </w:tcBorders>
          </w:tcPr>
          <w:p w14:paraId="30714A22" w14:textId="78FE6D8D" w:rsidR="00E935FC" w:rsidRDefault="00E935FC" w:rsidP="00377F3A">
            <w:pPr>
              <w:pStyle w:val="TableText"/>
            </w:pPr>
            <w:r>
              <w:t>Phillips 1996</w:t>
            </w:r>
          </w:p>
        </w:tc>
      </w:tr>
      <w:tr w:rsidR="00E935FC" w:rsidRPr="000B2FA7" w14:paraId="7705FA2B" w14:textId="77777777" w:rsidTr="00EC47E5">
        <w:trPr>
          <w:cantSplit/>
        </w:trPr>
        <w:tc>
          <w:tcPr>
            <w:tcW w:w="0" w:type="auto"/>
            <w:tcBorders>
              <w:top w:val="nil"/>
              <w:left w:val="nil"/>
              <w:bottom w:val="nil"/>
            </w:tcBorders>
          </w:tcPr>
          <w:p w14:paraId="2F675694" w14:textId="77777777" w:rsidR="00E935FC" w:rsidRDefault="00E935FC" w:rsidP="00377F3A">
            <w:pPr>
              <w:pStyle w:val="TableText"/>
            </w:pPr>
          </w:p>
        </w:tc>
        <w:tc>
          <w:tcPr>
            <w:tcW w:w="0" w:type="auto"/>
            <w:tcBorders>
              <w:top w:val="nil"/>
              <w:left w:val="nil"/>
              <w:bottom w:val="nil"/>
            </w:tcBorders>
          </w:tcPr>
          <w:p w14:paraId="2A714981" w14:textId="77777777" w:rsidR="00E935FC" w:rsidRPr="00E935FC" w:rsidRDefault="00E935FC" w:rsidP="00377F3A">
            <w:pPr>
              <w:pStyle w:val="TableText"/>
            </w:pPr>
          </w:p>
        </w:tc>
        <w:tc>
          <w:tcPr>
            <w:tcW w:w="0" w:type="auto"/>
            <w:tcBorders>
              <w:top w:val="nil"/>
              <w:bottom w:val="nil"/>
            </w:tcBorders>
          </w:tcPr>
          <w:p w14:paraId="571D9641" w14:textId="3B5B3E6E" w:rsidR="00E935FC" w:rsidRDefault="00E935FC" w:rsidP="00377F3A">
            <w:pPr>
              <w:pStyle w:val="TableText"/>
            </w:pPr>
            <w:r>
              <w:t>Liver DT</w:t>
            </w:r>
            <w:r w:rsidRPr="00F855FB">
              <w:rPr>
                <w:vertAlign w:val="subscript"/>
              </w:rPr>
              <w:t>50</w:t>
            </w:r>
            <w:r>
              <w:t xml:space="preserve"> 120 d</w:t>
            </w:r>
          </w:p>
        </w:tc>
        <w:tc>
          <w:tcPr>
            <w:tcW w:w="0" w:type="auto"/>
            <w:tcBorders>
              <w:top w:val="nil"/>
              <w:bottom w:val="nil"/>
            </w:tcBorders>
          </w:tcPr>
          <w:p w14:paraId="251A24E4" w14:textId="5E1EA375" w:rsidR="00E935FC" w:rsidRDefault="00E935FC" w:rsidP="00377F3A">
            <w:pPr>
              <w:pStyle w:val="TableText"/>
            </w:pPr>
            <w:r>
              <w:t xml:space="preserve">Parmar </w:t>
            </w:r>
            <w:r w:rsidR="00B7183A" w:rsidRPr="00B7183A">
              <w:rPr>
                <w:i/>
                <w:iCs/>
              </w:rPr>
              <w:t>et al</w:t>
            </w:r>
            <w:r>
              <w:t>. 1987</w:t>
            </w:r>
          </w:p>
        </w:tc>
      </w:tr>
      <w:tr w:rsidR="00E935FC" w:rsidRPr="000B2FA7" w14:paraId="0E26296B" w14:textId="77777777" w:rsidTr="00EC47E5">
        <w:trPr>
          <w:cantSplit/>
        </w:trPr>
        <w:tc>
          <w:tcPr>
            <w:tcW w:w="0" w:type="auto"/>
            <w:tcBorders>
              <w:top w:val="nil"/>
              <w:left w:val="nil"/>
              <w:bottom w:val="nil"/>
            </w:tcBorders>
          </w:tcPr>
          <w:p w14:paraId="2A074FA3" w14:textId="77777777" w:rsidR="00E935FC" w:rsidRDefault="00E935FC" w:rsidP="00377F3A">
            <w:pPr>
              <w:pStyle w:val="TableText"/>
            </w:pPr>
          </w:p>
        </w:tc>
        <w:tc>
          <w:tcPr>
            <w:tcW w:w="0" w:type="auto"/>
            <w:tcBorders>
              <w:top w:val="nil"/>
              <w:left w:val="nil"/>
              <w:bottom w:val="nil"/>
            </w:tcBorders>
          </w:tcPr>
          <w:p w14:paraId="7586F867" w14:textId="6180FD8F" w:rsidR="00E935FC" w:rsidRPr="00E935FC" w:rsidRDefault="00E935FC" w:rsidP="00377F3A">
            <w:pPr>
              <w:pStyle w:val="TableText"/>
            </w:pPr>
            <w:r w:rsidRPr="00E935FC">
              <w:t>Mouse</w:t>
            </w:r>
          </w:p>
        </w:tc>
        <w:tc>
          <w:tcPr>
            <w:tcW w:w="0" w:type="auto"/>
            <w:tcBorders>
              <w:top w:val="nil"/>
              <w:bottom w:val="nil"/>
            </w:tcBorders>
          </w:tcPr>
          <w:p w14:paraId="55F47F9A" w14:textId="15ADFC07" w:rsidR="00E935FC" w:rsidRDefault="00E935FC" w:rsidP="00377F3A">
            <w:pPr>
              <w:pStyle w:val="TableText"/>
            </w:pPr>
            <w:r>
              <w:t>Liver DT</w:t>
            </w:r>
            <w:r w:rsidRPr="00F855FB">
              <w:rPr>
                <w:vertAlign w:val="subscript"/>
              </w:rPr>
              <w:t>50</w:t>
            </w:r>
            <w:r>
              <w:t xml:space="preserve"> 62 d</w:t>
            </w:r>
          </w:p>
        </w:tc>
        <w:tc>
          <w:tcPr>
            <w:tcW w:w="0" w:type="auto"/>
            <w:tcBorders>
              <w:top w:val="nil"/>
              <w:bottom w:val="nil"/>
            </w:tcBorders>
          </w:tcPr>
          <w:p w14:paraId="1FD01E46" w14:textId="5871AFE5" w:rsidR="00E935FC" w:rsidRDefault="00E935FC" w:rsidP="00377F3A">
            <w:pPr>
              <w:pStyle w:val="TableText"/>
            </w:pPr>
            <w:r>
              <w:t xml:space="preserve">Vandenbroucke </w:t>
            </w:r>
            <w:r w:rsidR="00B7183A" w:rsidRPr="00B7183A">
              <w:rPr>
                <w:i/>
                <w:iCs/>
              </w:rPr>
              <w:t>et al</w:t>
            </w:r>
            <w:r>
              <w:t>. 2008</w:t>
            </w:r>
          </w:p>
        </w:tc>
      </w:tr>
      <w:tr w:rsidR="00E935FC" w:rsidRPr="000B2FA7" w14:paraId="641EE303" w14:textId="77777777" w:rsidTr="00EC47E5">
        <w:trPr>
          <w:cantSplit/>
        </w:trPr>
        <w:tc>
          <w:tcPr>
            <w:tcW w:w="0" w:type="auto"/>
            <w:tcBorders>
              <w:top w:val="nil"/>
              <w:left w:val="nil"/>
              <w:bottom w:val="single" w:sz="4" w:space="0" w:color="auto"/>
            </w:tcBorders>
          </w:tcPr>
          <w:p w14:paraId="3A1C61AC" w14:textId="77777777" w:rsidR="00E935FC" w:rsidRDefault="00E935FC" w:rsidP="00377F3A">
            <w:pPr>
              <w:pStyle w:val="TableText"/>
            </w:pPr>
          </w:p>
        </w:tc>
        <w:tc>
          <w:tcPr>
            <w:tcW w:w="0" w:type="auto"/>
            <w:tcBorders>
              <w:top w:val="nil"/>
              <w:left w:val="nil"/>
              <w:bottom w:val="single" w:sz="4" w:space="0" w:color="auto"/>
            </w:tcBorders>
          </w:tcPr>
          <w:p w14:paraId="6DDBE7F6" w14:textId="4D77DD4B" w:rsidR="00E935FC" w:rsidRPr="00E935FC" w:rsidRDefault="00E935FC" w:rsidP="00377F3A">
            <w:pPr>
              <w:pStyle w:val="TableText"/>
            </w:pPr>
            <w:r>
              <w:t>Fish</w:t>
            </w:r>
          </w:p>
        </w:tc>
        <w:tc>
          <w:tcPr>
            <w:tcW w:w="0" w:type="auto"/>
            <w:tcBorders>
              <w:top w:val="nil"/>
              <w:bottom w:val="single" w:sz="4" w:space="0" w:color="auto"/>
            </w:tcBorders>
          </w:tcPr>
          <w:p w14:paraId="285EB876" w14:textId="40659BA0" w:rsidR="00E935FC" w:rsidRDefault="00E935FC" w:rsidP="00377F3A">
            <w:pPr>
              <w:pStyle w:val="TableText"/>
            </w:pPr>
            <w:r>
              <w:t>BCF 1100, CT</w:t>
            </w:r>
            <w:r w:rsidRPr="00E935FC">
              <w:rPr>
                <w:vertAlign w:val="subscript"/>
              </w:rPr>
              <w:t>50</w:t>
            </w:r>
            <w:r>
              <w:t xml:space="preserve"> 5 d</w:t>
            </w:r>
          </w:p>
        </w:tc>
        <w:tc>
          <w:tcPr>
            <w:tcW w:w="0" w:type="auto"/>
            <w:tcBorders>
              <w:top w:val="nil"/>
              <w:bottom w:val="single" w:sz="4" w:space="0" w:color="auto"/>
            </w:tcBorders>
          </w:tcPr>
          <w:p w14:paraId="54D75684" w14:textId="32F8327D" w:rsidR="00E935FC" w:rsidRDefault="00E935FC" w:rsidP="00377F3A">
            <w:pPr>
              <w:pStyle w:val="TableText"/>
            </w:pPr>
            <w:r>
              <w:t>Sacker 2004</w:t>
            </w:r>
          </w:p>
        </w:tc>
      </w:tr>
    </w:tbl>
    <w:p w14:paraId="075B2A50" w14:textId="047C0443" w:rsidR="00A12A97" w:rsidRPr="00122CA9" w:rsidRDefault="00BA7F5F" w:rsidP="00377F3A">
      <w:pPr>
        <w:pStyle w:val="Caption"/>
      </w:pPr>
      <w:bookmarkStart w:id="2086" w:name="_Toc213946099"/>
      <w:bookmarkStart w:id="2087" w:name="_Toc216695790"/>
      <w:r>
        <w:t xml:space="preserve">Table </w:t>
      </w:r>
      <w:r>
        <w:fldChar w:fldCharType="begin"/>
      </w:r>
      <w:r>
        <w:instrText xml:space="preserve"> SEQ Table \* ARABIC </w:instrText>
      </w:r>
      <w:r>
        <w:fldChar w:fldCharType="separate"/>
      </w:r>
      <w:r w:rsidR="003861AC">
        <w:rPr>
          <w:noProof/>
        </w:rPr>
        <w:t>128</w:t>
      </w:r>
      <w:r>
        <w:fldChar w:fldCharType="end"/>
      </w:r>
      <w:r>
        <w:t xml:space="preserve">: </w:t>
      </w:r>
      <w:r w:rsidR="00E935FC">
        <w:t xml:space="preserve">Difenacoum – </w:t>
      </w:r>
      <w:r w:rsidR="006A5695">
        <w:t>Residues m</w:t>
      </w:r>
      <w:r w:rsidR="00A12A97">
        <w:t>onitoring data</w:t>
      </w:r>
      <w:bookmarkEnd w:id="2086"/>
      <w:bookmarkEnd w:id="2087"/>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48"/>
        <w:gridCol w:w="905"/>
        <w:gridCol w:w="6116"/>
        <w:gridCol w:w="1321"/>
      </w:tblGrid>
      <w:tr w:rsidR="0071004A" w:rsidRPr="003B5A86" w14:paraId="1D333752" w14:textId="77777777" w:rsidTr="0017134F">
        <w:trPr>
          <w:cantSplit/>
          <w:tblHeader/>
        </w:trPr>
        <w:tc>
          <w:tcPr>
            <w:tcW w:w="0" w:type="auto"/>
            <w:tcBorders>
              <w:bottom w:val="single" w:sz="4" w:space="0" w:color="auto"/>
            </w:tcBorders>
            <w:shd w:val="clear" w:color="auto" w:fill="53284F"/>
          </w:tcPr>
          <w:p w14:paraId="0576A4D6" w14:textId="77777777" w:rsidR="0071004A" w:rsidRPr="0071004A" w:rsidRDefault="0071004A" w:rsidP="00377F3A">
            <w:pPr>
              <w:pStyle w:val="TableHead"/>
              <w:rPr>
                <w:lang w:eastAsia="en-AU"/>
              </w:rPr>
            </w:pPr>
            <w:r w:rsidRPr="0071004A">
              <w:rPr>
                <w:lang w:eastAsia="en-AU"/>
              </w:rPr>
              <w:t>Compartment</w:t>
            </w:r>
          </w:p>
        </w:tc>
        <w:tc>
          <w:tcPr>
            <w:tcW w:w="0" w:type="auto"/>
            <w:tcBorders>
              <w:bottom w:val="single" w:sz="4" w:space="0" w:color="auto"/>
            </w:tcBorders>
            <w:shd w:val="clear" w:color="auto" w:fill="53284F"/>
          </w:tcPr>
          <w:p w14:paraId="339E6A14" w14:textId="77777777" w:rsidR="0071004A" w:rsidRPr="0071004A" w:rsidRDefault="0071004A" w:rsidP="00377F3A">
            <w:pPr>
              <w:pStyle w:val="TableHead"/>
              <w:rPr>
                <w:lang w:eastAsia="en-AU"/>
              </w:rPr>
            </w:pPr>
            <w:r w:rsidRPr="0071004A">
              <w:rPr>
                <w:lang w:eastAsia="en-AU"/>
              </w:rPr>
              <w:t>Location</w:t>
            </w:r>
          </w:p>
        </w:tc>
        <w:tc>
          <w:tcPr>
            <w:tcW w:w="0" w:type="auto"/>
            <w:tcBorders>
              <w:bottom w:val="single" w:sz="4" w:space="0" w:color="auto"/>
            </w:tcBorders>
            <w:shd w:val="clear" w:color="auto" w:fill="53284F"/>
          </w:tcPr>
          <w:p w14:paraId="5F584DEA" w14:textId="77777777" w:rsidR="0071004A" w:rsidRPr="0071004A" w:rsidRDefault="0071004A" w:rsidP="00377F3A">
            <w:pPr>
              <w:pStyle w:val="TableHead"/>
              <w:rPr>
                <w:lang w:eastAsia="en-AU"/>
              </w:rPr>
            </w:pPr>
            <w:r w:rsidRPr="0071004A">
              <w:rPr>
                <w:lang w:eastAsia="en-AU"/>
              </w:rPr>
              <w:t>Value</w:t>
            </w:r>
          </w:p>
        </w:tc>
        <w:tc>
          <w:tcPr>
            <w:tcW w:w="0" w:type="auto"/>
            <w:tcBorders>
              <w:bottom w:val="single" w:sz="4" w:space="0" w:color="auto"/>
            </w:tcBorders>
            <w:shd w:val="clear" w:color="auto" w:fill="53284F"/>
          </w:tcPr>
          <w:p w14:paraId="59B2033E" w14:textId="77777777" w:rsidR="0071004A" w:rsidRPr="0071004A" w:rsidRDefault="0071004A" w:rsidP="00377F3A">
            <w:pPr>
              <w:pStyle w:val="TableHead"/>
              <w:rPr>
                <w:lang w:eastAsia="en-AU"/>
              </w:rPr>
            </w:pPr>
            <w:r w:rsidRPr="0071004A">
              <w:rPr>
                <w:lang w:eastAsia="en-AU"/>
              </w:rPr>
              <w:t>Reference</w:t>
            </w:r>
          </w:p>
        </w:tc>
      </w:tr>
      <w:tr w:rsidR="0071004A" w:rsidRPr="003B5A86" w14:paraId="4D8471ED" w14:textId="77777777" w:rsidTr="00E935FC">
        <w:trPr>
          <w:cantSplit/>
          <w:trHeight w:val="13"/>
        </w:trPr>
        <w:tc>
          <w:tcPr>
            <w:tcW w:w="0" w:type="auto"/>
            <w:tcBorders>
              <w:top w:val="single" w:sz="4" w:space="0" w:color="auto"/>
              <w:left w:val="nil"/>
              <w:bottom w:val="single" w:sz="4" w:space="0" w:color="auto"/>
              <w:right w:val="nil"/>
            </w:tcBorders>
          </w:tcPr>
          <w:p w14:paraId="5A9BD226" w14:textId="77777777" w:rsidR="0071004A" w:rsidRPr="00E673EB" w:rsidRDefault="0071004A"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26D9EE12"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118F0275" w14:textId="77777777" w:rsidR="0071004A" w:rsidRPr="00E673EB" w:rsidRDefault="0071004A" w:rsidP="00377F3A">
            <w:pPr>
              <w:pStyle w:val="TableText"/>
            </w:pPr>
            <w:r w:rsidRPr="00E673EB">
              <w:t>&lt;LOQ (1.0 µg/kg) in suspended particulate matter at 16 sampling locations in German rivers in 2015</w:t>
            </w:r>
          </w:p>
        </w:tc>
        <w:tc>
          <w:tcPr>
            <w:tcW w:w="0" w:type="auto"/>
            <w:tcBorders>
              <w:top w:val="single" w:sz="4" w:space="0" w:color="auto"/>
              <w:left w:val="nil"/>
              <w:bottom w:val="single" w:sz="4" w:space="0" w:color="auto"/>
              <w:right w:val="nil"/>
            </w:tcBorders>
          </w:tcPr>
          <w:p w14:paraId="365DF4C8" w14:textId="1C75CFB7"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4E13013A" w14:textId="77777777" w:rsidTr="00E935FC">
        <w:trPr>
          <w:cantSplit/>
          <w:trHeight w:val="13"/>
        </w:trPr>
        <w:tc>
          <w:tcPr>
            <w:tcW w:w="0" w:type="auto"/>
            <w:tcBorders>
              <w:top w:val="single" w:sz="4" w:space="0" w:color="auto"/>
              <w:left w:val="nil"/>
              <w:bottom w:val="single" w:sz="4" w:space="0" w:color="auto"/>
              <w:right w:val="nil"/>
            </w:tcBorders>
          </w:tcPr>
          <w:p w14:paraId="1B4B1E43" w14:textId="77777777" w:rsidR="0071004A" w:rsidRPr="00E673EB" w:rsidRDefault="0071004A" w:rsidP="00377F3A">
            <w:pPr>
              <w:pStyle w:val="TableText"/>
              <w:rPr>
                <w:lang w:eastAsia="en-AU"/>
              </w:rPr>
            </w:pPr>
            <w:r w:rsidRPr="00E673EB">
              <w:rPr>
                <w:lang w:eastAsia="en-AU"/>
              </w:rPr>
              <w:t>Target rodents</w:t>
            </w:r>
          </w:p>
        </w:tc>
        <w:tc>
          <w:tcPr>
            <w:tcW w:w="0" w:type="auto"/>
            <w:tcBorders>
              <w:top w:val="single" w:sz="4" w:space="0" w:color="auto"/>
              <w:left w:val="nil"/>
              <w:bottom w:val="single" w:sz="4" w:space="0" w:color="auto"/>
              <w:right w:val="nil"/>
            </w:tcBorders>
          </w:tcPr>
          <w:p w14:paraId="2BD4A7B7" w14:textId="77777777" w:rsidR="0071004A" w:rsidRPr="00E673EB" w:rsidRDefault="0071004A" w:rsidP="00377F3A">
            <w:pPr>
              <w:pStyle w:val="TableText"/>
            </w:pPr>
            <w:r w:rsidRPr="00E673EB">
              <w:t>UK</w:t>
            </w:r>
          </w:p>
        </w:tc>
        <w:tc>
          <w:tcPr>
            <w:tcW w:w="0" w:type="auto"/>
            <w:tcBorders>
              <w:top w:val="single" w:sz="4" w:space="0" w:color="auto"/>
              <w:left w:val="nil"/>
              <w:bottom w:val="single" w:sz="4" w:space="0" w:color="auto"/>
              <w:right w:val="nil"/>
            </w:tcBorders>
          </w:tcPr>
          <w:p w14:paraId="1832D3E0" w14:textId="77777777" w:rsidR="0071004A" w:rsidRPr="00E673EB" w:rsidRDefault="0071004A" w:rsidP="00377F3A">
            <w:pPr>
              <w:pStyle w:val="TableText"/>
            </w:pPr>
            <w:r w:rsidRPr="00E673EB">
              <w:t>Max liver residues 27 µg/kg in 2/12 house mice from farms in Northern Ireland within 30m from buildings (no difenacoum usage at sites with detections)</w:t>
            </w:r>
          </w:p>
        </w:tc>
        <w:tc>
          <w:tcPr>
            <w:tcW w:w="0" w:type="auto"/>
            <w:tcBorders>
              <w:top w:val="single" w:sz="4" w:space="0" w:color="auto"/>
              <w:left w:val="nil"/>
              <w:bottom w:val="single" w:sz="4" w:space="0" w:color="auto"/>
              <w:right w:val="nil"/>
            </w:tcBorders>
          </w:tcPr>
          <w:p w14:paraId="70F6FB49" w14:textId="6EAE6C0E"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0E96F274" w14:textId="77777777" w:rsidTr="00E935FC">
        <w:trPr>
          <w:cantSplit/>
          <w:trHeight w:val="13"/>
        </w:trPr>
        <w:tc>
          <w:tcPr>
            <w:tcW w:w="0" w:type="auto"/>
            <w:tcBorders>
              <w:top w:val="single" w:sz="4" w:space="0" w:color="auto"/>
              <w:left w:val="nil"/>
              <w:bottom w:val="nil"/>
              <w:right w:val="nil"/>
            </w:tcBorders>
          </w:tcPr>
          <w:p w14:paraId="3758B0A1" w14:textId="77777777" w:rsidR="0071004A" w:rsidRPr="00E673EB" w:rsidRDefault="0071004A" w:rsidP="00377F3A">
            <w:pPr>
              <w:pStyle w:val="TableText"/>
              <w:rPr>
                <w:lang w:eastAsia="en-AU"/>
              </w:rPr>
            </w:pPr>
            <w:r w:rsidRPr="00E673EB">
              <w:rPr>
                <w:lang w:eastAsia="en-AU"/>
              </w:rPr>
              <w:lastRenderedPageBreak/>
              <w:t>Non-target mammals</w:t>
            </w:r>
          </w:p>
        </w:tc>
        <w:tc>
          <w:tcPr>
            <w:tcW w:w="0" w:type="auto"/>
            <w:tcBorders>
              <w:top w:val="single" w:sz="4" w:space="0" w:color="auto"/>
              <w:left w:val="nil"/>
              <w:bottom w:val="nil"/>
              <w:right w:val="nil"/>
            </w:tcBorders>
          </w:tcPr>
          <w:p w14:paraId="607CDFB0"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319E3C8E" w14:textId="77777777" w:rsidR="0071004A" w:rsidRPr="00E673EB" w:rsidRDefault="0071004A" w:rsidP="00377F3A">
            <w:pPr>
              <w:pStyle w:val="TableText"/>
            </w:pPr>
            <w:r w:rsidRPr="00E673EB">
              <w:t>Mean liver residues 96 µg/kg in 1/9 western quolls, 7 µg/kg in 3/15 eastern quolls, and 3 µg/kg in 1/20 Tasmanian devils in Tasmania, Western Australia, NSW</w:t>
            </w:r>
          </w:p>
        </w:tc>
        <w:tc>
          <w:tcPr>
            <w:tcW w:w="0" w:type="auto"/>
            <w:tcBorders>
              <w:top w:val="single" w:sz="4" w:space="0" w:color="auto"/>
              <w:left w:val="nil"/>
              <w:bottom w:val="nil"/>
              <w:right w:val="nil"/>
            </w:tcBorders>
          </w:tcPr>
          <w:p w14:paraId="1E85D05B" w14:textId="77777777" w:rsidR="0071004A" w:rsidRPr="00E673EB" w:rsidRDefault="0071004A" w:rsidP="00377F3A">
            <w:pPr>
              <w:pStyle w:val="TableText"/>
            </w:pPr>
            <w:r w:rsidRPr="00E673EB">
              <w:t>Lohr 2022</w:t>
            </w:r>
          </w:p>
        </w:tc>
      </w:tr>
      <w:tr w:rsidR="0071004A" w:rsidRPr="003B5A86" w14:paraId="16F4F3ED" w14:textId="77777777" w:rsidTr="00E935FC">
        <w:trPr>
          <w:cantSplit/>
          <w:trHeight w:val="13"/>
        </w:trPr>
        <w:tc>
          <w:tcPr>
            <w:tcW w:w="0" w:type="auto"/>
            <w:tcBorders>
              <w:top w:val="nil"/>
              <w:left w:val="nil"/>
              <w:bottom w:val="nil"/>
              <w:right w:val="nil"/>
            </w:tcBorders>
          </w:tcPr>
          <w:p w14:paraId="5D75780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E8B9483" w14:textId="77777777" w:rsidR="0071004A" w:rsidRPr="00E673EB" w:rsidRDefault="0071004A" w:rsidP="00377F3A">
            <w:pPr>
              <w:pStyle w:val="TableText"/>
            </w:pPr>
          </w:p>
        </w:tc>
        <w:tc>
          <w:tcPr>
            <w:tcW w:w="0" w:type="auto"/>
            <w:tcBorders>
              <w:top w:val="nil"/>
              <w:left w:val="nil"/>
              <w:bottom w:val="nil"/>
              <w:right w:val="nil"/>
            </w:tcBorders>
          </w:tcPr>
          <w:p w14:paraId="4BCD6737" w14:textId="77777777" w:rsidR="0071004A" w:rsidRPr="00E673EB" w:rsidRDefault="0071004A" w:rsidP="00377F3A">
            <w:pPr>
              <w:pStyle w:val="TableText"/>
            </w:pPr>
            <w:r w:rsidRPr="00E673EB">
              <w:t>Not detected in brushtail possums in rural &amp; urban areas across Australia between 2006 and 2021</w:t>
            </w:r>
          </w:p>
        </w:tc>
        <w:tc>
          <w:tcPr>
            <w:tcW w:w="0" w:type="auto"/>
            <w:tcBorders>
              <w:top w:val="nil"/>
              <w:left w:val="nil"/>
              <w:bottom w:val="nil"/>
              <w:right w:val="nil"/>
            </w:tcBorders>
          </w:tcPr>
          <w:p w14:paraId="21FD8C1D" w14:textId="77777777" w:rsidR="0071004A" w:rsidRPr="00E673EB" w:rsidRDefault="0071004A" w:rsidP="00377F3A">
            <w:pPr>
              <w:pStyle w:val="TableText"/>
            </w:pPr>
            <w:r w:rsidRPr="00E673EB">
              <w:t>WHA 2022</w:t>
            </w:r>
          </w:p>
        </w:tc>
      </w:tr>
      <w:tr w:rsidR="0071004A" w14:paraId="45B27919" w14:textId="77777777" w:rsidTr="00E935FC">
        <w:trPr>
          <w:cantSplit/>
          <w:trHeight w:val="13"/>
        </w:trPr>
        <w:tc>
          <w:tcPr>
            <w:tcW w:w="0" w:type="auto"/>
            <w:tcBorders>
              <w:top w:val="nil"/>
              <w:left w:val="nil"/>
              <w:bottom w:val="nil"/>
              <w:right w:val="nil"/>
            </w:tcBorders>
          </w:tcPr>
          <w:p w14:paraId="5261B2D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916EBE7" w14:textId="77777777" w:rsidR="0071004A" w:rsidRPr="00E673EB" w:rsidRDefault="0071004A" w:rsidP="00377F3A">
            <w:pPr>
              <w:pStyle w:val="TableText"/>
            </w:pPr>
          </w:p>
        </w:tc>
        <w:tc>
          <w:tcPr>
            <w:tcW w:w="0" w:type="auto"/>
            <w:tcBorders>
              <w:top w:val="nil"/>
              <w:left w:val="nil"/>
              <w:bottom w:val="nil"/>
              <w:right w:val="nil"/>
            </w:tcBorders>
          </w:tcPr>
          <w:p w14:paraId="4F64B1D1" w14:textId="77777777" w:rsidR="0071004A" w:rsidRPr="00E673EB" w:rsidRDefault="0071004A" w:rsidP="00377F3A">
            <w:pPr>
              <w:pStyle w:val="TableText"/>
            </w:pPr>
            <w:r w:rsidRPr="00E673EB">
              <w:t>Max liver residues 7 µg/kg in 2/53 brushtail possums, 3 µg/kg in 4/82 ringtail possums in Victoria in 2022</w:t>
            </w:r>
          </w:p>
        </w:tc>
        <w:tc>
          <w:tcPr>
            <w:tcW w:w="0" w:type="auto"/>
            <w:tcBorders>
              <w:top w:val="nil"/>
              <w:left w:val="nil"/>
              <w:bottom w:val="nil"/>
              <w:right w:val="nil"/>
            </w:tcBorders>
          </w:tcPr>
          <w:p w14:paraId="650681E7" w14:textId="3474475A" w:rsidR="0071004A" w:rsidRPr="00E673EB" w:rsidRDefault="0071004A" w:rsidP="00377F3A">
            <w:pPr>
              <w:pStyle w:val="TableText"/>
            </w:pPr>
            <w:r w:rsidRPr="00E673EB">
              <w:t xml:space="preserve">Scammell </w:t>
            </w:r>
            <w:r w:rsidR="00B7183A" w:rsidRPr="00B7183A">
              <w:rPr>
                <w:i/>
                <w:iCs/>
              </w:rPr>
              <w:t>et al</w:t>
            </w:r>
            <w:r w:rsidRPr="00E673EB">
              <w:t>. 2024</w:t>
            </w:r>
          </w:p>
        </w:tc>
      </w:tr>
      <w:tr w:rsidR="0071004A" w:rsidRPr="003B5A86" w14:paraId="34CD9A96" w14:textId="77777777" w:rsidTr="00E935FC">
        <w:trPr>
          <w:cantSplit/>
          <w:trHeight w:val="13"/>
        </w:trPr>
        <w:tc>
          <w:tcPr>
            <w:tcW w:w="0" w:type="auto"/>
            <w:tcBorders>
              <w:top w:val="nil"/>
              <w:left w:val="nil"/>
              <w:bottom w:val="nil"/>
              <w:right w:val="nil"/>
            </w:tcBorders>
          </w:tcPr>
          <w:p w14:paraId="2990F02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85A65E2" w14:textId="77777777" w:rsidR="0071004A" w:rsidRPr="00E673EB" w:rsidRDefault="0071004A" w:rsidP="00377F3A">
            <w:pPr>
              <w:pStyle w:val="TableText"/>
            </w:pPr>
            <w:r>
              <w:t>Europe</w:t>
            </w:r>
          </w:p>
        </w:tc>
        <w:tc>
          <w:tcPr>
            <w:tcW w:w="0" w:type="auto"/>
            <w:tcBorders>
              <w:top w:val="nil"/>
              <w:left w:val="nil"/>
              <w:bottom w:val="nil"/>
              <w:right w:val="nil"/>
            </w:tcBorders>
          </w:tcPr>
          <w:p w14:paraId="7F0354C8" w14:textId="77777777" w:rsidR="0071004A" w:rsidRPr="00E673EB" w:rsidRDefault="0071004A" w:rsidP="00377F3A">
            <w:pPr>
              <w:pStyle w:val="TableText"/>
            </w:pPr>
            <w:r w:rsidRPr="00E673EB">
              <w:t>Mean liver residues 54 µg/kg in 5/51 wild boars in urban area (mean muscle residues 2.8 µg/kg in 2); not detected in liver or muscle of 20 wild boars in suburban area or 13 wild boars in rural area of Spain</w:t>
            </w:r>
          </w:p>
        </w:tc>
        <w:tc>
          <w:tcPr>
            <w:tcW w:w="0" w:type="auto"/>
            <w:tcBorders>
              <w:top w:val="nil"/>
              <w:left w:val="nil"/>
              <w:bottom w:val="nil"/>
              <w:right w:val="nil"/>
            </w:tcBorders>
          </w:tcPr>
          <w:p w14:paraId="3DD87A03" w14:textId="6BE221AF" w:rsidR="0071004A" w:rsidRPr="00E673EB" w:rsidRDefault="0071004A" w:rsidP="00377F3A">
            <w:pPr>
              <w:pStyle w:val="TableText"/>
            </w:pPr>
            <w:r w:rsidRPr="00E673EB">
              <w:t xml:space="preserve">Alabau </w:t>
            </w:r>
            <w:r w:rsidR="00B7183A" w:rsidRPr="00B7183A">
              <w:rPr>
                <w:i/>
                <w:iCs/>
              </w:rPr>
              <w:t>et al</w:t>
            </w:r>
            <w:r w:rsidRPr="00E673EB">
              <w:t>. 2020</w:t>
            </w:r>
          </w:p>
        </w:tc>
      </w:tr>
      <w:tr w:rsidR="0071004A" w:rsidRPr="00E673EB" w14:paraId="3BFB6488" w14:textId="77777777" w:rsidTr="00E935FC">
        <w:trPr>
          <w:cantSplit/>
          <w:trHeight w:val="13"/>
        </w:trPr>
        <w:tc>
          <w:tcPr>
            <w:tcW w:w="0" w:type="auto"/>
            <w:tcBorders>
              <w:top w:val="nil"/>
              <w:left w:val="nil"/>
              <w:bottom w:val="nil"/>
              <w:right w:val="nil"/>
            </w:tcBorders>
          </w:tcPr>
          <w:p w14:paraId="573A0E1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93B1A7C" w14:textId="77777777" w:rsidR="0071004A" w:rsidRPr="00E673EB" w:rsidRDefault="0071004A" w:rsidP="00377F3A">
            <w:pPr>
              <w:pStyle w:val="TableText"/>
            </w:pPr>
          </w:p>
        </w:tc>
        <w:tc>
          <w:tcPr>
            <w:tcW w:w="0" w:type="auto"/>
            <w:tcBorders>
              <w:top w:val="nil"/>
              <w:left w:val="nil"/>
              <w:bottom w:val="nil"/>
              <w:right w:val="nil"/>
            </w:tcBorders>
          </w:tcPr>
          <w:p w14:paraId="1B74059A" w14:textId="77777777" w:rsidR="0071004A" w:rsidRPr="00E673EB" w:rsidRDefault="0071004A" w:rsidP="00377F3A">
            <w:pPr>
              <w:pStyle w:val="TableText"/>
            </w:pPr>
            <w:r w:rsidRPr="00E673EB">
              <w:t>Max liver residues 659 µg/kg in 29/106 Algerian hedgehogs, 672 µg/kg in 12/48 European hedgehogs in Mediterranean region of Spain between 2011 and 2013</w:t>
            </w:r>
          </w:p>
        </w:tc>
        <w:tc>
          <w:tcPr>
            <w:tcW w:w="0" w:type="auto"/>
            <w:tcBorders>
              <w:top w:val="nil"/>
              <w:left w:val="nil"/>
              <w:bottom w:val="nil"/>
              <w:right w:val="nil"/>
            </w:tcBorders>
          </w:tcPr>
          <w:p w14:paraId="4D07B6C4" w14:textId="5D33162E"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rsidRPr="00E673EB" w14:paraId="456873FE" w14:textId="77777777" w:rsidTr="00E935FC">
        <w:trPr>
          <w:cantSplit/>
          <w:trHeight w:val="13"/>
        </w:trPr>
        <w:tc>
          <w:tcPr>
            <w:tcW w:w="0" w:type="auto"/>
            <w:tcBorders>
              <w:top w:val="nil"/>
              <w:left w:val="nil"/>
              <w:bottom w:val="nil"/>
              <w:right w:val="nil"/>
            </w:tcBorders>
          </w:tcPr>
          <w:p w14:paraId="2F2677D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1CFEB4F" w14:textId="77777777" w:rsidR="0071004A" w:rsidRPr="00E673EB" w:rsidRDefault="0071004A" w:rsidP="00377F3A">
            <w:pPr>
              <w:pStyle w:val="TableText"/>
            </w:pPr>
          </w:p>
        </w:tc>
        <w:tc>
          <w:tcPr>
            <w:tcW w:w="0" w:type="auto"/>
            <w:tcBorders>
              <w:top w:val="nil"/>
              <w:left w:val="nil"/>
              <w:bottom w:val="nil"/>
              <w:right w:val="nil"/>
            </w:tcBorders>
          </w:tcPr>
          <w:p w14:paraId="50833A19" w14:textId="77777777" w:rsidR="0071004A" w:rsidRPr="00E673EB" w:rsidRDefault="0071004A" w:rsidP="00377F3A">
            <w:pPr>
              <w:pStyle w:val="TableText"/>
            </w:pPr>
            <w:r w:rsidRPr="00E673EB">
              <w:t>Max liver residues 15 µg/kg in 1/29 herbivores, 520 µg/kg in 7/96 carnivores; not detected in 3 insectivores in Spain between 2005 and 2010</w:t>
            </w:r>
          </w:p>
        </w:tc>
        <w:tc>
          <w:tcPr>
            <w:tcW w:w="0" w:type="auto"/>
            <w:tcBorders>
              <w:top w:val="nil"/>
              <w:left w:val="nil"/>
              <w:bottom w:val="nil"/>
              <w:right w:val="nil"/>
            </w:tcBorders>
          </w:tcPr>
          <w:p w14:paraId="5558A96C" w14:textId="0BE6DA3A"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0A01EE59" w14:textId="77777777" w:rsidTr="00E935FC">
        <w:trPr>
          <w:cantSplit/>
          <w:trHeight w:val="13"/>
        </w:trPr>
        <w:tc>
          <w:tcPr>
            <w:tcW w:w="0" w:type="auto"/>
            <w:tcBorders>
              <w:top w:val="nil"/>
              <w:left w:val="nil"/>
              <w:bottom w:val="nil"/>
              <w:right w:val="nil"/>
            </w:tcBorders>
          </w:tcPr>
          <w:p w14:paraId="74FEAE2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96BF9FD" w14:textId="77777777" w:rsidR="0071004A" w:rsidRPr="00E673EB" w:rsidRDefault="0071004A" w:rsidP="00377F3A">
            <w:pPr>
              <w:pStyle w:val="TableText"/>
            </w:pPr>
          </w:p>
        </w:tc>
        <w:tc>
          <w:tcPr>
            <w:tcW w:w="0" w:type="auto"/>
            <w:tcBorders>
              <w:top w:val="nil"/>
              <w:left w:val="nil"/>
              <w:bottom w:val="nil"/>
              <w:right w:val="nil"/>
            </w:tcBorders>
          </w:tcPr>
          <w:p w14:paraId="6E62476F" w14:textId="77777777" w:rsidR="0071004A" w:rsidRPr="00E673EB" w:rsidRDefault="0071004A" w:rsidP="00377F3A">
            <w:pPr>
              <w:pStyle w:val="TableText"/>
            </w:pPr>
            <w:r w:rsidRPr="00E673EB">
              <w:t>Liver residues 300-1400 µg/kg in 2/2 polecats that made heavy use of agricultural premises using anticoagulant rodenticides in UK between 1993-95</w:t>
            </w:r>
          </w:p>
        </w:tc>
        <w:tc>
          <w:tcPr>
            <w:tcW w:w="0" w:type="auto"/>
            <w:tcBorders>
              <w:top w:val="nil"/>
              <w:left w:val="nil"/>
              <w:bottom w:val="nil"/>
              <w:right w:val="nil"/>
            </w:tcBorders>
          </w:tcPr>
          <w:p w14:paraId="4B5B5613" w14:textId="77777777" w:rsidR="0071004A" w:rsidRPr="00E673EB" w:rsidRDefault="0071004A" w:rsidP="00377F3A">
            <w:pPr>
              <w:pStyle w:val="TableText"/>
            </w:pPr>
            <w:r w:rsidRPr="00E673EB">
              <w:t>Birks 1998</w:t>
            </w:r>
          </w:p>
        </w:tc>
      </w:tr>
      <w:tr w:rsidR="0071004A" w14:paraId="51BEC5BA" w14:textId="77777777" w:rsidTr="00E935FC">
        <w:trPr>
          <w:cantSplit/>
          <w:trHeight w:val="13"/>
        </w:trPr>
        <w:tc>
          <w:tcPr>
            <w:tcW w:w="0" w:type="auto"/>
            <w:tcBorders>
              <w:top w:val="nil"/>
              <w:left w:val="nil"/>
              <w:bottom w:val="nil"/>
              <w:right w:val="nil"/>
            </w:tcBorders>
          </w:tcPr>
          <w:p w14:paraId="2B0B9B8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75B58D2" w14:textId="77777777" w:rsidR="0071004A" w:rsidRPr="00E673EB" w:rsidRDefault="0071004A" w:rsidP="00377F3A">
            <w:pPr>
              <w:pStyle w:val="TableText"/>
            </w:pPr>
          </w:p>
        </w:tc>
        <w:tc>
          <w:tcPr>
            <w:tcW w:w="0" w:type="auto"/>
            <w:tcBorders>
              <w:top w:val="nil"/>
              <w:left w:val="nil"/>
              <w:bottom w:val="nil"/>
              <w:right w:val="nil"/>
            </w:tcBorders>
          </w:tcPr>
          <w:p w14:paraId="066B6003" w14:textId="77777777" w:rsidR="0071004A" w:rsidRPr="00E673EB" w:rsidRDefault="0071004A" w:rsidP="00377F3A">
            <w:pPr>
              <w:pStyle w:val="TableText"/>
            </w:pPr>
            <w:r w:rsidRPr="00E673EB">
              <w:t>Max liver residues 321 µg/kg in 7/29 polecats from west Midlands of England between 1992 and 1994</w:t>
            </w:r>
          </w:p>
        </w:tc>
        <w:tc>
          <w:tcPr>
            <w:tcW w:w="0" w:type="auto"/>
            <w:tcBorders>
              <w:top w:val="nil"/>
              <w:left w:val="nil"/>
              <w:bottom w:val="nil"/>
              <w:right w:val="nil"/>
            </w:tcBorders>
          </w:tcPr>
          <w:p w14:paraId="604EFFF8" w14:textId="324E8BAF" w:rsidR="0071004A" w:rsidRPr="00E673EB" w:rsidRDefault="0071004A" w:rsidP="00377F3A">
            <w:pPr>
              <w:pStyle w:val="TableText"/>
            </w:pPr>
            <w:r w:rsidRPr="00E673EB">
              <w:t xml:space="preserve">Shore </w:t>
            </w:r>
            <w:r w:rsidR="00B7183A" w:rsidRPr="00B7183A">
              <w:rPr>
                <w:i/>
                <w:iCs/>
              </w:rPr>
              <w:t>et al</w:t>
            </w:r>
            <w:r w:rsidRPr="00E673EB">
              <w:t>. 1996</w:t>
            </w:r>
          </w:p>
        </w:tc>
      </w:tr>
      <w:tr w:rsidR="0071004A" w14:paraId="5794C4E2" w14:textId="77777777" w:rsidTr="00E935FC">
        <w:trPr>
          <w:cantSplit/>
          <w:trHeight w:val="13"/>
        </w:trPr>
        <w:tc>
          <w:tcPr>
            <w:tcW w:w="0" w:type="auto"/>
            <w:tcBorders>
              <w:top w:val="nil"/>
              <w:left w:val="nil"/>
              <w:bottom w:val="nil"/>
              <w:right w:val="nil"/>
            </w:tcBorders>
          </w:tcPr>
          <w:p w14:paraId="0821129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7D2F99A" w14:textId="77777777" w:rsidR="0071004A" w:rsidRPr="00E673EB" w:rsidRDefault="0071004A" w:rsidP="00377F3A">
            <w:pPr>
              <w:pStyle w:val="TableText"/>
            </w:pPr>
          </w:p>
        </w:tc>
        <w:tc>
          <w:tcPr>
            <w:tcW w:w="0" w:type="auto"/>
            <w:tcBorders>
              <w:top w:val="nil"/>
              <w:left w:val="nil"/>
              <w:bottom w:val="nil"/>
              <w:right w:val="nil"/>
            </w:tcBorders>
          </w:tcPr>
          <w:p w14:paraId="73BE8579" w14:textId="77777777" w:rsidR="0071004A" w:rsidRPr="00E673EB" w:rsidRDefault="0071004A" w:rsidP="00377F3A">
            <w:pPr>
              <w:pStyle w:val="TableText"/>
            </w:pPr>
            <w:r w:rsidRPr="00E673EB">
              <w:t>Max liver residues 917 µg/kg in 14/50 polecats from recolonised areas in central and eastern Britain between 1993 and 1999</w:t>
            </w:r>
          </w:p>
        </w:tc>
        <w:tc>
          <w:tcPr>
            <w:tcW w:w="0" w:type="auto"/>
            <w:tcBorders>
              <w:top w:val="nil"/>
              <w:left w:val="nil"/>
              <w:bottom w:val="nil"/>
              <w:right w:val="nil"/>
            </w:tcBorders>
          </w:tcPr>
          <w:p w14:paraId="6F136EF6" w14:textId="0A517D49" w:rsidR="0071004A" w:rsidRPr="00E673EB" w:rsidRDefault="0071004A" w:rsidP="00377F3A">
            <w:pPr>
              <w:pStyle w:val="TableText"/>
            </w:pPr>
            <w:r w:rsidRPr="00E673EB">
              <w:t xml:space="preserve">Shore </w:t>
            </w:r>
            <w:r w:rsidR="00B7183A" w:rsidRPr="00B7183A">
              <w:rPr>
                <w:i/>
                <w:iCs/>
              </w:rPr>
              <w:t>et al</w:t>
            </w:r>
            <w:r w:rsidRPr="00E673EB">
              <w:t>. 2003</w:t>
            </w:r>
          </w:p>
        </w:tc>
      </w:tr>
      <w:tr w:rsidR="0071004A" w14:paraId="5CB79F47" w14:textId="77777777" w:rsidTr="00E935FC">
        <w:trPr>
          <w:cantSplit/>
          <w:trHeight w:val="13"/>
        </w:trPr>
        <w:tc>
          <w:tcPr>
            <w:tcW w:w="0" w:type="auto"/>
            <w:tcBorders>
              <w:top w:val="nil"/>
              <w:left w:val="nil"/>
              <w:bottom w:val="nil"/>
              <w:right w:val="nil"/>
            </w:tcBorders>
          </w:tcPr>
          <w:p w14:paraId="3FE941CF"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28E6F99" w14:textId="77777777" w:rsidR="0071004A" w:rsidRPr="00E673EB" w:rsidRDefault="0071004A" w:rsidP="00377F3A">
            <w:pPr>
              <w:pStyle w:val="TableText"/>
            </w:pPr>
          </w:p>
        </w:tc>
        <w:tc>
          <w:tcPr>
            <w:tcW w:w="0" w:type="auto"/>
            <w:tcBorders>
              <w:top w:val="nil"/>
              <w:left w:val="nil"/>
              <w:bottom w:val="nil"/>
              <w:right w:val="nil"/>
            </w:tcBorders>
          </w:tcPr>
          <w:p w14:paraId="5D5C3E3C" w14:textId="77777777" w:rsidR="0071004A" w:rsidRPr="00E673EB" w:rsidRDefault="0071004A" w:rsidP="00377F3A">
            <w:pPr>
              <w:pStyle w:val="TableText"/>
            </w:pPr>
            <w:r w:rsidRPr="00E673EB">
              <w:t>Max liver residues 14µg/kg in 1/55 wood mice from farms in Northern Ireland more than 30m from buildings (no difenacoum usage at sites with detections)</w:t>
            </w:r>
          </w:p>
        </w:tc>
        <w:tc>
          <w:tcPr>
            <w:tcW w:w="0" w:type="auto"/>
            <w:tcBorders>
              <w:top w:val="nil"/>
              <w:left w:val="nil"/>
              <w:bottom w:val="nil"/>
              <w:right w:val="nil"/>
            </w:tcBorders>
          </w:tcPr>
          <w:p w14:paraId="36CC752A" w14:textId="734022A6" w:rsidR="0071004A" w:rsidRPr="00E673EB" w:rsidRDefault="0071004A" w:rsidP="00377F3A">
            <w:pPr>
              <w:pStyle w:val="TableText"/>
            </w:pPr>
            <w:r w:rsidRPr="00E673EB">
              <w:t xml:space="preserve">Tosh </w:t>
            </w:r>
            <w:r w:rsidR="00B7183A" w:rsidRPr="00B7183A">
              <w:rPr>
                <w:i/>
                <w:iCs/>
              </w:rPr>
              <w:t>et al</w:t>
            </w:r>
            <w:r w:rsidRPr="00E673EB">
              <w:t>. 2012</w:t>
            </w:r>
          </w:p>
        </w:tc>
      </w:tr>
      <w:tr w:rsidR="0071004A" w:rsidRPr="003B5A86" w14:paraId="5599AC86" w14:textId="77777777" w:rsidTr="00E935FC">
        <w:trPr>
          <w:cantSplit/>
          <w:trHeight w:val="13"/>
        </w:trPr>
        <w:tc>
          <w:tcPr>
            <w:tcW w:w="0" w:type="auto"/>
            <w:tcBorders>
              <w:top w:val="nil"/>
              <w:left w:val="nil"/>
              <w:bottom w:val="single" w:sz="4" w:space="0" w:color="auto"/>
              <w:right w:val="nil"/>
            </w:tcBorders>
          </w:tcPr>
          <w:p w14:paraId="6E45C773"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06017FA4" w14:textId="77777777" w:rsidR="0071004A" w:rsidRPr="00E673EB" w:rsidRDefault="0071004A" w:rsidP="00377F3A">
            <w:pPr>
              <w:pStyle w:val="TableText"/>
            </w:pPr>
            <w:r w:rsidRPr="00E673EB">
              <w:t>South Africa</w:t>
            </w:r>
          </w:p>
        </w:tc>
        <w:tc>
          <w:tcPr>
            <w:tcW w:w="0" w:type="auto"/>
            <w:tcBorders>
              <w:top w:val="nil"/>
              <w:left w:val="nil"/>
              <w:bottom w:val="single" w:sz="4" w:space="0" w:color="auto"/>
              <w:right w:val="nil"/>
            </w:tcBorders>
          </w:tcPr>
          <w:p w14:paraId="028A699C" w14:textId="77777777" w:rsidR="0071004A" w:rsidRPr="00E673EB" w:rsidRDefault="0071004A" w:rsidP="00377F3A">
            <w:pPr>
              <w:pStyle w:val="TableText"/>
            </w:pPr>
            <w:r w:rsidRPr="00E673EB">
              <w:t>Detected but not quantifiable in 8/24 caracals in Greater Cape Town, South Africa between 2014 and 2017</w:t>
            </w:r>
          </w:p>
        </w:tc>
        <w:tc>
          <w:tcPr>
            <w:tcW w:w="0" w:type="auto"/>
            <w:tcBorders>
              <w:top w:val="nil"/>
              <w:left w:val="nil"/>
              <w:bottom w:val="single" w:sz="4" w:space="0" w:color="auto"/>
              <w:right w:val="nil"/>
            </w:tcBorders>
          </w:tcPr>
          <w:p w14:paraId="13022D89" w14:textId="7E7E1EEE" w:rsidR="0071004A" w:rsidRPr="00E673EB" w:rsidRDefault="0071004A" w:rsidP="00377F3A">
            <w:pPr>
              <w:pStyle w:val="TableText"/>
            </w:pPr>
            <w:r w:rsidRPr="00E673EB">
              <w:t xml:space="preserve">Serieys </w:t>
            </w:r>
            <w:r w:rsidR="00B7183A" w:rsidRPr="00B7183A">
              <w:rPr>
                <w:i/>
                <w:iCs/>
              </w:rPr>
              <w:t>et al</w:t>
            </w:r>
            <w:r w:rsidRPr="00E673EB">
              <w:t>. 2019</w:t>
            </w:r>
          </w:p>
        </w:tc>
      </w:tr>
      <w:tr w:rsidR="0071004A" w:rsidRPr="003B5A86" w14:paraId="21E620B9" w14:textId="77777777" w:rsidTr="00E935FC">
        <w:trPr>
          <w:cantSplit/>
          <w:trHeight w:val="13"/>
        </w:trPr>
        <w:tc>
          <w:tcPr>
            <w:tcW w:w="0" w:type="auto"/>
            <w:tcBorders>
              <w:top w:val="single" w:sz="4" w:space="0" w:color="auto"/>
              <w:left w:val="nil"/>
              <w:bottom w:val="nil"/>
              <w:right w:val="nil"/>
            </w:tcBorders>
          </w:tcPr>
          <w:p w14:paraId="586DF236"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0CF1D6F7"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34D070F0" w14:textId="77777777" w:rsidR="0071004A" w:rsidRPr="00E673EB" w:rsidRDefault="0071004A" w:rsidP="00377F3A">
            <w:pPr>
              <w:pStyle w:val="TableText"/>
            </w:pPr>
            <w:r w:rsidRPr="00E673EB">
              <w:t>Max liver residues 29 µg/kg barn owls, 4 µg/kg southern boobook; not detected in little ravens, Australian kestrels, whistling kites, barking owls, powerful owls, tawny frogmouths in rural &amp; urban areas across Australia between 2006 and 2021</w:t>
            </w:r>
          </w:p>
        </w:tc>
        <w:tc>
          <w:tcPr>
            <w:tcW w:w="0" w:type="auto"/>
            <w:tcBorders>
              <w:top w:val="single" w:sz="4" w:space="0" w:color="auto"/>
              <w:left w:val="nil"/>
              <w:bottom w:val="nil"/>
              <w:right w:val="nil"/>
            </w:tcBorders>
          </w:tcPr>
          <w:p w14:paraId="3B896B4C" w14:textId="77777777" w:rsidR="0071004A" w:rsidRPr="00E673EB" w:rsidRDefault="0071004A" w:rsidP="00377F3A">
            <w:pPr>
              <w:pStyle w:val="TableText"/>
            </w:pPr>
            <w:r w:rsidRPr="00E673EB">
              <w:t>WHA 2022</w:t>
            </w:r>
          </w:p>
        </w:tc>
      </w:tr>
      <w:tr w:rsidR="0071004A" w:rsidRPr="003B5A86" w14:paraId="45C7085B" w14:textId="77777777" w:rsidTr="00E935FC">
        <w:trPr>
          <w:cantSplit/>
          <w:trHeight w:val="13"/>
        </w:trPr>
        <w:tc>
          <w:tcPr>
            <w:tcW w:w="0" w:type="auto"/>
            <w:tcBorders>
              <w:top w:val="nil"/>
              <w:left w:val="nil"/>
              <w:bottom w:val="nil"/>
              <w:right w:val="nil"/>
            </w:tcBorders>
          </w:tcPr>
          <w:p w14:paraId="5CFC5DEF" w14:textId="7BE9F732" w:rsidR="0071004A" w:rsidRPr="00E673EB" w:rsidRDefault="0071004A" w:rsidP="00377F3A">
            <w:pPr>
              <w:pStyle w:val="TableText"/>
              <w:rPr>
                <w:lang w:eastAsia="en-AU"/>
              </w:rPr>
            </w:pPr>
          </w:p>
        </w:tc>
        <w:tc>
          <w:tcPr>
            <w:tcW w:w="0" w:type="auto"/>
            <w:tcBorders>
              <w:top w:val="nil"/>
              <w:left w:val="nil"/>
              <w:bottom w:val="nil"/>
              <w:right w:val="nil"/>
            </w:tcBorders>
          </w:tcPr>
          <w:p w14:paraId="58AC7D67" w14:textId="04E20C2B" w:rsidR="0071004A" w:rsidRPr="00E673EB" w:rsidRDefault="0071004A" w:rsidP="00377F3A">
            <w:pPr>
              <w:pStyle w:val="TableText"/>
            </w:pPr>
          </w:p>
        </w:tc>
        <w:tc>
          <w:tcPr>
            <w:tcW w:w="0" w:type="auto"/>
            <w:tcBorders>
              <w:top w:val="nil"/>
              <w:left w:val="nil"/>
              <w:bottom w:val="nil"/>
              <w:right w:val="nil"/>
            </w:tcBorders>
          </w:tcPr>
          <w:p w14:paraId="6C53C19D" w14:textId="77777777" w:rsidR="0071004A" w:rsidRPr="00E673EB" w:rsidRDefault="0071004A" w:rsidP="00377F3A">
            <w:pPr>
              <w:pStyle w:val="TableText"/>
            </w:pPr>
            <w:r w:rsidRPr="00E673EB">
              <w:t>Max liver residues 1226 µg/kg in 12/38 powerful owls in Sydney basin urban areas between 2015 and 2021</w:t>
            </w:r>
          </w:p>
        </w:tc>
        <w:tc>
          <w:tcPr>
            <w:tcW w:w="0" w:type="auto"/>
            <w:tcBorders>
              <w:top w:val="nil"/>
              <w:left w:val="nil"/>
              <w:bottom w:val="nil"/>
              <w:right w:val="nil"/>
            </w:tcBorders>
          </w:tcPr>
          <w:p w14:paraId="6437A522" w14:textId="77777777" w:rsidR="0071004A" w:rsidRPr="00E673EB" w:rsidRDefault="0071004A" w:rsidP="00377F3A">
            <w:pPr>
              <w:pStyle w:val="TableText"/>
            </w:pPr>
            <w:r w:rsidRPr="00E673EB">
              <w:t>Birdlife Australia 2022</w:t>
            </w:r>
          </w:p>
        </w:tc>
      </w:tr>
      <w:tr w:rsidR="0071004A" w:rsidRPr="003B5A86" w14:paraId="24CCA4D9" w14:textId="77777777" w:rsidTr="00E935FC">
        <w:trPr>
          <w:cantSplit/>
          <w:trHeight w:val="13"/>
        </w:trPr>
        <w:tc>
          <w:tcPr>
            <w:tcW w:w="0" w:type="auto"/>
            <w:tcBorders>
              <w:top w:val="nil"/>
              <w:left w:val="nil"/>
              <w:bottom w:val="nil"/>
              <w:right w:val="nil"/>
            </w:tcBorders>
          </w:tcPr>
          <w:p w14:paraId="13B4451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5CC5835" w14:textId="77777777" w:rsidR="0071004A" w:rsidRPr="00E673EB" w:rsidRDefault="0071004A" w:rsidP="00377F3A">
            <w:pPr>
              <w:pStyle w:val="TableText"/>
            </w:pPr>
          </w:p>
        </w:tc>
        <w:tc>
          <w:tcPr>
            <w:tcW w:w="0" w:type="auto"/>
            <w:tcBorders>
              <w:top w:val="nil"/>
              <w:left w:val="nil"/>
              <w:bottom w:val="nil"/>
              <w:right w:val="nil"/>
            </w:tcBorders>
          </w:tcPr>
          <w:p w14:paraId="0B60A799" w14:textId="77777777" w:rsidR="0071004A" w:rsidRPr="00E673EB" w:rsidRDefault="0071004A" w:rsidP="00377F3A">
            <w:pPr>
              <w:pStyle w:val="TableText"/>
            </w:pPr>
            <w:r w:rsidRPr="00E673EB">
              <w:t xml:space="preserve">Max liver residues 12 µg/kg in 2/5 eastern barn owls, 9 µg/kg in 2/19 tawny frogmouths, 25 µg/kg in 3/24 powerful owls; not detected in 12 southern boobooks in urban, forest, &amp; agricultural areas of Vic, SA &amp; NSW between 2003 and 2022 </w:t>
            </w:r>
          </w:p>
        </w:tc>
        <w:tc>
          <w:tcPr>
            <w:tcW w:w="0" w:type="auto"/>
            <w:tcBorders>
              <w:top w:val="nil"/>
              <w:left w:val="nil"/>
              <w:bottom w:val="nil"/>
              <w:right w:val="nil"/>
            </w:tcBorders>
          </w:tcPr>
          <w:p w14:paraId="160A50DB" w14:textId="47758E91" w:rsidR="0071004A" w:rsidRPr="00E673EB" w:rsidRDefault="0071004A" w:rsidP="00377F3A">
            <w:pPr>
              <w:pStyle w:val="TableText"/>
            </w:pPr>
            <w:r w:rsidRPr="00E673EB">
              <w:t xml:space="preserve">Cooke </w:t>
            </w:r>
            <w:r w:rsidR="00B7183A" w:rsidRPr="00B7183A">
              <w:rPr>
                <w:i/>
                <w:iCs/>
              </w:rPr>
              <w:t>et al</w:t>
            </w:r>
            <w:r w:rsidRPr="00E673EB">
              <w:t>. 2023</w:t>
            </w:r>
          </w:p>
        </w:tc>
      </w:tr>
      <w:tr w:rsidR="0071004A" w14:paraId="08AC46CB" w14:textId="77777777" w:rsidTr="00E935FC">
        <w:trPr>
          <w:cantSplit/>
          <w:trHeight w:val="13"/>
        </w:trPr>
        <w:tc>
          <w:tcPr>
            <w:tcW w:w="0" w:type="auto"/>
            <w:tcBorders>
              <w:top w:val="nil"/>
              <w:left w:val="nil"/>
              <w:bottom w:val="nil"/>
              <w:right w:val="nil"/>
            </w:tcBorders>
          </w:tcPr>
          <w:p w14:paraId="073D7CE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CEC478F" w14:textId="77777777" w:rsidR="0071004A" w:rsidRPr="00E673EB" w:rsidRDefault="0071004A" w:rsidP="00377F3A">
            <w:pPr>
              <w:pStyle w:val="TableText"/>
            </w:pPr>
          </w:p>
        </w:tc>
        <w:tc>
          <w:tcPr>
            <w:tcW w:w="0" w:type="auto"/>
            <w:tcBorders>
              <w:top w:val="nil"/>
              <w:left w:val="nil"/>
              <w:bottom w:val="nil"/>
              <w:right w:val="nil"/>
            </w:tcBorders>
          </w:tcPr>
          <w:p w14:paraId="6F821CE7" w14:textId="77777777" w:rsidR="0071004A" w:rsidRPr="00E673EB" w:rsidRDefault="0071004A" w:rsidP="00377F3A">
            <w:pPr>
              <w:pStyle w:val="TableText"/>
            </w:pPr>
            <w:r w:rsidRPr="00E673EB">
              <w:t>Liver residues 33 µg/kg in 1/5 Carnaby’s cockatoos in Kalamunda WA in 2024</w:t>
            </w:r>
          </w:p>
        </w:tc>
        <w:tc>
          <w:tcPr>
            <w:tcW w:w="0" w:type="auto"/>
            <w:tcBorders>
              <w:top w:val="nil"/>
              <w:left w:val="nil"/>
              <w:bottom w:val="nil"/>
              <w:right w:val="nil"/>
            </w:tcBorders>
          </w:tcPr>
          <w:p w14:paraId="6D9BAF98" w14:textId="03EB1F21" w:rsidR="0071004A" w:rsidRPr="00E673EB" w:rsidRDefault="0071004A" w:rsidP="00377F3A">
            <w:pPr>
              <w:pStyle w:val="TableText"/>
            </w:pPr>
            <w:r w:rsidRPr="00E673EB">
              <w:t xml:space="preserve">Le Souëf </w:t>
            </w:r>
            <w:r w:rsidR="00B7183A" w:rsidRPr="00B7183A">
              <w:rPr>
                <w:i/>
                <w:iCs/>
              </w:rPr>
              <w:t>et al</w:t>
            </w:r>
            <w:r w:rsidRPr="00E673EB">
              <w:t>. 2024</w:t>
            </w:r>
          </w:p>
        </w:tc>
      </w:tr>
      <w:tr w:rsidR="0071004A" w:rsidRPr="003B5A86" w14:paraId="6965374E" w14:textId="77777777" w:rsidTr="00E935FC">
        <w:trPr>
          <w:cantSplit/>
          <w:trHeight w:val="13"/>
        </w:trPr>
        <w:tc>
          <w:tcPr>
            <w:tcW w:w="0" w:type="auto"/>
            <w:tcBorders>
              <w:top w:val="nil"/>
              <w:left w:val="nil"/>
              <w:bottom w:val="nil"/>
              <w:right w:val="nil"/>
            </w:tcBorders>
          </w:tcPr>
          <w:p w14:paraId="1A6FC831"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D5FB47A" w14:textId="77777777" w:rsidR="0071004A" w:rsidRPr="00E673EB" w:rsidRDefault="0071004A" w:rsidP="00377F3A">
            <w:pPr>
              <w:pStyle w:val="TableText"/>
            </w:pPr>
          </w:p>
        </w:tc>
        <w:tc>
          <w:tcPr>
            <w:tcW w:w="0" w:type="auto"/>
            <w:tcBorders>
              <w:top w:val="nil"/>
              <w:left w:val="nil"/>
              <w:bottom w:val="nil"/>
              <w:right w:val="nil"/>
            </w:tcBorders>
          </w:tcPr>
          <w:p w14:paraId="6B9B7A65" w14:textId="77777777" w:rsidR="0071004A" w:rsidRPr="00E673EB" w:rsidRDefault="0071004A" w:rsidP="00377F3A">
            <w:pPr>
              <w:pStyle w:val="TableText"/>
            </w:pPr>
            <w:r w:rsidRPr="00E673EB">
              <w:t>Max liver residues 97 µg/kg in 11/73 southern boobooks (15%) in urban &amp; peri-urban areas of WA</w:t>
            </w:r>
          </w:p>
        </w:tc>
        <w:tc>
          <w:tcPr>
            <w:tcW w:w="0" w:type="auto"/>
            <w:tcBorders>
              <w:top w:val="nil"/>
              <w:left w:val="nil"/>
              <w:bottom w:val="nil"/>
              <w:right w:val="nil"/>
            </w:tcBorders>
          </w:tcPr>
          <w:p w14:paraId="46B358DF" w14:textId="77777777" w:rsidR="0071004A" w:rsidRPr="00E673EB" w:rsidRDefault="0071004A" w:rsidP="00377F3A">
            <w:pPr>
              <w:pStyle w:val="TableText"/>
            </w:pPr>
            <w:r w:rsidRPr="00E673EB">
              <w:t>Lohr 2018</w:t>
            </w:r>
          </w:p>
        </w:tc>
      </w:tr>
      <w:tr w:rsidR="0071004A" w:rsidRPr="003B5A86" w14:paraId="7CB5DE61" w14:textId="77777777" w:rsidTr="00E935FC">
        <w:trPr>
          <w:cantSplit/>
          <w:trHeight w:val="13"/>
        </w:trPr>
        <w:tc>
          <w:tcPr>
            <w:tcW w:w="0" w:type="auto"/>
            <w:tcBorders>
              <w:top w:val="nil"/>
              <w:left w:val="nil"/>
              <w:bottom w:val="nil"/>
              <w:right w:val="nil"/>
            </w:tcBorders>
          </w:tcPr>
          <w:p w14:paraId="1C89AA2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8508CED" w14:textId="77777777" w:rsidR="0071004A" w:rsidRPr="00E673EB" w:rsidRDefault="0071004A" w:rsidP="00377F3A">
            <w:pPr>
              <w:pStyle w:val="TableText"/>
            </w:pPr>
          </w:p>
        </w:tc>
        <w:tc>
          <w:tcPr>
            <w:tcW w:w="0" w:type="auto"/>
            <w:tcBorders>
              <w:top w:val="nil"/>
              <w:left w:val="nil"/>
              <w:bottom w:val="nil"/>
              <w:right w:val="nil"/>
            </w:tcBorders>
          </w:tcPr>
          <w:p w14:paraId="753B513D" w14:textId="77777777" w:rsidR="0071004A" w:rsidRPr="00E673EB" w:rsidRDefault="0071004A" w:rsidP="00377F3A">
            <w:pPr>
              <w:pStyle w:val="TableText"/>
            </w:pPr>
            <w:r w:rsidRPr="00E673EB">
              <w:t>Not detected in 50 wedge-tailed eagles across Tasmania between 1996 and 2018</w:t>
            </w:r>
          </w:p>
        </w:tc>
        <w:tc>
          <w:tcPr>
            <w:tcW w:w="0" w:type="auto"/>
            <w:tcBorders>
              <w:top w:val="nil"/>
              <w:left w:val="nil"/>
              <w:bottom w:val="nil"/>
              <w:right w:val="nil"/>
            </w:tcBorders>
          </w:tcPr>
          <w:p w14:paraId="7FA875A3" w14:textId="6E15EF48" w:rsidR="0071004A" w:rsidRPr="00E673EB" w:rsidRDefault="0071004A" w:rsidP="00377F3A">
            <w:pPr>
              <w:pStyle w:val="TableText"/>
            </w:pPr>
            <w:r w:rsidRPr="00E673EB">
              <w:t xml:space="preserve">Pay </w:t>
            </w:r>
            <w:r w:rsidR="00B7183A" w:rsidRPr="00B7183A">
              <w:rPr>
                <w:i/>
                <w:iCs/>
              </w:rPr>
              <w:t>et al</w:t>
            </w:r>
            <w:r w:rsidRPr="00E673EB">
              <w:t>. 2021</w:t>
            </w:r>
          </w:p>
        </w:tc>
      </w:tr>
      <w:tr w:rsidR="0071004A" w:rsidRPr="003B5A86" w14:paraId="3893B9EB" w14:textId="77777777" w:rsidTr="00E935FC">
        <w:trPr>
          <w:cantSplit/>
          <w:trHeight w:val="13"/>
        </w:trPr>
        <w:tc>
          <w:tcPr>
            <w:tcW w:w="0" w:type="auto"/>
            <w:tcBorders>
              <w:top w:val="nil"/>
              <w:left w:val="nil"/>
              <w:bottom w:val="nil"/>
              <w:right w:val="nil"/>
            </w:tcBorders>
          </w:tcPr>
          <w:p w14:paraId="5BAD193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AADBA10" w14:textId="77777777" w:rsidR="0071004A" w:rsidRPr="00E673EB" w:rsidRDefault="0071004A" w:rsidP="00377F3A">
            <w:pPr>
              <w:pStyle w:val="TableText"/>
            </w:pPr>
            <w:r w:rsidRPr="00E673EB">
              <w:t>Tawain</w:t>
            </w:r>
          </w:p>
        </w:tc>
        <w:tc>
          <w:tcPr>
            <w:tcW w:w="0" w:type="auto"/>
            <w:tcBorders>
              <w:top w:val="nil"/>
              <w:left w:val="nil"/>
              <w:bottom w:val="nil"/>
              <w:right w:val="nil"/>
            </w:tcBorders>
          </w:tcPr>
          <w:p w14:paraId="15C7B22F" w14:textId="77777777" w:rsidR="0071004A" w:rsidRPr="00E673EB" w:rsidRDefault="0071004A" w:rsidP="00377F3A">
            <w:pPr>
              <w:pStyle w:val="TableText"/>
            </w:pPr>
            <w:r w:rsidRPr="00E673EB">
              <w:t>Geomean liver residues 21 µg/kg in 8/74 black-winged kite, 9 µg/kg in 3/46 crested goshawk, 6 µg/kg in 2/42 collared scops-owl, 4 µg/kg in 1/12 crested serpent-eagle; not detected in 8 black kite, 6 oriental honey-buzzard, 6 short-eared owl, 3 eastern grass-owl, 3 eurasian kestrel, 1 common buzzard or 11 other raptor species in Taiwan between 2010 and 2018</w:t>
            </w:r>
          </w:p>
        </w:tc>
        <w:tc>
          <w:tcPr>
            <w:tcW w:w="0" w:type="auto"/>
            <w:tcBorders>
              <w:top w:val="nil"/>
              <w:left w:val="nil"/>
              <w:bottom w:val="nil"/>
              <w:right w:val="nil"/>
            </w:tcBorders>
          </w:tcPr>
          <w:p w14:paraId="290B7BA9" w14:textId="5A898322" w:rsidR="0071004A" w:rsidRPr="00E673EB" w:rsidRDefault="0071004A" w:rsidP="00377F3A">
            <w:pPr>
              <w:pStyle w:val="TableText"/>
            </w:pPr>
            <w:r w:rsidRPr="00E673EB">
              <w:t xml:space="preserve">Hong </w:t>
            </w:r>
            <w:r w:rsidR="00B7183A" w:rsidRPr="00B7183A">
              <w:rPr>
                <w:i/>
                <w:iCs/>
              </w:rPr>
              <w:t>et al</w:t>
            </w:r>
            <w:r w:rsidRPr="00E673EB">
              <w:t>. 2019</w:t>
            </w:r>
          </w:p>
        </w:tc>
      </w:tr>
      <w:tr w:rsidR="0071004A" w:rsidRPr="003B5A86" w14:paraId="5D40835D" w14:textId="77777777" w:rsidTr="00E935FC">
        <w:trPr>
          <w:cantSplit/>
          <w:trHeight w:val="13"/>
        </w:trPr>
        <w:tc>
          <w:tcPr>
            <w:tcW w:w="0" w:type="auto"/>
            <w:tcBorders>
              <w:top w:val="nil"/>
              <w:left w:val="nil"/>
              <w:bottom w:val="nil"/>
              <w:right w:val="nil"/>
            </w:tcBorders>
          </w:tcPr>
          <w:p w14:paraId="1E4F521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40BEBE7" w14:textId="77777777" w:rsidR="0071004A" w:rsidRPr="00E673EB" w:rsidRDefault="0071004A" w:rsidP="00377F3A">
            <w:pPr>
              <w:pStyle w:val="TableText"/>
            </w:pPr>
          </w:p>
        </w:tc>
        <w:tc>
          <w:tcPr>
            <w:tcW w:w="0" w:type="auto"/>
            <w:tcBorders>
              <w:top w:val="nil"/>
              <w:left w:val="nil"/>
              <w:bottom w:val="nil"/>
              <w:right w:val="nil"/>
            </w:tcBorders>
          </w:tcPr>
          <w:p w14:paraId="3865F0AF" w14:textId="77777777" w:rsidR="0071004A" w:rsidRPr="00E673EB" w:rsidRDefault="0071004A" w:rsidP="00377F3A">
            <w:pPr>
              <w:pStyle w:val="TableText"/>
            </w:pPr>
            <w:r w:rsidRPr="00E673EB">
              <w:t>Detected in 9/112 black-winged kites from Taiwan airports between 2013 and 2016</w:t>
            </w:r>
          </w:p>
        </w:tc>
        <w:tc>
          <w:tcPr>
            <w:tcW w:w="0" w:type="auto"/>
            <w:tcBorders>
              <w:top w:val="nil"/>
              <w:left w:val="nil"/>
              <w:bottom w:val="nil"/>
              <w:right w:val="nil"/>
            </w:tcBorders>
          </w:tcPr>
          <w:p w14:paraId="39CF3567" w14:textId="6878916E" w:rsidR="0071004A" w:rsidRPr="00E673EB" w:rsidRDefault="0071004A" w:rsidP="00377F3A">
            <w:pPr>
              <w:pStyle w:val="TableText"/>
            </w:pPr>
            <w:r w:rsidRPr="00E673EB">
              <w:t xml:space="preserve">Lin </w:t>
            </w:r>
            <w:r w:rsidR="00B7183A" w:rsidRPr="00B7183A">
              <w:rPr>
                <w:i/>
                <w:iCs/>
              </w:rPr>
              <w:t>et al</w:t>
            </w:r>
            <w:r w:rsidRPr="00E673EB">
              <w:t>. 2022</w:t>
            </w:r>
          </w:p>
        </w:tc>
      </w:tr>
      <w:tr w:rsidR="0071004A" w:rsidRPr="003B5A86" w14:paraId="684DFA6D" w14:textId="77777777" w:rsidTr="00E935FC">
        <w:trPr>
          <w:cantSplit/>
          <w:trHeight w:val="13"/>
        </w:trPr>
        <w:tc>
          <w:tcPr>
            <w:tcW w:w="0" w:type="auto"/>
            <w:tcBorders>
              <w:top w:val="nil"/>
              <w:left w:val="nil"/>
              <w:bottom w:val="nil"/>
              <w:right w:val="nil"/>
            </w:tcBorders>
          </w:tcPr>
          <w:p w14:paraId="0383C6C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16CAC3B" w14:textId="77777777" w:rsidR="0071004A" w:rsidRPr="00E673EB" w:rsidRDefault="0071004A" w:rsidP="00377F3A">
            <w:pPr>
              <w:pStyle w:val="TableText"/>
            </w:pPr>
            <w:r>
              <w:t>North America</w:t>
            </w:r>
          </w:p>
        </w:tc>
        <w:tc>
          <w:tcPr>
            <w:tcW w:w="0" w:type="auto"/>
            <w:tcBorders>
              <w:top w:val="nil"/>
              <w:left w:val="nil"/>
              <w:bottom w:val="nil"/>
              <w:right w:val="nil"/>
            </w:tcBorders>
          </w:tcPr>
          <w:p w14:paraId="711856A1" w14:textId="77777777" w:rsidR="0071004A" w:rsidRPr="00E673EB" w:rsidRDefault="0071004A" w:rsidP="00377F3A">
            <w:pPr>
              <w:pStyle w:val="TableText"/>
            </w:pPr>
            <w:r w:rsidRPr="00E673EB">
              <w:t>Not detected in 50 Cooper’s hawk, 78 red-tailed hawk, 22 screech owls, 53 great horned owl in New York between 1998 and 2001</w:t>
            </w:r>
          </w:p>
        </w:tc>
        <w:tc>
          <w:tcPr>
            <w:tcW w:w="0" w:type="auto"/>
            <w:tcBorders>
              <w:top w:val="nil"/>
              <w:left w:val="nil"/>
              <w:bottom w:val="nil"/>
              <w:right w:val="nil"/>
            </w:tcBorders>
          </w:tcPr>
          <w:p w14:paraId="4DC060CA" w14:textId="7470203E"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rsidRPr="003B5A86" w14:paraId="7A3C3AEC" w14:textId="77777777" w:rsidTr="00E935FC">
        <w:trPr>
          <w:cantSplit/>
          <w:trHeight w:val="13"/>
        </w:trPr>
        <w:tc>
          <w:tcPr>
            <w:tcW w:w="0" w:type="auto"/>
            <w:tcBorders>
              <w:top w:val="nil"/>
              <w:left w:val="nil"/>
              <w:bottom w:val="nil"/>
              <w:right w:val="nil"/>
            </w:tcBorders>
          </w:tcPr>
          <w:p w14:paraId="476B8CA0"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3FEB2BE" w14:textId="77777777" w:rsidR="0071004A" w:rsidRPr="00E673EB" w:rsidRDefault="0071004A" w:rsidP="00377F3A">
            <w:pPr>
              <w:pStyle w:val="TableText"/>
            </w:pPr>
          </w:p>
        </w:tc>
        <w:tc>
          <w:tcPr>
            <w:tcW w:w="0" w:type="auto"/>
            <w:tcBorders>
              <w:top w:val="nil"/>
              <w:left w:val="nil"/>
              <w:bottom w:val="nil"/>
              <w:right w:val="nil"/>
            </w:tcBorders>
          </w:tcPr>
          <w:p w14:paraId="5D1BC39E" w14:textId="77777777" w:rsidR="0071004A" w:rsidRPr="00E673EB" w:rsidRDefault="0071004A" w:rsidP="00377F3A">
            <w:pPr>
              <w:pStyle w:val="TableText"/>
            </w:pPr>
            <w:r w:rsidRPr="00E673EB">
              <w:t>Detected in 3/37 red-tailed hawks, 1/24 barred owls, 1/17 great horned owls, 2/16 eastern screech-owls in Massachusetts between 2012 and 2016</w:t>
            </w:r>
          </w:p>
        </w:tc>
        <w:tc>
          <w:tcPr>
            <w:tcW w:w="0" w:type="auto"/>
            <w:tcBorders>
              <w:top w:val="nil"/>
              <w:left w:val="nil"/>
              <w:bottom w:val="nil"/>
              <w:right w:val="nil"/>
            </w:tcBorders>
          </w:tcPr>
          <w:p w14:paraId="0D2C5EC4" w14:textId="77777777" w:rsidR="0071004A" w:rsidRPr="00E673EB" w:rsidRDefault="0071004A" w:rsidP="00377F3A">
            <w:pPr>
              <w:pStyle w:val="TableText"/>
            </w:pPr>
            <w:r w:rsidRPr="00E673EB">
              <w:t>Murray 2017</w:t>
            </w:r>
          </w:p>
        </w:tc>
      </w:tr>
      <w:tr w:rsidR="0071004A" w:rsidRPr="003B5A86" w14:paraId="13E2C614" w14:textId="77777777" w:rsidTr="00E935FC">
        <w:trPr>
          <w:cantSplit/>
          <w:trHeight w:val="13"/>
        </w:trPr>
        <w:tc>
          <w:tcPr>
            <w:tcW w:w="0" w:type="auto"/>
            <w:tcBorders>
              <w:top w:val="nil"/>
              <w:left w:val="nil"/>
              <w:bottom w:val="nil"/>
              <w:right w:val="nil"/>
            </w:tcBorders>
          </w:tcPr>
          <w:p w14:paraId="6107EC3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7FDAD29" w14:textId="77777777" w:rsidR="0071004A" w:rsidRPr="00E673EB" w:rsidRDefault="0071004A" w:rsidP="00377F3A">
            <w:pPr>
              <w:pStyle w:val="TableText"/>
            </w:pPr>
          </w:p>
        </w:tc>
        <w:tc>
          <w:tcPr>
            <w:tcW w:w="0" w:type="auto"/>
            <w:tcBorders>
              <w:top w:val="nil"/>
              <w:left w:val="nil"/>
              <w:bottom w:val="nil"/>
              <w:right w:val="nil"/>
            </w:tcBorders>
          </w:tcPr>
          <w:p w14:paraId="29E8B3B2" w14:textId="77777777" w:rsidR="0071004A" w:rsidRPr="00E673EB" w:rsidRDefault="0071004A" w:rsidP="00377F3A">
            <w:pPr>
              <w:pStyle w:val="TableText"/>
            </w:pPr>
            <w:r w:rsidRPr="00E673EB">
              <w:t>&lt;LOQ (50 µg/kg) in 8/43 red-tailed hawks in Massachusetts between 2017 and 2019</w:t>
            </w:r>
          </w:p>
        </w:tc>
        <w:tc>
          <w:tcPr>
            <w:tcW w:w="0" w:type="auto"/>
            <w:tcBorders>
              <w:top w:val="nil"/>
              <w:left w:val="nil"/>
              <w:bottom w:val="nil"/>
              <w:right w:val="nil"/>
            </w:tcBorders>
          </w:tcPr>
          <w:p w14:paraId="5F42772C" w14:textId="77777777" w:rsidR="0071004A" w:rsidRPr="00E673EB" w:rsidRDefault="0071004A" w:rsidP="00377F3A">
            <w:pPr>
              <w:pStyle w:val="TableText"/>
            </w:pPr>
            <w:r w:rsidRPr="00E673EB">
              <w:t>Murray 2020</w:t>
            </w:r>
          </w:p>
        </w:tc>
      </w:tr>
      <w:tr w:rsidR="0071004A" w:rsidRPr="003B5A86" w14:paraId="43EFAD0D" w14:textId="77777777" w:rsidTr="00E935FC">
        <w:trPr>
          <w:cantSplit/>
          <w:trHeight w:val="13"/>
        </w:trPr>
        <w:tc>
          <w:tcPr>
            <w:tcW w:w="0" w:type="auto"/>
            <w:tcBorders>
              <w:top w:val="nil"/>
              <w:left w:val="nil"/>
              <w:bottom w:val="nil"/>
              <w:right w:val="nil"/>
            </w:tcBorders>
          </w:tcPr>
          <w:p w14:paraId="07846AB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DFE0833" w14:textId="77777777" w:rsidR="0071004A" w:rsidRPr="00E673EB" w:rsidRDefault="0071004A" w:rsidP="00377F3A">
            <w:pPr>
              <w:pStyle w:val="TableText"/>
            </w:pPr>
            <w:r>
              <w:t>Europe</w:t>
            </w:r>
          </w:p>
        </w:tc>
        <w:tc>
          <w:tcPr>
            <w:tcW w:w="0" w:type="auto"/>
            <w:tcBorders>
              <w:top w:val="nil"/>
              <w:left w:val="nil"/>
              <w:bottom w:val="nil"/>
              <w:right w:val="nil"/>
            </w:tcBorders>
          </w:tcPr>
          <w:p w14:paraId="158D8F0E" w14:textId="77777777" w:rsidR="0071004A" w:rsidRPr="00E673EB" w:rsidRDefault="0071004A" w:rsidP="00377F3A">
            <w:pPr>
              <w:pStyle w:val="TableText"/>
            </w:pPr>
            <w:r w:rsidRPr="00E673EB">
              <w:t>Max liver residues 83 µg/kg in 32/48 northern goshawk, 57 µg/kg in 19/41 red kite, 28 µg/kg in 13/60 white-tailed eagle; not detected in 23 Eurasian sparrowhawk or 13 osprey in Germany between 1996 and 2018</w:t>
            </w:r>
          </w:p>
        </w:tc>
        <w:tc>
          <w:tcPr>
            <w:tcW w:w="0" w:type="auto"/>
            <w:tcBorders>
              <w:top w:val="nil"/>
              <w:left w:val="nil"/>
              <w:bottom w:val="nil"/>
              <w:right w:val="nil"/>
            </w:tcBorders>
          </w:tcPr>
          <w:p w14:paraId="72B5CFBE" w14:textId="0C91F153" w:rsidR="0071004A" w:rsidRPr="00E673EB" w:rsidRDefault="0071004A" w:rsidP="00377F3A">
            <w:pPr>
              <w:pStyle w:val="TableText"/>
            </w:pPr>
            <w:r w:rsidRPr="00E673EB">
              <w:t xml:space="preserve">Badry </w:t>
            </w:r>
            <w:r w:rsidR="00B7183A" w:rsidRPr="00B7183A">
              <w:rPr>
                <w:i/>
                <w:iCs/>
              </w:rPr>
              <w:t>et al</w:t>
            </w:r>
            <w:r w:rsidRPr="00E673EB">
              <w:t>. 2021</w:t>
            </w:r>
          </w:p>
        </w:tc>
      </w:tr>
      <w:tr w:rsidR="0071004A" w:rsidRPr="003B5A86" w14:paraId="05432B51" w14:textId="77777777" w:rsidTr="00E935FC">
        <w:trPr>
          <w:cantSplit/>
          <w:trHeight w:val="13"/>
        </w:trPr>
        <w:tc>
          <w:tcPr>
            <w:tcW w:w="0" w:type="auto"/>
            <w:tcBorders>
              <w:top w:val="nil"/>
              <w:left w:val="nil"/>
              <w:bottom w:val="nil"/>
              <w:right w:val="nil"/>
            </w:tcBorders>
          </w:tcPr>
          <w:p w14:paraId="7D7BE4F3"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50B2EBF" w14:textId="77777777" w:rsidR="0071004A" w:rsidRPr="00E673EB" w:rsidRDefault="0071004A" w:rsidP="00377F3A">
            <w:pPr>
              <w:pStyle w:val="TableText"/>
            </w:pPr>
          </w:p>
        </w:tc>
        <w:tc>
          <w:tcPr>
            <w:tcW w:w="0" w:type="auto"/>
            <w:tcBorders>
              <w:top w:val="nil"/>
              <w:left w:val="nil"/>
              <w:bottom w:val="nil"/>
              <w:right w:val="nil"/>
            </w:tcBorders>
          </w:tcPr>
          <w:p w14:paraId="690D2196" w14:textId="77777777" w:rsidR="0071004A" w:rsidRPr="00E673EB" w:rsidRDefault="0071004A" w:rsidP="00377F3A">
            <w:pPr>
              <w:pStyle w:val="TableText"/>
            </w:pPr>
            <w:r w:rsidRPr="00E673EB">
              <w:t>Max liver residues 223 µg/kg in 12/80 barn owls, 170 µg/kg in 17/141 buzzards, 450 µg/kg in 12/66 kestrels, 52 µg/kg in 8/38 long-eared owls, 0.11 µg/kg in 7/31 rough-legged buzzards, 90 µg/kg in 10/44 tawny owls from intensively managed landscapes in Denmark</w:t>
            </w:r>
          </w:p>
        </w:tc>
        <w:tc>
          <w:tcPr>
            <w:tcW w:w="0" w:type="auto"/>
            <w:tcBorders>
              <w:top w:val="nil"/>
              <w:left w:val="nil"/>
              <w:bottom w:val="nil"/>
              <w:right w:val="nil"/>
            </w:tcBorders>
          </w:tcPr>
          <w:p w14:paraId="37CE6D48" w14:textId="55E3A7EF" w:rsidR="0071004A" w:rsidRPr="00E673EB" w:rsidRDefault="0071004A" w:rsidP="00377F3A">
            <w:pPr>
              <w:pStyle w:val="TableText"/>
            </w:pPr>
            <w:r w:rsidRPr="00E673EB">
              <w:t xml:space="preserve">Christensen </w:t>
            </w:r>
            <w:r w:rsidR="00B7183A" w:rsidRPr="00B7183A">
              <w:rPr>
                <w:i/>
                <w:iCs/>
              </w:rPr>
              <w:t>et al</w:t>
            </w:r>
            <w:r w:rsidRPr="00E673EB">
              <w:t>. 2012</w:t>
            </w:r>
          </w:p>
        </w:tc>
      </w:tr>
      <w:tr w:rsidR="0071004A" w:rsidRPr="003B5A86" w14:paraId="2FDFC2CA" w14:textId="77777777" w:rsidTr="00E935FC">
        <w:trPr>
          <w:cantSplit/>
          <w:trHeight w:val="13"/>
        </w:trPr>
        <w:tc>
          <w:tcPr>
            <w:tcW w:w="0" w:type="auto"/>
            <w:tcBorders>
              <w:top w:val="nil"/>
              <w:left w:val="nil"/>
              <w:bottom w:val="nil"/>
              <w:right w:val="nil"/>
            </w:tcBorders>
          </w:tcPr>
          <w:p w14:paraId="6FFF15E4"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27F7B4CE" w14:textId="77777777" w:rsidR="0071004A" w:rsidRPr="00E673EB" w:rsidRDefault="0071004A" w:rsidP="00377F3A">
            <w:pPr>
              <w:pStyle w:val="TableText"/>
            </w:pPr>
          </w:p>
        </w:tc>
        <w:tc>
          <w:tcPr>
            <w:tcW w:w="0" w:type="auto"/>
            <w:tcBorders>
              <w:top w:val="nil"/>
              <w:left w:val="nil"/>
              <w:bottom w:val="nil"/>
              <w:right w:val="nil"/>
            </w:tcBorders>
          </w:tcPr>
          <w:p w14:paraId="64E008BE" w14:textId="77777777" w:rsidR="0071004A" w:rsidRPr="00E673EB" w:rsidRDefault="0071004A" w:rsidP="00377F3A">
            <w:pPr>
              <w:pStyle w:val="TableText"/>
            </w:pPr>
            <w:r w:rsidRPr="00E673EB">
              <w:t xml:space="preserve">Detectable residues in 10/172 tawny owls, 72/431 barn owls, and 37/73 kestrels across Britain between 1990-93 or 2003-05 </w:t>
            </w:r>
          </w:p>
        </w:tc>
        <w:tc>
          <w:tcPr>
            <w:tcW w:w="0" w:type="auto"/>
            <w:tcBorders>
              <w:top w:val="nil"/>
              <w:left w:val="nil"/>
              <w:bottom w:val="nil"/>
              <w:right w:val="nil"/>
            </w:tcBorders>
          </w:tcPr>
          <w:p w14:paraId="01BC4CED" w14:textId="19AE712A" w:rsidR="0071004A" w:rsidRPr="00E673EB" w:rsidRDefault="0071004A" w:rsidP="00377F3A">
            <w:pPr>
              <w:pStyle w:val="TableText"/>
            </w:pPr>
            <w:r w:rsidRPr="00E673EB">
              <w:t xml:space="preserve">Walker </w:t>
            </w:r>
            <w:r w:rsidR="00B7183A" w:rsidRPr="00B7183A">
              <w:rPr>
                <w:i/>
                <w:iCs/>
              </w:rPr>
              <w:t>et al</w:t>
            </w:r>
            <w:r w:rsidRPr="00E673EB">
              <w:t>. 2008</w:t>
            </w:r>
          </w:p>
        </w:tc>
      </w:tr>
      <w:tr w:rsidR="0071004A" w14:paraId="04AF454A" w14:textId="77777777" w:rsidTr="00E935FC">
        <w:trPr>
          <w:cantSplit/>
          <w:trHeight w:val="13"/>
        </w:trPr>
        <w:tc>
          <w:tcPr>
            <w:tcW w:w="0" w:type="auto"/>
            <w:tcBorders>
              <w:top w:val="nil"/>
              <w:left w:val="nil"/>
              <w:bottom w:val="nil"/>
              <w:right w:val="nil"/>
            </w:tcBorders>
          </w:tcPr>
          <w:p w14:paraId="67D5A1C9"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9AC805A" w14:textId="77777777" w:rsidR="0071004A" w:rsidRPr="00E673EB" w:rsidRDefault="0071004A" w:rsidP="00377F3A">
            <w:pPr>
              <w:pStyle w:val="TableText"/>
            </w:pPr>
          </w:p>
        </w:tc>
        <w:tc>
          <w:tcPr>
            <w:tcW w:w="0" w:type="auto"/>
            <w:tcBorders>
              <w:top w:val="nil"/>
              <w:left w:val="nil"/>
              <w:bottom w:val="nil"/>
              <w:right w:val="nil"/>
            </w:tcBorders>
          </w:tcPr>
          <w:p w14:paraId="39C4B87D" w14:textId="18E318B8" w:rsidR="0071004A" w:rsidRPr="00E673EB" w:rsidRDefault="0071004A" w:rsidP="00377F3A">
            <w:pPr>
              <w:pStyle w:val="TableText"/>
            </w:pPr>
            <w:r w:rsidRPr="00E673EB">
              <w:t>Max liver residues 181 µg/kg in 2/8 eagle owls; not detected in 16 golden eagles, 3 osprey, 2 peregrine falcon, 1 gr</w:t>
            </w:r>
            <w:r w:rsidR="00057E4A">
              <w:t>a</w:t>
            </w:r>
            <w:r w:rsidRPr="00E673EB">
              <w:t>y</w:t>
            </w:r>
            <w:r w:rsidR="00057E4A">
              <w:t xml:space="preserve"> </w:t>
            </w:r>
            <w:r w:rsidRPr="00E673EB">
              <w:t>falcon across Norway between 2009 and 2011</w:t>
            </w:r>
          </w:p>
        </w:tc>
        <w:tc>
          <w:tcPr>
            <w:tcW w:w="0" w:type="auto"/>
            <w:tcBorders>
              <w:top w:val="nil"/>
              <w:left w:val="nil"/>
              <w:bottom w:val="nil"/>
              <w:right w:val="nil"/>
            </w:tcBorders>
          </w:tcPr>
          <w:p w14:paraId="4AE66B4D" w14:textId="54381CF7" w:rsidR="0071004A" w:rsidRPr="00E673EB" w:rsidRDefault="0071004A" w:rsidP="00377F3A">
            <w:pPr>
              <w:pStyle w:val="TableText"/>
            </w:pPr>
            <w:r w:rsidRPr="00E673EB">
              <w:t xml:space="preserve">Langford </w:t>
            </w:r>
            <w:r w:rsidR="00B7183A" w:rsidRPr="00B7183A">
              <w:rPr>
                <w:i/>
                <w:iCs/>
              </w:rPr>
              <w:t>et al</w:t>
            </w:r>
            <w:r w:rsidRPr="00E673EB">
              <w:t>. 2013</w:t>
            </w:r>
          </w:p>
        </w:tc>
      </w:tr>
      <w:tr w:rsidR="0071004A" w14:paraId="5AF653A7" w14:textId="77777777" w:rsidTr="00E935FC">
        <w:trPr>
          <w:cantSplit/>
          <w:trHeight w:val="13"/>
        </w:trPr>
        <w:tc>
          <w:tcPr>
            <w:tcW w:w="0" w:type="auto"/>
            <w:tcBorders>
              <w:top w:val="nil"/>
              <w:left w:val="nil"/>
              <w:bottom w:val="nil"/>
              <w:right w:val="nil"/>
            </w:tcBorders>
          </w:tcPr>
          <w:p w14:paraId="08073895" w14:textId="4829C11B" w:rsidR="0071004A" w:rsidRPr="00E673EB" w:rsidRDefault="0071004A" w:rsidP="00377F3A">
            <w:pPr>
              <w:pStyle w:val="TableText"/>
              <w:rPr>
                <w:lang w:eastAsia="en-AU"/>
              </w:rPr>
            </w:pPr>
          </w:p>
        </w:tc>
        <w:tc>
          <w:tcPr>
            <w:tcW w:w="0" w:type="auto"/>
            <w:tcBorders>
              <w:top w:val="nil"/>
              <w:left w:val="nil"/>
              <w:bottom w:val="nil"/>
              <w:right w:val="nil"/>
            </w:tcBorders>
          </w:tcPr>
          <w:p w14:paraId="1812605B" w14:textId="59BD2463" w:rsidR="0071004A" w:rsidRPr="00E673EB" w:rsidRDefault="0071004A" w:rsidP="00377F3A">
            <w:pPr>
              <w:pStyle w:val="TableText"/>
            </w:pPr>
          </w:p>
        </w:tc>
        <w:tc>
          <w:tcPr>
            <w:tcW w:w="0" w:type="auto"/>
            <w:tcBorders>
              <w:top w:val="nil"/>
              <w:left w:val="nil"/>
              <w:bottom w:val="nil"/>
              <w:right w:val="nil"/>
            </w:tcBorders>
          </w:tcPr>
          <w:p w14:paraId="14074DB1" w14:textId="77777777" w:rsidR="0071004A" w:rsidRPr="00E673EB" w:rsidRDefault="0071004A" w:rsidP="00377F3A">
            <w:pPr>
              <w:pStyle w:val="TableText"/>
            </w:pPr>
            <w:r w:rsidRPr="00E673EB">
              <w:t>Max liver residues 10 µg/kg in 8/33 scops owls, 198 µg/kg in 10/41 barn owls, 84 µg/kg in 6/27 tawny owls, 281 µg/kg in 9/14 eagle owls, 53 µg/kg in 3/12 long-eared owls, 2 µg/kg in 1/7 little owls, 1921 µg/kg in 12/56 common buzzards in Mediterranean region of Spain between 2011 and 2013</w:t>
            </w:r>
          </w:p>
        </w:tc>
        <w:tc>
          <w:tcPr>
            <w:tcW w:w="0" w:type="auto"/>
            <w:tcBorders>
              <w:top w:val="nil"/>
              <w:left w:val="nil"/>
              <w:bottom w:val="nil"/>
              <w:right w:val="nil"/>
            </w:tcBorders>
          </w:tcPr>
          <w:p w14:paraId="773C2F7A" w14:textId="07BC1F3A"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14:paraId="22268DEE" w14:textId="77777777" w:rsidTr="00E935FC">
        <w:trPr>
          <w:cantSplit/>
          <w:trHeight w:val="13"/>
        </w:trPr>
        <w:tc>
          <w:tcPr>
            <w:tcW w:w="0" w:type="auto"/>
            <w:tcBorders>
              <w:top w:val="nil"/>
              <w:left w:val="nil"/>
              <w:bottom w:val="nil"/>
              <w:right w:val="nil"/>
            </w:tcBorders>
          </w:tcPr>
          <w:p w14:paraId="4EF2A84E"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E2FA3B5" w14:textId="77777777" w:rsidR="0071004A" w:rsidRPr="00E673EB" w:rsidRDefault="0071004A" w:rsidP="00377F3A">
            <w:pPr>
              <w:pStyle w:val="TableText"/>
            </w:pPr>
          </w:p>
        </w:tc>
        <w:tc>
          <w:tcPr>
            <w:tcW w:w="0" w:type="auto"/>
            <w:tcBorders>
              <w:top w:val="nil"/>
              <w:left w:val="nil"/>
              <w:bottom w:val="nil"/>
              <w:right w:val="nil"/>
            </w:tcBorders>
          </w:tcPr>
          <w:p w14:paraId="14A83BC3" w14:textId="77777777" w:rsidR="0071004A" w:rsidRPr="00E673EB" w:rsidRDefault="0071004A" w:rsidP="00377F3A">
            <w:pPr>
              <w:pStyle w:val="TableText"/>
            </w:pPr>
            <w:r w:rsidRPr="00E673EB">
              <w:t>Max liver residues 56 µg/kg in 3/129 predatory birds; not detected in 142 granivorous birds in Spain between 2005 and 2010</w:t>
            </w:r>
          </w:p>
        </w:tc>
        <w:tc>
          <w:tcPr>
            <w:tcW w:w="0" w:type="auto"/>
            <w:tcBorders>
              <w:top w:val="nil"/>
              <w:left w:val="nil"/>
              <w:bottom w:val="nil"/>
              <w:right w:val="nil"/>
            </w:tcBorders>
          </w:tcPr>
          <w:p w14:paraId="150955A0" w14:textId="5706B256"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4FBB53E5" w14:textId="77777777" w:rsidTr="00E935FC">
        <w:trPr>
          <w:cantSplit/>
          <w:trHeight w:val="13"/>
        </w:trPr>
        <w:tc>
          <w:tcPr>
            <w:tcW w:w="0" w:type="auto"/>
            <w:tcBorders>
              <w:top w:val="nil"/>
              <w:left w:val="nil"/>
              <w:bottom w:val="nil"/>
              <w:right w:val="nil"/>
            </w:tcBorders>
          </w:tcPr>
          <w:p w14:paraId="23CE7CC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39582C8" w14:textId="77777777" w:rsidR="0071004A" w:rsidRPr="00E673EB" w:rsidRDefault="0071004A" w:rsidP="00377F3A">
            <w:pPr>
              <w:pStyle w:val="TableText"/>
            </w:pPr>
          </w:p>
        </w:tc>
        <w:tc>
          <w:tcPr>
            <w:tcW w:w="0" w:type="auto"/>
            <w:tcBorders>
              <w:top w:val="nil"/>
              <w:left w:val="nil"/>
              <w:bottom w:val="nil"/>
              <w:right w:val="nil"/>
            </w:tcBorders>
          </w:tcPr>
          <w:p w14:paraId="59C71E1A" w14:textId="77777777" w:rsidR="0071004A" w:rsidRPr="00E673EB" w:rsidRDefault="0071004A" w:rsidP="00377F3A">
            <w:pPr>
              <w:pStyle w:val="TableText"/>
            </w:pPr>
            <w:r w:rsidRPr="00E673EB">
              <w:t>Not detected in &gt;97% of 89 barn owl pellets collected winter of 1988-1989 over five counties in southern Eire, UK</w:t>
            </w:r>
          </w:p>
        </w:tc>
        <w:tc>
          <w:tcPr>
            <w:tcW w:w="0" w:type="auto"/>
            <w:tcBorders>
              <w:top w:val="nil"/>
              <w:left w:val="nil"/>
              <w:bottom w:val="nil"/>
              <w:right w:val="nil"/>
            </w:tcBorders>
          </w:tcPr>
          <w:p w14:paraId="46DAB76B" w14:textId="36F464E9" w:rsidR="0071004A" w:rsidRPr="00E673EB" w:rsidRDefault="0071004A" w:rsidP="00377F3A">
            <w:pPr>
              <w:pStyle w:val="TableText"/>
            </w:pPr>
            <w:r w:rsidRPr="00E673EB">
              <w:t xml:space="preserve">Eadsforth </w:t>
            </w:r>
            <w:r w:rsidR="00B7183A" w:rsidRPr="00B7183A">
              <w:rPr>
                <w:i/>
                <w:iCs/>
              </w:rPr>
              <w:t>et al</w:t>
            </w:r>
            <w:r w:rsidRPr="00E673EB">
              <w:t>. 1996</w:t>
            </w:r>
          </w:p>
        </w:tc>
      </w:tr>
      <w:tr w:rsidR="0071004A" w:rsidRPr="003B5A86" w14:paraId="6D32BAC8" w14:textId="77777777" w:rsidTr="00E935FC">
        <w:trPr>
          <w:cantSplit/>
          <w:trHeight w:val="13"/>
        </w:trPr>
        <w:tc>
          <w:tcPr>
            <w:tcW w:w="0" w:type="auto"/>
            <w:tcBorders>
              <w:top w:val="nil"/>
              <w:left w:val="nil"/>
              <w:bottom w:val="nil"/>
              <w:right w:val="nil"/>
            </w:tcBorders>
          </w:tcPr>
          <w:p w14:paraId="4EE24F1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5B013597" w14:textId="77777777" w:rsidR="0071004A" w:rsidRPr="00E673EB" w:rsidRDefault="0071004A" w:rsidP="00377F3A">
            <w:pPr>
              <w:pStyle w:val="TableText"/>
            </w:pPr>
          </w:p>
        </w:tc>
        <w:tc>
          <w:tcPr>
            <w:tcW w:w="0" w:type="auto"/>
            <w:tcBorders>
              <w:top w:val="nil"/>
              <w:left w:val="nil"/>
              <w:bottom w:val="nil"/>
              <w:right w:val="nil"/>
            </w:tcBorders>
          </w:tcPr>
          <w:p w14:paraId="5871D4F2" w14:textId="77777777" w:rsidR="0071004A" w:rsidRPr="00E673EB" w:rsidRDefault="0071004A" w:rsidP="00377F3A">
            <w:pPr>
              <w:pStyle w:val="TableText"/>
            </w:pPr>
            <w:r w:rsidRPr="00E673EB">
              <w:t>Detected in 76/449 barn owls in Britain between 1988 and 1994</w:t>
            </w:r>
          </w:p>
        </w:tc>
        <w:tc>
          <w:tcPr>
            <w:tcW w:w="0" w:type="auto"/>
            <w:tcBorders>
              <w:top w:val="nil"/>
              <w:left w:val="nil"/>
              <w:bottom w:val="nil"/>
              <w:right w:val="nil"/>
            </w:tcBorders>
          </w:tcPr>
          <w:p w14:paraId="220321C1" w14:textId="58D0060D" w:rsidR="0071004A" w:rsidRPr="00E673EB" w:rsidRDefault="0071004A" w:rsidP="00377F3A">
            <w:pPr>
              <w:pStyle w:val="TableText"/>
            </w:pPr>
            <w:r w:rsidRPr="00E673EB">
              <w:t xml:space="preserve">Newton </w:t>
            </w:r>
            <w:r w:rsidR="00B7183A" w:rsidRPr="00B7183A">
              <w:rPr>
                <w:i/>
                <w:iCs/>
              </w:rPr>
              <w:t>et al</w:t>
            </w:r>
            <w:r w:rsidRPr="00E673EB">
              <w:t>. 1997</w:t>
            </w:r>
          </w:p>
        </w:tc>
      </w:tr>
      <w:tr w:rsidR="0071004A" w14:paraId="6BBD589B" w14:textId="77777777" w:rsidTr="00E935FC">
        <w:trPr>
          <w:cantSplit/>
          <w:trHeight w:val="13"/>
        </w:trPr>
        <w:tc>
          <w:tcPr>
            <w:tcW w:w="0" w:type="auto"/>
            <w:tcBorders>
              <w:top w:val="nil"/>
              <w:left w:val="nil"/>
              <w:bottom w:val="single" w:sz="4" w:space="0" w:color="auto"/>
              <w:right w:val="nil"/>
            </w:tcBorders>
          </w:tcPr>
          <w:p w14:paraId="50AEAC72"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81A6422"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07805A93" w14:textId="77777777" w:rsidR="0071004A" w:rsidRPr="00E673EB" w:rsidRDefault="0071004A" w:rsidP="00377F3A">
            <w:pPr>
              <w:pStyle w:val="TableText"/>
            </w:pPr>
            <w:r w:rsidRPr="00E673EB">
              <w:t>Mean liver residues 61-118 µg/kg in 120/241 kestrels in UK between 1997 and 2011</w:t>
            </w:r>
          </w:p>
        </w:tc>
        <w:tc>
          <w:tcPr>
            <w:tcW w:w="0" w:type="auto"/>
            <w:tcBorders>
              <w:top w:val="nil"/>
              <w:left w:val="nil"/>
              <w:bottom w:val="single" w:sz="4" w:space="0" w:color="auto"/>
              <w:right w:val="nil"/>
            </w:tcBorders>
          </w:tcPr>
          <w:p w14:paraId="621F744B" w14:textId="3F84FE89" w:rsidR="0071004A" w:rsidRPr="00E673EB" w:rsidRDefault="0071004A" w:rsidP="00377F3A">
            <w:pPr>
              <w:pStyle w:val="TableText"/>
            </w:pPr>
            <w:r w:rsidRPr="00E673EB">
              <w:t xml:space="preserve">Roos </w:t>
            </w:r>
            <w:r w:rsidR="00B7183A" w:rsidRPr="00B7183A">
              <w:rPr>
                <w:i/>
                <w:iCs/>
              </w:rPr>
              <w:t>et al</w:t>
            </w:r>
            <w:r w:rsidRPr="00E673EB">
              <w:t>. 2021</w:t>
            </w:r>
          </w:p>
        </w:tc>
      </w:tr>
      <w:tr w:rsidR="0071004A" w:rsidRPr="003B5A86" w14:paraId="19AD6A41" w14:textId="77777777" w:rsidTr="00E935FC">
        <w:trPr>
          <w:cantSplit/>
          <w:trHeight w:val="13"/>
        </w:trPr>
        <w:tc>
          <w:tcPr>
            <w:tcW w:w="0" w:type="auto"/>
            <w:tcBorders>
              <w:top w:val="single" w:sz="4" w:space="0" w:color="auto"/>
              <w:left w:val="nil"/>
              <w:bottom w:val="nil"/>
              <w:right w:val="nil"/>
            </w:tcBorders>
          </w:tcPr>
          <w:p w14:paraId="5DD02811" w14:textId="77777777" w:rsidR="0071004A" w:rsidRPr="00E673EB" w:rsidRDefault="0071004A" w:rsidP="00377F3A">
            <w:pPr>
              <w:pStyle w:val="TableText"/>
              <w:rPr>
                <w:lang w:eastAsia="en-AU"/>
              </w:rPr>
            </w:pPr>
            <w:r w:rsidRPr="00E673EB">
              <w:rPr>
                <w:lang w:eastAsia="en-AU"/>
              </w:rPr>
              <w:t>Reptiles</w:t>
            </w:r>
          </w:p>
        </w:tc>
        <w:tc>
          <w:tcPr>
            <w:tcW w:w="0" w:type="auto"/>
            <w:tcBorders>
              <w:top w:val="single" w:sz="4" w:space="0" w:color="auto"/>
              <w:left w:val="nil"/>
              <w:bottom w:val="nil"/>
              <w:right w:val="nil"/>
            </w:tcBorders>
          </w:tcPr>
          <w:p w14:paraId="159E02EC"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69E2DD0A" w14:textId="77777777" w:rsidR="0071004A" w:rsidRPr="00E673EB" w:rsidRDefault="0071004A" w:rsidP="00377F3A">
            <w:pPr>
              <w:pStyle w:val="TableText"/>
            </w:pPr>
            <w:r w:rsidRPr="00E673EB">
              <w:t>Max liver residues 53 µg/kg in 4/11 dugites, 2 µg/kg in 1/10 bobtails in 2014-18, and not detected in 11 tiger snakes in 2018-19 in Greater Perth, WA</w:t>
            </w:r>
          </w:p>
        </w:tc>
        <w:tc>
          <w:tcPr>
            <w:tcW w:w="0" w:type="auto"/>
            <w:tcBorders>
              <w:top w:val="single" w:sz="4" w:space="0" w:color="auto"/>
              <w:left w:val="nil"/>
              <w:bottom w:val="nil"/>
              <w:right w:val="nil"/>
            </w:tcBorders>
          </w:tcPr>
          <w:p w14:paraId="3F46C983" w14:textId="6C259121" w:rsidR="0071004A" w:rsidRPr="00E673EB" w:rsidRDefault="0071004A" w:rsidP="00377F3A">
            <w:pPr>
              <w:pStyle w:val="TableText"/>
            </w:pPr>
            <w:r w:rsidRPr="00E673EB">
              <w:t xml:space="preserve">Lettoof </w:t>
            </w:r>
            <w:r w:rsidR="00B7183A" w:rsidRPr="00B7183A">
              <w:rPr>
                <w:i/>
                <w:iCs/>
              </w:rPr>
              <w:t>et al</w:t>
            </w:r>
            <w:r w:rsidRPr="00E673EB">
              <w:t>. 2020</w:t>
            </w:r>
          </w:p>
        </w:tc>
      </w:tr>
      <w:tr w:rsidR="0071004A" w14:paraId="3745C545" w14:textId="77777777" w:rsidTr="00E935FC">
        <w:trPr>
          <w:cantSplit/>
          <w:trHeight w:val="13"/>
        </w:trPr>
        <w:tc>
          <w:tcPr>
            <w:tcW w:w="0" w:type="auto"/>
            <w:tcBorders>
              <w:top w:val="nil"/>
              <w:left w:val="nil"/>
              <w:bottom w:val="single" w:sz="4" w:space="0" w:color="auto"/>
              <w:right w:val="nil"/>
            </w:tcBorders>
          </w:tcPr>
          <w:p w14:paraId="0D87299C"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1553F1BC" w14:textId="77777777" w:rsidR="0071004A" w:rsidRPr="00E673EB" w:rsidRDefault="0071004A" w:rsidP="00377F3A">
            <w:pPr>
              <w:pStyle w:val="TableText"/>
            </w:pPr>
            <w:r>
              <w:t>Europe</w:t>
            </w:r>
          </w:p>
        </w:tc>
        <w:tc>
          <w:tcPr>
            <w:tcW w:w="0" w:type="auto"/>
            <w:tcBorders>
              <w:top w:val="nil"/>
              <w:left w:val="nil"/>
              <w:bottom w:val="single" w:sz="4" w:space="0" w:color="auto"/>
              <w:right w:val="nil"/>
            </w:tcBorders>
          </w:tcPr>
          <w:p w14:paraId="506D6547"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nil"/>
              <w:left w:val="nil"/>
              <w:bottom w:val="single" w:sz="4" w:space="0" w:color="auto"/>
              <w:right w:val="nil"/>
            </w:tcBorders>
          </w:tcPr>
          <w:p w14:paraId="0FD3468A" w14:textId="783D8423"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1D2F792B" w14:textId="77777777" w:rsidTr="00E935FC">
        <w:trPr>
          <w:cantSplit/>
          <w:trHeight w:val="13"/>
        </w:trPr>
        <w:tc>
          <w:tcPr>
            <w:tcW w:w="0" w:type="auto"/>
            <w:tcBorders>
              <w:top w:val="single" w:sz="4" w:space="0" w:color="auto"/>
              <w:left w:val="nil"/>
              <w:bottom w:val="nil"/>
              <w:right w:val="nil"/>
            </w:tcBorders>
          </w:tcPr>
          <w:p w14:paraId="4559A572" w14:textId="77777777" w:rsidR="0071004A" w:rsidRPr="00E673EB" w:rsidRDefault="0071004A"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1B2CEDAB" w14:textId="77777777" w:rsidR="0071004A" w:rsidRPr="00E673EB" w:rsidDel="00F524CF" w:rsidRDefault="0071004A" w:rsidP="00377F3A">
            <w:pPr>
              <w:pStyle w:val="TableText"/>
            </w:pPr>
            <w:r>
              <w:t>Europe</w:t>
            </w:r>
          </w:p>
        </w:tc>
        <w:tc>
          <w:tcPr>
            <w:tcW w:w="0" w:type="auto"/>
            <w:tcBorders>
              <w:top w:val="single" w:sz="4" w:space="0" w:color="auto"/>
              <w:left w:val="nil"/>
              <w:bottom w:val="nil"/>
              <w:right w:val="nil"/>
            </w:tcBorders>
          </w:tcPr>
          <w:p w14:paraId="25A67823" w14:textId="77777777" w:rsidR="0071004A" w:rsidRPr="00E673EB" w:rsidRDefault="0071004A" w:rsidP="00377F3A">
            <w:pPr>
              <w:pStyle w:val="TableText"/>
            </w:pPr>
            <w:r w:rsidRPr="00E673EB">
              <w:t>Max liver residues 0.7 µg/kg in bream from two German rivers between 1992 and 2015</w:t>
            </w:r>
          </w:p>
        </w:tc>
        <w:tc>
          <w:tcPr>
            <w:tcW w:w="0" w:type="auto"/>
            <w:tcBorders>
              <w:top w:val="single" w:sz="4" w:space="0" w:color="auto"/>
              <w:left w:val="nil"/>
              <w:bottom w:val="nil"/>
              <w:right w:val="nil"/>
            </w:tcBorders>
          </w:tcPr>
          <w:p w14:paraId="7E5BA756" w14:textId="6B033B4F"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14:paraId="3FCFA87F" w14:textId="77777777" w:rsidTr="00E935FC">
        <w:trPr>
          <w:cantSplit/>
          <w:trHeight w:val="13"/>
        </w:trPr>
        <w:tc>
          <w:tcPr>
            <w:tcW w:w="0" w:type="auto"/>
            <w:tcBorders>
              <w:top w:val="nil"/>
              <w:left w:val="nil"/>
              <w:bottom w:val="nil"/>
              <w:right w:val="nil"/>
            </w:tcBorders>
          </w:tcPr>
          <w:p w14:paraId="0748F54F"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4F78422" w14:textId="77777777" w:rsidR="0071004A" w:rsidRPr="00E673EB" w:rsidRDefault="0071004A" w:rsidP="00377F3A">
            <w:pPr>
              <w:pStyle w:val="TableText"/>
            </w:pPr>
          </w:p>
        </w:tc>
        <w:tc>
          <w:tcPr>
            <w:tcW w:w="0" w:type="auto"/>
            <w:tcBorders>
              <w:top w:val="nil"/>
              <w:left w:val="nil"/>
              <w:bottom w:val="nil"/>
              <w:right w:val="nil"/>
            </w:tcBorders>
          </w:tcPr>
          <w:p w14:paraId="7694DB2C" w14:textId="77777777" w:rsidR="0071004A" w:rsidRPr="00E673EB" w:rsidRDefault="0071004A" w:rsidP="00377F3A">
            <w:pPr>
              <w:pStyle w:val="TableText"/>
            </w:pPr>
            <w:r w:rsidRPr="00E673EB">
              <w:t>Max liver residues 1.8 µg/kg in 9/32 fish in bioaccumulation ponds and 1.8 µg/kg in 3/12 fish in receiving streams of municipal wastewater treatment plants in Germany between 2013 and 2016</w:t>
            </w:r>
          </w:p>
        </w:tc>
        <w:tc>
          <w:tcPr>
            <w:tcW w:w="0" w:type="auto"/>
            <w:tcBorders>
              <w:top w:val="nil"/>
              <w:left w:val="nil"/>
              <w:bottom w:val="nil"/>
              <w:right w:val="nil"/>
            </w:tcBorders>
          </w:tcPr>
          <w:p w14:paraId="47A92A7C" w14:textId="760724A1" w:rsidR="0071004A" w:rsidRPr="00E673EB" w:rsidRDefault="0071004A" w:rsidP="00377F3A">
            <w:pPr>
              <w:pStyle w:val="TableText"/>
            </w:pPr>
            <w:r w:rsidRPr="00E673EB">
              <w:t xml:space="preserve">Regnery </w:t>
            </w:r>
            <w:r w:rsidR="00B7183A" w:rsidRPr="00B7183A">
              <w:rPr>
                <w:i/>
                <w:iCs/>
              </w:rPr>
              <w:t>et al</w:t>
            </w:r>
            <w:r w:rsidRPr="00E673EB">
              <w:t>. 2019</w:t>
            </w:r>
          </w:p>
        </w:tc>
      </w:tr>
      <w:tr w:rsidR="0071004A" w14:paraId="17AEAD1E" w14:textId="77777777" w:rsidTr="00E935FC">
        <w:trPr>
          <w:cantSplit/>
          <w:trHeight w:val="13"/>
        </w:trPr>
        <w:tc>
          <w:tcPr>
            <w:tcW w:w="0" w:type="auto"/>
            <w:tcBorders>
              <w:top w:val="nil"/>
              <w:left w:val="nil"/>
              <w:bottom w:val="single" w:sz="4" w:space="0" w:color="auto"/>
              <w:right w:val="nil"/>
            </w:tcBorders>
          </w:tcPr>
          <w:p w14:paraId="6F0CB259"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522F153"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3890D3B2" w14:textId="77777777" w:rsidR="0071004A" w:rsidRPr="00E673EB" w:rsidRDefault="0071004A" w:rsidP="00377F3A">
            <w:pPr>
              <w:pStyle w:val="TableText"/>
            </w:pPr>
            <w:r w:rsidRPr="00E673EB">
              <w:t>Max liver residues 16 µg/kg in 33/46 fish in receiving streams of municipal wastewater treatment plants in Germany in 2019</w:t>
            </w:r>
          </w:p>
        </w:tc>
        <w:tc>
          <w:tcPr>
            <w:tcW w:w="0" w:type="auto"/>
            <w:tcBorders>
              <w:top w:val="nil"/>
              <w:left w:val="nil"/>
              <w:bottom w:val="single" w:sz="4" w:space="0" w:color="auto"/>
              <w:right w:val="nil"/>
            </w:tcBorders>
          </w:tcPr>
          <w:p w14:paraId="271625A3" w14:textId="0B153A17" w:rsidR="0071004A" w:rsidRPr="00E673EB" w:rsidRDefault="0071004A" w:rsidP="00377F3A">
            <w:pPr>
              <w:pStyle w:val="TableText"/>
            </w:pPr>
            <w:r w:rsidRPr="00E673EB">
              <w:t xml:space="preserve">Regnery </w:t>
            </w:r>
            <w:r w:rsidR="00B7183A" w:rsidRPr="00B7183A">
              <w:rPr>
                <w:i/>
                <w:iCs/>
              </w:rPr>
              <w:t>et al</w:t>
            </w:r>
            <w:r w:rsidRPr="00E673EB">
              <w:t>. 2020</w:t>
            </w:r>
          </w:p>
        </w:tc>
      </w:tr>
    </w:tbl>
    <w:p w14:paraId="5971EFDD" w14:textId="77777777" w:rsidR="00EE24E4" w:rsidRPr="006123DB" w:rsidRDefault="00EE24E4" w:rsidP="00377F3A">
      <w:pPr>
        <w:pStyle w:val="APVMAAppendixH3"/>
      </w:pPr>
      <w:bookmarkStart w:id="2088" w:name="_Toc214025623"/>
      <w:bookmarkStart w:id="2089" w:name="_Toc216695645"/>
      <w:r w:rsidRPr="006123DB">
        <w:lastRenderedPageBreak/>
        <w:t>Effects on non-target species</w:t>
      </w:r>
      <w:bookmarkEnd w:id="2088"/>
      <w:bookmarkEnd w:id="2089"/>
    </w:p>
    <w:p w14:paraId="2CB067FC" w14:textId="0F97F63C" w:rsidR="00980B2F" w:rsidRPr="006123DB" w:rsidRDefault="005F2D69" w:rsidP="00377F3A">
      <w:pPr>
        <w:pStyle w:val="Caption"/>
      </w:pPr>
      <w:bookmarkStart w:id="2090" w:name="_Toc213946100"/>
      <w:bookmarkStart w:id="2091" w:name="_Toc216695791"/>
      <w:r>
        <w:t xml:space="preserve">Table </w:t>
      </w:r>
      <w:r>
        <w:fldChar w:fldCharType="begin"/>
      </w:r>
      <w:r>
        <w:instrText xml:space="preserve"> SEQ Table \* ARABIC </w:instrText>
      </w:r>
      <w:r>
        <w:fldChar w:fldCharType="separate"/>
      </w:r>
      <w:r w:rsidR="003861AC">
        <w:rPr>
          <w:noProof/>
        </w:rPr>
        <w:t>129</w:t>
      </w:r>
      <w:r>
        <w:fldChar w:fldCharType="end"/>
      </w:r>
      <w:r>
        <w:t xml:space="preserve">: </w:t>
      </w:r>
      <w:r w:rsidR="00057E4A" w:rsidRPr="006123DB">
        <w:t xml:space="preserve">Difenacoum – </w:t>
      </w:r>
      <w:r w:rsidR="00980B2F" w:rsidRPr="006123DB">
        <w:t>Primary poisoning studies on terrestrial vertebrates</w:t>
      </w:r>
      <w:bookmarkEnd w:id="2090"/>
      <w:bookmarkEnd w:id="2091"/>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1495"/>
        <w:gridCol w:w="2207"/>
        <w:gridCol w:w="2725"/>
        <w:gridCol w:w="2086"/>
      </w:tblGrid>
      <w:tr w:rsidR="00057E4A" w:rsidRPr="000B2FA7" w14:paraId="34D411B1" w14:textId="77777777" w:rsidTr="0017134F">
        <w:trPr>
          <w:tblHeader/>
        </w:trPr>
        <w:tc>
          <w:tcPr>
            <w:tcW w:w="0" w:type="auto"/>
            <w:tcBorders>
              <w:bottom w:val="single" w:sz="4" w:space="0" w:color="auto"/>
            </w:tcBorders>
            <w:shd w:val="clear" w:color="auto" w:fill="53284F"/>
          </w:tcPr>
          <w:p w14:paraId="27423EB7" w14:textId="77777777" w:rsidR="00057E4A" w:rsidRPr="00377F3A" w:rsidRDefault="00057E4A" w:rsidP="00377F3A">
            <w:pPr>
              <w:pStyle w:val="TableHead"/>
            </w:pPr>
            <w:r w:rsidRPr="00377F3A">
              <w:t>Group</w:t>
            </w:r>
          </w:p>
        </w:tc>
        <w:tc>
          <w:tcPr>
            <w:tcW w:w="0" w:type="auto"/>
            <w:tcBorders>
              <w:bottom w:val="single" w:sz="4" w:space="0" w:color="auto"/>
            </w:tcBorders>
            <w:shd w:val="clear" w:color="auto" w:fill="53284F"/>
          </w:tcPr>
          <w:p w14:paraId="336CA967" w14:textId="77777777" w:rsidR="00057E4A" w:rsidRPr="00377F3A" w:rsidRDefault="00057E4A" w:rsidP="00377F3A">
            <w:pPr>
              <w:pStyle w:val="TableHead"/>
            </w:pPr>
            <w:r w:rsidRPr="00377F3A">
              <w:t>Exposure</w:t>
            </w:r>
          </w:p>
        </w:tc>
        <w:tc>
          <w:tcPr>
            <w:tcW w:w="0" w:type="auto"/>
            <w:tcBorders>
              <w:bottom w:val="single" w:sz="4" w:space="0" w:color="auto"/>
            </w:tcBorders>
            <w:shd w:val="clear" w:color="auto" w:fill="53284F"/>
          </w:tcPr>
          <w:p w14:paraId="6AABB3B9" w14:textId="77777777" w:rsidR="00057E4A" w:rsidRPr="00377F3A" w:rsidRDefault="00057E4A" w:rsidP="00377F3A">
            <w:pPr>
              <w:pStyle w:val="TableHead"/>
            </w:pPr>
            <w:r w:rsidRPr="00377F3A">
              <w:t>Species</w:t>
            </w:r>
          </w:p>
        </w:tc>
        <w:tc>
          <w:tcPr>
            <w:tcW w:w="0" w:type="auto"/>
            <w:tcBorders>
              <w:bottom w:val="single" w:sz="4" w:space="0" w:color="auto"/>
            </w:tcBorders>
            <w:shd w:val="clear" w:color="auto" w:fill="53284F"/>
          </w:tcPr>
          <w:p w14:paraId="581AC235" w14:textId="77777777" w:rsidR="00057E4A" w:rsidRPr="00377F3A" w:rsidRDefault="00057E4A" w:rsidP="00377F3A">
            <w:pPr>
              <w:pStyle w:val="TableHead"/>
            </w:pPr>
            <w:r w:rsidRPr="00377F3A">
              <w:t>Toxicity value</w:t>
            </w:r>
            <w:r w:rsidRPr="006123DB">
              <w:rPr>
                <w:rStyle w:val="FootnoteReference"/>
                <w:rFonts w:ascii="Arial" w:hAnsi="Arial"/>
                <w:b/>
                <w:sz w:val="17"/>
                <w:szCs w:val="17"/>
              </w:rPr>
              <w:footnoteReference w:id="31"/>
            </w:r>
          </w:p>
        </w:tc>
        <w:tc>
          <w:tcPr>
            <w:tcW w:w="0" w:type="auto"/>
            <w:tcBorders>
              <w:bottom w:val="single" w:sz="4" w:space="0" w:color="auto"/>
            </w:tcBorders>
            <w:shd w:val="clear" w:color="auto" w:fill="53284F"/>
          </w:tcPr>
          <w:p w14:paraId="15994AB7" w14:textId="77777777" w:rsidR="00057E4A" w:rsidRPr="00CA558C" w:rsidRDefault="00057E4A" w:rsidP="00377F3A">
            <w:pPr>
              <w:pStyle w:val="TableHead"/>
            </w:pPr>
            <w:r w:rsidRPr="00377F3A">
              <w:t>Reference</w:t>
            </w:r>
          </w:p>
        </w:tc>
      </w:tr>
      <w:tr w:rsidR="00057E4A" w:rsidRPr="000B2FA7" w14:paraId="0A3B121E" w14:textId="77777777" w:rsidTr="00C73BAE">
        <w:tc>
          <w:tcPr>
            <w:tcW w:w="0" w:type="auto"/>
            <w:tcBorders>
              <w:top w:val="single" w:sz="4" w:space="0" w:color="auto"/>
              <w:left w:val="nil"/>
              <w:bottom w:val="nil"/>
              <w:right w:val="nil"/>
            </w:tcBorders>
          </w:tcPr>
          <w:p w14:paraId="4401B9C7" w14:textId="77777777" w:rsidR="00057E4A" w:rsidRDefault="00057E4A" w:rsidP="00377F3A">
            <w:pPr>
              <w:pStyle w:val="TableText"/>
            </w:pPr>
            <w:r>
              <w:t>Mammals</w:t>
            </w:r>
          </w:p>
        </w:tc>
        <w:tc>
          <w:tcPr>
            <w:tcW w:w="0" w:type="auto"/>
            <w:tcBorders>
              <w:top w:val="single" w:sz="4" w:space="0" w:color="auto"/>
              <w:left w:val="nil"/>
              <w:bottom w:val="nil"/>
              <w:right w:val="nil"/>
            </w:tcBorders>
          </w:tcPr>
          <w:p w14:paraId="1140DE83" w14:textId="77777777" w:rsidR="00057E4A" w:rsidRDefault="00057E4A" w:rsidP="00377F3A">
            <w:pPr>
              <w:pStyle w:val="TableText"/>
            </w:pPr>
            <w:r>
              <w:t>Acute</w:t>
            </w:r>
          </w:p>
        </w:tc>
        <w:tc>
          <w:tcPr>
            <w:tcW w:w="0" w:type="auto"/>
            <w:tcBorders>
              <w:top w:val="single" w:sz="4" w:space="0" w:color="auto"/>
              <w:left w:val="nil"/>
              <w:bottom w:val="nil"/>
              <w:right w:val="nil"/>
            </w:tcBorders>
          </w:tcPr>
          <w:p w14:paraId="00A50B8E" w14:textId="77777777" w:rsidR="00057E4A" w:rsidRDefault="00057E4A" w:rsidP="00377F3A">
            <w:pPr>
              <w:pStyle w:val="TableText"/>
            </w:pPr>
            <w:r>
              <w:t>Rattus argentiventer</w:t>
            </w:r>
          </w:p>
          <w:p w14:paraId="56B8F065" w14:textId="77777777" w:rsidR="00057E4A" w:rsidRDefault="00057E4A" w:rsidP="00377F3A">
            <w:pPr>
              <w:pStyle w:val="TableText"/>
            </w:pPr>
            <w:r>
              <w:t>Mus musculus</w:t>
            </w:r>
          </w:p>
          <w:p w14:paraId="0FEB3A2C" w14:textId="77777777" w:rsidR="00057E4A" w:rsidRDefault="00057E4A" w:rsidP="00377F3A">
            <w:pPr>
              <w:pStyle w:val="TableText"/>
            </w:pPr>
            <w:r>
              <w:t>Canis familiaris</w:t>
            </w:r>
          </w:p>
          <w:p w14:paraId="4E236301" w14:textId="77777777" w:rsidR="00057E4A" w:rsidRDefault="00057E4A" w:rsidP="00377F3A">
            <w:pPr>
              <w:pStyle w:val="TableText"/>
            </w:pPr>
            <w:r>
              <w:t>Cavia porcellus</w:t>
            </w:r>
          </w:p>
          <w:p w14:paraId="3E99FFF8" w14:textId="77777777" w:rsidR="00057E4A" w:rsidRDefault="00057E4A" w:rsidP="00377F3A">
            <w:pPr>
              <w:pStyle w:val="TableText"/>
            </w:pPr>
            <w:r>
              <w:t>Sus scrofa</w:t>
            </w:r>
          </w:p>
          <w:p w14:paraId="34FDA86F" w14:textId="77777777" w:rsidR="00057E4A" w:rsidRDefault="00057E4A" w:rsidP="00377F3A">
            <w:pPr>
              <w:pStyle w:val="TableText"/>
            </w:pPr>
            <w:r>
              <w:t>Felis catus</w:t>
            </w:r>
          </w:p>
        </w:tc>
        <w:tc>
          <w:tcPr>
            <w:tcW w:w="0" w:type="auto"/>
            <w:tcBorders>
              <w:top w:val="single" w:sz="4" w:space="0" w:color="auto"/>
              <w:left w:val="nil"/>
              <w:bottom w:val="nil"/>
              <w:right w:val="nil"/>
            </w:tcBorders>
          </w:tcPr>
          <w:p w14:paraId="02336DEA" w14:textId="77777777" w:rsidR="00057E4A" w:rsidRDefault="00057E4A" w:rsidP="00377F3A">
            <w:pPr>
              <w:pStyle w:val="TableText"/>
            </w:pPr>
            <w:r>
              <w:t>LD</w:t>
            </w:r>
            <w:r w:rsidRPr="003E23A0">
              <w:rPr>
                <w:vertAlign w:val="subscript"/>
              </w:rPr>
              <w:t>50</w:t>
            </w:r>
            <w:r>
              <w:t xml:space="preserve"> 0.7 mg/kg bw</w:t>
            </w:r>
          </w:p>
          <w:p w14:paraId="0A0C5758" w14:textId="77777777" w:rsidR="00057E4A" w:rsidRDefault="00057E4A" w:rsidP="00377F3A">
            <w:pPr>
              <w:pStyle w:val="TableText"/>
            </w:pPr>
            <w:r>
              <w:t>LD</w:t>
            </w:r>
            <w:r w:rsidRPr="003E23A0">
              <w:rPr>
                <w:vertAlign w:val="subscript"/>
              </w:rPr>
              <w:t>50</w:t>
            </w:r>
            <w:r>
              <w:t xml:space="preserve"> 0.8 mg/kg bw</w:t>
            </w:r>
          </w:p>
          <w:p w14:paraId="167F7A54" w14:textId="77777777" w:rsidR="00057E4A" w:rsidRDefault="00057E4A" w:rsidP="00377F3A">
            <w:pPr>
              <w:pStyle w:val="TableText"/>
            </w:pPr>
            <w:r>
              <w:t>LD</w:t>
            </w:r>
            <w:r w:rsidRPr="003E23A0">
              <w:rPr>
                <w:vertAlign w:val="subscript"/>
              </w:rPr>
              <w:t>50</w:t>
            </w:r>
            <w:r>
              <w:t xml:space="preserve"> 50 mg/kg bw</w:t>
            </w:r>
          </w:p>
          <w:p w14:paraId="3384AB32" w14:textId="77777777" w:rsidR="00057E4A" w:rsidRDefault="00057E4A" w:rsidP="00377F3A">
            <w:pPr>
              <w:pStyle w:val="TableText"/>
            </w:pPr>
            <w:r>
              <w:t>LD</w:t>
            </w:r>
            <w:r w:rsidRPr="003E23A0">
              <w:rPr>
                <w:vertAlign w:val="subscript"/>
              </w:rPr>
              <w:t>50</w:t>
            </w:r>
            <w:r>
              <w:t xml:space="preserve"> 50 mg/kg bw</w:t>
            </w:r>
          </w:p>
          <w:p w14:paraId="03A85AB9" w14:textId="77777777" w:rsidR="00057E4A" w:rsidRDefault="00057E4A" w:rsidP="00377F3A">
            <w:pPr>
              <w:pStyle w:val="TableText"/>
            </w:pPr>
            <w:r>
              <w:t>LD</w:t>
            </w:r>
            <w:r w:rsidRPr="003E23A0">
              <w:rPr>
                <w:vertAlign w:val="subscript"/>
              </w:rPr>
              <w:t>50</w:t>
            </w:r>
            <w:r>
              <w:t xml:space="preserve"> 80 mg/kg bw</w:t>
            </w:r>
          </w:p>
          <w:p w14:paraId="6CAD13DA" w14:textId="77777777" w:rsidR="00057E4A" w:rsidRDefault="00057E4A" w:rsidP="00377F3A">
            <w:pPr>
              <w:pStyle w:val="TableText"/>
            </w:pPr>
            <w:r>
              <w:t>LD</w:t>
            </w:r>
            <w:r w:rsidRPr="003E23A0">
              <w:rPr>
                <w:vertAlign w:val="subscript"/>
              </w:rPr>
              <w:t>50</w:t>
            </w:r>
            <w:r>
              <w:t xml:space="preserve"> 100 mg/kg bw</w:t>
            </w:r>
          </w:p>
        </w:tc>
        <w:tc>
          <w:tcPr>
            <w:tcW w:w="0" w:type="auto"/>
            <w:tcBorders>
              <w:top w:val="single" w:sz="4" w:space="0" w:color="auto"/>
              <w:left w:val="nil"/>
              <w:bottom w:val="nil"/>
              <w:right w:val="nil"/>
            </w:tcBorders>
          </w:tcPr>
          <w:p w14:paraId="46DF93EF" w14:textId="77777777" w:rsidR="00057E4A" w:rsidRDefault="00057E4A" w:rsidP="00377F3A">
            <w:pPr>
              <w:pStyle w:val="TableText"/>
            </w:pPr>
            <w:r>
              <w:t>Bull 1976</w:t>
            </w:r>
          </w:p>
        </w:tc>
      </w:tr>
      <w:tr w:rsidR="00057E4A" w:rsidRPr="000B2FA7" w14:paraId="3C9A23E4" w14:textId="77777777" w:rsidTr="00C73BAE">
        <w:tc>
          <w:tcPr>
            <w:tcW w:w="0" w:type="auto"/>
            <w:tcBorders>
              <w:top w:val="nil"/>
              <w:left w:val="nil"/>
              <w:bottom w:val="nil"/>
              <w:right w:val="nil"/>
            </w:tcBorders>
          </w:tcPr>
          <w:p w14:paraId="0FBC68B3" w14:textId="77777777" w:rsidR="00057E4A" w:rsidRDefault="00057E4A" w:rsidP="00377F3A">
            <w:pPr>
              <w:pStyle w:val="TableText"/>
            </w:pPr>
          </w:p>
        </w:tc>
        <w:tc>
          <w:tcPr>
            <w:tcW w:w="0" w:type="auto"/>
            <w:tcBorders>
              <w:top w:val="nil"/>
              <w:left w:val="nil"/>
              <w:bottom w:val="nil"/>
              <w:right w:val="nil"/>
            </w:tcBorders>
          </w:tcPr>
          <w:p w14:paraId="4A094523" w14:textId="77777777" w:rsidR="00057E4A" w:rsidRDefault="00057E4A" w:rsidP="00377F3A">
            <w:pPr>
              <w:pStyle w:val="TableText"/>
            </w:pPr>
          </w:p>
        </w:tc>
        <w:tc>
          <w:tcPr>
            <w:tcW w:w="0" w:type="auto"/>
            <w:tcBorders>
              <w:top w:val="nil"/>
              <w:left w:val="nil"/>
              <w:bottom w:val="nil"/>
              <w:right w:val="nil"/>
            </w:tcBorders>
          </w:tcPr>
          <w:p w14:paraId="60AE2CB3" w14:textId="77777777" w:rsidR="00057E4A" w:rsidRDefault="00057E4A" w:rsidP="00377F3A">
            <w:pPr>
              <w:pStyle w:val="TableText"/>
            </w:pPr>
            <w:r>
              <w:t>Rattus norvegicus</w:t>
            </w:r>
          </w:p>
        </w:tc>
        <w:tc>
          <w:tcPr>
            <w:tcW w:w="0" w:type="auto"/>
            <w:tcBorders>
              <w:top w:val="nil"/>
              <w:left w:val="nil"/>
              <w:bottom w:val="nil"/>
              <w:right w:val="nil"/>
            </w:tcBorders>
          </w:tcPr>
          <w:p w14:paraId="14F5B8D4" w14:textId="77777777" w:rsidR="00057E4A" w:rsidRDefault="00057E4A" w:rsidP="00377F3A">
            <w:pPr>
              <w:pStyle w:val="TableText"/>
            </w:pPr>
            <w:r>
              <w:t>LD</w:t>
            </w:r>
            <w:r w:rsidRPr="003E23A0">
              <w:rPr>
                <w:vertAlign w:val="subscript"/>
              </w:rPr>
              <w:t>50</w:t>
            </w:r>
            <w:r>
              <w:t xml:space="preserve"> 1.8 mg/kg bw</w:t>
            </w:r>
          </w:p>
        </w:tc>
        <w:tc>
          <w:tcPr>
            <w:tcW w:w="0" w:type="auto"/>
            <w:tcBorders>
              <w:top w:val="nil"/>
              <w:left w:val="nil"/>
              <w:bottom w:val="nil"/>
              <w:right w:val="nil"/>
            </w:tcBorders>
          </w:tcPr>
          <w:p w14:paraId="31C062C6" w14:textId="77777777" w:rsidR="00057E4A" w:rsidRDefault="00057E4A" w:rsidP="00377F3A">
            <w:pPr>
              <w:pStyle w:val="TableText"/>
            </w:pPr>
            <w:r>
              <w:t>Gardner 1995a</w:t>
            </w:r>
          </w:p>
        </w:tc>
      </w:tr>
      <w:tr w:rsidR="00057E4A" w:rsidRPr="000B2FA7" w14:paraId="6EC93178" w14:textId="77777777" w:rsidTr="00C73BAE">
        <w:tc>
          <w:tcPr>
            <w:tcW w:w="0" w:type="auto"/>
            <w:tcBorders>
              <w:top w:val="nil"/>
              <w:left w:val="nil"/>
              <w:bottom w:val="nil"/>
              <w:right w:val="nil"/>
            </w:tcBorders>
          </w:tcPr>
          <w:p w14:paraId="7267AF89" w14:textId="77777777" w:rsidR="00057E4A" w:rsidRDefault="00057E4A" w:rsidP="00377F3A">
            <w:pPr>
              <w:pStyle w:val="TableText"/>
            </w:pPr>
          </w:p>
        </w:tc>
        <w:tc>
          <w:tcPr>
            <w:tcW w:w="0" w:type="auto"/>
            <w:tcBorders>
              <w:top w:val="nil"/>
              <w:left w:val="nil"/>
              <w:bottom w:val="nil"/>
              <w:right w:val="nil"/>
            </w:tcBorders>
          </w:tcPr>
          <w:p w14:paraId="0EC5FD9B" w14:textId="77777777" w:rsidR="00057E4A" w:rsidRDefault="00057E4A" w:rsidP="00377F3A">
            <w:pPr>
              <w:pStyle w:val="TableText"/>
            </w:pPr>
          </w:p>
        </w:tc>
        <w:tc>
          <w:tcPr>
            <w:tcW w:w="0" w:type="auto"/>
            <w:tcBorders>
              <w:top w:val="nil"/>
              <w:left w:val="nil"/>
              <w:bottom w:val="nil"/>
              <w:right w:val="nil"/>
            </w:tcBorders>
          </w:tcPr>
          <w:p w14:paraId="5C9ED549" w14:textId="77777777" w:rsidR="00057E4A" w:rsidRDefault="00057E4A" w:rsidP="00377F3A">
            <w:pPr>
              <w:pStyle w:val="TableText"/>
            </w:pPr>
          </w:p>
        </w:tc>
        <w:tc>
          <w:tcPr>
            <w:tcW w:w="0" w:type="auto"/>
            <w:tcBorders>
              <w:top w:val="nil"/>
              <w:left w:val="nil"/>
              <w:bottom w:val="nil"/>
              <w:right w:val="nil"/>
            </w:tcBorders>
          </w:tcPr>
          <w:p w14:paraId="54693147" w14:textId="77777777" w:rsidR="00057E4A" w:rsidRDefault="00057E4A" w:rsidP="00377F3A">
            <w:pPr>
              <w:pStyle w:val="TableText"/>
            </w:pPr>
            <w:r>
              <w:t>LD</w:t>
            </w:r>
            <w:r w:rsidRPr="003E23A0">
              <w:rPr>
                <w:vertAlign w:val="subscript"/>
              </w:rPr>
              <w:t>50</w:t>
            </w:r>
            <w:r>
              <w:t xml:space="preserve"> 2.6 mg/kg bw</w:t>
            </w:r>
          </w:p>
        </w:tc>
        <w:tc>
          <w:tcPr>
            <w:tcW w:w="0" w:type="auto"/>
            <w:tcBorders>
              <w:top w:val="nil"/>
              <w:left w:val="nil"/>
              <w:bottom w:val="nil"/>
              <w:right w:val="nil"/>
            </w:tcBorders>
          </w:tcPr>
          <w:p w14:paraId="62944FE0" w14:textId="77777777" w:rsidR="00057E4A" w:rsidRDefault="00057E4A" w:rsidP="00377F3A">
            <w:pPr>
              <w:pStyle w:val="TableText"/>
            </w:pPr>
            <w:r>
              <w:t>Gardner 1995b</w:t>
            </w:r>
          </w:p>
        </w:tc>
      </w:tr>
      <w:tr w:rsidR="00057E4A" w:rsidRPr="000B2FA7" w14:paraId="0E657D11" w14:textId="77777777" w:rsidTr="00C73BAE">
        <w:tc>
          <w:tcPr>
            <w:tcW w:w="0" w:type="auto"/>
            <w:tcBorders>
              <w:top w:val="nil"/>
              <w:left w:val="nil"/>
              <w:bottom w:val="nil"/>
              <w:right w:val="nil"/>
            </w:tcBorders>
          </w:tcPr>
          <w:p w14:paraId="1FC52F09" w14:textId="77777777" w:rsidR="00057E4A" w:rsidRDefault="00057E4A" w:rsidP="00377F3A">
            <w:pPr>
              <w:pStyle w:val="TableText"/>
            </w:pPr>
          </w:p>
        </w:tc>
        <w:tc>
          <w:tcPr>
            <w:tcW w:w="0" w:type="auto"/>
            <w:tcBorders>
              <w:top w:val="nil"/>
              <w:left w:val="nil"/>
              <w:bottom w:val="nil"/>
              <w:right w:val="nil"/>
            </w:tcBorders>
          </w:tcPr>
          <w:p w14:paraId="6AAA2EA7" w14:textId="77777777" w:rsidR="00057E4A" w:rsidRDefault="00057E4A" w:rsidP="00377F3A">
            <w:pPr>
              <w:pStyle w:val="TableText"/>
            </w:pPr>
          </w:p>
        </w:tc>
        <w:tc>
          <w:tcPr>
            <w:tcW w:w="0" w:type="auto"/>
            <w:tcBorders>
              <w:top w:val="nil"/>
              <w:left w:val="nil"/>
              <w:bottom w:val="nil"/>
              <w:right w:val="nil"/>
            </w:tcBorders>
          </w:tcPr>
          <w:p w14:paraId="1DCCBA53" w14:textId="77777777" w:rsidR="00057E4A" w:rsidRDefault="00057E4A" w:rsidP="00377F3A">
            <w:pPr>
              <w:pStyle w:val="TableText"/>
            </w:pPr>
          </w:p>
        </w:tc>
        <w:tc>
          <w:tcPr>
            <w:tcW w:w="0" w:type="auto"/>
            <w:tcBorders>
              <w:top w:val="nil"/>
              <w:left w:val="nil"/>
              <w:bottom w:val="nil"/>
              <w:right w:val="nil"/>
            </w:tcBorders>
          </w:tcPr>
          <w:p w14:paraId="5214CD14" w14:textId="77777777" w:rsidR="00057E4A" w:rsidRDefault="00057E4A" w:rsidP="00377F3A">
            <w:pPr>
              <w:pStyle w:val="TableText"/>
            </w:pPr>
            <w:r>
              <w:t>LD</w:t>
            </w:r>
            <w:r w:rsidRPr="00AA5C84">
              <w:rPr>
                <w:vertAlign w:val="subscript"/>
              </w:rPr>
              <w:t>50</w:t>
            </w:r>
            <w:r>
              <w:t xml:space="preserve"> &gt;5 mg/kg bw</w:t>
            </w:r>
          </w:p>
        </w:tc>
        <w:tc>
          <w:tcPr>
            <w:tcW w:w="0" w:type="auto"/>
            <w:tcBorders>
              <w:top w:val="nil"/>
              <w:left w:val="nil"/>
              <w:bottom w:val="nil"/>
              <w:right w:val="nil"/>
            </w:tcBorders>
          </w:tcPr>
          <w:p w14:paraId="030C6AAF" w14:textId="77777777" w:rsidR="00057E4A" w:rsidRDefault="00057E4A" w:rsidP="00377F3A">
            <w:pPr>
              <w:pStyle w:val="TableText"/>
            </w:pPr>
            <w:r>
              <w:t>Szakonyi 2004a</w:t>
            </w:r>
          </w:p>
        </w:tc>
      </w:tr>
      <w:tr w:rsidR="00057E4A" w:rsidRPr="000B2FA7" w14:paraId="66C3F38D" w14:textId="77777777" w:rsidTr="00C73BAE">
        <w:tc>
          <w:tcPr>
            <w:tcW w:w="0" w:type="auto"/>
            <w:tcBorders>
              <w:top w:val="nil"/>
              <w:left w:val="nil"/>
              <w:bottom w:val="nil"/>
              <w:right w:val="nil"/>
            </w:tcBorders>
          </w:tcPr>
          <w:p w14:paraId="2F97C7A4" w14:textId="77777777" w:rsidR="00057E4A" w:rsidRDefault="00057E4A" w:rsidP="00377F3A">
            <w:pPr>
              <w:pStyle w:val="TableText"/>
            </w:pPr>
          </w:p>
        </w:tc>
        <w:tc>
          <w:tcPr>
            <w:tcW w:w="0" w:type="auto"/>
            <w:tcBorders>
              <w:top w:val="nil"/>
              <w:left w:val="nil"/>
              <w:bottom w:val="nil"/>
              <w:right w:val="nil"/>
            </w:tcBorders>
          </w:tcPr>
          <w:p w14:paraId="6CD29D11" w14:textId="77777777" w:rsidR="00057E4A" w:rsidRDefault="00057E4A" w:rsidP="00377F3A">
            <w:pPr>
              <w:pStyle w:val="TableText"/>
            </w:pPr>
          </w:p>
        </w:tc>
        <w:tc>
          <w:tcPr>
            <w:tcW w:w="0" w:type="auto"/>
            <w:gridSpan w:val="2"/>
            <w:tcBorders>
              <w:top w:val="nil"/>
              <w:left w:val="nil"/>
              <w:bottom w:val="nil"/>
              <w:right w:val="nil"/>
            </w:tcBorders>
          </w:tcPr>
          <w:p w14:paraId="66E081BF" w14:textId="77777777" w:rsidR="00057E4A" w:rsidRDefault="00057E4A" w:rsidP="00377F3A">
            <w:pPr>
              <w:pStyle w:val="TableText"/>
            </w:pPr>
            <w:r>
              <w:t>0.05 g/kg pellet: LD</w:t>
            </w:r>
            <w:r w:rsidRPr="00E46CA2">
              <w:rPr>
                <w:vertAlign w:val="subscript"/>
              </w:rPr>
              <w:t>50</w:t>
            </w:r>
            <w:r>
              <w:t xml:space="preserve"> 1.3 mg/kg bw</w:t>
            </w:r>
          </w:p>
        </w:tc>
        <w:tc>
          <w:tcPr>
            <w:tcW w:w="0" w:type="auto"/>
            <w:tcBorders>
              <w:top w:val="nil"/>
              <w:left w:val="nil"/>
              <w:bottom w:val="nil"/>
              <w:right w:val="nil"/>
            </w:tcBorders>
          </w:tcPr>
          <w:p w14:paraId="4DDE5DDE" w14:textId="77777777" w:rsidR="00057E4A" w:rsidRDefault="00057E4A" w:rsidP="00377F3A">
            <w:pPr>
              <w:pStyle w:val="TableText"/>
            </w:pPr>
            <w:r>
              <w:t>Redpath 1997</w:t>
            </w:r>
          </w:p>
        </w:tc>
      </w:tr>
      <w:tr w:rsidR="00057E4A" w:rsidRPr="000B2FA7" w14:paraId="34CD7E6E" w14:textId="77777777" w:rsidTr="00C73BAE">
        <w:tc>
          <w:tcPr>
            <w:tcW w:w="0" w:type="auto"/>
            <w:tcBorders>
              <w:top w:val="nil"/>
              <w:left w:val="nil"/>
              <w:bottom w:val="nil"/>
              <w:right w:val="nil"/>
            </w:tcBorders>
          </w:tcPr>
          <w:p w14:paraId="29182F6B" w14:textId="77777777" w:rsidR="00057E4A" w:rsidRDefault="00057E4A" w:rsidP="00377F3A">
            <w:pPr>
              <w:pStyle w:val="TableText"/>
            </w:pPr>
          </w:p>
        </w:tc>
        <w:tc>
          <w:tcPr>
            <w:tcW w:w="0" w:type="auto"/>
            <w:tcBorders>
              <w:top w:val="nil"/>
              <w:left w:val="nil"/>
              <w:bottom w:val="nil"/>
              <w:right w:val="nil"/>
            </w:tcBorders>
          </w:tcPr>
          <w:p w14:paraId="1FDFD9B0" w14:textId="77777777" w:rsidR="00057E4A" w:rsidRDefault="00057E4A" w:rsidP="00377F3A">
            <w:pPr>
              <w:pStyle w:val="TableText"/>
            </w:pPr>
            <w:r>
              <w:t>Chronic</w:t>
            </w:r>
          </w:p>
        </w:tc>
        <w:tc>
          <w:tcPr>
            <w:tcW w:w="0" w:type="auto"/>
            <w:tcBorders>
              <w:top w:val="nil"/>
              <w:left w:val="nil"/>
              <w:bottom w:val="nil"/>
              <w:right w:val="nil"/>
            </w:tcBorders>
          </w:tcPr>
          <w:p w14:paraId="69AF0928" w14:textId="77777777" w:rsidR="00057E4A" w:rsidRDefault="00057E4A" w:rsidP="00377F3A">
            <w:pPr>
              <w:pStyle w:val="TableText"/>
            </w:pPr>
            <w:r>
              <w:t>Rattus norvegicus</w:t>
            </w:r>
          </w:p>
        </w:tc>
        <w:tc>
          <w:tcPr>
            <w:tcW w:w="0" w:type="auto"/>
            <w:tcBorders>
              <w:top w:val="nil"/>
              <w:left w:val="nil"/>
              <w:bottom w:val="nil"/>
              <w:right w:val="nil"/>
            </w:tcBorders>
          </w:tcPr>
          <w:p w14:paraId="7AFF23A9" w14:textId="77777777" w:rsidR="00057E4A" w:rsidRPr="006F78D3" w:rsidRDefault="00057E4A" w:rsidP="00377F3A">
            <w:pPr>
              <w:pStyle w:val="TableText"/>
              <w:rPr>
                <w:lang w:val="de-CH"/>
              </w:rPr>
            </w:pPr>
            <w:r w:rsidRPr="006F78D3">
              <w:rPr>
                <w:lang w:val="de-CH"/>
              </w:rPr>
              <w:t>LOAEL 0.010 mg/kg bw/d</w:t>
            </w:r>
          </w:p>
        </w:tc>
        <w:tc>
          <w:tcPr>
            <w:tcW w:w="0" w:type="auto"/>
            <w:tcBorders>
              <w:top w:val="nil"/>
              <w:left w:val="nil"/>
              <w:bottom w:val="nil"/>
              <w:right w:val="nil"/>
            </w:tcBorders>
          </w:tcPr>
          <w:p w14:paraId="29080C52" w14:textId="77777777" w:rsidR="00057E4A" w:rsidRPr="00813CC4" w:rsidRDefault="00057E4A" w:rsidP="00377F3A">
            <w:pPr>
              <w:pStyle w:val="TableText"/>
            </w:pPr>
            <w:r>
              <w:t>Szakonyi 2004b</w:t>
            </w:r>
          </w:p>
        </w:tc>
      </w:tr>
      <w:tr w:rsidR="00057E4A" w:rsidRPr="000B2FA7" w14:paraId="6FF9EFBB" w14:textId="77777777" w:rsidTr="00C73BAE">
        <w:tc>
          <w:tcPr>
            <w:tcW w:w="0" w:type="auto"/>
            <w:tcBorders>
              <w:top w:val="nil"/>
              <w:left w:val="nil"/>
              <w:bottom w:val="nil"/>
              <w:right w:val="nil"/>
            </w:tcBorders>
          </w:tcPr>
          <w:p w14:paraId="7C200108" w14:textId="77777777" w:rsidR="00057E4A" w:rsidRDefault="00057E4A" w:rsidP="00377F3A">
            <w:pPr>
              <w:pStyle w:val="TableText"/>
            </w:pPr>
            <w:r>
              <w:t>Birds</w:t>
            </w:r>
          </w:p>
        </w:tc>
        <w:tc>
          <w:tcPr>
            <w:tcW w:w="0" w:type="auto"/>
            <w:tcBorders>
              <w:top w:val="nil"/>
              <w:left w:val="nil"/>
              <w:bottom w:val="nil"/>
              <w:right w:val="nil"/>
            </w:tcBorders>
          </w:tcPr>
          <w:p w14:paraId="72D47E7F" w14:textId="77777777" w:rsidR="00057E4A" w:rsidRDefault="00057E4A" w:rsidP="00377F3A">
            <w:pPr>
              <w:pStyle w:val="TableText"/>
            </w:pPr>
            <w:r>
              <w:t>Acute</w:t>
            </w:r>
          </w:p>
        </w:tc>
        <w:tc>
          <w:tcPr>
            <w:tcW w:w="0" w:type="auto"/>
            <w:tcBorders>
              <w:top w:val="nil"/>
              <w:left w:val="nil"/>
              <w:bottom w:val="nil"/>
              <w:right w:val="nil"/>
            </w:tcBorders>
          </w:tcPr>
          <w:p w14:paraId="5D05D23C" w14:textId="77777777" w:rsidR="00057E4A" w:rsidRDefault="00057E4A" w:rsidP="00377F3A">
            <w:pPr>
              <w:pStyle w:val="TableText"/>
            </w:pPr>
            <w:r>
              <w:t>Gallus domesticus</w:t>
            </w:r>
          </w:p>
        </w:tc>
        <w:tc>
          <w:tcPr>
            <w:tcW w:w="0" w:type="auto"/>
            <w:tcBorders>
              <w:top w:val="nil"/>
              <w:left w:val="nil"/>
              <w:bottom w:val="nil"/>
              <w:right w:val="nil"/>
            </w:tcBorders>
          </w:tcPr>
          <w:p w14:paraId="435F2AA1" w14:textId="77777777" w:rsidR="00057E4A" w:rsidRDefault="00057E4A" w:rsidP="00377F3A">
            <w:pPr>
              <w:pStyle w:val="TableText"/>
            </w:pPr>
            <w:r>
              <w:t>LD</w:t>
            </w:r>
            <w:r w:rsidRPr="003E23A0">
              <w:rPr>
                <w:vertAlign w:val="subscript"/>
              </w:rPr>
              <w:t>50</w:t>
            </w:r>
            <w:r>
              <w:t xml:space="preserve"> 50 mg/kg bw</w:t>
            </w:r>
          </w:p>
        </w:tc>
        <w:tc>
          <w:tcPr>
            <w:tcW w:w="0" w:type="auto"/>
            <w:tcBorders>
              <w:top w:val="nil"/>
              <w:left w:val="nil"/>
              <w:bottom w:val="nil"/>
              <w:right w:val="nil"/>
            </w:tcBorders>
          </w:tcPr>
          <w:p w14:paraId="34F32C5E" w14:textId="77777777" w:rsidR="00057E4A" w:rsidRPr="00813CC4" w:rsidRDefault="00057E4A" w:rsidP="00377F3A">
            <w:pPr>
              <w:pStyle w:val="TableText"/>
            </w:pPr>
            <w:r>
              <w:t>Bull 1976</w:t>
            </w:r>
          </w:p>
        </w:tc>
      </w:tr>
      <w:tr w:rsidR="00057E4A" w:rsidRPr="000B2FA7" w14:paraId="55D36250" w14:textId="77777777" w:rsidTr="00C73BAE">
        <w:tc>
          <w:tcPr>
            <w:tcW w:w="0" w:type="auto"/>
            <w:tcBorders>
              <w:top w:val="nil"/>
              <w:left w:val="nil"/>
              <w:bottom w:val="nil"/>
              <w:right w:val="nil"/>
            </w:tcBorders>
          </w:tcPr>
          <w:p w14:paraId="50CC4E0D" w14:textId="77777777" w:rsidR="00057E4A" w:rsidRDefault="00057E4A" w:rsidP="00377F3A">
            <w:pPr>
              <w:pStyle w:val="TableText"/>
            </w:pPr>
          </w:p>
        </w:tc>
        <w:tc>
          <w:tcPr>
            <w:tcW w:w="0" w:type="auto"/>
            <w:tcBorders>
              <w:top w:val="nil"/>
              <w:left w:val="nil"/>
              <w:bottom w:val="nil"/>
              <w:right w:val="nil"/>
            </w:tcBorders>
          </w:tcPr>
          <w:p w14:paraId="48DB29AE" w14:textId="77777777" w:rsidR="00057E4A" w:rsidRDefault="00057E4A" w:rsidP="00377F3A">
            <w:pPr>
              <w:pStyle w:val="TableText"/>
            </w:pPr>
          </w:p>
        </w:tc>
        <w:tc>
          <w:tcPr>
            <w:tcW w:w="0" w:type="auto"/>
            <w:tcBorders>
              <w:top w:val="nil"/>
              <w:left w:val="nil"/>
              <w:bottom w:val="nil"/>
              <w:right w:val="nil"/>
            </w:tcBorders>
          </w:tcPr>
          <w:p w14:paraId="1ADAD3B3" w14:textId="77777777" w:rsidR="00057E4A" w:rsidRDefault="00057E4A" w:rsidP="00377F3A">
            <w:pPr>
              <w:pStyle w:val="TableText"/>
            </w:pPr>
            <w:r>
              <w:t>Coturnix japonica</w:t>
            </w:r>
          </w:p>
        </w:tc>
        <w:tc>
          <w:tcPr>
            <w:tcW w:w="0" w:type="auto"/>
            <w:tcBorders>
              <w:top w:val="nil"/>
              <w:left w:val="nil"/>
              <w:bottom w:val="nil"/>
              <w:right w:val="nil"/>
            </w:tcBorders>
          </w:tcPr>
          <w:p w14:paraId="57F84B8C" w14:textId="77777777" w:rsidR="00057E4A" w:rsidRDefault="00057E4A" w:rsidP="00377F3A">
            <w:pPr>
              <w:pStyle w:val="TableText"/>
            </w:pPr>
            <w:r>
              <w:t>LD</w:t>
            </w:r>
            <w:r w:rsidRPr="007768D7">
              <w:rPr>
                <w:vertAlign w:val="subscript"/>
              </w:rPr>
              <w:t>50</w:t>
            </w:r>
            <w:r>
              <w:t xml:space="preserve"> 133 mg/kg bw</w:t>
            </w:r>
          </w:p>
        </w:tc>
        <w:tc>
          <w:tcPr>
            <w:tcW w:w="0" w:type="auto"/>
            <w:tcBorders>
              <w:top w:val="nil"/>
              <w:left w:val="nil"/>
              <w:bottom w:val="nil"/>
              <w:right w:val="nil"/>
            </w:tcBorders>
          </w:tcPr>
          <w:p w14:paraId="6B772BAC" w14:textId="77777777" w:rsidR="00057E4A" w:rsidRDefault="00057E4A" w:rsidP="00377F3A">
            <w:pPr>
              <w:pStyle w:val="TableText"/>
            </w:pPr>
            <w:r w:rsidRPr="00813CC4">
              <w:t>Gáty</w:t>
            </w:r>
            <w:r>
              <w:t xml:space="preserve"> 2005d</w:t>
            </w:r>
          </w:p>
        </w:tc>
      </w:tr>
      <w:tr w:rsidR="00057E4A" w:rsidRPr="000B2FA7" w14:paraId="708367E8" w14:textId="77777777" w:rsidTr="00C73BAE">
        <w:tc>
          <w:tcPr>
            <w:tcW w:w="0" w:type="auto"/>
            <w:tcBorders>
              <w:top w:val="nil"/>
              <w:left w:val="nil"/>
              <w:bottom w:val="nil"/>
              <w:right w:val="nil"/>
            </w:tcBorders>
          </w:tcPr>
          <w:p w14:paraId="36D776B9" w14:textId="77777777" w:rsidR="00057E4A" w:rsidRDefault="00057E4A" w:rsidP="00377F3A">
            <w:pPr>
              <w:pStyle w:val="TableText"/>
            </w:pPr>
          </w:p>
        </w:tc>
        <w:tc>
          <w:tcPr>
            <w:tcW w:w="0" w:type="auto"/>
            <w:tcBorders>
              <w:top w:val="nil"/>
              <w:left w:val="nil"/>
              <w:bottom w:val="nil"/>
              <w:right w:val="nil"/>
            </w:tcBorders>
          </w:tcPr>
          <w:p w14:paraId="02F272B3" w14:textId="77777777" w:rsidR="00057E4A" w:rsidRDefault="00057E4A" w:rsidP="00377F3A">
            <w:pPr>
              <w:pStyle w:val="TableText"/>
            </w:pPr>
          </w:p>
        </w:tc>
        <w:tc>
          <w:tcPr>
            <w:tcW w:w="0" w:type="auto"/>
            <w:tcBorders>
              <w:top w:val="nil"/>
              <w:left w:val="nil"/>
              <w:bottom w:val="nil"/>
              <w:right w:val="nil"/>
            </w:tcBorders>
          </w:tcPr>
          <w:p w14:paraId="2A26E830" w14:textId="77777777" w:rsidR="00057E4A" w:rsidRDefault="00057E4A" w:rsidP="00377F3A">
            <w:pPr>
              <w:pStyle w:val="TableText"/>
            </w:pPr>
            <w:r>
              <w:t>Anas platyrhychos</w:t>
            </w:r>
          </w:p>
        </w:tc>
        <w:tc>
          <w:tcPr>
            <w:tcW w:w="0" w:type="auto"/>
            <w:tcBorders>
              <w:top w:val="nil"/>
              <w:left w:val="nil"/>
              <w:bottom w:val="nil"/>
              <w:right w:val="nil"/>
            </w:tcBorders>
          </w:tcPr>
          <w:p w14:paraId="31A644E5" w14:textId="77777777" w:rsidR="00057E4A" w:rsidRDefault="00057E4A" w:rsidP="00377F3A">
            <w:pPr>
              <w:pStyle w:val="TableText"/>
            </w:pPr>
            <w:r>
              <w:t>LD</w:t>
            </w:r>
            <w:r w:rsidRPr="007768D7">
              <w:rPr>
                <w:vertAlign w:val="subscript"/>
              </w:rPr>
              <w:t>50</w:t>
            </w:r>
            <w:r>
              <w:t xml:space="preserve"> &gt;2000 mg/kg bw</w:t>
            </w:r>
          </w:p>
        </w:tc>
        <w:tc>
          <w:tcPr>
            <w:tcW w:w="0" w:type="auto"/>
            <w:tcBorders>
              <w:top w:val="nil"/>
              <w:left w:val="nil"/>
              <w:bottom w:val="nil"/>
              <w:right w:val="nil"/>
            </w:tcBorders>
          </w:tcPr>
          <w:p w14:paraId="52ADCC4C" w14:textId="77777777" w:rsidR="00057E4A" w:rsidRDefault="00057E4A" w:rsidP="00377F3A">
            <w:pPr>
              <w:pStyle w:val="TableText"/>
            </w:pPr>
            <w:r>
              <w:t>Nolan-Smith 1997</w:t>
            </w:r>
          </w:p>
        </w:tc>
      </w:tr>
      <w:tr w:rsidR="00057E4A" w:rsidRPr="000B2FA7" w14:paraId="27AC5926" w14:textId="77777777" w:rsidTr="00C73BAE">
        <w:tc>
          <w:tcPr>
            <w:tcW w:w="0" w:type="auto"/>
            <w:tcBorders>
              <w:top w:val="nil"/>
              <w:left w:val="nil"/>
              <w:bottom w:val="nil"/>
              <w:right w:val="nil"/>
            </w:tcBorders>
          </w:tcPr>
          <w:p w14:paraId="44E28424" w14:textId="77777777" w:rsidR="00057E4A" w:rsidRDefault="00057E4A" w:rsidP="00377F3A">
            <w:pPr>
              <w:pStyle w:val="TableText"/>
            </w:pPr>
          </w:p>
        </w:tc>
        <w:tc>
          <w:tcPr>
            <w:tcW w:w="0" w:type="auto"/>
            <w:tcBorders>
              <w:top w:val="nil"/>
              <w:left w:val="nil"/>
              <w:bottom w:val="nil"/>
              <w:right w:val="nil"/>
            </w:tcBorders>
          </w:tcPr>
          <w:p w14:paraId="40F429ED" w14:textId="77777777" w:rsidR="00057E4A" w:rsidRDefault="00057E4A" w:rsidP="00377F3A">
            <w:pPr>
              <w:pStyle w:val="TableText"/>
            </w:pPr>
            <w:r>
              <w:t>Dietary</w:t>
            </w:r>
          </w:p>
        </w:tc>
        <w:tc>
          <w:tcPr>
            <w:tcW w:w="0" w:type="auto"/>
            <w:tcBorders>
              <w:top w:val="nil"/>
              <w:left w:val="nil"/>
              <w:bottom w:val="nil"/>
              <w:right w:val="nil"/>
            </w:tcBorders>
          </w:tcPr>
          <w:p w14:paraId="71F9428F" w14:textId="77777777" w:rsidR="00057E4A" w:rsidRDefault="00057E4A" w:rsidP="00377F3A">
            <w:pPr>
              <w:pStyle w:val="TableText"/>
            </w:pPr>
            <w:r>
              <w:t>Coturnix japonica</w:t>
            </w:r>
          </w:p>
        </w:tc>
        <w:tc>
          <w:tcPr>
            <w:tcW w:w="0" w:type="auto"/>
            <w:tcBorders>
              <w:top w:val="nil"/>
              <w:left w:val="nil"/>
              <w:bottom w:val="nil"/>
              <w:right w:val="nil"/>
            </w:tcBorders>
          </w:tcPr>
          <w:p w14:paraId="027B6383" w14:textId="77777777" w:rsidR="00057E4A" w:rsidRDefault="00057E4A" w:rsidP="00377F3A">
            <w:pPr>
              <w:pStyle w:val="TableText"/>
            </w:pPr>
            <w:r>
              <w:t>LC</w:t>
            </w:r>
            <w:r w:rsidRPr="00AA5C84">
              <w:rPr>
                <w:vertAlign w:val="subscript"/>
              </w:rPr>
              <w:t>50</w:t>
            </w:r>
            <w:r>
              <w:t xml:space="preserve"> 1.4 mg/kg food</w:t>
            </w:r>
          </w:p>
        </w:tc>
        <w:tc>
          <w:tcPr>
            <w:tcW w:w="0" w:type="auto"/>
            <w:tcBorders>
              <w:top w:val="nil"/>
              <w:left w:val="nil"/>
              <w:bottom w:val="nil"/>
              <w:right w:val="nil"/>
            </w:tcBorders>
          </w:tcPr>
          <w:p w14:paraId="52A539EF" w14:textId="77777777" w:rsidR="00057E4A" w:rsidRDefault="00057E4A" w:rsidP="00377F3A">
            <w:pPr>
              <w:pStyle w:val="TableText"/>
            </w:pPr>
            <w:r>
              <w:t>Stafford 2006</w:t>
            </w:r>
          </w:p>
        </w:tc>
      </w:tr>
      <w:tr w:rsidR="00057E4A" w:rsidRPr="000B2FA7" w14:paraId="73282775" w14:textId="77777777" w:rsidTr="00C73BAE">
        <w:tc>
          <w:tcPr>
            <w:tcW w:w="0" w:type="auto"/>
            <w:tcBorders>
              <w:top w:val="nil"/>
              <w:left w:val="nil"/>
              <w:bottom w:val="nil"/>
              <w:right w:val="nil"/>
            </w:tcBorders>
          </w:tcPr>
          <w:p w14:paraId="7A26A728" w14:textId="77777777" w:rsidR="00057E4A" w:rsidRDefault="00057E4A" w:rsidP="00377F3A">
            <w:pPr>
              <w:pStyle w:val="TableText"/>
            </w:pPr>
          </w:p>
        </w:tc>
        <w:tc>
          <w:tcPr>
            <w:tcW w:w="0" w:type="auto"/>
            <w:tcBorders>
              <w:top w:val="nil"/>
              <w:left w:val="nil"/>
              <w:bottom w:val="nil"/>
              <w:right w:val="nil"/>
            </w:tcBorders>
          </w:tcPr>
          <w:p w14:paraId="37E7A4B7" w14:textId="77777777" w:rsidR="00057E4A" w:rsidRDefault="00057E4A" w:rsidP="00377F3A">
            <w:pPr>
              <w:pStyle w:val="TableText"/>
            </w:pPr>
          </w:p>
        </w:tc>
        <w:tc>
          <w:tcPr>
            <w:tcW w:w="0" w:type="auto"/>
            <w:tcBorders>
              <w:top w:val="nil"/>
              <w:left w:val="nil"/>
              <w:bottom w:val="nil"/>
              <w:right w:val="nil"/>
            </w:tcBorders>
          </w:tcPr>
          <w:p w14:paraId="4CA6CBA2" w14:textId="77777777" w:rsidR="00057E4A" w:rsidRDefault="00057E4A" w:rsidP="00377F3A">
            <w:pPr>
              <w:pStyle w:val="TableText"/>
            </w:pPr>
            <w:r>
              <w:t>Phasianus colchicus</w:t>
            </w:r>
          </w:p>
        </w:tc>
        <w:tc>
          <w:tcPr>
            <w:tcW w:w="0" w:type="auto"/>
            <w:tcBorders>
              <w:top w:val="nil"/>
              <w:left w:val="nil"/>
              <w:bottom w:val="nil"/>
              <w:right w:val="nil"/>
            </w:tcBorders>
          </w:tcPr>
          <w:p w14:paraId="35DEE6CF" w14:textId="77777777" w:rsidR="00057E4A" w:rsidRPr="006F78D3" w:rsidRDefault="00057E4A" w:rsidP="00377F3A">
            <w:pPr>
              <w:pStyle w:val="TableText"/>
              <w:rPr>
                <w:lang w:val="de-CH"/>
              </w:rPr>
            </w:pPr>
            <w:r w:rsidRPr="006F78D3">
              <w:rPr>
                <w:lang w:val="de-CH"/>
              </w:rPr>
              <w:t>LDD</w:t>
            </w:r>
            <w:r w:rsidRPr="00F85D43">
              <w:rPr>
                <w:vertAlign w:val="subscript"/>
                <w:lang w:val="de-CH"/>
              </w:rPr>
              <w:t>50</w:t>
            </w:r>
            <w:r w:rsidRPr="006F78D3">
              <w:rPr>
                <w:lang w:val="de-CH"/>
              </w:rPr>
              <w:t xml:space="preserve"> 2.9 mg/kg bw/d</w:t>
            </w:r>
          </w:p>
        </w:tc>
        <w:tc>
          <w:tcPr>
            <w:tcW w:w="0" w:type="auto"/>
            <w:tcBorders>
              <w:top w:val="nil"/>
              <w:left w:val="nil"/>
              <w:bottom w:val="nil"/>
              <w:right w:val="nil"/>
            </w:tcBorders>
          </w:tcPr>
          <w:p w14:paraId="43496EB0" w14:textId="77777777" w:rsidR="00057E4A" w:rsidRDefault="00057E4A" w:rsidP="00377F3A">
            <w:pPr>
              <w:pStyle w:val="TableText"/>
            </w:pPr>
            <w:r>
              <w:t>Nolan-Smith 2000a</w:t>
            </w:r>
          </w:p>
        </w:tc>
      </w:tr>
      <w:tr w:rsidR="00057E4A" w:rsidRPr="000B2FA7" w14:paraId="3214CA2C" w14:textId="77777777" w:rsidTr="00C73BAE">
        <w:tc>
          <w:tcPr>
            <w:tcW w:w="0" w:type="auto"/>
            <w:tcBorders>
              <w:top w:val="nil"/>
              <w:left w:val="nil"/>
              <w:bottom w:val="nil"/>
              <w:right w:val="nil"/>
            </w:tcBorders>
          </w:tcPr>
          <w:p w14:paraId="23991155" w14:textId="77777777" w:rsidR="00057E4A" w:rsidRDefault="00057E4A" w:rsidP="00377F3A">
            <w:pPr>
              <w:pStyle w:val="TableText"/>
            </w:pPr>
          </w:p>
        </w:tc>
        <w:tc>
          <w:tcPr>
            <w:tcW w:w="0" w:type="auto"/>
            <w:tcBorders>
              <w:top w:val="nil"/>
              <w:left w:val="nil"/>
              <w:bottom w:val="nil"/>
              <w:right w:val="nil"/>
            </w:tcBorders>
          </w:tcPr>
          <w:p w14:paraId="423ABBDA" w14:textId="77777777" w:rsidR="00057E4A" w:rsidRDefault="00057E4A" w:rsidP="00377F3A">
            <w:pPr>
              <w:pStyle w:val="TableText"/>
            </w:pPr>
          </w:p>
        </w:tc>
        <w:tc>
          <w:tcPr>
            <w:tcW w:w="0" w:type="auto"/>
            <w:tcBorders>
              <w:top w:val="nil"/>
              <w:left w:val="nil"/>
              <w:bottom w:val="nil"/>
              <w:right w:val="nil"/>
            </w:tcBorders>
          </w:tcPr>
          <w:p w14:paraId="62456918" w14:textId="77777777" w:rsidR="00057E4A" w:rsidRDefault="00057E4A" w:rsidP="00377F3A">
            <w:pPr>
              <w:pStyle w:val="TableText"/>
            </w:pPr>
            <w:r>
              <w:t>Anas platyrhynchos</w:t>
            </w:r>
          </w:p>
        </w:tc>
        <w:tc>
          <w:tcPr>
            <w:tcW w:w="0" w:type="auto"/>
            <w:tcBorders>
              <w:top w:val="nil"/>
              <w:left w:val="nil"/>
              <w:bottom w:val="nil"/>
              <w:right w:val="nil"/>
            </w:tcBorders>
          </w:tcPr>
          <w:p w14:paraId="1BDDA1D3" w14:textId="77777777" w:rsidR="00057E4A" w:rsidRPr="006F78D3" w:rsidRDefault="00057E4A" w:rsidP="00377F3A">
            <w:pPr>
              <w:pStyle w:val="TableText"/>
              <w:rPr>
                <w:lang w:val="de-CH"/>
              </w:rPr>
            </w:pPr>
            <w:r w:rsidRPr="006F78D3">
              <w:rPr>
                <w:lang w:val="de-CH"/>
              </w:rPr>
              <w:t>LDD</w:t>
            </w:r>
            <w:r w:rsidRPr="00F85D43">
              <w:rPr>
                <w:vertAlign w:val="subscript"/>
                <w:lang w:val="de-CH"/>
              </w:rPr>
              <w:t>50</w:t>
            </w:r>
            <w:r w:rsidRPr="006F78D3">
              <w:rPr>
                <w:lang w:val="de-CH"/>
              </w:rPr>
              <w:t xml:space="preserve"> &gt;17 mg/kg bw/d</w:t>
            </w:r>
          </w:p>
        </w:tc>
        <w:tc>
          <w:tcPr>
            <w:tcW w:w="0" w:type="auto"/>
            <w:tcBorders>
              <w:top w:val="nil"/>
              <w:left w:val="nil"/>
              <w:bottom w:val="nil"/>
              <w:right w:val="nil"/>
            </w:tcBorders>
          </w:tcPr>
          <w:p w14:paraId="2095E8E8" w14:textId="77777777" w:rsidR="00057E4A" w:rsidRDefault="00057E4A" w:rsidP="00377F3A">
            <w:pPr>
              <w:pStyle w:val="TableText"/>
            </w:pPr>
            <w:r>
              <w:t>Nolan-Smith 2000b</w:t>
            </w:r>
          </w:p>
        </w:tc>
      </w:tr>
      <w:tr w:rsidR="00057E4A" w:rsidRPr="000B2FA7" w14:paraId="6DE35E48" w14:textId="77777777" w:rsidTr="00C73BAE">
        <w:tc>
          <w:tcPr>
            <w:tcW w:w="0" w:type="auto"/>
            <w:tcBorders>
              <w:top w:val="nil"/>
              <w:left w:val="nil"/>
              <w:bottom w:val="nil"/>
              <w:right w:val="nil"/>
            </w:tcBorders>
          </w:tcPr>
          <w:p w14:paraId="35AAD4FF" w14:textId="77777777" w:rsidR="00057E4A" w:rsidRDefault="00057E4A" w:rsidP="00377F3A">
            <w:pPr>
              <w:pStyle w:val="TableText"/>
            </w:pPr>
          </w:p>
        </w:tc>
        <w:tc>
          <w:tcPr>
            <w:tcW w:w="0" w:type="auto"/>
            <w:tcBorders>
              <w:top w:val="nil"/>
              <w:left w:val="nil"/>
              <w:bottom w:val="nil"/>
              <w:right w:val="nil"/>
            </w:tcBorders>
          </w:tcPr>
          <w:p w14:paraId="75BA1692" w14:textId="77777777" w:rsidR="00057E4A" w:rsidRDefault="00057E4A" w:rsidP="00377F3A">
            <w:pPr>
              <w:pStyle w:val="TableText"/>
            </w:pPr>
          </w:p>
        </w:tc>
        <w:tc>
          <w:tcPr>
            <w:tcW w:w="0" w:type="auto"/>
            <w:tcBorders>
              <w:top w:val="nil"/>
              <w:left w:val="nil"/>
              <w:bottom w:val="nil"/>
              <w:right w:val="nil"/>
            </w:tcBorders>
          </w:tcPr>
          <w:p w14:paraId="7F00DA5E" w14:textId="77777777" w:rsidR="00057E4A" w:rsidRDefault="00057E4A" w:rsidP="00377F3A">
            <w:pPr>
              <w:pStyle w:val="TableText"/>
            </w:pPr>
            <w:r>
              <w:t>Colinus virginianus</w:t>
            </w:r>
          </w:p>
        </w:tc>
        <w:tc>
          <w:tcPr>
            <w:tcW w:w="0" w:type="auto"/>
            <w:tcBorders>
              <w:top w:val="nil"/>
              <w:left w:val="nil"/>
              <w:bottom w:val="nil"/>
              <w:right w:val="nil"/>
            </w:tcBorders>
          </w:tcPr>
          <w:p w14:paraId="5EC647C0" w14:textId="77777777" w:rsidR="00057E4A" w:rsidRPr="006F78D3" w:rsidRDefault="00057E4A" w:rsidP="00377F3A">
            <w:pPr>
              <w:pStyle w:val="TableText"/>
              <w:rPr>
                <w:lang w:val="de-CH"/>
              </w:rPr>
            </w:pPr>
            <w:r w:rsidRPr="006F78D3">
              <w:rPr>
                <w:lang w:val="de-CH"/>
              </w:rPr>
              <w:t>LDD</w:t>
            </w:r>
            <w:r w:rsidRPr="00F85D43">
              <w:rPr>
                <w:vertAlign w:val="subscript"/>
                <w:lang w:val="de-CH"/>
              </w:rPr>
              <w:t>50</w:t>
            </w:r>
            <w:r w:rsidRPr="006F78D3">
              <w:rPr>
                <w:lang w:val="de-CH"/>
              </w:rPr>
              <w:t xml:space="preserve"> 82 mg/kg bw/d</w:t>
            </w:r>
          </w:p>
        </w:tc>
        <w:tc>
          <w:tcPr>
            <w:tcW w:w="0" w:type="auto"/>
            <w:tcBorders>
              <w:top w:val="nil"/>
              <w:left w:val="nil"/>
              <w:bottom w:val="nil"/>
              <w:right w:val="nil"/>
            </w:tcBorders>
          </w:tcPr>
          <w:p w14:paraId="77BB7779" w14:textId="77777777" w:rsidR="00057E4A" w:rsidRDefault="00057E4A" w:rsidP="00377F3A">
            <w:pPr>
              <w:pStyle w:val="TableText"/>
            </w:pPr>
            <w:r>
              <w:t>Nolan-Smith 1998</w:t>
            </w:r>
          </w:p>
        </w:tc>
      </w:tr>
      <w:tr w:rsidR="00057E4A" w:rsidRPr="000B2FA7" w14:paraId="51515DD5" w14:textId="77777777" w:rsidTr="00C73BAE">
        <w:tc>
          <w:tcPr>
            <w:tcW w:w="0" w:type="auto"/>
            <w:tcBorders>
              <w:top w:val="nil"/>
              <w:left w:val="nil"/>
              <w:bottom w:val="nil"/>
              <w:right w:val="nil"/>
            </w:tcBorders>
          </w:tcPr>
          <w:p w14:paraId="3DDCEB3E" w14:textId="77777777" w:rsidR="00057E4A" w:rsidRDefault="00057E4A" w:rsidP="00377F3A">
            <w:pPr>
              <w:pStyle w:val="TableText"/>
            </w:pPr>
          </w:p>
        </w:tc>
        <w:tc>
          <w:tcPr>
            <w:tcW w:w="0" w:type="auto"/>
            <w:tcBorders>
              <w:top w:val="nil"/>
              <w:left w:val="nil"/>
              <w:bottom w:val="nil"/>
              <w:right w:val="nil"/>
            </w:tcBorders>
          </w:tcPr>
          <w:p w14:paraId="5F397C18" w14:textId="77777777" w:rsidR="00057E4A" w:rsidRDefault="00057E4A" w:rsidP="00377F3A">
            <w:pPr>
              <w:pStyle w:val="TableText"/>
            </w:pPr>
            <w:r>
              <w:t>Reproduction</w:t>
            </w:r>
          </w:p>
        </w:tc>
        <w:tc>
          <w:tcPr>
            <w:tcW w:w="0" w:type="auto"/>
            <w:tcBorders>
              <w:top w:val="nil"/>
              <w:left w:val="nil"/>
              <w:bottom w:val="nil"/>
              <w:right w:val="nil"/>
            </w:tcBorders>
          </w:tcPr>
          <w:p w14:paraId="3B5A8501" w14:textId="77777777" w:rsidR="00057E4A" w:rsidRDefault="00057E4A" w:rsidP="00377F3A">
            <w:pPr>
              <w:pStyle w:val="TableText"/>
            </w:pPr>
            <w:r>
              <w:t>Coturnix japonica</w:t>
            </w:r>
          </w:p>
        </w:tc>
        <w:tc>
          <w:tcPr>
            <w:tcW w:w="0" w:type="auto"/>
            <w:tcBorders>
              <w:top w:val="nil"/>
              <w:left w:val="nil"/>
              <w:bottom w:val="nil"/>
              <w:right w:val="nil"/>
            </w:tcBorders>
          </w:tcPr>
          <w:p w14:paraId="1AAD3A80" w14:textId="77777777" w:rsidR="00057E4A" w:rsidRPr="006F78D3" w:rsidRDefault="00057E4A" w:rsidP="00377F3A">
            <w:pPr>
              <w:pStyle w:val="TableText"/>
              <w:rPr>
                <w:lang w:val="de-CH"/>
              </w:rPr>
            </w:pPr>
            <w:r w:rsidRPr="006F78D3">
              <w:rPr>
                <w:lang w:val="de-CH"/>
              </w:rPr>
              <w:t>NOEL 0.011 mg/kg bw/d</w:t>
            </w:r>
          </w:p>
        </w:tc>
        <w:tc>
          <w:tcPr>
            <w:tcW w:w="0" w:type="auto"/>
            <w:tcBorders>
              <w:top w:val="nil"/>
              <w:left w:val="nil"/>
              <w:bottom w:val="nil"/>
              <w:right w:val="nil"/>
            </w:tcBorders>
          </w:tcPr>
          <w:p w14:paraId="02AA10C1" w14:textId="77777777" w:rsidR="00057E4A" w:rsidRDefault="00057E4A" w:rsidP="00377F3A">
            <w:pPr>
              <w:pStyle w:val="TableText"/>
            </w:pPr>
            <w:r>
              <w:t>Linder 2006</w:t>
            </w:r>
          </w:p>
        </w:tc>
      </w:tr>
      <w:tr w:rsidR="00057E4A" w:rsidRPr="000B2FA7" w14:paraId="7D45B3B2" w14:textId="77777777" w:rsidTr="00C73BAE">
        <w:tc>
          <w:tcPr>
            <w:tcW w:w="0" w:type="auto"/>
            <w:tcBorders>
              <w:top w:val="nil"/>
              <w:left w:val="nil"/>
              <w:bottom w:val="single" w:sz="4" w:space="0" w:color="auto"/>
              <w:right w:val="nil"/>
            </w:tcBorders>
          </w:tcPr>
          <w:p w14:paraId="6BA0B459" w14:textId="77777777" w:rsidR="00057E4A" w:rsidRDefault="00057E4A" w:rsidP="00377F3A">
            <w:pPr>
              <w:pStyle w:val="TableText"/>
            </w:pPr>
          </w:p>
        </w:tc>
        <w:tc>
          <w:tcPr>
            <w:tcW w:w="0" w:type="auto"/>
            <w:tcBorders>
              <w:top w:val="nil"/>
              <w:left w:val="nil"/>
              <w:bottom w:val="single" w:sz="4" w:space="0" w:color="auto"/>
              <w:right w:val="nil"/>
            </w:tcBorders>
          </w:tcPr>
          <w:p w14:paraId="0F3399CB" w14:textId="77777777" w:rsidR="00057E4A" w:rsidRDefault="00057E4A" w:rsidP="00377F3A">
            <w:pPr>
              <w:pStyle w:val="TableText"/>
            </w:pPr>
          </w:p>
        </w:tc>
        <w:tc>
          <w:tcPr>
            <w:tcW w:w="0" w:type="auto"/>
            <w:tcBorders>
              <w:top w:val="nil"/>
              <w:left w:val="nil"/>
              <w:bottom w:val="single" w:sz="4" w:space="0" w:color="auto"/>
              <w:right w:val="nil"/>
            </w:tcBorders>
          </w:tcPr>
          <w:p w14:paraId="499FC41B" w14:textId="77777777" w:rsidR="00057E4A" w:rsidRDefault="00057E4A" w:rsidP="00377F3A">
            <w:pPr>
              <w:pStyle w:val="TableText"/>
            </w:pPr>
          </w:p>
        </w:tc>
        <w:tc>
          <w:tcPr>
            <w:tcW w:w="0" w:type="auto"/>
            <w:tcBorders>
              <w:top w:val="nil"/>
              <w:left w:val="nil"/>
              <w:bottom w:val="single" w:sz="4" w:space="0" w:color="auto"/>
              <w:right w:val="nil"/>
            </w:tcBorders>
          </w:tcPr>
          <w:p w14:paraId="113324F7" w14:textId="77777777" w:rsidR="00057E4A" w:rsidRDefault="00057E4A" w:rsidP="00377F3A">
            <w:pPr>
              <w:pStyle w:val="TableText"/>
            </w:pPr>
            <w:r>
              <w:t>NOEC 0.31 mg/L</w:t>
            </w:r>
          </w:p>
        </w:tc>
        <w:tc>
          <w:tcPr>
            <w:tcW w:w="0" w:type="auto"/>
            <w:tcBorders>
              <w:top w:val="nil"/>
              <w:left w:val="nil"/>
              <w:bottom w:val="single" w:sz="4" w:space="0" w:color="auto"/>
              <w:right w:val="nil"/>
            </w:tcBorders>
          </w:tcPr>
          <w:p w14:paraId="721DD372" w14:textId="77777777" w:rsidR="00057E4A" w:rsidRDefault="00057E4A" w:rsidP="00377F3A">
            <w:pPr>
              <w:pStyle w:val="TableText"/>
            </w:pPr>
            <w:r w:rsidRPr="00813CC4">
              <w:t>Gáty</w:t>
            </w:r>
            <w:r>
              <w:t xml:space="preserve"> 2005e</w:t>
            </w:r>
          </w:p>
        </w:tc>
      </w:tr>
    </w:tbl>
    <w:p w14:paraId="41B03F7A"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21800E74" w14:textId="43F6DEDD" w:rsidR="00980B2F" w:rsidRPr="00861CA0" w:rsidRDefault="0090756D" w:rsidP="00377F3A">
      <w:pPr>
        <w:pStyle w:val="Caption"/>
      </w:pPr>
      <w:bookmarkStart w:id="2092" w:name="_Toc213946101"/>
      <w:bookmarkStart w:id="2093" w:name="_Toc216695792"/>
      <w:r>
        <w:lastRenderedPageBreak/>
        <w:t xml:space="preserve">Table </w:t>
      </w:r>
      <w:r>
        <w:fldChar w:fldCharType="begin"/>
      </w:r>
      <w:r>
        <w:instrText xml:space="preserve"> SEQ Table \* ARABIC </w:instrText>
      </w:r>
      <w:r>
        <w:fldChar w:fldCharType="separate"/>
      </w:r>
      <w:r w:rsidR="003861AC">
        <w:rPr>
          <w:noProof/>
        </w:rPr>
        <w:t>130</w:t>
      </w:r>
      <w:r>
        <w:fldChar w:fldCharType="end"/>
      </w:r>
      <w:r w:rsidR="00696A68">
        <w:t xml:space="preserve">: </w:t>
      </w:r>
      <w:r w:rsidR="00057E4A">
        <w:t xml:space="preserve">Difenacoum – </w:t>
      </w:r>
      <w:r w:rsidR="00980B2F">
        <w:t>Secondary poisoning studies on terrestrial vertebrates</w:t>
      </w:r>
      <w:bookmarkEnd w:id="2092"/>
      <w:bookmarkEnd w:id="20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0"/>
        <w:gridCol w:w="783"/>
        <w:gridCol w:w="1230"/>
        <w:gridCol w:w="5252"/>
        <w:gridCol w:w="1753"/>
      </w:tblGrid>
      <w:tr w:rsidR="00057E4A" w:rsidRPr="000B2FA7" w14:paraId="1C20033D" w14:textId="77777777" w:rsidTr="0017134F">
        <w:trPr>
          <w:tblHeader/>
        </w:trPr>
        <w:tc>
          <w:tcPr>
            <w:tcW w:w="0" w:type="auto"/>
            <w:tcBorders>
              <w:bottom w:val="single" w:sz="4" w:space="0" w:color="auto"/>
            </w:tcBorders>
            <w:shd w:val="clear" w:color="auto" w:fill="53284F"/>
          </w:tcPr>
          <w:p w14:paraId="37DA2982" w14:textId="77777777" w:rsidR="00057E4A" w:rsidRDefault="00057E4A" w:rsidP="00377F3A">
            <w:pPr>
              <w:pStyle w:val="TableHead"/>
            </w:pPr>
            <w:r>
              <w:t>Group</w:t>
            </w:r>
          </w:p>
        </w:tc>
        <w:tc>
          <w:tcPr>
            <w:tcW w:w="0" w:type="auto"/>
            <w:tcBorders>
              <w:bottom w:val="single" w:sz="4" w:space="0" w:color="auto"/>
            </w:tcBorders>
            <w:shd w:val="clear" w:color="auto" w:fill="53284F"/>
          </w:tcPr>
          <w:p w14:paraId="4777368B" w14:textId="77777777" w:rsidR="00057E4A" w:rsidRDefault="00057E4A" w:rsidP="00377F3A">
            <w:pPr>
              <w:pStyle w:val="TableHead"/>
            </w:pPr>
            <w:r>
              <w:t>Species</w:t>
            </w:r>
          </w:p>
        </w:tc>
        <w:tc>
          <w:tcPr>
            <w:tcW w:w="0" w:type="auto"/>
            <w:tcBorders>
              <w:bottom w:val="single" w:sz="4" w:space="0" w:color="auto"/>
            </w:tcBorders>
            <w:shd w:val="clear" w:color="auto" w:fill="53284F"/>
          </w:tcPr>
          <w:p w14:paraId="437455ED" w14:textId="77777777" w:rsidR="00057E4A" w:rsidRPr="00CA558C" w:rsidRDefault="00057E4A" w:rsidP="00377F3A">
            <w:pPr>
              <w:pStyle w:val="TableHead"/>
            </w:pPr>
            <w:r>
              <w:t>Poisoned food</w:t>
            </w:r>
          </w:p>
        </w:tc>
        <w:tc>
          <w:tcPr>
            <w:tcW w:w="0" w:type="auto"/>
            <w:tcBorders>
              <w:bottom w:val="single" w:sz="4" w:space="0" w:color="auto"/>
            </w:tcBorders>
            <w:shd w:val="clear" w:color="auto" w:fill="53284F"/>
          </w:tcPr>
          <w:p w14:paraId="6111405C" w14:textId="77777777" w:rsidR="00057E4A" w:rsidRPr="00CA558C" w:rsidRDefault="00057E4A" w:rsidP="00377F3A">
            <w:pPr>
              <w:pStyle w:val="TableHead"/>
            </w:pPr>
            <w:r>
              <w:t>Study details &amp; result</w:t>
            </w:r>
          </w:p>
        </w:tc>
        <w:tc>
          <w:tcPr>
            <w:tcW w:w="0" w:type="auto"/>
            <w:tcBorders>
              <w:bottom w:val="single" w:sz="4" w:space="0" w:color="auto"/>
            </w:tcBorders>
            <w:shd w:val="clear" w:color="auto" w:fill="53284F"/>
          </w:tcPr>
          <w:p w14:paraId="6DDEEC66" w14:textId="77777777" w:rsidR="00057E4A" w:rsidRPr="00CA558C" w:rsidRDefault="00057E4A" w:rsidP="00377F3A">
            <w:pPr>
              <w:pStyle w:val="TableHead"/>
            </w:pPr>
            <w:r>
              <w:t>Reference</w:t>
            </w:r>
          </w:p>
        </w:tc>
      </w:tr>
      <w:tr w:rsidR="00057E4A" w:rsidRPr="000B2FA7" w14:paraId="7957D503" w14:textId="77777777" w:rsidTr="00C73BAE">
        <w:tc>
          <w:tcPr>
            <w:tcW w:w="0" w:type="auto"/>
            <w:tcBorders>
              <w:top w:val="nil"/>
              <w:left w:val="nil"/>
              <w:bottom w:val="nil"/>
              <w:right w:val="nil"/>
            </w:tcBorders>
          </w:tcPr>
          <w:p w14:paraId="71495BEA" w14:textId="77777777" w:rsidR="00057E4A" w:rsidRPr="00F85B76" w:rsidRDefault="00057E4A" w:rsidP="00377F3A">
            <w:pPr>
              <w:pStyle w:val="TableText"/>
            </w:pPr>
            <w:r w:rsidRPr="00F85B76">
              <w:t>Birds</w:t>
            </w:r>
          </w:p>
        </w:tc>
        <w:tc>
          <w:tcPr>
            <w:tcW w:w="0" w:type="auto"/>
            <w:tcBorders>
              <w:top w:val="nil"/>
              <w:left w:val="nil"/>
              <w:bottom w:val="nil"/>
              <w:right w:val="nil"/>
            </w:tcBorders>
          </w:tcPr>
          <w:p w14:paraId="26581A98" w14:textId="77777777" w:rsidR="00057E4A" w:rsidRPr="00F85B76" w:rsidRDefault="00057E4A" w:rsidP="00377F3A">
            <w:pPr>
              <w:pStyle w:val="TableText"/>
            </w:pPr>
            <w:r w:rsidRPr="00F85B76">
              <w:t>Tyto alba</w:t>
            </w:r>
          </w:p>
        </w:tc>
        <w:tc>
          <w:tcPr>
            <w:tcW w:w="0" w:type="auto"/>
            <w:tcBorders>
              <w:top w:val="nil"/>
              <w:left w:val="nil"/>
              <w:bottom w:val="nil"/>
              <w:right w:val="nil"/>
            </w:tcBorders>
          </w:tcPr>
          <w:p w14:paraId="1D00F2FE" w14:textId="77777777" w:rsidR="00057E4A" w:rsidRPr="00F85B76" w:rsidRDefault="00057E4A" w:rsidP="00377F3A">
            <w:pPr>
              <w:pStyle w:val="TableText"/>
            </w:pPr>
            <w:r w:rsidRPr="00F85B76">
              <w:t>18 mg/kg rats</w:t>
            </w:r>
          </w:p>
          <w:p w14:paraId="4876AF79" w14:textId="77777777" w:rsidR="00057E4A" w:rsidRPr="00F85B76" w:rsidRDefault="00057E4A" w:rsidP="00377F3A">
            <w:pPr>
              <w:pStyle w:val="TableText"/>
            </w:pPr>
            <w:r w:rsidRPr="00F85B76">
              <w:t>for 1, 3, 6 or 10d</w:t>
            </w:r>
          </w:p>
        </w:tc>
        <w:tc>
          <w:tcPr>
            <w:tcW w:w="0" w:type="auto"/>
            <w:tcBorders>
              <w:top w:val="nil"/>
              <w:left w:val="nil"/>
              <w:bottom w:val="nil"/>
              <w:right w:val="nil"/>
            </w:tcBorders>
          </w:tcPr>
          <w:p w14:paraId="0C368D73" w14:textId="77777777" w:rsidR="00057E4A" w:rsidRPr="00F85B76" w:rsidRDefault="00057E4A" w:rsidP="00377F3A">
            <w:pPr>
              <w:pStyle w:val="TableText"/>
            </w:pPr>
            <w:r w:rsidRPr="00F85B76">
              <w:t>No mortality or haemorrhage in 1 or 3d exposure groups after 20d (2.1-4.0 mg/kg/d). In 6 and 10d exposure groups, all owls survived but haemorrhaged (0.98-1.2 mg/kg/d).</w:t>
            </w:r>
          </w:p>
        </w:tc>
        <w:tc>
          <w:tcPr>
            <w:tcW w:w="0" w:type="auto"/>
            <w:tcBorders>
              <w:top w:val="nil"/>
              <w:left w:val="nil"/>
              <w:bottom w:val="nil"/>
              <w:right w:val="nil"/>
            </w:tcBorders>
          </w:tcPr>
          <w:p w14:paraId="23DD3C1C" w14:textId="77777777" w:rsidR="00057E4A" w:rsidRPr="00F85B76" w:rsidRDefault="00057E4A" w:rsidP="00377F3A">
            <w:pPr>
              <w:pStyle w:val="TableText"/>
            </w:pPr>
            <w:r w:rsidRPr="00F85B76">
              <w:t>Mendenhall &amp; Pank 1980</w:t>
            </w:r>
          </w:p>
        </w:tc>
      </w:tr>
      <w:tr w:rsidR="00057E4A" w:rsidRPr="000B2FA7" w14:paraId="3C4DEF75" w14:textId="77777777" w:rsidTr="00C73BAE">
        <w:tc>
          <w:tcPr>
            <w:tcW w:w="0" w:type="auto"/>
            <w:tcBorders>
              <w:top w:val="nil"/>
              <w:left w:val="nil"/>
              <w:bottom w:val="nil"/>
              <w:right w:val="nil"/>
            </w:tcBorders>
          </w:tcPr>
          <w:p w14:paraId="7483D2C0" w14:textId="77777777" w:rsidR="00057E4A" w:rsidRPr="00F85B76" w:rsidRDefault="00057E4A" w:rsidP="00377F3A">
            <w:pPr>
              <w:pStyle w:val="TableText"/>
            </w:pPr>
          </w:p>
        </w:tc>
        <w:tc>
          <w:tcPr>
            <w:tcW w:w="0" w:type="auto"/>
            <w:tcBorders>
              <w:top w:val="nil"/>
              <w:left w:val="nil"/>
              <w:bottom w:val="nil"/>
              <w:right w:val="nil"/>
            </w:tcBorders>
          </w:tcPr>
          <w:p w14:paraId="0039034B" w14:textId="77777777" w:rsidR="00057E4A" w:rsidRPr="00F85B76" w:rsidRDefault="00057E4A" w:rsidP="00377F3A">
            <w:pPr>
              <w:pStyle w:val="TableText"/>
            </w:pPr>
          </w:p>
        </w:tc>
        <w:tc>
          <w:tcPr>
            <w:tcW w:w="0" w:type="auto"/>
            <w:tcBorders>
              <w:top w:val="nil"/>
              <w:left w:val="nil"/>
              <w:bottom w:val="nil"/>
              <w:right w:val="nil"/>
            </w:tcBorders>
          </w:tcPr>
          <w:p w14:paraId="26400B52" w14:textId="77777777" w:rsidR="00057E4A" w:rsidRPr="00F85B76" w:rsidRDefault="00057E4A" w:rsidP="00377F3A">
            <w:pPr>
              <w:pStyle w:val="TableText"/>
            </w:pPr>
            <w:r w:rsidRPr="00F85B76">
              <w:t>0.35 mg/kg mice</w:t>
            </w:r>
          </w:p>
          <w:p w14:paraId="01FF0FAD" w14:textId="77777777" w:rsidR="00057E4A" w:rsidRPr="00F85B76" w:rsidRDefault="00057E4A" w:rsidP="00377F3A">
            <w:pPr>
              <w:pStyle w:val="TableText"/>
            </w:pPr>
            <w:r w:rsidRPr="00F85B76">
              <w:t>for 1, 3 or 6d</w:t>
            </w:r>
          </w:p>
        </w:tc>
        <w:tc>
          <w:tcPr>
            <w:tcW w:w="0" w:type="auto"/>
            <w:tcBorders>
              <w:top w:val="nil"/>
              <w:left w:val="nil"/>
              <w:bottom w:val="nil"/>
              <w:right w:val="nil"/>
            </w:tcBorders>
          </w:tcPr>
          <w:p w14:paraId="31091B44" w14:textId="77777777" w:rsidR="00057E4A" w:rsidRPr="00F85B76" w:rsidRDefault="00057E4A" w:rsidP="00377F3A">
            <w:pPr>
              <w:pStyle w:val="TableText"/>
            </w:pPr>
            <w:r w:rsidRPr="00F85B76">
              <w:t>6/6 owls survived to 36d in each of 1d group (0.093 mg/kg/d), 3d group (0.062 mg/kg/d), and 6d group (0.026-0.052 mg/kg/d). No haemorrhage. Increased blood coagulation time, returning to normal within 9d.</w:t>
            </w:r>
          </w:p>
        </w:tc>
        <w:tc>
          <w:tcPr>
            <w:tcW w:w="0" w:type="auto"/>
            <w:tcBorders>
              <w:top w:val="nil"/>
              <w:left w:val="nil"/>
              <w:bottom w:val="nil"/>
              <w:right w:val="nil"/>
            </w:tcBorders>
          </w:tcPr>
          <w:p w14:paraId="4567DB1E" w14:textId="486232BC" w:rsidR="00057E4A" w:rsidRPr="00F85B76" w:rsidRDefault="00057E4A" w:rsidP="00377F3A">
            <w:pPr>
              <w:pStyle w:val="TableText"/>
            </w:pPr>
            <w:r w:rsidRPr="00F85B76">
              <w:t xml:space="preserve">Newton </w:t>
            </w:r>
            <w:r w:rsidR="00B7183A" w:rsidRPr="00B7183A">
              <w:rPr>
                <w:i/>
                <w:iCs/>
              </w:rPr>
              <w:t>et al</w:t>
            </w:r>
            <w:r w:rsidRPr="00F85B76">
              <w:t>. 1990, Wyllie 1995</w:t>
            </w:r>
          </w:p>
        </w:tc>
      </w:tr>
      <w:tr w:rsidR="00057E4A" w:rsidRPr="000B2FA7" w14:paraId="45ECD95B" w14:textId="77777777" w:rsidTr="00C73BAE">
        <w:tc>
          <w:tcPr>
            <w:tcW w:w="0" w:type="auto"/>
            <w:tcBorders>
              <w:top w:val="nil"/>
              <w:left w:val="nil"/>
              <w:bottom w:val="single" w:sz="4" w:space="0" w:color="auto"/>
              <w:right w:val="nil"/>
            </w:tcBorders>
          </w:tcPr>
          <w:p w14:paraId="286DA402" w14:textId="77777777" w:rsidR="00057E4A" w:rsidRPr="00F85B76" w:rsidRDefault="00057E4A" w:rsidP="00377F3A">
            <w:pPr>
              <w:pStyle w:val="TableText"/>
            </w:pPr>
          </w:p>
        </w:tc>
        <w:tc>
          <w:tcPr>
            <w:tcW w:w="0" w:type="auto"/>
            <w:tcBorders>
              <w:top w:val="nil"/>
              <w:left w:val="nil"/>
              <w:bottom w:val="single" w:sz="4" w:space="0" w:color="auto"/>
              <w:right w:val="nil"/>
            </w:tcBorders>
          </w:tcPr>
          <w:p w14:paraId="1139AF2E" w14:textId="77777777" w:rsidR="00057E4A" w:rsidRPr="00F85B76" w:rsidRDefault="00057E4A" w:rsidP="00377F3A">
            <w:pPr>
              <w:pStyle w:val="TableText"/>
            </w:pPr>
          </w:p>
        </w:tc>
        <w:tc>
          <w:tcPr>
            <w:tcW w:w="0" w:type="auto"/>
            <w:tcBorders>
              <w:top w:val="nil"/>
              <w:left w:val="nil"/>
              <w:bottom w:val="single" w:sz="4" w:space="0" w:color="auto"/>
              <w:right w:val="nil"/>
            </w:tcBorders>
          </w:tcPr>
          <w:p w14:paraId="6D023201" w14:textId="77777777" w:rsidR="00057E4A" w:rsidRPr="00F85B76" w:rsidRDefault="00057E4A" w:rsidP="00377F3A">
            <w:pPr>
              <w:pStyle w:val="TableText"/>
            </w:pPr>
            <w:r w:rsidRPr="00F85B76">
              <w:t>1.1-5.2 mg/kg mice for 15d</w:t>
            </w:r>
          </w:p>
        </w:tc>
        <w:tc>
          <w:tcPr>
            <w:tcW w:w="0" w:type="auto"/>
            <w:tcBorders>
              <w:top w:val="nil"/>
              <w:left w:val="nil"/>
              <w:bottom w:val="single" w:sz="4" w:space="0" w:color="auto"/>
              <w:right w:val="nil"/>
            </w:tcBorders>
          </w:tcPr>
          <w:p w14:paraId="08453658" w14:textId="77777777" w:rsidR="00057E4A" w:rsidRPr="00F85B76" w:rsidRDefault="00057E4A" w:rsidP="00377F3A">
            <w:pPr>
              <w:pStyle w:val="TableText"/>
            </w:pPr>
            <w:r w:rsidRPr="00F85B76">
              <w:t>1/4 owls died after 14d (0.28 mg/kg/d)</w:t>
            </w:r>
          </w:p>
          <w:p w14:paraId="624289AF" w14:textId="77777777" w:rsidR="00057E4A" w:rsidRPr="00F85B76" w:rsidRDefault="00057E4A" w:rsidP="00377F3A">
            <w:pPr>
              <w:pStyle w:val="TableText"/>
            </w:pPr>
            <w:r w:rsidRPr="00F85B76">
              <w:t>3/4 owls survived to 30d (0.11-0.37 mg/kg/d), minor haemorrhaging in 2 surviving owls</w:t>
            </w:r>
          </w:p>
        </w:tc>
        <w:tc>
          <w:tcPr>
            <w:tcW w:w="0" w:type="auto"/>
            <w:tcBorders>
              <w:top w:val="nil"/>
              <w:left w:val="nil"/>
              <w:bottom w:val="single" w:sz="4" w:space="0" w:color="auto"/>
              <w:right w:val="nil"/>
            </w:tcBorders>
          </w:tcPr>
          <w:p w14:paraId="2DA8F5DD" w14:textId="7A4140D7" w:rsidR="00057E4A" w:rsidRPr="00F85B76" w:rsidRDefault="00057E4A" w:rsidP="00377F3A">
            <w:pPr>
              <w:pStyle w:val="TableText"/>
            </w:pPr>
            <w:r w:rsidRPr="00F85B76">
              <w:t xml:space="preserve">Gray &amp; Dutton 1992, Gray </w:t>
            </w:r>
            <w:r w:rsidR="00B7183A" w:rsidRPr="00B7183A">
              <w:rPr>
                <w:i/>
                <w:iCs/>
              </w:rPr>
              <w:t>et al</w:t>
            </w:r>
            <w:r w:rsidRPr="00F85B76">
              <w:t>. 1994a, 1994b</w:t>
            </w:r>
          </w:p>
        </w:tc>
      </w:tr>
    </w:tbl>
    <w:p w14:paraId="71A4F9AA" w14:textId="55C80B1A" w:rsidR="00980B2F" w:rsidRPr="00861CA0" w:rsidRDefault="00D560AB" w:rsidP="00377F3A">
      <w:pPr>
        <w:pStyle w:val="Caption"/>
      </w:pPr>
      <w:bookmarkStart w:id="2094" w:name="_Ref214822805"/>
      <w:bookmarkStart w:id="2095" w:name="_Toc213946102"/>
      <w:bookmarkStart w:id="2096" w:name="_Toc216695793"/>
      <w:r>
        <w:t xml:space="preserve">Table </w:t>
      </w:r>
      <w:r>
        <w:fldChar w:fldCharType="begin"/>
      </w:r>
      <w:r>
        <w:instrText xml:space="preserve"> SEQ Table \* ARABIC </w:instrText>
      </w:r>
      <w:r>
        <w:fldChar w:fldCharType="separate"/>
      </w:r>
      <w:r w:rsidR="003861AC">
        <w:rPr>
          <w:noProof/>
        </w:rPr>
        <w:t>131</w:t>
      </w:r>
      <w:r>
        <w:fldChar w:fldCharType="end"/>
      </w:r>
      <w:bookmarkEnd w:id="2094"/>
      <w:r>
        <w:t xml:space="preserve">: </w:t>
      </w:r>
      <w:r w:rsidR="00057E4A">
        <w:t xml:space="preserve">Difenacoum – </w:t>
      </w:r>
      <w:r w:rsidR="00980B2F" w:rsidRPr="003B601F">
        <w:t>Field studies and adverse incidents</w:t>
      </w:r>
      <w:r w:rsidR="00980B2F">
        <w:t xml:space="preserve"> involving terrestrial vertebrates from approved or unspecified use</w:t>
      </w:r>
      <w:bookmarkEnd w:id="2095"/>
      <w:bookmarkEnd w:id="2096"/>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827"/>
        <w:gridCol w:w="2162"/>
        <w:gridCol w:w="4583"/>
        <w:gridCol w:w="1123"/>
      </w:tblGrid>
      <w:tr w:rsidR="00057E4A" w:rsidRPr="000B2FA7" w14:paraId="3EF7EBD8" w14:textId="77777777" w:rsidTr="0017134F">
        <w:trPr>
          <w:cantSplit/>
          <w:tblHeader/>
        </w:trPr>
        <w:tc>
          <w:tcPr>
            <w:tcW w:w="0" w:type="auto"/>
            <w:tcBorders>
              <w:bottom w:val="single" w:sz="4" w:space="0" w:color="auto"/>
            </w:tcBorders>
            <w:shd w:val="clear" w:color="auto" w:fill="53284F"/>
          </w:tcPr>
          <w:p w14:paraId="76F4D95C" w14:textId="77777777" w:rsidR="00057E4A" w:rsidRPr="00CA558C" w:rsidRDefault="00057E4A" w:rsidP="00377F3A">
            <w:pPr>
              <w:pStyle w:val="TableHead"/>
            </w:pPr>
            <w:r>
              <w:t>Use area</w:t>
            </w:r>
          </w:p>
        </w:tc>
        <w:tc>
          <w:tcPr>
            <w:tcW w:w="0" w:type="auto"/>
            <w:tcBorders>
              <w:bottom w:val="single" w:sz="4" w:space="0" w:color="auto"/>
            </w:tcBorders>
            <w:shd w:val="clear" w:color="auto" w:fill="53284F"/>
          </w:tcPr>
          <w:p w14:paraId="2A438E11" w14:textId="77777777" w:rsidR="00057E4A" w:rsidRDefault="00057E4A" w:rsidP="00377F3A">
            <w:pPr>
              <w:pStyle w:val="TableHead"/>
            </w:pPr>
            <w:r>
              <w:t>Exposure</w:t>
            </w:r>
          </w:p>
        </w:tc>
        <w:tc>
          <w:tcPr>
            <w:tcW w:w="0" w:type="auto"/>
            <w:tcBorders>
              <w:bottom w:val="single" w:sz="4" w:space="0" w:color="auto"/>
            </w:tcBorders>
            <w:shd w:val="clear" w:color="auto" w:fill="53284F"/>
          </w:tcPr>
          <w:p w14:paraId="7CADEE86" w14:textId="77777777" w:rsidR="00057E4A" w:rsidRDefault="00057E4A" w:rsidP="00377F3A">
            <w:pPr>
              <w:pStyle w:val="TableHead"/>
            </w:pPr>
            <w:r>
              <w:t>Effect</w:t>
            </w:r>
          </w:p>
        </w:tc>
        <w:tc>
          <w:tcPr>
            <w:tcW w:w="0" w:type="auto"/>
            <w:tcBorders>
              <w:bottom w:val="single" w:sz="4" w:space="0" w:color="auto"/>
            </w:tcBorders>
            <w:shd w:val="clear" w:color="auto" w:fill="53284F"/>
          </w:tcPr>
          <w:p w14:paraId="37A48E68" w14:textId="77777777" w:rsidR="00057E4A" w:rsidRPr="00CA558C" w:rsidRDefault="00057E4A" w:rsidP="00377F3A">
            <w:pPr>
              <w:pStyle w:val="TableHead"/>
            </w:pPr>
            <w:r>
              <w:t>Reference</w:t>
            </w:r>
          </w:p>
        </w:tc>
      </w:tr>
      <w:tr w:rsidR="00057E4A" w:rsidRPr="003B601F" w14:paraId="0874D97B" w14:textId="77777777" w:rsidTr="00C73BAE">
        <w:trPr>
          <w:cantSplit/>
        </w:trPr>
        <w:tc>
          <w:tcPr>
            <w:tcW w:w="0" w:type="auto"/>
            <w:tcBorders>
              <w:top w:val="nil"/>
              <w:left w:val="nil"/>
              <w:bottom w:val="nil"/>
            </w:tcBorders>
          </w:tcPr>
          <w:p w14:paraId="289F4FB0" w14:textId="77777777" w:rsidR="00057E4A" w:rsidRPr="003B601F" w:rsidRDefault="00057E4A" w:rsidP="00377F3A">
            <w:pPr>
              <w:pStyle w:val="TableText"/>
            </w:pPr>
            <w:r w:rsidRPr="003B601F">
              <w:t>Highland &amp; Tayside counties UK</w:t>
            </w:r>
          </w:p>
        </w:tc>
        <w:tc>
          <w:tcPr>
            <w:tcW w:w="0" w:type="auto"/>
            <w:tcBorders>
              <w:top w:val="nil"/>
              <w:bottom w:val="nil"/>
            </w:tcBorders>
          </w:tcPr>
          <w:p w14:paraId="02C0EC68" w14:textId="77777777" w:rsidR="00057E4A" w:rsidRPr="003B601F" w:rsidRDefault="00057E4A" w:rsidP="00377F3A">
            <w:pPr>
              <w:pStyle w:val="TableText"/>
            </w:pPr>
            <w:r w:rsidRPr="003B601F">
              <w:t>Approved rat control measures (potato store, agric</w:t>
            </w:r>
            <w:r w:rsidRPr="004249C4">
              <w:t>ultural</w:t>
            </w:r>
            <w:r w:rsidRPr="003B601F">
              <w:t xml:space="preserve"> buildings, distillery)</w:t>
            </w:r>
          </w:p>
        </w:tc>
        <w:tc>
          <w:tcPr>
            <w:tcW w:w="0" w:type="auto"/>
            <w:tcBorders>
              <w:top w:val="nil"/>
              <w:bottom w:val="nil"/>
            </w:tcBorders>
          </w:tcPr>
          <w:p w14:paraId="3E3A009D" w14:textId="77777777" w:rsidR="00057E4A" w:rsidRPr="003B601F" w:rsidRDefault="00057E4A" w:rsidP="00377F3A">
            <w:pPr>
              <w:pStyle w:val="TableText"/>
            </w:pPr>
            <w:r w:rsidRPr="003B601F">
              <w:t>3 buzzard (0.03-0.18 mg/kg liver residue), 2 red kite chicks (0.36-0.38 mg/kg liver residue); possible multi-point exposure</w:t>
            </w:r>
          </w:p>
        </w:tc>
        <w:tc>
          <w:tcPr>
            <w:tcW w:w="0" w:type="auto"/>
            <w:tcBorders>
              <w:top w:val="nil"/>
              <w:bottom w:val="nil"/>
            </w:tcBorders>
          </w:tcPr>
          <w:p w14:paraId="52364EAB" w14:textId="3461838C" w:rsidR="00057E4A" w:rsidRPr="003B601F" w:rsidRDefault="00057E4A" w:rsidP="00377F3A">
            <w:pPr>
              <w:pStyle w:val="TableText"/>
            </w:pPr>
            <w:r w:rsidRPr="003B601F">
              <w:t xml:space="preserve">Barnett </w:t>
            </w:r>
            <w:r w:rsidR="00B7183A" w:rsidRPr="00B7183A">
              <w:rPr>
                <w:i/>
                <w:iCs/>
              </w:rPr>
              <w:t>et al</w:t>
            </w:r>
            <w:r w:rsidRPr="003B601F">
              <w:t>. 2002a</w:t>
            </w:r>
          </w:p>
        </w:tc>
      </w:tr>
      <w:tr w:rsidR="00057E4A" w:rsidRPr="003B601F" w14:paraId="0A4C8AE3" w14:textId="77777777" w:rsidTr="00C73BAE">
        <w:trPr>
          <w:cantSplit/>
        </w:trPr>
        <w:tc>
          <w:tcPr>
            <w:tcW w:w="0" w:type="auto"/>
            <w:tcBorders>
              <w:top w:val="nil"/>
              <w:left w:val="nil"/>
              <w:bottom w:val="nil"/>
            </w:tcBorders>
          </w:tcPr>
          <w:p w14:paraId="628CFB22" w14:textId="77777777" w:rsidR="00057E4A" w:rsidRPr="003B601F" w:rsidRDefault="00057E4A" w:rsidP="00377F3A">
            <w:pPr>
              <w:pStyle w:val="TableText"/>
            </w:pPr>
            <w:r w:rsidRPr="003B601F">
              <w:t xml:space="preserve">Strathclyde UK </w:t>
            </w:r>
          </w:p>
        </w:tc>
        <w:tc>
          <w:tcPr>
            <w:tcW w:w="0" w:type="auto"/>
            <w:tcBorders>
              <w:top w:val="nil"/>
              <w:bottom w:val="nil"/>
            </w:tcBorders>
          </w:tcPr>
          <w:p w14:paraId="558B4528" w14:textId="77777777" w:rsidR="00057E4A" w:rsidRPr="003B601F" w:rsidRDefault="00057E4A" w:rsidP="00377F3A">
            <w:pPr>
              <w:pStyle w:val="TableText"/>
            </w:pPr>
            <w:r w:rsidRPr="003B601F">
              <w:t>Rat bait in garden area by local district council</w:t>
            </w:r>
          </w:p>
        </w:tc>
        <w:tc>
          <w:tcPr>
            <w:tcW w:w="0" w:type="auto"/>
            <w:tcBorders>
              <w:top w:val="nil"/>
              <w:bottom w:val="nil"/>
            </w:tcBorders>
          </w:tcPr>
          <w:p w14:paraId="5AE8E865" w14:textId="77777777" w:rsidR="00057E4A" w:rsidRPr="003B601F" w:rsidRDefault="00057E4A" w:rsidP="00377F3A">
            <w:pPr>
              <w:pStyle w:val="TableText"/>
            </w:pPr>
            <w:r w:rsidRPr="003B601F">
              <w:t>1 dead grey squirrel with liver residue in lethal range and pale blue/green material in stomach/intestines</w:t>
            </w:r>
          </w:p>
        </w:tc>
        <w:tc>
          <w:tcPr>
            <w:tcW w:w="0" w:type="auto"/>
            <w:tcBorders>
              <w:top w:val="nil"/>
              <w:bottom w:val="nil"/>
            </w:tcBorders>
          </w:tcPr>
          <w:p w14:paraId="342854DE" w14:textId="1C006D0D" w:rsidR="00057E4A" w:rsidRPr="003B601F" w:rsidRDefault="00057E4A" w:rsidP="00377F3A">
            <w:pPr>
              <w:pStyle w:val="TableText"/>
            </w:pPr>
            <w:r w:rsidRPr="003B601F">
              <w:t xml:space="preserve">Barnett </w:t>
            </w:r>
            <w:r w:rsidR="00B7183A" w:rsidRPr="00B7183A">
              <w:rPr>
                <w:i/>
                <w:iCs/>
              </w:rPr>
              <w:t>et al</w:t>
            </w:r>
            <w:r w:rsidRPr="003B601F">
              <w:t>. 2006</w:t>
            </w:r>
          </w:p>
        </w:tc>
      </w:tr>
      <w:tr w:rsidR="00057E4A" w:rsidRPr="003B601F" w14:paraId="74036FB0" w14:textId="77777777" w:rsidTr="00C73BAE">
        <w:trPr>
          <w:cantSplit/>
        </w:trPr>
        <w:tc>
          <w:tcPr>
            <w:tcW w:w="0" w:type="auto"/>
            <w:tcBorders>
              <w:top w:val="nil"/>
              <w:left w:val="nil"/>
              <w:bottom w:val="nil"/>
            </w:tcBorders>
          </w:tcPr>
          <w:p w14:paraId="7B951E75" w14:textId="77777777" w:rsidR="00057E4A" w:rsidRPr="003B601F" w:rsidRDefault="00057E4A" w:rsidP="00377F3A">
            <w:pPr>
              <w:pStyle w:val="TableText"/>
            </w:pPr>
            <w:r w:rsidRPr="003B601F">
              <w:t>Humberside UK</w:t>
            </w:r>
          </w:p>
        </w:tc>
        <w:tc>
          <w:tcPr>
            <w:tcW w:w="0" w:type="auto"/>
            <w:tcBorders>
              <w:top w:val="nil"/>
              <w:bottom w:val="nil"/>
            </w:tcBorders>
          </w:tcPr>
          <w:p w14:paraId="22BE602C" w14:textId="77777777" w:rsidR="00057E4A" w:rsidRPr="003B601F" w:rsidRDefault="00057E4A" w:rsidP="00377F3A">
            <w:pPr>
              <w:pStyle w:val="TableText"/>
            </w:pPr>
            <w:r w:rsidRPr="003B601F">
              <w:t>Approved grain baiting in haulage yard</w:t>
            </w:r>
          </w:p>
        </w:tc>
        <w:tc>
          <w:tcPr>
            <w:tcW w:w="0" w:type="auto"/>
            <w:tcBorders>
              <w:top w:val="nil"/>
              <w:bottom w:val="nil"/>
            </w:tcBorders>
          </w:tcPr>
          <w:p w14:paraId="7C7C4096" w14:textId="77777777" w:rsidR="00057E4A" w:rsidRPr="003B601F" w:rsidRDefault="00057E4A" w:rsidP="00377F3A">
            <w:pPr>
              <w:pStyle w:val="TableText"/>
            </w:pPr>
            <w:r w:rsidRPr="003B601F">
              <w:t>1 sparrow poisoning, likely accessed bait box</w:t>
            </w:r>
          </w:p>
        </w:tc>
        <w:tc>
          <w:tcPr>
            <w:tcW w:w="0" w:type="auto"/>
            <w:tcBorders>
              <w:top w:val="nil"/>
              <w:bottom w:val="nil"/>
            </w:tcBorders>
          </w:tcPr>
          <w:p w14:paraId="45C6BB12" w14:textId="5764415F" w:rsidR="00057E4A" w:rsidRPr="003B601F" w:rsidRDefault="00057E4A" w:rsidP="00377F3A">
            <w:pPr>
              <w:pStyle w:val="TableText"/>
            </w:pPr>
            <w:r w:rsidRPr="003B601F">
              <w:t xml:space="preserve">Fletcher </w:t>
            </w:r>
            <w:r w:rsidR="00B7183A" w:rsidRPr="00B7183A">
              <w:rPr>
                <w:i/>
                <w:iCs/>
              </w:rPr>
              <w:t>et al</w:t>
            </w:r>
            <w:r w:rsidRPr="003B601F">
              <w:t>. 2000</w:t>
            </w:r>
          </w:p>
        </w:tc>
      </w:tr>
      <w:tr w:rsidR="00057E4A" w:rsidRPr="003B601F" w14:paraId="466A7B5C" w14:textId="77777777" w:rsidTr="00C73BAE">
        <w:trPr>
          <w:cantSplit/>
        </w:trPr>
        <w:tc>
          <w:tcPr>
            <w:tcW w:w="0" w:type="auto"/>
            <w:tcBorders>
              <w:top w:val="nil"/>
              <w:left w:val="nil"/>
              <w:bottom w:val="nil"/>
            </w:tcBorders>
          </w:tcPr>
          <w:p w14:paraId="3E1D823E" w14:textId="77777777" w:rsidR="00057E4A" w:rsidRPr="003B601F" w:rsidRDefault="00057E4A" w:rsidP="00377F3A">
            <w:pPr>
              <w:pStyle w:val="TableText"/>
            </w:pPr>
            <w:r w:rsidRPr="003B601F">
              <w:t>United Kingdom</w:t>
            </w:r>
          </w:p>
        </w:tc>
        <w:tc>
          <w:tcPr>
            <w:tcW w:w="0" w:type="auto"/>
            <w:tcBorders>
              <w:top w:val="nil"/>
              <w:bottom w:val="nil"/>
            </w:tcBorders>
          </w:tcPr>
          <w:p w14:paraId="0D1A4C9C" w14:textId="77777777" w:rsidR="00057E4A" w:rsidRPr="003B601F" w:rsidRDefault="00057E4A" w:rsidP="00377F3A">
            <w:pPr>
              <w:pStyle w:val="TableText"/>
            </w:pPr>
            <w:r w:rsidRPr="003B601F">
              <w:t>Approved use</w:t>
            </w:r>
          </w:p>
        </w:tc>
        <w:tc>
          <w:tcPr>
            <w:tcW w:w="0" w:type="auto"/>
            <w:tcBorders>
              <w:top w:val="nil"/>
              <w:bottom w:val="nil"/>
            </w:tcBorders>
          </w:tcPr>
          <w:p w14:paraId="44F9A61B" w14:textId="77777777" w:rsidR="00057E4A" w:rsidRPr="004249C4" w:rsidRDefault="00057E4A" w:rsidP="00377F3A">
            <w:pPr>
              <w:pStyle w:val="TableText"/>
            </w:pPr>
            <w:r w:rsidRPr="003B601F">
              <w:t>2 barn owl, polecat poisonings in 1990-1994</w:t>
            </w:r>
          </w:p>
        </w:tc>
        <w:tc>
          <w:tcPr>
            <w:tcW w:w="0" w:type="auto"/>
            <w:tcBorders>
              <w:top w:val="nil"/>
              <w:bottom w:val="nil"/>
            </w:tcBorders>
          </w:tcPr>
          <w:p w14:paraId="386644CF" w14:textId="3C2CB573" w:rsidR="00057E4A" w:rsidRPr="004249C4" w:rsidRDefault="00057E4A" w:rsidP="00377F3A">
            <w:pPr>
              <w:pStyle w:val="TableText"/>
            </w:pPr>
            <w:r w:rsidRPr="003B601F">
              <w:t xml:space="preserve">de Snoo </w:t>
            </w:r>
            <w:r w:rsidR="00B7183A" w:rsidRPr="00B7183A">
              <w:rPr>
                <w:i/>
                <w:iCs/>
              </w:rPr>
              <w:t>et al</w:t>
            </w:r>
            <w:r w:rsidRPr="003B601F">
              <w:t>. 1999</w:t>
            </w:r>
          </w:p>
        </w:tc>
      </w:tr>
      <w:tr w:rsidR="00057E4A" w:rsidRPr="003B601F" w14:paraId="0255B6E6" w14:textId="77777777" w:rsidTr="00C73BAE">
        <w:trPr>
          <w:cantSplit/>
        </w:trPr>
        <w:tc>
          <w:tcPr>
            <w:tcW w:w="0" w:type="auto"/>
            <w:tcBorders>
              <w:top w:val="nil"/>
              <w:left w:val="nil"/>
              <w:bottom w:val="nil"/>
            </w:tcBorders>
          </w:tcPr>
          <w:p w14:paraId="159BAC47" w14:textId="77777777" w:rsidR="00057E4A" w:rsidRPr="003B601F" w:rsidRDefault="00057E4A" w:rsidP="00377F3A">
            <w:pPr>
              <w:pStyle w:val="TableText"/>
            </w:pPr>
            <w:r w:rsidRPr="003B601F">
              <w:t>Rat infested farms in England</w:t>
            </w:r>
          </w:p>
        </w:tc>
        <w:tc>
          <w:tcPr>
            <w:tcW w:w="0" w:type="auto"/>
            <w:tcBorders>
              <w:top w:val="nil"/>
              <w:bottom w:val="nil"/>
            </w:tcBorders>
          </w:tcPr>
          <w:p w14:paraId="102CEACD" w14:textId="3028BCFF" w:rsidR="00057E4A" w:rsidRPr="003B601F" w:rsidRDefault="00057E4A" w:rsidP="00377F3A">
            <w:pPr>
              <w:pStyle w:val="TableText"/>
            </w:pPr>
            <w:r w:rsidRPr="003B601F">
              <w:t>50 mg a</w:t>
            </w:r>
            <w:r w:rsidR="00C874AD">
              <w:t>.</w:t>
            </w:r>
            <w:r w:rsidRPr="003B601F">
              <w:t>c</w:t>
            </w:r>
            <w:r w:rsidR="00C874AD">
              <w:t>.</w:t>
            </w:r>
            <w:r w:rsidRPr="003B601F">
              <w:t>/kg bait</w:t>
            </w:r>
          </w:p>
          <w:p w14:paraId="26386722" w14:textId="77777777" w:rsidR="00057E4A" w:rsidRPr="003B601F" w:rsidRDefault="00057E4A" w:rsidP="00377F3A">
            <w:pPr>
              <w:pStyle w:val="TableText"/>
            </w:pPr>
            <w:r w:rsidRPr="003B601F">
              <w:t>(150g bait per tray replenished for 9-21d)</w:t>
            </w:r>
          </w:p>
        </w:tc>
        <w:tc>
          <w:tcPr>
            <w:tcW w:w="0" w:type="auto"/>
            <w:tcBorders>
              <w:top w:val="nil"/>
              <w:bottom w:val="nil"/>
            </w:tcBorders>
          </w:tcPr>
          <w:p w14:paraId="5CD940B7" w14:textId="77777777" w:rsidR="00057E4A" w:rsidRPr="004249C4" w:rsidRDefault="00057E4A" w:rsidP="00377F3A">
            <w:pPr>
              <w:pStyle w:val="TableText"/>
            </w:pPr>
            <w:r w:rsidRPr="003B601F">
              <w:t>No impact on frequency of observations of birds during treatment (11-13 species)</w:t>
            </w:r>
          </w:p>
        </w:tc>
        <w:tc>
          <w:tcPr>
            <w:tcW w:w="0" w:type="auto"/>
            <w:tcBorders>
              <w:top w:val="nil"/>
              <w:bottom w:val="nil"/>
            </w:tcBorders>
          </w:tcPr>
          <w:p w14:paraId="1594A39F" w14:textId="77777777" w:rsidR="00057E4A" w:rsidRPr="004249C4" w:rsidRDefault="00057E4A" w:rsidP="00377F3A">
            <w:pPr>
              <w:pStyle w:val="TableText"/>
            </w:pPr>
            <w:r w:rsidRPr="003B601F">
              <w:t>Bates 1997a, 1997b</w:t>
            </w:r>
          </w:p>
        </w:tc>
      </w:tr>
      <w:tr w:rsidR="00057E4A" w:rsidRPr="003B601F" w14:paraId="1B0FAF3B" w14:textId="77777777" w:rsidTr="00C73BAE">
        <w:trPr>
          <w:cantSplit/>
        </w:trPr>
        <w:tc>
          <w:tcPr>
            <w:tcW w:w="0" w:type="auto"/>
            <w:tcBorders>
              <w:top w:val="nil"/>
              <w:left w:val="nil"/>
              <w:bottom w:val="nil"/>
            </w:tcBorders>
          </w:tcPr>
          <w:p w14:paraId="62286A7C" w14:textId="77777777" w:rsidR="00057E4A" w:rsidRPr="003B601F" w:rsidRDefault="00057E4A" w:rsidP="00377F3A">
            <w:pPr>
              <w:pStyle w:val="TableText"/>
            </w:pPr>
            <w:r w:rsidRPr="003B601F">
              <w:t>Mouse infested commercial &amp; domestic sites in England</w:t>
            </w:r>
          </w:p>
        </w:tc>
        <w:tc>
          <w:tcPr>
            <w:tcW w:w="0" w:type="auto"/>
            <w:tcBorders>
              <w:top w:val="nil"/>
              <w:bottom w:val="nil"/>
            </w:tcBorders>
          </w:tcPr>
          <w:p w14:paraId="4389FDEC" w14:textId="1C1D96E2" w:rsidR="00057E4A" w:rsidRPr="003B601F" w:rsidRDefault="00057E4A" w:rsidP="00377F3A">
            <w:pPr>
              <w:pStyle w:val="TableText"/>
            </w:pPr>
            <w:r w:rsidRPr="003B601F">
              <w:t>50 mg a</w:t>
            </w:r>
            <w:r w:rsidR="00C874AD">
              <w:t>.</w:t>
            </w:r>
            <w:r w:rsidRPr="003B601F">
              <w:t>c</w:t>
            </w:r>
            <w:r w:rsidR="00C874AD">
              <w:t>.</w:t>
            </w:r>
            <w:r w:rsidRPr="003B601F">
              <w:t>/kg bait</w:t>
            </w:r>
          </w:p>
          <w:p w14:paraId="1FDF2FA3" w14:textId="77777777" w:rsidR="00057E4A" w:rsidRPr="003B601F" w:rsidRDefault="00057E4A" w:rsidP="00377F3A">
            <w:pPr>
              <w:pStyle w:val="TableText"/>
            </w:pPr>
            <w:r w:rsidRPr="003B601F">
              <w:t>(30g bait per tray replenished for 9-15d)</w:t>
            </w:r>
          </w:p>
        </w:tc>
        <w:tc>
          <w:tcPr>
            <w:tcW w:w="0" w:type="auto"/>
            <w:tcBorders>
              <w:top w:val="nil"/>
              <w:bottom w:val="nil"/>
            </w:tcBorders>
          </w:tcPr>
          <w:p w14:paraId="50333F14" w14:textId="77777777" w:rsidR="00057E4A" w:rsidRPr="004249C4" w:rsidRDefault="00057E4A" w:rsidP="00377F3A">
            <w:pPr>
              <w:pStyle w:val="TableText"/>
            </w:pPr>
            <w:r w:rsidRPr="003B601F">
              <w:t>No impact on frequency of observations of birds during treatment (3-5 species)</w:t>
            </w:r>
          </w:p>
        </w:tc>
        <w:tc>
          <w:tcPr>
            <w:tcW w:w="0" w:type="auto"/>
            <w:tcBorders>
              <w:top w:val="nil"/>
              <w:bottom w:val="nil"/>
            </w:tcBorders>
          </w:tcPr>
          <w:p w14:paraId="5907CB50" w14:textId="77777777" w:rsidR="00057E4A" w:rsidRPr="004249C4" w:rsidRDefault="00057E4A" w:rsidP="00377F3A">
            <w:pPr>
              <w:pStyle w:val="TableText"/>
            </w:pPr>
            <w:r w:rsidRPr="003B601F">
              <w:t>Bates 1997c, 1997d</w:t>
            </w:r>
          </w:p>
        </w:tc>
      </w:tr>
      <w:tr w:rsidR="00057E4A" w:rsidRPr="003B601F" w14:paraId="708D1002" w14:textId="77777777" w:rsidTr="00C73BAE">
        <w:trPr>
          <w:cantSplit/>
        </w:trPr>
        <w:tc>
          <w:tcPr>
            <w:tcW w:w="0" w:type="auto"/>
            <w:vMerge w:val="restart"/>
            <w:tcBorders>
              <w:top w:val="nil"/>
              <w:left w:val="nil"/>
              <w:bottom w:val="nil"/>
            </w:tcBorders>
          </w:tcPr>
          <w:p w14:paraId="0A0D994B" w14:textId="77777777" w:rsidR="00057E4A" w:rsidRPr="003B601F" w:rsidRDefault="00057E4A" w:rsidP="00377F3A">
            <w:pPr>
              <w:pStyle w:val="TableText"/>
            </w:pPr>
            <w:r w:rsidRPr="003B601F">
              <w:t>Various counties across UK</w:t>
            </w:r>
          </w:p>
        </w:tc>
        <w:tc>
          <w:tcPr>
            <w:tcW w:w="0" w:type="auto"/>
            <w:tcBorders>
              <w:top w:val="nil"/>
              <w:bottom w:val="nil"/>
            </w:tcBorders>
          </w:tcPr>
          <w:p w14:paraId="46BE85A6" w14:textId="77777777" w:rsidR="00057E4A" w:rsidRPr="003B601F" w:rsidRDefault="00057E4A" w:rsidP="00377F3A">
            <w:pPr>
              <w:pStyle w:val="TableText"/>
            </w:pPr>
            <w:r w:rsidRPr="003B601F">
              <w:t>Unspecified</w:t>
            </w:r>
          </w:p>
        </w:tc>
        <w:tc>
          <w:tcPr>
            <w:tcW w:w="0" w:type="auto"/>
            <w:tcBorders>
              <w:top w:val="nil"/>
              <w:bottom w:val="nil"/>
            </w:tcBorders>
          </w:tcPr>
          <w:p w14:paraId="1619FC03" w14:textId="77777777" w:rsidR="00057E4A" w:rsidRPr="003B601F" w:rsidRDefault="00057E4A" w:rsidP="00377F3A">
            <w:pPr>
              <w:pStyle w:val="TableText"/>
            </w:pPr>
            <w:r w:rsidRPr="003B601F">
              <w:t>1 buzzard poisoning in 1998</w:t>
            </w:r>
          </w:p>
        </w:tc>
        <w:tc>
          <w:tcPr>
            <w:tcW w:w="0" w:type="auto"/>
            <w:tcBorders>
              <w:top w:val="nil"/>
              <w:bottom w:val="nil"/>
            </w:tcBorders>
          </w:tcPr>
          <w:p w14:paraId="7DE5B63C" w14:textId="1A39D1C0" w:rsidR="00057E4A" w:rsidRPr="003B601F" w:rsidRDefault="00057E4A" w:rsidP="00377F3A">
            <w:pPr>
              <w:pStyle w:val="TableText"/>
            </w:pPr>
            <w:r w:rsidRPr="003B601F">
              <w:t xml:space="preserve">Fletcher </w:t>
            </w:r>
            <w:r w:rsidR="00B7183A" w:rsidRPr="00B7183A">
              <w:rPr>
                <w:i/>
                <w:iCs/>
              </w:rPr>
              <w:t>et al</w:t>
            </w:r>
            <w:r w:rsidRPr="003B601F">
              <w:t>. 1999</w:t>
            </w:r>
          </w:p>
        </w:tc>
      </w:tr>
      <w:tr w:rsidR="00057E4A" w:rsidRPr="003B601F" w14:paraId="41B61603" w14:textId="77777777" w:rsidTr="00C73BAE">
        <w:trPr>
          <w:cantSplit/>
        </w:trPr>
        <w:tc>
          <w:tcPr>
            <w:tcW w:w="0" w:type="auto"/>
            <w:vMerge/>
            <w:tcBorders>
              <w:left w:val="nil"/>
              <w:bottom w:val="nil"/>
            </w:tcBorders>
          </w:tcPr>
          <w:p w14:paraId="5A4C3A50" w14:textId="77777777" w:rsidR="00057E4A" w:rsidRPr="003B601F" w:rsidRDefault="00057E4A" w:rsidP="00377F3A">
            <w:pPr>
              <w:pStyle w:val="TableText"/>
            </w:pPr>
          </w:p>
        </w:tc>
        <w:tc>
          <w:tcPr>
            <w:tcW w:w="0" w:type="auto"/>
            <w:tcBorders>
              <w:top w:val="nil"/>
              <w:bottom w:val="nil"/>
            </w:tcBorders>
          </w:tcPr>
          <w:p w14:paraId="3965F0FF" w14:textId="77777777" w:rsidR="00057E4A" w:rsidRPr="003B601F" w:rsidRDefault="00057E4A" w:rsidP="00377F3A">
            <w:pPr>
              <w:pStyle w:val="TableText"/>
            </w:pPr>
          </w:p>
        </w:tc>
        <w:tc>
          <w:tcPr>
            <w:tcW w:w="0" w:type="auto"/>
            <w:tcBorders>
              <w:top w:val="nil"/>
              <w:bottom w:val="nil"/>
            </w:tcBorders>
          </w:tcPr>
          <w:p w14:paraId="16DB29A0" w14:textId="77777777" w:rsidR="00057E4A" w:rsidRPr="003B601F" w:rsidRDefault="00057E4A" w:rsidP="00377F3A">
            <w:pPr>
              <w:pStyle w:val="TableText"/>
            </w:pPr>
            <w:r w:rsidRPr="003B601F">
              <w:t>1 red kite, 2 tawny owl, and 3 buzzard poisonings</w:t>
            </w:r>
          </w:p>
        </w:tc>
        <w:tc>
          <w:tcPr>
            <w:tcW w:w="0" w:type="auto"/>
            <w:tcBorders>
              <w:top w:val="nil"/>
              <w:bottom w:val="nil"/>
            </w:tcBorders>
          </w:tcPr>
          <w:p w14:paraId="70D8A16F" w14:textId="3730657A" w:rsidR="00057E4A" w:rsidRPr="003B601F" w:rsidRDefault="00057E4A" w:rsidP="00377F3A">
            <w:pPr>
              <w:pStyle w:val="TableText"/>
            </w:pPr>
            <w:r w:rsidRPr="003B601F">
              <w:t xml:space="preserve">Fletcher </w:t>
            </w:r>
            <w:r w:rsidR="00B7183A" w:rsidRPr="00B7183A">
              <w:rPr>
                <w:i/>
                <w:iCs/>
              </w:rPr>
              <w:t>et al</w:t>
            </w:r>
            <w:r w:rsidRPr="003B601F">
              <w:t>. 2000</w:t>
            </w:r>
          </w:p>
        </w:tc>
      </w:tr>
      <w:tr w:rsidR="00057E4A" w:rsidRPr="003B601F" w14:paraId="5E26C215" w14:textId="77777777" w:rsidTr="00C73BAE">
        <w:trPr>
          <w:cantSplit/>
        </w:trPr>
        <w:tc>
          <w:tcPr>
            <w:tcW w:w="0" w:type="auto"/>
            <w:tcBorders>
              <w:top w:val="nil"/>
              <w:left w:val="nil"/>
              <w:bottom w:val="nil"/>
            </w:tcBorders>
          </w:tcPr>
          <w:p w14:paraId="56E470C1" w14:textId="77777777" w:rsidR="00057E4A" w:rsidRPr="003B601F" w:rsidRDefault="00057E4A" w:rsidP="00377F3A">
            <w:pPr>
              <w:pStyle w:val="TableText"/>
            </w:pPr>
          </w:p>
        </w:tc>
        <w:tc>
          <w:tcPr>
            <w:tcW w:w="0" w:type="auto"/>
            <w:tcBorders>
              <w:top w:val="nil"/>
              <w:bottom w:val="nil"/>
            </w:tcBorders>
          </w:tcPr>
          <w:p w14:paraId="14C6877D" w14:textId="77777777" w:rsidR="00057E4A" w:rsidRPr="003B601F" w:rsidRDefault="00057E4A" w:rsidP="00377F3A">
            <w:pPr>
              <w:pStyle w:val="TableText"/>
            </w:pPr>
          </w:p>
        </w:tc>
        <w:tc>
          <w:tcPr>
            <w:tcW w:w="0" w:type="auto"/>
            <w:tcBorders>
              <w:top w:val="nil"/>
              <w:bottom w:val="nil"/>
            </w:tcBorders>
          </w:tcPr>
          <w:p w14:paraId="1F489084" w14:textId="77777777" w:rsidR="00057E4A" w:rsidRPr="003B601F" w:rsidRDefault="00057E4A" w:rsidP="00377F3A">
            <w:pPr>
              <w:pStyle w:val="TableText"/>
            </w:pPr>
            <w:r w:rsidRPr="003B601F">
              <w:t>1 fox, 2 badger, and 1 red kite poisoning in 2000</w:t>
            </w:r>
          </w:p>
        </w:tc>
        <w:tc>
          <w:tcPr>
            <w:tcW w:w="0" w:type="auto"/>
            <w:tcBorders>
              <w:top w:val="nil"/>
              <w:bottom w:val="nil"/>
            </w:tcBorders>
          </w:tcPr>
          <w:p w14:paraId="3DDCE415" w14:textId="56B1D209" w:rsidR="00057E4A" w:rsidRPr="003B601F" w:rsidRDefault="00057E4A" w:rsidP="00377F3A">
            <w:pPr>
              <w:pStyle w:val="TableText"/>
            </w:pPr>
            <w:r w:rsidRPr="003B601F">
              <w:t xml:space="preserve">Barnett </w:t>
            </w:r>
            <w:r w:rsidR="00B7183A" w:rsidRPr="00B7183A">
              <w:rPr>
                <w:i/>
                <w:iCs/>
              </w:rPr>
              <w:t>et al</w:t>
            </w:r>
            <w:r w:rsidRPr="003B601F">
              <w:t>. 2002a</w:t>
            </w:r>
          </w:p>
        </w:tc>
      </w:tr>
      <w:tr w:rsidR="00057E4A" w:rsidRPr="003B601F" w14:paraId="5BFBEB00" w14:textId="77777777" w:rsidTr="00C73BAE">
        <w:trPr>
          <w:cantSplit/>
        </w:trPr>
        <w:tc>
          <w:tcPr>
            <w:tcW w:w="0" w:type="auto"/>
            <w:tcBorders>
              <w:top w:val="nil"/>
              <w:left w:val="nil"/>
              <w:bottom w:val="nil"/>
            </w:tcBorders>
          </w:tcPr>
          <w:p w14:paraId="1B283776" w14:textId="77777777" w:rsidR="00057E4A" w:rsidRPr="003B601F" w:rsidRDefault="00057E4A" w:rsidP="00377F3A">
            <w:pPr>
              <w:pStyle w:val="TableText"/>
            </w:pPr>
          </w:p>
        </w:tc>
        <w:tc>
          <w:tcPr>
            <w:tcW w:w="0" w:type="auto"/>
            <w:tcBorders>
              <w:top w:val="nil"/>
              <w:bottom w:val="nil"/>
            </w:tcBorders>
          </w:tcPr>
          <w:p w14:paraId="70E46DE6" w14:textId="77777777" w:rsidR="00057E4A" w:rsidRPr="003B601F" w:rsidRDefault="00057E4A" w:rsidP="00377F3A">
            <w:pPr>
              <w:pStyle w:val="TableText"/>
            </w:pPr>
          </w:p>
        </w:tc>
        <w:tc>
          <w:tcPr>
            <w:tcW w:w="0" w:type="auto"/>
            <w:tcBorders>
              <w:top w:val="nil"/>
              <w:bottom w:val="nil"/>
            </w:tcBorders>
          </w:tcPr>
          <w:p w14:paraId="06590E10" w14:textId="77777777" w:rsidR="00057E4A" w:rsidRPr="003B601F" w:rsidRDefault="00057E4A" w:rsidP="00377F3A">
            <w:pPr>
              <w:pStyle w:val="TableText"/>
            </w:pPr>
            <w:r w:rsidRPr="003B601F">
              <w:t>1 badger, 2 red kite, and 2 buzzard poisonings in 2001</w:t>
            </w:r>
          </w:p>
        </w:tc>
        <w:tc>
          <w:tcPr>
            <w:tcW w:w="0" w:type="auto"/>
            <w:tcBorders>
              <w:top w:val="nil"/>
              <w:bottom w:val="nil"/>
            </w:tcBorders>
          </w:tcPr>
          <w:p w14:paraId="217D38E2" w14:textId="7ED37F81" w:rsidR="00057E4A" w:rsidRPr="003B601F" w:rsidRDefault="00057E4A" w:rsidP="00377F3A">
            <w:pPr>
              <w:pStyle w:val="TableText"/>
            </w:pPr>
            <w:r w:rsidRPr="003B601F">
              <w:t xml:space="preserve">Barnett </w:t>
            </w:r>
            <w:r w:rsidR="00B7183A" w:rsidRPr="00B7183A">
              <w:rPr>
                <w:i/>
                <w:iCs/>
              </w:rPr>
              <w:t>et al</w:t>
            </w:r>
            <w:r w:rsidRPr="003B601F">
              <w:t>. 2002b</w:t>
            </w:r>
          </w:p>
        </w:tc>
      </w:tr>
      <w:tr w:rsidR="00057E4A" w:rsidRPr="003B601F" w14:paraId="41A35AB5" w14:textId="77777777" w:rsidTr="00C73BAE">
        <w:trPr>
          <w:cantSplit/>
        </w:trPr>
        <w:tc>
          <w:tcPr>
            <w:tcW w:w="0" w:type="auto"/>
            <w:tcBorders>
              <w:top w:val="nil"/>
              <w:left w:val="nil"/>
              <w:bottom w:val="nil"/>
            </w:tcBorders>
          </w:tcPr>
          <w:p w14:paraId="62B711FF" w14:textId="77777777" w:rsidR="00057E4A" w:rsidRPr="003B601F" w:rsidRDefault="00057E4A" w:rsidP="00377F3A">
            <w:pPr>
              <w:pStyle w:val="TableText"/>
            </w:pPr>
          </w:p>
        </w:tc>
        <w:tc>
          <w:tcPr>
            <w:tcW w:w="0" w:type="auto"/>
            <w:tcBorders>
              <w:top w:val="nil"/>
              <w:bottom w:val="nil"/>
            </w:tcBorders>
          </w:tcPr>
          <w:p w14:paraId="243A5F58" w14:textId="77777777" w:rsidR="00057E4A" w:rsidRPr="003B601F" w:rsidRDefault="00057E4A" w:rsidP="00377F3A">
            <w:pPr>
              <w:pStyle w:val="TableText"/>
            </w:pPr>
          </w:p>
        </w:tc>
        <w:tc>
          <w:tcPr>
            <w:tcW w:w="0" w:type="auto"/>
            <w:tcBorders>
              <w:top w:val="nil"/>
              <w:bottom w:val="nil"/>
            </w:tcBorders>
          </w:tcPr>
          <w:p w14:paraId="6E688889" w14:textId="77777777" w:rsidR="00057E4A" w:rsidRPr="003B601F" w:rsidRDefault="00057E4A" w:rsidP="00377F3A">
            <w:pPr>
              <w:pStyle w:val="TableText"/>
            </w:pPr>
            <w:r w:rsidRPr="003B601F">
              <w:t>5 red kites, 1 cat (recovered), 1 dog and 3 fox poisonings; 3 red kites, 5 buzzards with sublethal residue; 2 dog poisonings in shut stable in 2002</w:t>
            </w:r>
          </w:p>
        </w:tc>
        <w:tc>
          <w:tcPr>
            <w:tcW w:w="0" w:type="auto"/>
            <w:tcBorders>
              <w:top w:val="nil"/>
              <w:bottom w:val="nil"/>
            </w:tcBorders>
          </w:tcPr>
          <w:p w14:paraId="3B4ADA3E" w14:textId="12CF68B5" w:rsidR="00057E4A" w:rsidRPr="003B601F" w:rsidRDefault="00057E4A" w:rsidP="00377F3A">
            <w:pPr>
              <w:pStyle w:val="TableText"/>
            </w:pPr>
            <w:r w:rsidRPr="003B601F">
              <w:t xml:space="preserve">Barnett </w:t>
            </w:r>
            <w:r w:rsidR="00B7183A" w:rsidRPr="00B7183A">
              <w:rPr>
                <w:i/>
                <w:iCs/>
              </w:rPr>
              <w:t>et al</w:t>
            </w:r>
            <w:r w:rsidRPr="003B601F">
              <w:t xml:space="preserve">. 2003 </w:t>
            </w:r>
          </w:p>
        </w:tc>
      </w:tr>
      <w:tr w:rsidR="00057E4A" w:rsidRPr="003B601F" w14:paraId="27F6904A" w14:textId="77777777" w:rsidTr="00C73BAE">
        <w:trPr>
          <w:cantSplit/>
        </w:trPr>
        <w:tc>
          <w:tcPr>
            <w:tcW w:w="0" w:type="auto"/>
            <w:tcBorders>
              <w:top w:val="nil"/>
              <w:left w:val="nil"/>
              <w:bottom w:val="nil"/>
            </w:tcBorders>
          </w:tcPr>
          <w:p w14:paraId="322D028E" w14:textId="77777777" w:rsidR="00057E4A" w:rsidRPr="003B601F" w:rsidRDefault="00057E4A" w:rsidP="00377F3A">
            <w:pPr>
              <w:pStyle w:val="TableText"/>
            </w:pPr>
          </w:p>
        </w:tc>
        <w:tc>
          <w:tcPr>
            <w:tcW w:w="0" w:type="auto"/>
            <w:tcBorders>
              <w:top w:val="nil"/>
              <w:bottom w:val="nil"/>
            </w:tcBorders>
          </w:tcPr>
          <w:p w14:paraId="03C7BF2E" w14:textId="77777777" w:rsidR="00057E4A" w:rsidRPr="003B601F" w:rsidRDefault="00057E4A" w:rsidP="00377F3A">
            <w:pPr>
              <w:pStyle w:val="TableText"/>
            </w:pPr>
          </w:p>
        </w:tc>
        <w:tc>
          <w:tcPr>
            <w:tcW w:w="0" w:type="auto"/>
            <w:tcBorders>
              <w:top w:val="nil"/>
              <w:bottom w:val="nil"/>
            </w:tcBorders>
          </w:tcPr>
          <w:p w14:paraId="20FE0707" w14:textId="77777777" w:rsidR="00057E4A" w:rsidRPr="003B601F" w:rsidRDefault="00057E4A" w:rsidP="00377F3A">
            <w:pPr>
              <w:pStyle w:val="TableText"/>
            </w:pPr>
            <w:r w:rsidRPr="003B601F">
              <w:t>1 red kite and 22 feral pigeon poisonings; 1 rabbit and 2 crow poisonings in seabird recovery project rat control programme where great care had been taken to protect non-target species in 2003</w:t>
            </w:r>
          </w:p>
        </w:tc>
        <w:tc>
          <w:tcPr>
            <w:tcW w:w="0" w:type="auto"/>
            <w:tcBorders>
              <w:top w:val="nil"/>
              <w:bottom w:val="nil"/>
            </w:tcBorders>
          </w:tcPr>
          <w:p w14:paraId="4C605DAD" w14:textId="39F0B083" w:rsidR="00057E4A" w:rsidRPr="003B601F" w:rsidRDefault="00057E4A" w:rsidP="00377F3A">
            <w:pPr>
              <w:pStyle w:val="TableText"/>
            </w:pPr>
            <w:r w:rsidRPr="003B601F">
              <w:t xml:space="preserve">Barnett </w:t>
            </w:r>
            <w:r w:rsidR="00B7183A" w:rsidRPr="00B7183A">
              <w:rPr>
                <w:i/>
                <w:iCs/>
              </w:rPr>
              <w:t>et al</w:t>
            </w:r>
            <w:r w:rsidRPr="003B601F">
              <w:t>. 2004</w:t>
            </w:r>
          </w:p>
        </w:tc>
      </w:tr>
      <w:tr w:rsidR="00057E4A" w:rsidRPr="003B601F" w14:paraId="26BC11D2" w14:textId="77777777" w:rsidTr="00C73BAE">
        <w:trPr>
          <w:cantSplit/>
        </w:trPr>
        <w:tc>
          <w:tcPr>
            <w:tcW w:w="0" w:type="auto"/>
            <w:tcBorders>
              <w:top w:val="nil"/>
              <w:left w:val="nil"/>
              <w:bottom w:val="nil"/>
            </w:tcBorders>
          </w:tcPr>
          <w:p w14:paraId="55039D30" w14:textId="77777777" w:rsidR="00057E4A" w:rsidRPr="003B601F" w:rsidRDefault="00057E4A" w:rsidP="00377F3A">
            <w:pPr>
              <w:pStyle w:val="TableText"/>
            </w:pPr>
          </w:p>
        </w:tc>
        <w:tc>
          <w:tcPr>
            <w:tcW w:w="0" w:type="auto"/>
            <w:tcBorders>
              <w:top w:val="nil"/>
              <w:bottom w:val="nil"/>
            </w:tcBorders>
          </w:tcPr>
          <w:p w14:paraId="06B20BAA" w14:textId="77777777" w:rsidR="00057E4A" w:rsidRPr="003B601F" w:rsidRDefault="00057E4A" w:rsidP="00377F3A">
            <w:pPr>
              <w:pStyle w:val="TableText"/>
            </w:pPr>
          </w:p>
        </w:tc>
        <w:tc>
          <w:tcPr>
            <w:tcW w:w="0" w:type="auto"/>
            <w:tcBorders>
              <w:top w:val="nil"/>
              <w:bottom w:val="nil"/>
            </w:tcBorders>
          </w:tcPr>
          <w:p w14:paraId="77762856" w14:textId="77777777" w:rsidR="00057E4A" w:rsidRPr="003B601F" w:rsidRDefault="00057E4A" w:rsidP="00377F3A">
            <w:pPr>
              <w:pStyle w:val="TableText"/>
            </w:pPr>
            <w:r w:rsidRPr="003B601F">
              <w:t>2 badgers, 3 fox, 4 crows (accessed protected bait points), 1 sparrowhawk, 1 red kite, and 6 buzzard poisonings in 2004</w:t>
            </w:r>
          </w:p>
        </w:tc>
        <w:tc>
          <w:tcPr>
            <w:tcW w:w="0" w:type="auto"/>
            <w:tcBorders>
              <w:top w:val="nil"/>
              <w:bottom w:val="nil"/>
            </w:tcBorders>
          </w:tcPr>
          <w:p w14:paraId="0AF65232" w14:textId="61B05360" w:rsidR="00057E4A" w:rsidRPr="003B601F" w:rsidRDefault="00057E4A" w:rsidP="00377F3A">
            <w:pPr>
              <w:pStyle w:val="TableText"/>
            </w:pPr>
            <w:r w:rsidRPr="003B601F">
              <w:t xml:space="preserve">Barnett </w:t>
            </w:r>
            <w:r w:rsidR="00B7183A" w:rsidRPr="00B7183A">
              <w:rPr>
                <w:i/>
                <w:iCs/>
              </w:rPr>
              <w:t>et al</w:t>
            </w:r>
            <w:r w:rsidRPr="003B601F">
              <w:t>. 2005</w:t>
            </w:r>
          </w:p>
        </w:tc>
      </w:tr>
      <w:tr w:rsidR="00C73BAE" w:rsidRPr="003B601F" w14:paraId="0E2E7B4F" w14:textId="77777777" w:rsidTr="00C73BAE">
        <w:trPr>
          <w:cantSplit/>
        </w:trPr>
        <w:tc>
          <w:tcPr>
            <w:tcW w:w="0" w:type="auto"/>
            <w:tcBorders>
              <w:top w:val="nil"/>
              <w:left w:val="nil"/>
              <w:bottom w:val="nil"/>
            </w:tcBorders>
          </w:tcPr>
          <w:p w14:paraId="1264E320" w14:textId="77777777" w:rsidR="00C73BAE" w:rsidRPr="003B601F" w:rsidRDefault="00C73BAE" w:rsidP="00377F3A">
            <w:pPr>
              <w:pStyle w:val="TableText"/>
            </w:pPr>
          </w:p>
        </w:tc>
        <w:tc>
          <w:tcPr>
            <w:tcW w:w="0" w:type="auto"/>
            <w:tcBorders>
              <w:top w:val="nil"/>
              <w:bottom w:val="nil"/>
            </w:tcBorders>
          </w:tcPr>
          <w:p w14:paraId="4369F0A2" w14:textId="77777777" w:rsidR="00C73BAE" w:rsidRPr="003B601F" w:rsidRDefault="00C73BAE" w:rsidP="00377F3A">
            <w:pPr>
              <w:pStyle w:val="TableText"/>
            </w:pPr>
          </w:p>
        </w:tc>
        <w:tc>
          <w:tcPr>
            <w:tcW w:w="0" w:type="auto"/>
            <w:tcBorders>
              <w:top w:val="nil"/>
              <w:bottom w:val="nil"/>
            </w:tcBorders>
          </w:tcPr>
          <w:p w14:paraId="52413E8F" w14:textId="5386169C" w:rsidR="00C73BAE" w:rsidRPr="003B601F" w:rsidRDefault="00C73BAE" w:rsidP="00377F3A">
            <w:pPr>
              <w:pStyle w:val="TableText"/>
            </w:pPr>
            <w:r w:rsidRPr="003B601F">
              <w:t>1 badger, 2 red kites, and 3 buzzard poisonings in 2005</w:t>
            </w:r>
          </w:p>
        </w:tc>
        <w:tc>
          <w:tcPr>
            <w:tcW w:w="0" w:type="auto"/>
            <w:tcBorders>
              <w:top w:val="nil"/>
              <w:bottom w:val="nil"/>
            </w:tcBorders>
          </w:tcPr>
          <w:p w14:paraId="2C09C745" w14:textId="447B7625" w:rsidR="00C73BAE" w:rsidRPr="003B601F" w:rsidRDefault="00C73BAE" w:rsidP="00377F3A">
            <w:pPr>
              <w:pStyle w:val="TableText"/>
            </w:pPr>
            <w:r w:rsidRPr="003B601F">
              <w:t xml:space="preserve">Barnett </w:t>
            </w:r>
            <w:r w:rsidR="00B7183A" w:rsidRPr="00B7183A">
              <w:rPr>
                <w:i/>
                <w:iCs/>
              </w:rPr>
              <w:t>et al</w:t>
            </w:r>
            <w:r w:rsidRPr="003B601F">
              <w:t>. 2006</w:t>
            </w:r>
          </w:p>
        </w:tc>
      </w:tr>
      <w:tr w:rsidR="00C73BAE" w:rsidRPr="003B601F" w14:paraId="7DE0F388" w14:textId="77777777" w:rsidTr="00C73BAE">
        <w:trPr>
          <w:cantSplit/>
        </w:trPr>
        <w:tc>
          <w:tcPr>
            <w:tcW w:w="0" w:type="auto"/>
            <w:tcBorders>
              <w:top w:val="nil"/>
              <w:left w:val="nil"/>
              <w:bottom w:val="single" w:sz="4" w:space="0" w:color="auto"/>
            </w:tcBorders>
          </w:tcPr>
          <w:p w14:paraId="283D45FD" w14:textId="77777777" w:rsidR="00C73BAE" w:rsidRPr="003B601F" w:rsidRDefault="00C73BAE" w:rsidP="00377F3A">
            <w:pPr>
              <w:pStyle w:val="TableText"/>
            </w:pPr>
          </w:p>
        </w:tc>
        <w:tc>
          <w:tcPr>
            <w:tcW w:w="0" w:type="auto"/>
            <w:tcBorders>
              <w:top w:val="nil"/>
              <w:bottom w:val="single" w:sz="4" w:space="0" w:color="auto"/>
            </w:tcBorders>
          </w:tcPr>
          <w:p w14:paraId="51B2CEE7" w14:textId="77777777" w:rsidR="00C73BAE" w:rsidRPr="003B601F" w:rsidRDefault="00C73BAE" w:rsidP="00377F3A">
            <w:pPr>
              <w:pStyle w:val="TableText"/>
            </w:pPr>
          </w:p>
        </w:tc>
        <w:tc>
          <w:tcPr>
            <w:tcW w:w="0" w:type="auto"/>
            <w:tcBorders>
              <w:top w:val="nil"/>
              <w:bottom w:val="single" w:sz="4" w:space="0" w:color="auto"/>
            </w:tcBorders>
          </w:tcPr>
          <w:p w14:paraId="53B86582" w14:textId="57D4A3F2" w:rsidR="00C73BAE" w:rsidRPr="003B601F" w:rsidRDefault="00C73BAE" w:rsidP="00377F3A">
            <w:pPr>
              <w:pStyle w:val="TableText"/>
            </w:pPr>
            <w:r w:rsidRPr="003B601F">
              <w:t>1 fox, 2 barn owls, 3 red kites, 3 peacocks, and 2 buzzard poisonings in 2006</w:t>
            </w:r>
          </w:p>
        </w:tc>
        <w:tc>
          <w:tcPr>
            <w:tcW w:w="0" w:type="auto"/>
            <w:tcBorders>
              <w:top w:val="nil"/>
              <w:bottom w:val="single" w:sz="4" w:space="0" w:color="auto"/>
            </w:tcBorders>
          </w:tcPr>
          <w:p w14:paraId="641B1426" w14:textId="4F705556" w:rsidR="00C73BAE" w:rsidRPr="003B601F" w:rsidRDefault="00C73BAE" w:rsidP="00377F3A">
            <w:pPr>
              <w:pStyle w:val="TableText"/>
            </w:pPr>
            <w:r w:rsidRPr="003B601F">
              <w:t xml:space="preserve">Barnett </w:t>
            </w:r>
            <w:r w:rsidR="00B7183A" w:rsidRPr="00B7183A">
              <w:rPr>
                <w:i/>
                <w:iCs/>
              </w:rPr>
              <w:t>et al</w:t>
            </w:r>
            <w:r w:rsidRPr="003B601F">
              <w:t>. 2007</w:t>
            </w:r>
          </w:p>
        </w:tc>
      </w:tr>
    </w:tbl>
    <w:p w14:paraId="718E6F99" w14:textId="21A2FF89" w:rsidR="000D594D" w:rsidRPr="00861CA0" w:rsidRDefault="00D560AB" w:rsidP="00377F3A">
      <w:pPr>
        <w:pStyle w:val="Caption"/>
      </w:pPr>
      <w:bookmarkStart w:id="2097" w:name="_Toc213946103"/>
      <w:bookmarkStart w:id="2098" w:name="_Toc216695794"/>
      <w:r>
        <w:t xml:space="preserve">Table </w:t>
      </w:r>
      <w:r>
        <w:fldChar w:fldCharType="begin"/>
      </w:r>
      <w:r>
        <w:instrText xml:space="preserve"> SEQ Table \* ARABIC </w:instrText>
      </w:r>
      <w:r>
        <w:fldChar w:fldCharType="separate"/>
      </w:r>
      <w:r w:rsidR="003861AC">
        <w:rPr>
          <w:noProof/>
        </w:rPr>
        <w:t>132</w:t>
      </w:r>
      <w:r>
        <w:fldChar w:fldCharType="end"/>
      </w:r>
      <w:r>
        <w:t xml:space="preserve">: </w:t>
      </w:r>
      <w:r w:rsidR="000D594D">
        <w:t>Difenacoum – Effects on aquatic species</w:t>
      </w:r>
      <w:bookmarkEnd w:id="2097"/>
      <w:bookmarkEnd w:id="2098"/>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89"/>
        <w:gridCol w:w="1159"/>
        <w:gridCol w:w="2882"/>
        <w:gridCol w:w="1934"/>
        <w:gridCol w:w="2064"/>
      </w:tblGrid>
      <w:tr w:rsidR="000D594D" w:rsidRPr="000B2FA7" w14:paraId="6674047C" w14:textId="77777777" w:rsidTr="0017134F">
        <w:trPr>
          <w:tblHeader/>
        </w:trPr>
        <w:tc>
          <w:tcPr>
            <w:tcW w:w="0" w:type="auto"/>
            <w:tcBorders>
              <w:bottom w:val="single" w:sz="4" w:space="0" w:color="auto"/>
            </w:tcBorders>
            <w:shd w:val="clear" w:color="auto" w:fill="53284F"/>
          </w:tcPr>
          <w:p w14:paraId="6CEC3F40" w14:textId="77777777" w:rsidR="000D594D" w:rsidRDefault="000D594D" w:rsidP="00377F3A">
            <w:pPr>
              <w:pStyle w:val="TableHead"/>
            </w:pPr>
            <w:r>
              <w:t>Group</w:t>
            </w:r>
          </w:p>
        </w:tc>
        <w:tc>
          <w:tcPr>
            <w:tcW w:w="0" w:type="auto"/>
            <w:tcBorders>
              <w:bottom w:val="single" w:sz="4" w:space="0" w:color="auto"/>
            </w:tcBorders>
            <w:shd w:val="clear" w:color="auto" w:fill="53284F"/>
          </w:tcPr>
          <w:p w14:paraId="3E435BCF" w14:textId="77777777" w:rsidR="000D594D" w:rsidRDefault="000D594D" w:rsidP="00377F3A">
            <w:pPr>
              <w:pStyle w:val="TableHead"/>
            </w:pPr>
            <w:r>
              <w:t>Exposure</w:t>
            </w:r>
          </w:p>
        </w:tc>
        <w:tc>
          <w:tcPr>
            <w:tcW w:w="0" w:type="auto"/>
            <w:tcBorders>
              <w:bottom w:val="single" w:sz="4" w:space="0" w:color="auto"/>
            </w:tcBorders>
            <w:shd w:val="clear" w:color="auto" w:fill="53284F"/>
          </w:tcPr>
          <w:p w14:paraId="3925E918"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7E6C0FD6" w14:textId="77777777" w:rsidR="000D594D" w:rsidRPr="00CA558C" w:rsidRDefault="000D594D" w:rsidP="00377F3A">
            <w:pPr>
              <w:pStyle w:val="TableHead"/>
            </w:pPr>
            <w:r>
              <w:t>Toxicity v</w:t>
            </w:r>
            <w:r w:rsidRPr="00CA558C">
              <w:t>alue</w:t>
            </w:r>
          </w:p>
        </w:tc>
        <w:tc>
          <w:tcPr>
            <w:tcW w:w="0" w:type="auto"/>
            <w:tcBorders>
              <w:bottom w:val="single" w:sz="4" w:space="0" w:color="auto"/>
            </w:tcBorders>
            <w:shd w:val="clear" w:color="auto" w:fill="53284F"/>
          </w:tcPr>
          <w:p w14:paraId="12A887F2" w14:textId="77777777" w:rsidR="000D594D" w:rsidRPr="00CA558C" w:rsidRDefault="000D594D" w:rsidP="00377F3A">
            <w:pPr>
              <w:pStyle w:val="TableHead"/>
            </w:pPr>
            <w:r>
              <w:t>Reference</w:t>
            </w:r>
          </w:p>
        </w:tc>
      </w:tr>
      <w:tr w:rsidR="000D594D" w:rsidRPr="000B2FA7" w14:paraId="0158752C" w14:textId="77777777" w:rsidTr="000D594D">
        <w:trPr>
          <w:trHeight w:val="131"/>
        </w:trPr>
        <w:tc>
          <w:tcPr>
            <w:tcW w:w="0" w:type="auto"/>
            <w:tcBorders>
              <w:top w:val="single" w:sz="4" w:space="0" w:color="auto"/>
              <w:left w:val="nil"/>
              <w:bottom w:val="nil"/>
              <w:right w:val="nil"/>
            </w:tcBorders>
          </w:tcPr>
          <w:p w14:paraId="6E3AA8B0" w14:textId="77777777" w:rsidR="000D594D" w:rsidRDefault="000D594D" w:rsidP="00377F3A">
            <w:pPr>
              <w:pStyle w:val="TableText"/>
            </w:pPr>
            <w:r>
              <w:t>Fish</w:t>
            </w:r>
          </w:p>
        </w:tc>
        <w:tc>
          <w:tcPr>
            <w:tcW w:w="0" w:type="auto"/>
            <w:tcBorders>
              <w:top w:val="single" w:sz="4" w:space="0" w:color="auto"/>
              <w:left w:val="nil"/>
              <w:bottom w:val="nil"/>
              <w:right w:val="nil"/>
            </w:tcBorders>
          </w:tcPr>
          <w:p w14:paraId="5B666584" w14:textId="77777777" w:rsidR="000D594D" w:rsidRDefault="000D594D" w:rsidP="00377F3A">
            <w:pPr>
              <w:pStyle w:val="TableText"/>
            </w:pPr>
            <w:r>
              <w:t>Acute</w:t>
            </w:r>
          </w:p>
        </w:tc>
        <w:tc>
          <w:tcPr>
            <w:tcW w:w="0" w:type="auto"/>
            <w:tcBorders>
              <w:top w:val="single" w:sz="4" w:space="0" w:color="auto"/>
              <w:left w:val="nil"/>
              <w:bottom w:val="nil"/>
              <w:right w:val="nil"/>
            </w:tcBorders>
          </w:tcPr>
          <w:p w14:paraId="02516348" w14:textId="77777777" w:rsidR="000D594D" w:rsidRPr="007528B2" w:rsidRDefault="000D594D" w:rsidP="00377F3A">
            <w:pPr>
              <w:pStyle w:val="TableText"/>
            </w:pPr>
            <w:r>
              <w:t>Oncorhynchus mykiss</w:t>
            </w:r>
          </w:p>
        </w:tc>
        <w:tc>
          <w:tcPr>
            <w:tcW w:w="0" w:type="auto"/>
            <w:tcBorders>
              <w:top w:val="single" w:sz="4" w:space="0" w:color="auto"/>
              <w:left w:val="nil"/>
              <w:bottom w:val="nil"/>
              <w:right w:val="nil"/>
            </w:tcBorders>
          </w:tcPr>
          <w:p w14:paraId="075A6AF8" w14:textId="77777777" w:rsidR="000D594D" w:rsidRPr="007528B2" w:rsidRDefault="000D594D" w:rsidP="00377F3A">
            <w:pPr>
              <w:pStyle w:val="TableText"/>
            </w:pPr>
            <w:r>
              <w:t>LC</w:t>
            </w:r>
            <w:r w:rsidRPr="007606F8">
              <w:rPr>
                <w:vertAlign w:val="subscript"/>
              </w:rPr>
              <w:t>50</w:t>
            </w:r>
            <w:r>
              <w:t xml:space="preserve"> 0.064 mg/L</w:t>
            </w:r>
          </w:p>
        </w:tc>
        <w:tc>
          <w:tcPr>
            <w:tcW w:w="0" w:type="auto"/>
            <w:tcBorders>
              <w:top w:val="single" w:sz="4" w:space="0" w:color="auto"/>
              <w:left w:val="nil"/>
              <w:bottom w:val="nil"/>
              <w:right w:val="nil"/>
            </w:tcBorders>
          </w:tcPr>
          <w:p w14:paraId="32C66D36" w14:textId="77777777" w:rsidR="000D594D" w:rsidRPr="007528B2" w:rsidRDefault="000D594D" w:rsidP="00377F3A">
            <w:pPr>
              <w:pStyle w:val="TableText"/>
            </w:pPr>
            <w:r>
              <w:t>Wyness 1995a</w:t>
            </w:r>
          </w:p>
        </w:tc>
      </w:tr>
      <w:tr w:rsidR="000D594D" w:rsidRPr="000B2FA7" w14:paraId="5119F39C" w14:textId="77777777" w:rsidTr="00C75073">
        <w:tc>
          <w:tcPr>
            <w:tcW w:w="0" w:type="auto"/>
            <w:tcBorders>
              <w:top w:val="nil"/>
              <w:left w:val="nil"/>
              <w:bottom w:val="nil"/>
              <w:right w:val="nil"/>
            </w:tcBorders>
          </w:tcPr>
          <w:p w14:paraId="74F6B989" w14:textId="77777777" w:rsidR="000D594D" w:rsidRDefault="000D594D" w:rsidP="00377F3A">
            <w:pPr>
              <w:pStyle w:val="TableText"/>
            </w:pPr>
          </w:p>
        </w:tc>
        <w:tc>
          <w:tcPr>
            <w:tcW w:w="0" w:type="auto"/>
            <w:tcBorders>
              <w:top w:val="nil"/>
              <w:left w:val="nil"/>
              <w:bottom w:val="nil"/>
              <w:right w:val="nil"/>
            </w:tcBorders>
          </w:tcPr>
          <w:p w14:paraId="3838AD03" w14:textId="77777777" w:rsidR="000D594D" w:rsidRDefault="000D594D" w:rsidP="00377F3A">
            <w:pPr>
              <w:pStyle w:val="TableText"/>
            </w:pPr>
          </w:p>
        </w:tc>
        <w:tc>
          <w:tcPr>
            <w:tcW w:w="0" w:type="auto"/>
            <w:tcBorders>
              <w:top w:val="nil"/>
              <w:left w:val="nil"/>
              <w:bottom w:val="nil"/>
              <w:right w:val="nil"/>
            </w:tcBorders>
          </w:tcPr>
          <w:p w14:paraId="715229D3" w14:textId="77777777" w:rsidR="000D594D" w:rsidRDefault="000D594D" w:rsidP="00377F3A">
            <w:pPr>
              <w:pStyle w:val="TableText"/>
            </w:pPr>
          </w:p>
        </w:tc>
        <w:tc>
          <w:tcPr>
            <w:tcW w:w="0" w:type="auto"/>
            <w:tcBorders>
              <w:top w:val="nil"/>
              <w:left w:val="nil"/>
              <w:bottom w:val="nil"/>
              <w:right w:val="nil"/>
            </w:tcBorders>
          </w:tcPr>
          <w:p w14:paraId="781B6668" w14:textId="77777777" w:rsidR="000D594D" w:rsidRDefault="000D594D" w:rsidP="00377F3A">
            <w:pPr>
              <w:pStyle w:val="TableText"/>
            </w:pPr>
            <w:r>
              <w:t>LC</w:t>
            </w:r>
            <w:r w:rsidRPr="00066436">
              <w:rPr>
                <w:vertAlign w:val="subscript"/>
              </w:rPr>
              <w:t>50</w:t>
            </w:r>
            <w:r>
              <w:t xml:space="preserve"> 0.33 mg/L</w:t>
            </w:r>
          </w:p>
        </w:tc>
        <w:tc>
          <w:tcPr>
            <w:tcW w:w="0" w:type="auto"/>
            <w:tcBorders>
              <w:top w:val="nil"/>
              <w:left w:val="nil"/>
              <w:bottom w:val="nil"/>
              <w:right w:val="nil"/>
            </w:tcBorders>
          </w:tcPr>
          <w:p w14:paraId="4E348D34" w14:textId="77777777" w:rsidR="000D594D" w:rsidRDefault="000D594D" w:rsidP="00377F3A">
            <w:pPr>
              <w:pStyle w:val="TableText"/>
            </w:pPr>
            <w:r>
              <w:t>Craig 2003d</w:t>
            </w:r>
          </w:p>
        </w:tc>
      </w:tr>
      <w:tr w:rsidR="000D594D" w:rsidRPr="000B2FA7" w14:paraId="74CA77DC" w14:textId="77777777" w:rsidTr="00C75073">
        <w:tc>
          <w:tcPr>
            <w:tcW w:w="0" w:type="auto"/>
            <w:tcBorders>
              <w:top w:val="nil"/>
              <w:left w:val="nil"/>
              <w:bottom w:val="single" w:sz="4" w:space="0" w:color="auto"/>
              <w:right w:val="nil"/>
            </w:tcBorders>
          </w:tcPr>
          <w:p w14:paraId="79AC7BC5" w14:textId="77777777" w:rsidR="000D594D" w:rsidRDefault="000D594D" w:rsidP="00377F3A">
            <w:pPr>
              <w:pStyle w:val="TableText"/>
            </w:pPr>
          </w:p>
        </w:tc>
        <w:tc>
          <w:tcPr>
            <w:tcW w:w="0" w:type="auto"/>
            <w:tcBorders>
              <w:top w:val="nil"/>
              <w:left w:val="nil"/>
              <w:bottom w:val="single" w:sz="4" w:space="0" w:color="auto"/>
              <w:right w:val="nil"/>
            </w:tcBorders>
          </w:tcPr>
          <w:p w14:paraId="69152388" w14:textId="77777777" w:rsidR="000D594D" w:rsidRDefault="000D594D" w:rsidP="00377F3A">
            <w:pPr>
              <w:pStyle w:val="TableText"/>
            </w:pPr>
          </w:p>
        </w:tc>
        <w:tc>
          <w:tcPr>
            <w:tcW w:w="0" w:type="auto"/>
            <w:tcBorders>
              <w:top w:val="nil"/>
              <w:left w:val="nil"/>
              <w:bottom w:val="single" w:sz="4" w:space="0" w:color="auto"/>
              <w:right w:val="nil"/>
            </w:tcBorders>
          </w:tcPr>
          <w:p w14:paraId="6B01190E" w14:textId="77777777" w:rsidR="000D594D" w:rsidRDefault="000D594D" w:rsidP="00377F3A">
            <w:pPr>
              <w:pStyle w:val="TableText"/>
            </w:pPr>
            <w:r>
              <w:t>Lepomis macrochirus</w:t>
            </w:r>
          </w:p>
        </w:tc>
        <w:tc>
          <w:tcPr>
            <w:tcW w:w="0" w:type="auto"/>
            <w:tcBorders>
              <w:top w:val="nil"/>
              <w:left w:val="nil"/>
              <w:bottom w:val="single" w:sz="4" w:space="0" w:color="auto"/>
              <w:right w:val="nil"/>
            </w:tcBorders>
          </w:tcPr>
          <w:p w14:paraId="242B2992" w14:textId="77777777" w:rsidR="000D594D" w:rsidRDefault="000D594D" w:rsidP="00377F3A">
            <w:pPr>
              <w:pStyle w:val="TableText"/>
            </w:pPr>
            <w:r>
              <w:t>LC</w:t>
            </w:r>
            <w:r w:rsidRPr="007606F8">
              <w:rPr>
                <w:vertAlign w:val="subscript"/>
              </w:rPr>
              <w:t>50</w:t>
            </w:r>
            <w:r>
              <w:t xml:space="preserve"> 0.26 mg/L</w:t>
            </w:r>
          </w:p>
        </w:tc>
        <w:tc>
          <w:tcPr>
            <w:tcW w:w="0" w:type="auto"/>
            <w:tcBorders>
              <w:top w:val="nil"/>
              <w:left w:val="nil"/>
              <w:bottom w:val="single" w:sz="4" w:space="0" w:color="auto"/>
              <w:right w:val="nil"/>
            </w:tcBorders>
          </w:tcPr>
          <w:p w14:paraId="26E686B4" w14:textId="77777777" w:rsidR="000D594D" w:rsidRDefault="000D594D" w:rsidP="00377F3A">
            <w:pPr>
              <w:pStyle w:val="TableText"/>
            </w:pPr>
            <w:r>
              <w:t>Wyness 1995b</w:t>
            </w:r>
          </w:p>
        </w:tc>
      </w:tr>
      <w:tr w:rsidR="000D594D" w:rsidRPr="000B2FA7" w14:paraId="0CF61987" w14:textId="77777777" w:rsidTr="00C75073">
        <w:tc>
          <w:tcPr>
            <w:tcW w:w="0" w:type="auto"/>
            <w:tcBorders>
              <w:top w:val="single" w:sz="4" w:space="0" w:color="auto"/>
              <w:left w:val="nil"/>
              <w:bottom w:val="nil"/>
              <w:right w:val="nil"/>
            </w:tcBorders>
          </w:tcPr>
          <w:p w14:paraId="43DFDEF1" w14:textId="77777777" w:rsidR="000D594D" w:rsidRDefault="000D594D" w:rsidP="00377F3A">
            <w:pPr>
              <w:pStyle w:val="TableText"/>
            </w:pPr>
            <w:r>
              <w:t>Invertebrates</w:t>
            </w:r>
          </w:p>
        </w:tc>
        <w:tc>
          <w:tcPr>
            <w:tcW w:w="0" w:type="auto"/>
            <w:tcBorders>
              <w:top w:val="single" w:sz="4" w:space="0" w:color="auto"/>
              <w:left w:val="nil"/>
              <w:bottom w:val="nil"/>
              <w:right w:val="nil"/>
            </w:tcBorders>
          </w:tcPr>
          <w:p w14:paraId="7E789046" w14:textId="77777777" w:rsidR="000D594D" w:rsidRDefault="000D594D" w:rsidP="00377F3A">
            <w:pPr>
              <w:pStyle w:val="TableText"/>
            </w:pPr>
            <w:r>
              <w:t>Acute</w:t>
            </w:r>
          </w:p>
        </w:tc>
        <w:tc>
          <w:tcPr>
            <w:tcW w:w="0" w:type="auto"/>
            <w:tcBorders>
              <w:top w:val="single" w:sz="4" w:space="0" w:color="auto"/>
              <w:left w:val="nil"/>
              <w:bottom w:val="nil"/>
              <w:right w:val="nil"/>
            </w:tcBorders>
          </w:tcPr>
          <w:p w14:paraId="7243CDA1" w14:textId="77777777" w:rsidR="000D594D" w:rsidRDefault="000D594D" w:rsidP="00377F3A">
            <w:pPr>
              <w:pStyle w:val="TableText"/>
            </w:pPr>
            <w:r>
              <w:t>Daphnia magna</w:t>
            </w:r>
          </w:p>
        </w:tc>
        <w:tc>
          <w:tcPr>
            <w:tcW w:w="0" w:type="auto"/>
            <w:tcBorders>
              <w:top w:val="single" w:sz="4" w:space="0" w:color="auto"/>
              <w:left w:val="nil"/>
              <w:bottom w:val="nil"/>
              <w:right w:val="nil"/>
            </w:tcBorders>
          </w:tcPr>
          <w:p w14:paraId="2E34919A" w14:textId="77777777" w:rsidR="000D594D" w:rsidRDefault="000D594D" w:rsidP="00377F3A">
            <w:pPr>
              <w:pStyle w:val="TableText"/>
            </w:pPr>
            <w:r>
              <w:t>EC</w:t>
            </w:r>
            <w:r w:rsidRPr="00066436">
              <w:rPr>
                <w:vertAlign w:val="subscript"/>
              </w:rPr>
              <w:t>50</w:t>
            </w:r>
            <w:r>
              <w:t xml:space="preserve"> 0.52 mg/L</w:t>
            </w:r>
          </w:p>
        </w:tc>
        <w:tc>
          <w:tcPr>
            <w:tcW w:w="0" w:type="auto"/>
            <w:tcBorders>
              <w:top w:val="single" w:sz="4" w:space="0" w:color="auto"/>
              <w:left w:val="nil"/>
              <w:bottom w:val="nil"/>
              <w:right w:val="nil"/>
            </w:tcBorders>
          </w:tcPr>
          <w:p w14:paraId="31C27B04" w14:textId="2386B3AA" w:rsidR="000D594D" w:rsidRDefault="000D594D" w:rsidP="00377F3A">
            <w:pPr>
              <w:pStyle w:val="TableText"/>
            </w:pPr>
            <w:r>
              <w:t xml:space="preserve">Kent </w:t>
            </w:r>
            <w:r w:rsidR="00B7183A" w:rsidRPr="00B7183A">
              <w:rPr>
                <w:i/>
                <w:iCs/>
              </w:rPr>
              <w:t>et al</w:t>
            </w:r>
            <w:r>
              <w:t>. 1991</w:t>
            </w:r>
          </w:p>
        </w:tc>
      </w:tr>
      <w:tr w:rsidR="000D594D" w:rsidRPr="000B2FA7" w14:paraId="390C1A8E" w14:textId="77777777" w:rsidTr="00C75073">
        <w:tc>
          <w:tcPr>
            <w:tcW w:w="0" w:type="auto"/>
            <w:tcBorders>
              <w:top w:val="nil"/>
              <w:left w:val="nil"/>
              <w:bottom w:val="nil"/>
              <w:right w:val="nil"/>
            </w:tcBorders>
          </w:tcPr>
          <w:p w14:paraId="612D738D" w14:textId="77777777" w:rsidR="000D594D" w:rsidRDefault="000D594D" w:rsidP="00377F3A">
            <w:pPr>
              <w:pStyle w:val="TableText"/>
            </w:pPr>
          </w:p>
        </w:tc>
        <w:tc>
          <w:tcPr>
            <w:tcW w:w="0" w:type="auto"/>
            <w:tcBorders>
              <w:top w:val="nil"/>
              <w:left w:val="nil"/>
              <w:bottom w:val="nil"/>
              <w:right w:val="nil"/>
            </w:tcBorders>
          </w:tcPr>
          <w:p w14:paraId="27B6D758" w14:textId="77777777" w:rsidR="000D594D" w:rsidRDefault="000D594D" w:rsidP="00377F3A">
            <w:pPr>
              <w:pStyle w:val="TableText"/>
            </w:pPr>
          </w:p>
        </w:tc>
        <w:tc>
          <w:tcPr>
            <w:tcW w:w="0" w:type="auto"/>
            <w:tcBorders>
              <w:top w:val="nil"/>
              <w:left w:val="nil"/>
              <w:bottom w:val="nil"/>
              <w:right w:val="nil"/>
            </w:tcBorders>
          </w:tcPr>
          <w:p w14:paraId="2C700CC2" w14:textId="77777777" w:rsidR="000D594D" w:rsidRPr="007528B2" w:rsidRDefault="000D594D" w:rsidP="00377F3A">
            <w:pPr>
              <w:pStyle w:val="TableText"/>
            </w:pPr>
          </w:p>
        </w:tc>
        <w:tc>
          <w:tcPr>
            <w:tcW w:w="0" w:type="auto"/>
            <w:tcBorders>
              <w:top w:val="nil"/>
              <w:left w:val="nil"/>
              <w:bottom w:val="nil"/>
              <w:right w:val="nil"/>
            </w:tcBorders>
          </w:tcPr>
          <w:p w14:paraId="61A63462" w14:textId="77777777" w:rsidR="000D594D" w:rsidRDefault="000D594D" w:rsidP="00377F3A">
            <w:pPr>
              <w:pStyle w:val="TableText"/>
            </w:pPr>
            <w:r>
              <w:t>EC</w:t>
            </w:r>
            <w:r w:rsidRPr="00F67154">
              <w:rPr>
                <w:vertAlign w:val="subscript"/>
              </w:rPr>
              <w:t>50</w:t>
            </w:r>
            <w:r>
              <w:t xml:space="preserve"> 0.61 mg/L</w:t>
            </w:r>
          </w:p>
        </w:tc>
        <w:tc>
          <w:tcPr>
            <w:tcW w:w="0" w:type="auto"/>
            <w:tcBorders>
              <w:top w:val="nil"/>
              <w:left w:val="nil"/>
              <w:bottom w:val="nil"/>
              <w:right w:val="nil"/>
            </w:tcBorders>
          </w:tcPr>
          <w:p w14:paraId="40347F80" w14:textId="77777777" w:rsidR="000D594D" w:rsidRDefault="000D594D" w:rsidP="00377F3A">
            <w:pPr>
              <w:pStyle w:val="TableText"/>
            </w:pPr>
            <w:r>
              <w:t>Wyness 1995c</w:t>
            </w:r>
          </w:p>
        </w:tc>
      </w:tr>
      <w:tr w:rsidR="000D594D" w:rsidRPr="000B2FA7" w14:paraId="361845C5" w14:textId="77777777" w:rsidTr="00C75073">
        <w:tc>
          <w:tcPr>
            <w:tcW w:w="0" w:type="auto"/>
            <w:tcBorders>
              <w:top w:val="nil"/>
              <w:left w:val="nil"/>
              <w:bottom w:val="single" w:sz="4" w:space="0" w:color="auto"/>
              <w:right w:val="nil"/>
            </w:tcBorders>
          </w:tcPr>
          <w:p w14:paraId="27AE27AD" w14:textId="77777777" w:rsidR="000D594D" w:rsidRDefault="000D594D" w:rsidP="00377F3A">
            <w:pPr>
              <w:pStyle w:val="TableText"/>
            </w:pPr>
          </w:p>
        </w:tc>
        <w:tc>
          <w:tcPr>
            <w:tcW w:w="0" w:type="auto"/>
            <w:tcBorders>
              <w:top w:val="nil"/>
              <w:left w:val="nil"/>
              <w:bottom w:val="single" w:sz="4" w:space="0" w:color="auto"/>
              <w:right w:val="nil"/>
            </w:tcBorders>
          </w:tcPr>
          <w:p w14:paraId="5F34DEE1" w14:textId="77777777" w:rsidR="000D594D" w:rsidRDefault="000D594D" w:rsidP="00377F3A">
            <w:pPr>
              <w:pStyle w:val="TableText"/>
            </w:pPr>
          </w:p>
        </w:tc>
        <w:tc>
          <w:tcPr>
            <w:tcW w:w="0" w:type="auto"/>
            <w:tcBorders>
              <w:top w:val="nil"/>
              <w:left w:val="nil"/>
              <w:bottom w:val="single" w:sz="4" w:space="0" w:color="auto"/>
              <w:right w:val="nil"/>
            </w:tcBorders>
          </w:tcPr>
          <w:p w14:paraId="0A573F13" w14:textId="77777777" w:rsidR="000D594D" w:rsidRPr="007528B2" w:rsidRDefault="000D594D" w:rsidP="00377F3A">
            <w:pPr>
              <w:pStyle w:val="TableText"/>
            </w:pPr>
          </w:p>
        </w:tc>
        <w:tc>
          <w:tcPr>
            <w:tcW w:w="0" w:type="auto"/>
            <w:tcBorders>
              <w:top w:val="nil"/>
              <w:left w:val="nil"/>
              <w:bottom w:val="single" w:sz="4" w:space="0" w:color="auto"/>
              <w:right w:val="nil"/>
            </w:tcBorders>
          </w:tcPr>
          <w:p w14:paraId="501B6D81" w14:textId="77777777" w:rsidR="000D594D" w:rsidRPr="007528B2" w:rsidRDefault="000D594D" w:rsidP="00377F3A">
            <w:pPr>
              <w:pStyle w:val="TableText"/>
            </w:pPr>
            <w:r>
              <w:t>EC</w:t>
            </w:r>
            <w:r w:rsidRPr="00066436">
              <w:rPr>
                <w:vertAlign w:val="subscript"/>
              </w:rPr>
              <w:t>50</w:t>
            </w:r>
            <w:r>
              <w:t xml:space="preserve"> 0.91 mg/L</w:t>
            </w:r>
          </w:p>
        </w:tc>
        <w:tc>
          <w:tcPr>
            <w:tcW w:w="0" w:type="auto"/>
            <w:tcBorders>
              <w:top w:val="nil"/>
              <w:left w:val="nil"/>
              <w:bottom w:val="single" w:sz="4" w:space="0" w:color="auto"/>
              <w:right w:val="nil"/>
            </w:tcBorders>
          </w:tcPr>
          <w:p w14:paraId="4744D125" w14:textId="77777777" w:rsidR="000D594D" w:rsidRPr="007528B2" w:rsidRDefault="000D594D" w:rsidP="00377F3A">
            <w:pPr>
              <w:pStyle w:val="TableText"/>
            </w:pPr>
            <w:r>
              <w:t>Craig 2003e</w:t>
            </w:r>
          </w:p>
        </w:tc>
      </w:tr>
      <w:tr w:rsidR="000D594D" w:rsidRPr="000B2FA7" w14:paraId="001C3707" w14:textId="77777777" w:rsidTr="00C75073">
        <w:tc>
          <w:tcPr>
            <w:tcW w:w="0" w:type="auto"/>
            <w:tcBorders>
              <w:top w:val="single" w:sz="4" w:space="0" w:color="auto"/>
              <w:left w:val="nil"/>
              <w:bottom w:val="nil"/>
              <w:right w:val="nil"/>
            </w:tcBorders>
          </w:tcPr>
          <w:p w14:paraId="1F753BAB" w14:textId="77777777" w:rsidR="000D594D" w:rsidRDefault="000D594D" w:rsidP="00377F3A">
            <w:pPr>
              <w:pStyle w:val="TableText"/>
            </w:pPr>
            <w:r>
              <w:t>Algae</w:t>
            </w:r>
          </w:p>
        </w:tc>
        <w:tc>
          <w:tcPr>
            <w:tcW w:w="0" w:type="auto"/>
            <w:tcBorders>
              <w:top w:val="single" w:sz="4" w:space="0" w:color="auto"/>
              <w:left w:val="nil"/>
              <w:bottom w:val="nil"/>
              <w:right w:val="nil"/>
            </w:tcBorders>
          </w:tcPr>
          <w:p w14:paraId="6F7EC524" w14:textId="77777777" w:rsidR="000D594D" w:rsidRDefault="000D594D" w:rsidP="00377F3A">
            <w:pPr>
              <w:pStyle w:val="TableText"/>
            </w:pPr>
            <w:r>
              <w:t>Chronic</w:t>
            </w:r>
          </w:p>
        </w:tc>
        <w:tc>
          <w:tcPr>
            <w:tcW w:w="0" w:type="auto"/>
            <w:tcBorders>
              <w:top w:val="single" w:sz="4" w:space="0" w:color="auto"/>
              <w:left w:val="nil"/>
              <w:bottom w:val="nil"/>
              <w:right w:val="nil"/>
            </w:tcBorders>
          </w:tcPr>
          <w:p w14:paraId="6D5DF4DB" w14:textId="77777777" w:rsidR="000D594D" w:rsidRPr="007528B2" w:rsidRDefault="000D594D" w:rsidP="00377F3A">
            <w:pPr>
              <w:pStyle w:val="TableText"/>
            </w:pPr>
            <w:r>
              <w:t>Raphidocelis subcapitata</w:t>
            </w:r>
          </w:p>
        </w:tc>
        <w:tc>
          <w:tcPr>
            <w:tcW w:w="0" w:type="auto"/>
            <w:tcBorders>
              <w:top w:val="single" w:sz="4" w:space="0" w:color="auto"/>
              <w:left w:val="nil"/>
              <w:bottom w:val="nil"/>
              <w:right w:val="nil"/>
            </w:tcBorders>
          </w:tcPr>
          <w:p w14:paraId="48875C49" w14:textId="77777777" w:rsidR="000D594D" w:rsidRPr="007528B2" w:rsidRDefault="000D594D" w:rsidP="00377F3A">
            <w:pPr>
              <w:pStyle w:val="TableText"/>
            </w:pPr>
            <w:r>
              <w:t>E</w:t>
            </w:r>
            <w:r w:rsidRPr="00707E8F">
              <w:rPr>
                <w:vertAlign w:val="subscript"/>
              </w:rPr>
              <w:t>r</w:t>
            </w:r>
            <w:r>
              <w:t>C</w:t>
            </w:r>
            <w:r w:rsidRPr="00707E8F">
              <w:rPr>
                <w:vertAlign w:val="subscript"/>
              </w:rPr>
              <w:t>50</w:t>
            </w:r>
            <w:r>
              <w:t xml:space="preserve"> 0.51 mg/L</w:t>
            </w:r>
          </w:p>
        </w:tc>
        <w:tc>
          <w:tcPr>
            <w:tcW w:w="0" w:type="auto"/>
            <w:tcBorders>
              <w:top w:val="single" w:sz="4" w:space="0" w:color="auto"/>
              <w:left w:val="nil"/>
              <w:bottom w:val="nil"/>
              <w:right w:val="nil"/>
            </w:tcBorders>
          </w:tcPr>
          <w:p w14:paraId="0BEC3790" w14:textId="77777777" w:rsidR="000D594D" w:rsidRPr="007528B2" w:rsidRDefault="000D594D" w:rsidP="00377F3A">
            <w:pPr>
              <w:pStyle w:val="TableText"/>
            </w:pPr>
            <w:r>
              <w:t>Craig 2003f</w:t>
            </w:r>
          </w:p>
        </w:tc>
      </w:tr>
      <w:tr w:rsidR="000D594D" w:rsidRPr="000B2FA7" w14:paraId="472EC819" w14:textId="77777777" w:rsidTr="000D594D">
        <w:tc>
          <w:tcPr>
            <w:tcW w:w="0" w:type="auto"/>
            <w:tcBorders>
              <w:top w:val="nil"/>
              <w:left w:val="nil"/>
              <w:bottom w:val="nil"/>
              <w:right w:val="nil"/>
            </w:tcBorders>
          </w:tcPr>
          <w:p w14:paraId="6EDB2EA4" w14:textId="77777777" w:rsidR="000D594D" w:rsidRDefault="000D594D" w:rsidP="00377F3A">
            <w:pPr>
              <w:pStyle w:val="TableText"/>
            </w:pPr>
          </w:p>
        </w:tc>
        <w:tc>
          <w:tcPr>
            <w:tcW w:w="0" w:type="auto"/>
            <w:tcBorders>
              <w:top w:val="nil"/>
              <w:left w:val="nil"/>
              <w:bottom w:val="nil"/>
              <w:right w:val="nil"/>
            </w:tcBorders>
          </w:tcPr>
          <w:p w14:paraId="69993818" w14:textId="77777777" w:rsidR="000D594D" w:rsidRDefault="000D594D" w:rsidP="00377F3A">
            <w:pPr>
              <w:pStyle w:val="TableText"/>
            </w:pPr>
          </w:p>
        </w:tc>
        <w:tc>
          <w:tcPr>
            <w:tcW w:w="0" w:type="auto"/>
            <w:tcBorders>
              <w:top w:val="nil"/>
              <w:left w:val="nil"/>
              <w:bottom w:val="nil"/>
              <w:right w:val="nil"/>
            </w:tcBorders>
          </w:tcPr>
          <w:p w14:paraId="3609EDED" w14:textId="77777777" w:rsidR="000D594D" w:rsidRDefault="000D594D" w:rsidP="00377F3A">
            <w:pPr>
              <w:pStyle w:val="TableText"/>
            </w:pPr>
          </w:p>
        </w:tc>
        <w:tc>
          <w:tcPr>
            <w:tcW w:w="0" w:type="auto"/>
            <w:tcBorders>
              <w:top w:val="nil"/>
              <w:left w:val="nil"/>
              <w:bottom w:val="nil"/>
              <w:right w:val="nil"/>
            </w:tcBorders>
          </w:tcPr>
          <w:p w14:paraId="35F96495" w14:textId="77777777" w:rsidR="000D594D" w:rsidRDefault="000D594D" w:rsidP="00377F3A">
            <w:pPr>
              <w:pStyle w:val="TableText"/>
            </w:pPr>
            <w:r>
              <w:t>E</w:t>
            </w:r>
            <w:r w:rsidRPr="00707E8F">
              <w:rPr>
                <w:vertAlign w:val="subscript"/>
              </w:rPr>
              <w:t>r</w:t>
            </w:r>
            <w:r>
              <w:t>C</w:t>
            </w:r>
            <w:r w:rsidRPr="00707E8F">
              <w:rPr>
                <w:vertAlign w:val="subscript"/>
              </w:rPr>
              <w:t>50</w:t>
            </w:r>
            <w:r>
              <w:t xml:space="preserve"> 0.80 mg/L</w:t>
            </w:r>
          </w:p>
        </w:tc>
        <w:tc>
          <w:tcPr>
            <w:tcW w:w="0" w:type="auto"/>
            <w:tcBorders>
              <w:top w:val="nil"/>
              <w:left w:val="nil"/>
              <w:bottom w:val="nil"/>
              <w:right w:val="nil"/>
            </w:tcBorders>
          </w:tcPr>
          <w:p w14:paraId="3B94668B" w14:textId="77777777" w:rsidR="000D594D" w:rsidRDefault="000D594D" w:rsidP="00377F3A">
            <w:pPr>
              <w:pStyle w:val="TableText"/>
            </w:pPr>
            <w:r>
              <w:t>Wyness 1995d</w:t>
            </w:r>
          </w:p>
        </w:tc>
      </w:tr>
      <w:tr w:rsidR="000D594D" w:rsidRPr="000B2FA7" w14:paraId="16813764" w14:textId="77777777" w:rsidTr="000D594D">
        <w:tc>
          <w:tcPr>
            <w:tcW w:w="0" w:type="auto"/>
            <w:tcBorders>
              <w:top w:val="nil"/>
              <w:left w:val="nil"/>
              <w:bottom w:val="single" w:sz="4" w:space="0" w:color="auto"/>
              <w:right w:val="nil"/>
            </w:tcBorders>
          </w:tcPr>
          <w:p w14:paraId="0DEADB3C" w14:textId="77777777" w:rsidR="000D594D" w:rsidRDefault="000D594D" w:rsidP="00377F3A">
            <w:pPr>
              <w:pStyle w:val="TableText"/>
            </w:pPr>
          </w:p>
        </w:tc>
        <w:tc>
          <w:tcPr>
            <w:tcW w:w="0" w:type="auto"/>
            <w:tcBorders>
              <w:top w:val="nil"/>
              <w:left w:val="nil"/>
              <w:bottom w:val="single" w:sz="4" w:space="0" w:color="auto"/>
              <w:right w:val="nil"/>
            </w:tcBorders>
          </w:tcPr>
          <w:p w14:paraId="05E9491E" w14:textId="77777777" w:rsidR="000D594D" w:rsidRDefault="000D594D" w:rsidP="00377F3A">
            <w:pPr>
              <w:pStyle w:val="TableText"/>
            </w:pPr>
          </w:p>
        </w:tc>
        <w:tc>
          <w:tcPr>
            <w:tcW w:w="0" w:type="auto"/>
            <w:tcBorders>
              <w:top w:val="nil"/>
              <w:left w:val="nil"/>
              <w:bottom w:val="single" w:sz="4" w:space="0" w:color="auto"/>
              <w:right w:val="nil"/>
            </w:tcBorders>
          </w:tcPr>
          <w:p w14:paraId="61A6BFD7" w14:textId="77777777" w:rsidR="000D594D" w:rsidRDefault="000D594D" w:rsidP="00377F3A">
            <w:pPr>
              <w:pStyle w:val="TableText"/>
            </w:pPr>
          </w:p>
        </w:tc>
        <w:tc>
          <w:tcPr>
            <w:tcW w:w="0" w:type="auto"/>
            <w:tcBorders>
              <w:top w:val="nil"/>
              <w:left w:val="nil"/>
              <w:bottom w:val="single" w:sz="4" w:space="0" w:color="auto"/>
              <w:right w:val="nil"/>
            </w:tcBorders>
          </w:tcPr>
          <w:p w14:paraId="551A80EF" w14:textId="77777777" w:rsidR="000D594D" w:rsidRDefault="000D594D" w:rsidP="00377F3A">
            <w:pPr>
              <w:pStyle w:val="TableText"/>
            </w:pPr>
            <w:r>
              <w:t>E</w:t>
            </w:r>
            <w:r w:rsidRPr="00707E8F">
              <w:rPr>
                <w:vertAlign w:val="subscript"/>
              </w:rPr>
              <w:t>r</w:t>
            </w:r>
            <w:r>
              <w:t>C</w:t>
            </w:r>
            <w:r w:rsidRPr="00707E8F">
              <w:rPr>
                <w:vertAlign w:val="subscript"/>
              </w:rPr>
              <w:t>50</w:t>
            </w:r>
            <w:r>
              <w:t xml:space="preserve"> &gt;2.5 mg/L</w:t>
            </w:r>
          </w:p>
        </w:tc>
        <w:tc>
          <w:tcPr>
            <w:tcW w:w="0" w:type="auto"/>
            <w:tcBorders>
              <w:top w:val="nil"/>
              <w:left w:val="nil"/>
              <w:bottom w:val="single" w:sz="4" w:space="0" w:color="auto"/>
              <w:right w:val="nil"/>
            </w:tcBorders>
          </w:tcPr>
          <w:p w14:paraId="74D124E4" w14:textId="01A7380F" w:rsidR="000D594D" w:rsidRDefault="000D594D" w:rsidP="00377F3A">
            <w:pPr>
              <w:pStyle w:val="TableText"/>
            </w:pPr>
            <w:r>
              <w:t xml:space="preserve">Smyth </w:t>
            </w:r>
            <w:r w:rsidR="00B7183A" w:rsidRPr="00B7183A">
              <w:rPr>
                <w:i/>
                <w:iCs/>
              </w:rPr>
              <w:t>et al</w:t>
            </w:r>
            <w:r>
              <w:t>. 1991</w:t>
            </w:r>
          </w:p>
        </w:tc>
      </w:tr>
    </w:tbl>
    <w:p w14:paraId="776C37E3" w14:textId="0471C526" w:rsidR="007F0040" w:rsidRPr="00861CA0" w:rsidRDefault="00D560AB" w:rsidP="00377F3A">
      <w:pPr>
        <w:pStyle w:val="Caption"/>
      </w:pPr>
      <w:bookmarkStart w:id="2099" w:name="_Ref213315915"/>
      <w:bookmarkStart w:id="2100" w:name="_Toc213946104"/>
      <w:bookmarkStart w:id="2101" w:name="_Toc216695795"/>
      <w:r>
        <w:t xml:space="preserve">Table </w:t>
      </w:r>
      <w:r>
        <w:fldChar w:fldCharType="begin"/>
      </w:r>
      <w:r>
        <w:instrText xml:space="preserve"> SEQ Table \* ARABIC </w:instrText>
      </w:r>
      <w:r>
        <w:fldChar w:fldCharType="separate"/>
      </w:r>
      <w:r w:rsidR="003861AC">
        <w:rPr>
          <w:noProof/>
        </w:rPr>
        <w:t>133</w:t>
      </w:r>
      <w:r>
        <w:fldChar w:fldCharType="end"/>
      </w:r>
      <w:bookmarkEnd w:id="2099"/>
      <w:r>
        <w:t xml:space="preserve">: </w:t>
      </w:r>
      <w:r w:rsidR="007F0040">
        <w:t>Difenacoum – Effects on soil organisms</w:t>
      </w:r>
      <w:bookmarkEnd w:id="2100"/>
      <w:bookmarkEnd w:id="2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16"/>
        <w:gridCol w:w="1091"/>
        <w:gridCol w:w="1871"/>
        <w:gridCol w:w="2952"/>
        <w:gridCol w:w="1798"/>
      </w:tblGrid>
      <w:tr w:rsidR="007F0040" w:rsidRPr="000B2FA7" w14:paraId="1C1DFB40" w14:textId="77777777" w:rsidTr="0017134F">
        <w:trPr>
          <w:tblHeader/>
        </w:trPr>
        <w:tc>
          <w:tcPr>
            <w:tcW w:w="0" w:type="auto"/>
            <w:tcBorders>
              <w:bottom w:val="single" w:sz="4" w:space="0" w:color="auto"/>
            </w:tcBorders>
            <w:shd w:val="clear" w:color="auto" w:fill="53284F"/>
          </w:tcPr>
          <w:p w14:paraId="235A436D" w14:textId="77777777" w:rsidR="007F0040" w:rsidRDefault="007F0040" w:rsidP="00377F3A">
            <w:pPr>
              <w:pStyle w:val="TableHead"/>
            </w:pPr>
            <w:r>
              <w:t>Group</w:t>
            </w:r>
          </w:p>
        </w:tc>
        <w:tc>
          <w:tcPr>
            <w:tcW w:w="0" w:type="auto"/>
            <w:tcBorders>
              <w:bottom w:val="single" w:sz="4" w:space="0" w:color="auto"/>
            </w:tcBorders>
            <w:shd w:val="clear" w:color="auto" w:fill="53284F"/>
          </w:tcPr>
          <w:p w14:paraId="58D9805E" w14:textId="77777777" w:rsidR="007F0040" w:rsidRDefault="007F0040" w:rsidP="00377F3A">
            <w:pPr>
              <w:pStyle w:val="TableHead"/>
            </w:pPr>
            <w:r>
              <w:t>Exposure</w:t>
            </w:r>
          </w:p>
        </w:tc>
        <w:tc>
          <w:tcPr>
            <w:tcW w:w="0" w:type="auto"/>
            <w:tcBorders>
              <w:bottom w:val="single" w:sz="4" w:space="0" w:color="auto"/>
            </w:tcBorders>
            <w:shd w:val="clear" w:color="auto" w:fill="53284F"/>
          </w:tcPr>
          <w:p w14:paraId="2B1E72D6"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4A2849AB"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069EFB5E" w14:textId="77777777" w:rsidR="007F0040" w:rsidRPr="00CA558C" w:rsidRDefault="007F0040" w:rsidP="00377F3A">
            <w:pPr>
              <w:pStyle w:val="TableHead"/>
            </w:pPr>
            <w:r>
              <w:t>Reference</w:t>
            </w:r>
          </w:p>
        </w:tc>
      </w:tr>
      <w:tr w:rsidR="007F0040" w:rsidRPr="000B2FA7" w14:paraId="22EC33DE" w14:textId="77777777" w:rsidTr="007F0040">
        <w:tc>
          <w:tcPr>
            <w:tcW w:w="0" w:type="auto"/>
            <w:tcBorders>
              <w:top w:val="single" w:sz="4" w:space="0" w:color="auto"/>
              <w:left w:val="nil"/>
              <w:bottom w:val="single" w:sz="4" w:space="0" w:color="auto"/>
              <w:right w:val="nil"/>
            </w:tcBorders>
          </w:tcPr>
          <w:p w14:paraId="195DB361" w14:textId="77777777" w:rsidR="007F0040" w:rsidRDefault="007F0040" w:rsidP="00377F3A">
            <w:pPr>
              <w:pStyle w:val="TableText"/>
            </w:pPr>
            <w:r>
              <w:t>Macro-organisms</w:t>
            </w:r>
          </w:p>
        </w:tc>
        <w:tc>
          <w:tcPr>
            <w:tcW w:w="0" w:type="auto"/>
            <w:tcBorders>
              <w:top w:val="single" w:sz="4" w:space="0" w:color="auto"/>
              <w:left w:val="nil"/>
              <w:bottom w:val="single" w:sz="4" w:space="0" w:color="auto"/>
              <w:right w:val="nil"/>
            </w:tcBorders>
          </w:tcPr>
          <w:p w14:paraId="3AB7406B" w14:textId="77777777" w:rsidR="007F0040" w:rsidRDefault="007F0040" w:rsidP="00377F3A">
            <w:pPr>
              <w:pStyle w:val="TableText"/>
            </w:pPr>
            <w:r>
              <w:t>Acute</w:t>
            </w:r>
          </w:p>
        </w:tc>
        <w:tc>
          <w:tcPr>
            <w:tcW w:w="0" w:type="auto"/>
            <w:tcBorders>
              <w:top w:val="single" w:sz="4" w:space="0" w:color="auto"/>
              <w:left w:val="nil"/>
              <w:bottom w:val="single" w:sz="4" w:space="0" w:color="auto"/>
              <w:right w:val="nil"/>
            </w:tcBorders>
          </w:tcPr>
          <w:p w14:paraId="232F1AD8" w14:textId="77777777" w:rsidR="007F0040" w:rsidRPr="00D13E8E" w:rsidRDefault="007F0040" w:rsidP="00377F3A">
            <w:pPr>
              <w:pStyle w:val="TableText"/>
            </w:pPr>
            <w:r w:rsidRPr="00C72A63">
              <w:t>Eisenia fetida</w:t>
            </w:r>
          </w:p>
        </w:tc>
        <w:tc>
          <w:tcPr>
            <w:tcW w:w="0" w:type="auto"/>
            <w:tcBorders>
              <w:top w:val="single" w:sz="4" w:space="0" w:color="auto"/>
              <w:left w:val="nil"/>
              <w:bottom w:val="single" w:sz="4" w:space="0" w:color="auto"/>
              <w:right w:val="nil"/>
            </w:tcBorders>
          </w:tcPr>
          <w:p w14:paraId="61259F5E" w14:textId="77777777" w:rsidR="007F0040" w:rsidRDefault="007F0040" w:rsidP="00377F3A">
            <w:pPr>
              <w:pStyle w:val="TableText"/>
            </w:pPr>
            <w:r>
              <w:t>LC</w:t>
            </w:r>
            <w:r w:rsidRPr="00C72A63">
              <w:rPr>
                <w:vertAlign w:val="subscript"/>
              </w:rPr>
              <w:t>50</w:t>
            </w:r>
            <w:r>
              <w:rPr>
                <w:vertAlign w:val="subscript"/>
              </w:rPr>
              <w:t>corr</w:t>
            </w:r>
            <w:r>
              <w:t xml:space="preserve"> &gt;497 mg/kg dry soil</w:t>
            </w:r>
          </w:p>
        </w:tc>
        <w:tc>
          <w:tcPr>
            <w:tcW w:w="0" w:type="auto"/>
            <w:tcBorders>
              <w:top w:val="single" w:sz="4" w:space="0" w:color="auto"/>
              <w:left w:val="nil"/>
              <w:bottom w:val="single" w:sz="4" w:space="0" w:color="auto"/>
              <w:right w:val="nil"/>
            </w:tcBorders>
          </w:tcPr>
          <w:p w14:paraId="7B5FBD40" w14:textId="77777777" w:rsidR="007F0040" w:rsidRDefault="007F0040" w:rsidP="00377F3A">
            <w:pPr>
              <w:pStyle w:val="TableText"/>
            </w:pPr>
            <w:r>
              <w:t>Staniland 2005c</w:t>
            </w:r>
          </w:p>
        </w:tc>
      </w:tr>
    </w:tbl>
    <w:p w14:paraId="51A03451" w14:textId="5E8A2741" w:rsidR="007F0040" w:rsidRPr="007F0040" w:rsidRDefault="00D560AB" w:rsidP="00377F3A">
      <w:pPr>
        <w:pStyle w:val="Caption"/>
      </w:pPr>
      <w:bookmarkStart w:id="2102" w:name="_Toc213946105"/>
      <w:bookmarkStart w:id="2103" w:name="_Toc216695796"/>
      <w:r>
        <w:t xml:space="preserve">Table </w:t>
      </w:r>
      <w:r>
        <w:fldChar w:fldCharType="begin"/>
      </w:r>
      <w:r>
        <w:instrText xml:space="preserve"> SEQ Table \* ARABIC </w:instrText>
      </w:r>
      <w:r>
        <w:fldChar w:fldCharType="separate"/>
      </w:r>
      <w:r w:rsidR="003861AC">
        <w:rPr>
          <w:noProof/>
        </w:rPr>
        <w:t>134</w:t>
      </w:r>
      <w:r>
        <w:fldChar w:fldCharType="end"/>
      </w:r>
      <w:r>
        <w:t xml:space="preserve">: </w:t>
      </w:r>
      <w:r w:rsidR="007F0040" w:rsidRPr="007F0040">
        <w:t>Difenacoum – Effects on biological methods of sewage treatment</w:t>
      </w:r>
      <w:bookmarkEnd w:id="2102"/>
      <w:bookmarkEnd w:id="2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02"/>
        <w:gridCol w:w="2717"/>
        <w:gridCol w:w="3409"/>
      </w:tblGrid>
      <w:tr w:rsidR="007F0040" w:rsidRPr="007F0040" w14:paraId="40051C89" w14:textId="77777777" w:rsidTr="0017134F">
        <w:trPr>
          <w:cantSplit/>
          <w:tblHeader/>
        </w:trPr>
        <w:tc>
          <w:tcPr>
            <w:tcW w:w="0" w:type="auto"/>
            <w:tcBorders>
              <w:bottom w:val="single" w:sz="4" w:space="0" w:color="auto"/>
            </w:tcBorders>
            <w:shd w:val="clear" w:color="auto" w:fill="53284F"/>
          </w:tcPr>
          <w:p w14:paraId="51926E97" w14:textId="77777777" w:rsidR="007F0040" w:rsidRPr="007F0040" w:rsidRDefault="007F004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79A96CA5" w14:textId="77777777" w:rsidR="007F0040" w:rsidRPr="007F0040" w:rsidRDefault="007F004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73B9F551" w14:textId="77777777" w:rsidR="007F0040" w:rsidRPr="007F0040" w:rsidRDefault="007F0040" w:rsidP="00377F3A">
            <w:pPr>
              <w:pStyle w:val="TableHead"/>
              <w:rPr>
                <w:lang w:eastAsia="en-AU"/>
              </w:rPr>
            </w:pPr>
            <w:r w:rsidRPr="007F0040">
              <w:rPr>
                <w:lang w:eastAsia="en-AU"/>
              </w:rPr>
              <w:t>Reference</w:t>
            </w:r>
          </w:p>
        </w:tc>
      </w:tr>
      <w:tr w:rsidR="007F0040" w:rsidRPr="007F0040" w14:paraId="18EE3238" w14:textId="77777777" w:rsidTr="007F0040">
        <w:trPr>
          <w:cantSplit/>
        </w:trPr>
        <w:tc>
          <w:tcPr>
            <w:tcW w:w="0" w:type="auto"/>
            <w:tcBorders>
              <w:top w:val="nil"/>
              <w:left w:val="nil"/>
              <w:bottom w:val="nil"/>
              <w:right w:val="nil"/>
            </w:tcBorders>
          </w:tcPr>
          <w:p w14:paraId="5CBE52D8" w14:textId="77777777" w:rsidR="007F0040" w:rsidRPr="007F0040" w:rsidRDefault="007F0040" w:rsidP="00377F3A">
            <w:pPr>
              <w:pStyle w:val="TableText"/>
              <w:rPr>
                <w:lang w:eastAsia="en-AU"/>
              </w:rPr>
            </w:pPr>
            <w:r w:rsidRPr="007F0040">
              <w:t>Pseudomonas putida</w:t>
            </w:r>
          </w:p>
        </w:tc>
        <w:tc>
          <w:tcPr>
            <w:tcW w:w="0" w:type="auto"/>
            <w:tcBorders>
              <w:top w:val="nil"/>
              <w:left w:val="nil"/>
              <w:bottom w:val="nil"/>
              <w:right w:val="nil"/>
            </w:tcBorders>
          </w:tcPr>
          <w:p w14:paraId="0C7D0635" w14:textId="77777777" w:rsidR="007F0040" w:rsidRPr="007F0040" w:rsidRDefault="007F0040" w:rsidP="00377F3A">
            <w:pPr>
              <w:pStyle w:val="TableText"/>
            </w:pPr>
            <w:r w:rsidRPr="007F0040">
              <w:t>EC</w:t>
            </w:r>
            <w:r w:rsidRPr="007F0040">
              <w:rPr>
                <w:vertAlign w:val="subscript"/>
              </w:rPr>
              <w:t>50</w:t>
            </w:r>
            <w:r w:rsidRPr="007F0040">
              <w:t xml:space="preserve"> &gt;2.3 mg/L</w:t>
            </w:r>
          </w:p>
        </w:tc>
        <w:tc>
          <w:tcPr>
            <w:tcW w:w="0" w:type="auto"/>
            <w:tcBorders>
              <w:top w:val="nil"/>
              <w:left w:val="nil"/>
              <w:bottom w:val="nil"/>
              <w:right w:val="nil"/>
            </w:tcBorders>
          </w:tcPr>
          <w:p w14:paraId="3363DBA6" w14:textId="77777777" w:rsidR="007F0040" w:rsidRPr="007F0040" w:rsidRDefault="007F0040" w:rsidP="00377F3A">
            <w:pPr>
              <w:pStyle w:val="TableText"/>
            </w:pPr>
            <w:r w:rsidRPr="007F0040">
              <w:t>Mather &amp; Tapp 1989</w:t>
            </w:r>
          </w:p>
        </w:tc>
      </w:tr>
      <w:tr w:rsidR="007F0040" w:rsidRPr="007F0040" w14:paraId="0196DEE4" w14:textId="77777777" w:rsidTr="007F0040">
        <w:trPr>
          <w:cantSplit/>
        </w:trPr>
        <w:tc>
          <w:tcPr>
            <w:tcW w:w="0" w:type="auto"/>
            <w:tcBorders>
              <w:top w:val="nil"/>
              <w:left w:val="nil"/>
              <w:bottom w:val="single" w:sz="4" w:space="0" w:color="auto"/>
              <w:right w:val="nil"/>
            </w:tcBorders>
          </w:tcPr>
          <w:p w14:paraId="505CB962" w14:textId="77777777" w:rsidR="007F0040" w:rsidRPr="007F0040" w:rsidRDefault="007F0040" w:rsidP="00377F3A">
            <w:pPr>
              <w:pStyle w:val="TableText"/>
            </w:pPr>
            <w:r w:rsidRPr="007F0040">
              <w:rPr>
                <w:lang w:eastAsia="en-AU"/>
              </w:rPr>
              <w:t>Activated sludge</w:t>
            </w:r>
          </w:p>
        </w:tc>
        <w:tc>
          <w:tcPr>
            <w:tcW w:w="0" w:type="auto"/>
            <w:tcBorders>
              <w:top w:val="nil"/>
              <w:left w:val="nil"/>
              <w:bottom w:val="single" w:sz="4" w:space="0" w:color="auto"/>
              <w:right w:val="nil"/>
            </w:tcBorders>
          </w:tcPr>
          <w:p w14:paraId="1040B348" w14:textId="77777777" w:rsidR="007F0040" w:rsidRPr="007F0040" w:rsidRDefault="007F0040" w:rsidP="00377F3A">
            <w:pPr>
              <w:pStyle w:val="TableText"/>
            </w:pPr>
            <w:r w:rsidRPr="007F0040">
              <w:t>EC</w:t>
            </w:r>
            <w:r w:rsidRPr="007F0040">
              <w:rPr>
                <w:vertAlign w:val="subscript"/>
              </w:rPr>
              <w:t>50</w:t>
            </w:r>
            <w:r w:rsidRPr="007F0040">
              <w:t xml:space="preserve"> &gt;999 mg/L</w:t>
            </w:r>
          </w:p>
        </w:tc>
        <w:tc>
          <w:tcPr>
            <w:tcW w:w="0" w:type="auto"/>
            <w:tcBorders>
              <w:top w:val="nil"/>
              <w:left w:val="nil"/>
              <w:bottom w:val="single" w:sz="4" w:space="0" w:color="auto"/>
              <w:right w:val="nil"/>
            </w:tcBorders>
          </w:tcPr>
          <w:p w14:paraId="1D2A79FF" w14:textId="77777777" w:rsidR="007F0040" w:rsidRPr="007F0040" w:rsidRDefault="007F0040" w:rsidP="00377F3A">
            <w:pPr>
              <w:pStyle w:val="TableText"/>
            </w:pPr>
            <w:r w:rsidRPr="007F0040">
              <w:t>Staniland 2005d</w:t>
            </w:r>
          </w:p>
        </w:tc>
      </w:tr>
    </w:tbl>
    <w:p w14:paraId="77570C52" w14:textId="0EF41813" w:rsidR="00EE24E4" w:rsidRDefault="00EE24E4" w:rsidP="00377F3A">
      <w:pPr>
        <w:pStyle w:val="APVMAAppendixH2"/>
      </w:pPr>
      <w:bookmarkStart w:id="2104" w:name="_Toc214025624"/>
      <w:bookmarkStart w:id="2105" w:name="_Toc216695646"/>
      <w:r>
        <w:t>Difethialone</w:t>
      </w:r>
      <w:bookmarkEnd w:id="2104"/>
      <w:bookmarkEnd w:id="2105"/>
    </w:p>
    <w:p w14:paraId="40315066" w14:textId="77777777" w:rsidR="00EE24E4" w:rsidRDefault="00EE24E4" w:rsidP="00377F3A">
      <w:pPr>
        <w:pStyle w:val="APVMAAppendixH3"/>
      </w:pPr>
      <w:bookmarkStart w:id="2106" w:name="_Toc214025625"/>
      <w:bookmarkStart w:id="2107" w:name="_Toc216695647"/>
      <w:r>
        <w:t>Fate and behaviour in the environment</w:t>
      </w:r>
      <w:bookmarkEnd w:id="2106"/>
      <w:bookmarkEnd w:id="2107"/>
    </w:p>
    <w:p w14:paraId="4927E898" w14:textId="4F36C1C9" w:rsidR="00EE24E4" w:rsidRPr="00861CA0" w:rsidRDefault="00D560AB" w:rsidP="00377F3A">
      <w:pPr>
        <w:pStyle w:val="Caption"/>
      </w:pPr>
      <w:bookmarkStart w:id="2108" w:name="_Ref213315148"/>
      <w:bookmarkStart w:id="2109" w:name="_Toc213946106"/>
      <w:bookmarkStart w:id="2110" w:name="_Toc216695797"/>
      <w:r>
        <w:t xml:space="preserve">Table </w:t>
      </w:r>
      <w:r>
        <w:fldChar w:fldCharType="begin"/>
      </w:r>
      <w:r>
        <w:instrText xml:space="preserve"> SEQ Table \* ARABIC </w:instrText>
      </w:r>
      <w:r>
        <w:fldChar w:fldCharType="separate"/>
      </w:r>
      <w:r w:rsidR="003861AC">
        <w:rPr>
          <w:noProof/>
        </w:rPr>
        <w:t>135</w:t>
      </w:r>
      <w:r>
        <w:fldChar w:fldCharType="end"/>
      </w:r>
      <w:bookmarkEnd w:id="2108"/>
      <w:r>
        <w:t xml:space="preserve">: </w:t>
      </w:r>
      <w:r w:rsidR="00EC47E5">
        <w:t xml:space="preserve">Difethialone – </w:t>
      </w:r>
      <w:r w:rsidR="00EE24E4">
        <w:t xml:space="preserve">Fate and behaviour in </w:t>
      </w:r>
      <w:r w:rsidR="00EC47E5">
        <w:t>environmental media</w:t>
      </w:r>
      <w:bookmarkEnd w:id="2109"/>
      <w:bookmarkEnd w:id="2110"/>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632"/>
        <w:gridCol w:w="1624"/>
        <w:gridCol w:w="4252"/>
        <w:gridCol w:w="2125"/>
      </w:tblGrid>
      <w:tr w:rsidR="00EE24E4" w:rsidRPr="000B2FA7" w14:paraId="018B639F" w14:textId="77777777" w:rsidTr="0017134F">
        <w:trPr>
          <w:cantSplit/>
          <w:tblHeader/>
        </w:trPr>
        <w:tc>
          <w:tcPr>
            <w:tcW w:w="847" w:type="pct"/>
            <w:tcBorders>
              <w:bottom w:val="single" w:sz="4" w:space="0" w:color="auto"/>
            </w:tcBorders>
            <w:shd w:val="clear" w:color="auto" w:fill="53284F"/>
          </w:tcPr>
          <w:p w14:paraId="1B12E0AB" w14:textId="4D668ABE" w:rsidR="00EE24E4" w:rsidRDefault="00EC47E5" w:rsidP="00377F3A">
            <w:pPr>
              <w:pStyle w:val="TableHead"/>
            </w:pPr>
            <w:r>
              <w:t>Compartment</w:t>
            </w:r>
          </w:p>
        </w:tc>
        <w:tc>
          <w:tcPr>
            <w:tcW w:w="843" w:type="pct"/>
            <w:tcBorders>
              <w:bottom w:val="single" w:sz="4" w:space="0" w:color="auto"/>
            </w:tcBorders>
            <w:shd w:val="clear" w:color="auto" w:fill="53284F"/>
          </w:tcPr>
          <w:p w14:paraId="3E41C49B" w14:textId="77777777" w:rsidR="00EE24E4" w:rsidRDefault="00EE24E4" w:rsidP="00377F3A">
            <w:pPr>
              <w:pStyle w:val="TableHead"/>
            </w:pPr>
            <w:r>
              <w:t>Study</w:t>
            </w:r>
          </w:p>
        </w:tc>
        <w:tc>
          <w:tcPr>
            <w:tcW w:w="2207" w:type="pct"/>
            <w:tcBorders>
              <w:bottom w:val="single" w:sz="4" w:space="0" w:color="auto"/>
            </w:tcBorders>
            <w:shd w:val="clear" w:color="auto" w:fill="53284F"/>
          </w:tcPr>
          <w:p w14:paraId="7C2048E5" w14:textId="77777777" w:rsidR="00EE24E4" w:rsidRPr="00CA558C" w:rsidRDefault="00EE24E4" w:rsidP="00377F3A">
            <w:pPr>
              <w:pStyle w:val="TableHead"/>
            </w:pPr>
            <w:r>
              <w:t>Result</w:t>
            </w:r>
          </w:p>
        </w:tc>
        <w:tc>
          <w:tcPr>
            <w:tcW w:w="1103" w:type="pct"/>
            <w:tcBorders>
              <w:bottom w:val="single" w:sz="4" w:space="0" w:color="auto"/>
            </w:tcBorders>
            <w:shd w:val="clear" w:color="auto" w:fill="53284F"/>
          </w:tcPr>
          <w:p w14:paraId="7D996A2E" w14:textId="77777777" w:rsidR="00EE24E4" w:rsidRPr="00CA558C" w:rsidRDefault="00EE24E4" w:rsidP="00377F3A">
            <w:pPr>
              <w:pStyle w:val="TableHead"/>
            </w:pPr>
            <w:r>
              <w:t>Reference</w:t>
            </w:r>
          </w:p>
        </w:tc>
      </w:tr>
      <w:tr w:rsidR="00EE24E4" w:rsidRPr="000B2FA7" w14:paraId="21DE9567" w14:textId="77777777" w:rsidTr="000B24BE">
        <w:trPr>
          <w:cantSplit/>
        </w:trPr>
        <w:tc>
          <w:tcPr>
            <w:tcW w:w="847" w:type="pct"/>
            <w:tcBorders>
              <w:top w:val="single" w:sz="4" w:space="0" w:color="auto"/>
              <w:left w:val="nil"/>
              <w:bottom w:val="nil"/>
            </w:tcBorders>
          </w:tcPr>
          <w:p w14:paraId="5636BB01" w14:textId="3A471CB1" w:rsidR="00EE24E4" w:rsidRPr="00BA1B5C" w:rsidRDefault="00EC47E5" w:rsidP="00377F3A">
            <w:pPr>
              <w:pStyle w:val="TableText"/>
            </w:pPr>
            <w:r>
              <w:t>Soil</w:t>
            </w:r>
          </w:p>
        </w:tc>
        <w:tc>
          <w:tcPr>
            <w:tcW w:w="843" w:type="pct"/>
            <w:tcBorders>
              <w:top w:val="single" w:sz="4" w:space="0" w:color="auto"/>
              <w:left w:val="nil"/>
              <w:bottom w:val="nil"/>
            </w:tcBorders>
          </w:tcPr>
          <w:p w14:paraId="0CB0F3C7" w14:textId="77777777" w:rsidR="00EE24E4" w:rsidRPr="00BA1B5C" w:rsidRDefault="00EE24E4" w:rsidP="00377F3A">
            <w:pPr>
              <w:pStyle w:val="TableText"/>
            </w:pPr>
            <w:r>
              <w:t>Aerobic soil metabolism</w:t>
            </w:r>
          </w:p>
        </w:tc>
        <w:tc>
          <w:tcPr>
            <w:tcW w:w="2207" w:type="pct"/>
            <w:tcBorders>
              <w:top w:val="single" w:sz="4" w:space="0" w:color="auto"/>
              <w:bottom w:val="nil"/>
            </w:tcBorders>
          </w:tcPr>
          <w:p w14:paraId="7B84C7AC" w14:textId="77777777" w:rsidR="00EE24E4" w:rsidRDefault="00EE24E4" w:rsidP="00377F3A">
            <w:pPr>
              <w:pStyle w:val="TableText"/>
            </w:pPr>
            <w:r>
              <w:t>loamy sand:</w:t>
            </w:r>
            <w:r>
              <w:tab/>
              <w:t>DT</w:t>
            </w:r>
            <w:r w:rsidRPr="00440F72">
              <w:rPr>
                <w:vertAlign w:val="subscript"/>
              </w:rPr>
              <w:t>50</w:t>
            </w:r>
            <w:r>
              <w:t xml:space="preserve"> 524 d</w:t>
            </w:r>
          </w:p>
          <w:p w14:paraId="2FECFC09" w14:textId="77777777" w:rsidR="00EE24E4" w:rsidRPr="00BA1B5C" w:rsidRDefault="00EE24E4" w:rsidP="00377F3A">
            <w:pPr>
              <w:pStyle w:val="TableText"/>
            </w:pPr>
            <w:r>
              <w:t>sand:</w:t>
            </w:r>
            <w:r>
              <w:tab/>
              <w:t>DT</w:t>
            </w:r>
            <w:r w:rsidRPr="00440F72">
              <w:rPr>
                <w:vertAlign w:val="subscript"/>
              </w:rPr>
              <w:t>50</w:t>
            </w:r>
            <w:r>
              <w:t xml:space="preserve"> 224 d</w:t>
            </w:r>
          </w:p>
        </w:tc>
        <w:tc>
          <w:tcPr>
            <w:tcW w:w="1103" w:type="pct"/>
            <w:tcBorders>
              <w:top w:val="single" w:sz="4" w:space="0" w:color="auto"/>
              <w:bottom w:val="nil"/>
            </w:tcBorders>
          </w:tcPr>
          <w:p w14:paraId="318DA423" w14:textId="77777777" w:rsidR="00EE24E4" w:rsidRPr="00BA1B5C" w:rsidRDefault="00EE24E4" w:rsidP="00377F3A">
            <w:pPr>
              <w:pStyle w:val="TableText"/>
            </w:pPr>
            <w:r w:rsidRPr="00440F72">
              <w:t xml:space="preserve">Völkl </w:t>
            </w:r>
            <w:r>
              <w:t>&amp;</w:t>
            </w:r>
            <w:r w:rsidRPr="00440F72">
              <w:t xml:space="preserve"> Galicia</w:t>
            </w:r>
            <w:r>
              <w:t xml:space="preserve"> 1993</w:t>
            </w:r>
          </w:p>
        </w:tc>
      </w:tr>
      <w:tr w:rsidR="00EE24E4" w:rsidRPr="000B2FA7" w14:paraId="324F3A60" w14:textId="77777777" w:rsidTr="000B24BE">
        <w:trPr>
          <w:cantSplit/>
        </w:trPr>
        <w:tc>
          <w:tcPr>
            <w:tcW w:w="847" w:type="pct"/>
            <w:tcBorders>
              <w:top w:val="nil"/>
              <w:left w:val="nil"/>
              <w:bottom w:val="nil"/>
            </w:tcBorders>
          </w:tcPr>
          <w:p w14:paraId="73165D37" w14:textId="77777777" w:rsidR="00EE24E4" w:rsidRDefault="00EE24E4" w:rsidP="00377F3A">
            <w:pPr>
              <w:pStyle w:val="TableText"/>
            </w:pPr>
          </w:p>
        </w:tc>
        <w:tc>
          <w:tcPr>
            <w:tcW w:w="843" w:type="pct"/>
            <w:tcBorders>
              <w:top w:val="nil"/>
              <w:left w:val="nil"/>
              <w:bottom w:val="nil"/>
            </w:tcBorders>
          </w:tcPr>
          <w:p w14:paraId="3C030E27" w14:textId="77777777" w:rsidR="00EE24E4" w:rsidRDefault="00EE24E4" w:rsidP="00377F3A">
            <w:pPr>
              <w:pStyle w:val="TableText"/>
            </w:pPr>
          </w:p>
        </w:tc>
        <w:tc>
          <w:tcPr>
            <w:tcW w:w="2207" w:type="pct"/>
            <w:tcBorders>
              <w:top w:val="nil"/>
              <w:bottom w:val="nil"/>
            </w:tcBorders>
          </w:tcPr>
          <w:p w14:paraId="5C42BBB8" w14:textId="77777777" w:rsidR="00EE24E4" w:rsidRDefault="00EE24E4" w:rsidP="00377F3A">
            <w:pPr>
              <w:pStyle w:val="TableText"/>
            </w:pPr>
            <w:r>
              <w:t>Sandy loam:</w:t>
            </w:r>
            <w:r>
              <w:tab/>
              <w:t>DT</w:t>
            </w:r>
            <w:r w:rsidRPr="008978B2">
              <w:rPr>
                <w:vertAlign w:val="subscript"/>
              </w:rPr>
              <w:t>50</w:t>
            </w:r>
            <w:r>
              <w:t xml:space="preserve"> 204 d</w:t>
            </w:r>
          </w:p>
        </w:tc>
        <w:tc>
          <w:tcPr>
            <w:tcW w:w="1103" w:type="pct"/>
            <w:tcBorders>
              <w:top w:val="nil"/>
              <w:bottom w:val="nil"/>
            </w:tcBorders>
          </w:tcPr>
          <w:p w14:paraId="07285B9D" w14:textId="77777777" w:rsidR="00EE24E4" w:rsidRPr="00440F72" w:rsidRDefault="00EE24E4" w:rsidP="00377F3A">
            <w:pPr>
              <w:pStyle w:val="TableText"/>
            </w:pPr>
            <w:r>
              <w:t>Spare 1987a</w:t>
            </w:r>
          </w:p>
        </w:tc>
      </w:tr>
      <w:tr w:rsidR="00EE24E4" w:rsidRPr="000B2FA7" w14:paraId="44186C2E" w14:textId="77777777" w:rsidTr="00EC47E5">
        <w:trPr>
          <w:cantSplit/>
        </w:trPr>
        <w:tc>
          <w:tcPr>
            <w:tcW w:w="847" w:type="pct"/>
            <w:tcBorders>
              <w:top w:val="nil"/>
              <w:left w:val="nil"/>
              <w:bottom w:val="nil"/>
            </w:tcBorders>
          </w:tcPr>
          <w:p w14:paraId="247F5263" w14:textId="77777777" w:rsidR="00EE24E4" w:rsidRDefault="00EE24E4" w:rsidP="00377F3A">
            <w:pPr>
              <w:pStyle w:val="TableText"/>
            </w:pPr>
          </w:p>
        </w:tc>
        <w:tc>
          <w:tcPr>
            <w:tcW w:w="843" w:type="pct"/>
            <w:tcBorders>
              <w:top w:val="nil"/>
              <w:left w:val="nil"/>
              <w:bottom w:val="nil"/>
            </w:tcBorders>
          </w:tcPr>
          <w:p w14:paraId="43886DD1" w14:textId="77777777" w:rsidR="00EE24E4" w:rsidRDefault="00EE24E4" w:rsidP="00377F3A">
            <w:pPr>
              <w:pStyle w:val="TableText"/>
            </w:pPr>
          </w:p>
        </w:tc>
        <w:tc>
          <w:tcPr>
            <w:tcW w:w="2207" w:type="pct"/>
            <w:tcBorders>
              <w:top w:val="nil"/>
              <w:bottom w:val="nil"/>
            </w:tcBorders>
          </w:tcPr>
          <w:p w14:paraId="63E9BA33" w14:textId="77777777" w:rsidR="00EE24E4" w:rsidRDefault="00EE24E4" w:rsidP="00377F3A">
            <w:pPr>
              <w:pStyle w:val="TableText"/>
            </w:pPr>
            <w:r>
              <w:t>Geomean DT</w:t>
            </w:r>
            <w:r w:rsidRPr="002176CB">
              <w:rPr>
                <w:vertAlign w:val="subscript"/>
              </w:rPr>
              <w:t>50</w:t>
            </w:r>
            <w:r>
              <w:t xml:space="preserve"> 317 d</w:t>
            </w:r>
          </w:p>
        </w:tc>
        <w:tc>
          <w:tcPr>
            <w:tcW w:w="1103" w:type="pct"/>
            <w:tcBorders>
              <w:top w:val="nil"/>
              <w:bottom w:val="nil"/>
            </w:tcBorders>
          </w:tcPr>
          <w:p w14:paraId="1899171D" w14:textId="77777777" w:rsidR="00EE24E4" w:rsidRDefault="00EE24E4" w:rsidP="00377F3A">
            <w:pPr>
              <w:pStyle w:val="TableText"/>
            </w:pPr>
          </w:p>
        </w:tc>
      </w:tr>
      <w:tr w:rsidR="00EE24E4" w:rsidRPr="000B2FA7" w14:paraId="0D3BC061" w14:textId="77777777" w:rsidTr="00EC47E5">
        <w:trPr>
          <w:cantSplit/>
        </w:trPr>
        <w:tc>
          <w:tcPr>
            <w:tcW w:w="847" w:type="pct"/>
            <w:tcBorders>
              <w:top w:val="nil"/>
              <w:left w:val="nil"/>
              <w:bottom w:val="single" w:sz="4" w:space="0" w:color="auto"/>
            </w:tcBorders>
          </w:tcPr>
          <w:p w14:paraId="77FB06D6" w14:textId="77777777" w:rsidR="00EE24E4" w:rsidRDefault="00EE24E4" w:rsidP="00377F3A">
            <w:pPr>
              <w:pStyle w:val="TableText"/>
            </w:pPr>
          </w:p>
        </w:tc>
        <w:tc>
          <w:tcPr>
            <w:tcW w:w="843" w:type="pct"/>
            <w:tcBorders>
              <w:top w:val="nil"/>
              <w:left w:val="nil"/>
              <w:bottom w:val="single" w:sz="4" w:space="0" w:color="auto"/>
            </w:tcBorders>
          </w:tcPr>
          <w:p w14:paraId="74422FAF" w14:textId="77777777" w:rsidR="00EE24E4" w:rsidRDefault="00EE24E4" w:rsidP="00377F3A">
            <w:pPr>
              <w:pStyle w:val="TableText"/>
            </w:pPr>
            <w:r>
              <w:t>Adsorption/</w:t>
            </w:r>
          </w:p>
          <w:p w14:paraId="2A2C34CD" w14:textId="77777777" w:rsidR="00EE24E4" w:rsidRDefault="00EE24E4" w:rsidP="00377F3A">
            <w:pPr>
              <w:pStyle w:val="TableText"/>
            </w:pPr>
            <w:r>
              <w:t>desorption</w:t>
            </w:r>
          </w:p>
        </w:tc>
        <w:tc>
          <w:tcPr>
            <w:tcW w:w="2207" w:type="pct"/>
            <w:tcBorders>
              <w:top w:val="nil"/>
              <w:bottom w:val="single" w:sz="4" w:space="0" w:color="auto"/>
            </w:tcBorders>
          </w:tcPr>
          <w:p w14:paraId="7CF2696C" w14:textId="77777777" w:rsidR="00EE24E4" w:rsidRDefault="00EE24E4" w:rsidP="00377F3A">
            <w:pPr>
              <w:pStyle w:val="TableText"/>
            </w:pPr>
            <w:r w:rsidRPr="003B78E0">
              <w:t>Soil</w:t>
            </w:r>
            <w:r>
              <w:tab/>
            </w:r>
            <w:r w:rsidRPr="0086508E">
              <w:t>pH</w:t>
            </w:r>
            <w:r>
              <w:tab/>
            </w:r>
            <w:r w:rsidRPr="003B78E0">
              <w:t>%OC</w:t>
            </w:r>
            <w:r>
              <w:tab/>
            </w:r>
            <w:r w:rsidRPr="00F51E1A">
              <w:t>Kf</w:t>
            </w:r>
            <w:r>
              <w:tab/>
            </w:r>
            <w:r w:rsidRPr="00BE0EB7">
              <w:t>Koc</w:t>
            </w:r>
            <w:r>
              <w:tab/>
              <w:t>1/n</w:t>
            </w:r>
          </w:p>
          <w:p w14:paraId="7AC342FA" w14:textId="77777777" w:rsidR="00EE24E4" w:rsidRPr="001822C1" w:rsidRDefault="00EE24E4" w:rsidP="00377F3A">
            <w:pPr>
              <w:pStyle w:val="TableText"/>
            </w:pPr>
            <w:r>
              <w:t>clay</w:t>
            </w:r>
            <w:r>
              <w:tab/>
              <w:t>5.7</w:t>
            </w:r>
            <w:r>
              <w:tab/>
              <w:t>1.40</w:t>
            </w:r>
            <w:r>
              <w:tab/>
              <w:t>8.8×10</w:t>
            </w:r>
            <w:r>
              <w:rPr>
                <w:vertAlign w:val="superscript"/>
              </w:rPr>
              <w:t>6</w:t>
            </w:r>
            <w:r>
              <w:tab/>
              <w:t>6.2×10</w:t>
            </w:r>
            <w:r>
              <w:rPr>
                <w:vertAlign w:val="superscript"/>
              </w:rPr>
              <w:t>8</w:t>
            </w:r>
            <w:r>
              <w:tab/>
              <w:t>0.38</w:t>
            </w:r>
          </w:p>
          <w:p w14:paraId="2FED5CA5" w14:textId="77777777" w:rsidR="00EE24E4" w:rsidRDefault="00EE24E4" w:rsidP="00377F3A">
            <w:pPr>
              <w:pStyle w:val="TableText"/>
            </w:pPr>
            <w:r>
              <w:t>sand</w:t>
            </w:r>
            <w:r>
              <w:tab/>
              <w:t>5.9</w:t>
            </w:r>
            <w:r>
              <w:tab/>
              <w:t>0.23</w:t>
            </w:r>
            <w:r>
              <w:tab/>
              <w:t>8.8×10</w:t>
            </w:r>
            <w:r>
              <w:rPr>
                <w:vertAlign w:val="superscript"/>
              </w:rPr>
              <w:t>5</w:t>
            </w:r>
            <w:r>
              <w:tab/>
              <w:t>1.0×10</w:t>
            </w:r>
            <w:r>
              <w:rPr>
                <w:vertAlign w:val="superscript"/>
              </w:rPr>
              <w:t>8</w:t>
            </w:r>
            <w:r>
              <w:tab/>
              <w:t>0.50</w:t>
            </w:r>
          </w:p>
          <w:p w14:paraId="4007E81A" w14:textId="77777777" w:rsidR="00EE24E4" w:rsidRDefault="00EE24E4" w:rsidP="00377F3A">
            <w:pPr>
              <w:pStyle w:val="TableText"/>
            </w:pPr>
            <w:r>
              <w:t>sandy clay loam</w:t>
            </w:r>
            <w:r>
              <w:tab/>
              <w:t>7.1</w:t>
            </w:r>
            <w:r>
              <w:tab/>
              <w:t>0.45</w:t>
            </w:r>
            <w:r>
              <w:tab/>
              <w:t>8.8×10</w:t>
            </w:r>
            <w:r>
              <w:rPr>
                <w:vertAlign w:val="superscript"/>
              </w:rPr>
              <w:t>7</w:t>
            </w:r>
            <w:r>
              <w:tab/>
              <w:t>5.3×10</w:t>
            </w:r>
            <w:r>
              <w:rPr>
                <w:vertAlign w:val="superscript"/>
              </w:rPr>
              <w:t>9</w:t>
            </w:r>
            <w:r>
              <w:tab/>
              <w:t>0.32</w:t>
            </w:r>
          </w:p>
          <w:p w14:paraId="0A601633" w14:textId="77777777" w:rsidR="00EE24E4" w:rsidRDefault="00EE24E4" w:rsidP="00377F3A">
            <w:pPr>
              <w:pStyle w:val="TableText"/>
            </w:pPr>
            <w:r>
              <w:t>sandy loam</w:t>
            </w:r>
            <w:r>
              <w:tab/>
              <w:t>6.1</w:t>
            </w:r>
            <w:r>
              <w:tab/>
              <w:t>0.26</w:t>
            </w:r>
            <w:r>
              <w:tab/>
              <w:t>8.8×10</w:t>
            </w:r>
            <w:r>
              <w:rPr>
                <w:vertAlign w:val="superscript"/>
              </w:rPr>
              <w:t>5</w:t>
            </w:r>
            <w:r>
              <w:tab/>
              <w:t>2.7×10</w:t>
            </w:r>
            <w:r>
              <w:rPr>
                <w:vertAlign w:val="superscript"/>
              </w:rPr>
              <w:t>8</w:t>
            </w:r>
            <w:r>
              <w:tab/>
              <w:t>0.42</w:t>
            </w:r>
          </w:p>
          <w:p w14:paraId="23405375" w14:textId="77777777" w:rsidR="00EE24E4" w:rsidRPr="001822C1" w:rsidRDefault="00EE24E4" w:rsidP="00377F3A">
            <w:pPr>
              <w:pStyle w:val="TableText"/>
            </w:pPr>
            <w:r>
              <w:t>mean Koc 1.6×10</w:t>
            </w:r>
            <w:r>
              <w:rPr>
                <w:vertAlign w:val="superscript"/>
              </w:rPr>
              <w:t>9</w:t>
            </w:r>
          </w:p>
        </w:tc>
        <w:tc>
          <w:tcPr>
            <w:tcW w:w="1103" w:type="pct"/>
            <w:tcBorders>
              <w:top w:val="nil"/>
              <w:bottom w:val="single" w:sz="4" w:space="0" w:color="auto"/>
            </w:tcBorders>
          </w:tcPr>
          <w:p w14:paraId="75CE7A6E" w14:textId="77777777" w:rsidR="00EE24E4" w:rsidRDefault="00EE24E4" w:rsidP="00377F3A">
            <w:pPr>
              <w:pStyle w:val="TableText"/>
            </w:pPr>
            <w:r>
              <w:t>Spare 1992a</w:t>
            </w:r>
          </w:p>
        </w:tc>
      </w:tr>
      <w:tr w:rsidR="00EC47E5" w:rsidRPr="000B2FA7" w14:paraId="754C5060" w14:textId="77777777" w:rsidTr="00EC47E5">
        <w:trPr>
          <w:cantSplit/>
        </w:trPr>
        <w:tc>
          <w:tcPr>
            <w:tcW w:w="847" w:type="pct"/>
            <w:tcBorders>
              <w:top w:val="single" w:sz="4" w:space="0" w:color="auto"/>
              <w:left w:val="nil"/>
              <w:bottom w:val="nil"/>
            </w:tcBorders>
          </w:tcPr>
          <w:p w14:paraId="14BB09F9" w14:textId="77777777" w:rsidR="00EC47E5" w:rsidRDefault="00EC47E5" w:rsidP="00377F3A">
            <w:pPr>
              <w:pStyle w:val="TableText"/>
            </w:pPr>
            <w:r>
              <w:t>Water and</w:t>
            </w:r>
          </w:p>
          <w:p w14:paraId="12CCE017" w14:textId="3DE19BEE" w:rsidR="00EC47E5" w:rsidRDefault="00EC47E5" w:rsidP="00377F3A">
            <w:pPr>
              <w:pStyle w:val="TableText"/>
            </w:pPr>
            <w:r>
              <w:t>sediment</w:t>
            </w:r>
          </w:p>
        </w:tc>
        <w:tc>
          <w:tcPr>
            <w:tcW w:w="843" w:type="pct"/>
            <w:tcBorders>
              <w:top w:val="single" w:sz="4" w:space="0" w:color="auto"/>
              <w:left w:val="nil"/>
              <w:bottom w:val="nil"/>
            </w:tcBorders>
          </w:tcPr>
          <w:p w14:paraId="58BD9D48" w14:textId="793C8DE3" w:rsidR="00EC47E5" w:rsidRDefault="00EC47E5" w:rsidP="00377F3A">
            <w:pPr>
              <w:pStyle w:val="TableText"/>
            </w:pPr>
            <w:r>
              <w:t>Hydrolysis</w:t>
            </w:r>
          </w:p>
        </w:tc>
        <w:tc>
          <w:tcPr>
            <w:tcW w:w="2207" w:type="pct"/>
            <w:tcBorders>
              <w:top w:val="single" w:sz="4" w:space="0" w:color="auto"/>
              <w:bottom w:val="nil"/>
            </w:tcBorders>
          </w:tcPr>
          <w:p w14:paraId="231C3128" w14:textId="77777777" w:rsidR="00EC47E5" w:rsidRDefault="00EC47E5" w:rsidP="00377F3A">
            <w:pPr>
              <w:pStyle w:val="TableText"/>
            </w:pPr>
            <w:r>
              <w:t>pH 5, 25°C: stable</w:t>
            </w:r>
          </w:p>
          <w:p w14:paraId="0B969065" w14:textId="77777777" w:rsidR="00EC47E5" w:rsidRDefault="00EC47E5" w:rsidP="00377F3A">
            <w:pPr>
              <w:pStyle w:val="TableText"/>
            </w:pPr>
            <w:r>
              <w:t>pH 7, 25°C: DT</w:t>
            </w:r>
            <w:r w:rsidRPr="002E00B6">
              <w:rPr>
                <w:vertAlign w:val="subscript"/>
              </w:rPr>
              <w:t>50</w:t>
            </w:r>
            <w:r>
              <w:t xml:space="preserve"> 175 d</w:t>
            </w:r>
          </w:p>
          <w:p w14:paraId="7D47C591" w14:textId="2A2E2365" w:rsidR="00EC47E5" w:rsidRPr="003B78E0" w:rsidRDefault="00EC47E5" w:rsidP="00377F3A">
            <w:pPr>
              <w:pStyle w:val="TableText"/>
              <w:rPr>
                <w:u w:val="single"/>
              </w:rPr>
            </w:pPr>
            <w:r>
              <w:t>pH 9, 25°C: DT</w:t>
            </w:r>
            <w:r w:rsidRPr="002E00B6">
              <w:rPr>
                <w:vertAlign w:val="subscript"/>
              </w:rPr>
              <w:t>50</w:t>
            </w:r>
            <w:r>
              <w:t xml:space="preserve"> 155 d</w:t>
            </w:r>
          </w:p>
        </w:tc>
        <w:tc>
          <w:tcPr>
            <w:tcW w:w="1103" w:type="pct"/>
            <w:tcBorders>
              <w:top w:val="single" w:sz="4" w:space="0" w:color="auto"/>
              <w:bottom w:val="nil"/>
            </w:tcBorders>
          </w:tcPr>
          <w:p w14:paraId="457359E4" w14:textId="4710B614" w:rsidR="00EC47E5" w:rsidRDefault="00EC47E5" w:rsidP="00377F3A">
            <w:pPr>
              <w:pStyle w:val="TableText"/>
            </w:pPr>
            <w:r>
              <w:t>Spare 1986</w:t>
            </w:r>
          </w:p>
        </w:tc>
      </w:tr>
      <w:tr w:rsidR="00EC47E5" w:rsidRPr="000B2FA7" w14:paraId="33E7E63F" w14:textId="77777777" w:rsidTr="00EC47E5">
        <w:trPr>
          <w:cantSplit/>
        </w:trPr>
        <w:tc>
          <w:tcPr>
            <w:tcW w:w="847" w:type="pct"/>
            <w:tcBorders>
              <w:top w:val="nil"/>
              <w:left w:val="nil"/>
              <w:bottom w:val="nil"/>
            </w:tcBorders>
          </w:tcPr>
          <w:p w14:paraId="17AEECBC" w14:textId="77777777" w:rsidR="00EC47E5" w:rsidRDefault="00EC47E5" w:rsidP="00377F3A">
            <w:pPr>
              <w:pStyle w:val="TableText"/>
            </w:pPr>
          </w:p>
        </w:tc>
        <w:tc>
          <w:tcPr>
            <w:tcW w:w="843" w:type="pct"/>
            <w:tcBorders>
              <w:top w:val="nil"/>
              <w:left w:val="nil"/>
              <w:bottom w:val="nil"/>
            </w:tcBorders>
          </w:tcPr>
          <w:p w14:paraId="2CBC95C8" w14:textId="6278D7D3" w:rsidR="00EC47E5" w:rsidRDefault="00EC47E5" w:rsidP="00377F3A">
            <w:pPr>
              <w:pStyle w:val="TableText"/>
            </w:pPr>
            <w:r>
              <w:t>Aqueous photolysis</w:t>
            </w:r>
          </w:p>
        </w:tc>
        <w:tc>
          <w:tcPr>
            <w:tcW w:w="2207" w:type="pct"/>
            <w:tcBorders>
              <w:top w:val="nil"/>
              <w:bottom w:val="nil"/>
            </w:tcBorders>
          </w:tcPr>
          <w:p w14:paraId="50FCAACB" w14:textId="77777777" w:rsidR="00EC47E5" w:rsidRPr="006F78D3" w:rsidRDefault="00EC47E5" w:rsidP="00377F3A">
            <w:pPr>
              <w:pStyle w:val="TableText"/>
              <w:rPr>
                <w:lang w:val="de-CH"/>
              </w:rPr>
            </w:pPr>
            <w:r w:rsidRPr="006F78D3">
              <w:rPr>
                <w:lang w:val="de-CH"/>
              </w:rPr>
              <w:t>pH 5, 28-35°C: DT</w:t>
            </w:r>
            <w:r w:rsidRPr="00F85D43">
              <w:rPr>
                <w:vertAlign w:val="subscript"/>
                <w:lang w:val="de-CH"/>
              </w:rPr>
              <w:t>50</w:t>
            </w:r>
            <w:r w:rsidRPr="006F78D3">
              <w:rPr>
                <w:lang w:val="de-CH"/>
              </w:rPr>
              <w:t xml:space="preserve"> 60 min</w:t>
            </w:r>
          </w:p>
          <w:p w14:paraId="0831123B" w14:textId="77777777" w:rsidR="00EC47E5" w:rsidRPr="006F78D3" w:rsidRDefault="00EC47E5" w:rsidP="00377F3A">
            <w:pPr>
              <w:pStyle w:val="TableText"/>
              <w:rPr>
                <w:lang w:val="de-CH"/>
              </w:rPr>
            </w:pPr>
            <w:r w:rsidRPr="006F78D3">
              <w:rPr>
                <w:lang w:val="de-CH"/>
              </w:rPr>
              <w:t>pH 7, 28-35°C: DT</w:t>
            </w:r>
            <w:r w:rsidRPr="00F85D43">
              <w:rPr>
                <w:vertAlign w:val="subscript"/>
                <w:lang w:val="de-CH"/>
              </w:rPr>
              <w:t>50</w:t>
            </w:r>
            <w:r w:rsidRPr="006F78D3">
              <w:rPr>
                <w:lang w:val="de-CH"/>
              </w:rPr>
              <w:t xml:space="preserve"> 62 min</w:t>
            </w:r>
          </w:p>
          <w:p w14:paraId="5D9504CC" w14:textId="77777777" w:rsidR="00EC47E5" w:rsidRDefault="00EC47E5" w:rsidP="00377F3A">
            <w:pPr>
              <w:pStyle w:val="TableText"/>
            </w:pPr>
            <w:r>
              <w:t>pH 9, 28-350°C: DT</w:t>
            </w:r>
            <w:r w:rsidRPr="002E00B6">
              <w:rPr>
                <w:vertAlign w:val="subscript"/>
              </w:rPr>
              <w:t>50</w:t>
            </w:r>
            <w:r>
              <w:t xml:space="preserve"> 55 min</w:t>
            </w:r>
          </w:p>
          <w:p w14:paraId="59CAD6F2" w14:textId="38E5FC1F" w:rsidR="00EC47E5" w:rsidRDefault="00EC47E5" w:rsidP="00377F3A">
            <w:pPr>
              <w:pStyle w:val="TableText"/>
            </w:pPr>
            <w:r>
              <w:t>with natural sunlight</w:t>
            </w:r>
          </w:p>
        </w:tc>
        <w:tc>
          <w:tcPr>
            <w:tcW w:w="1103" w:type="pct"/>
            <w:tcBorders>
              <w:top w:val="nil"/>
              <w:bottom w:val="nil"/>
            </w:tcBorders>
          </w:tcPr>
          <w:p w14:paraId="55A4F215" w14:textId="6A060E52" w:rsidR="00EC47E5" w:rsidRDefault="00EC47E5" w:rsidP="00377F3A">
            <w:pPr>
              <w:pStyle w:val="TableText"/>
            </w:pPr>
            <w:r>
              <w:t>Spare 1987b</w:t>
            </w:r>
          </w:p>
        </w:tc>
      </w:tr>
      <w:tr w:rsidR="00EC47E5" w:rsidRPr="000B2FA7" w14:paraId="273288D1" w14:textId="77777777" w:rsidTr="00EC47E5">
        <w:trPr>
          <w:cantSplit/>
        </w:trPr>
        <w:tc>
          <w:tcPr>
            <w:tcW w:w="847" w:type="pct"/>
            <w:tcBorders>
              <w:top w:val="nil"/>
              <w:left w:val="nil"/>
              <w:bottom w:val="nil"/>
            </w:tcBorders>
          </w:tcPr>
          <w:p w14:paraId="43F4910D" w14:textId="77777777" w:rsidR="00EC47E5" w:rsidRDefault="00EC47E5" w:rsidP="00377F3A">
            <w:pPr>
              <w:pStyle w:val="TableText"/>
            </w:pPr>
          </w:p>
        </w:tc>
        <w:tc>
          <w:tcPr>
            <w:tcW w:w="843" w:type="pct"/>
            <w:tcBorders>
              <w:top w:val="nil"/>
              <w:left w:val="nil"/>
              <w:bottom w:val="nil"/>
            </w:tcBorders>
          </w:tcPr>
          <w:p w14:paraId="186D846E" w14:textId="77777777" w:rsidR="00EC47E5" w:rsidRDefault="00EC47E5" w:rsidP="00377F3A">
            <w:pPr>
              <w:pStyle w:val="TableText"/>
            </w:pPr>
          </w:p>
        </w:tc>
        <w:tc>
          <w:tcPr>
            <w:tcW w:w="2207" w:type="pct"/>
            <w:tcBorders>
              <w:top w:val="nil"/>
              <w:bottom w:val="nil"/>
            </w:tcBorders>
          </w:tcPr>
          <w:p w14:paraId="58B779C3" w14:textId="77777777" w:rsidR="00EC47E5" w:rsidRDefault="00EC47E5" w:rsidP="00377F3A">
            <w:pPr>
              <w:pStyle w:val="TableText"/>
            </w:pPr>
            <w:r>
              <w:t>pH 7, 20°C: DT</w:t>
            </w:r>
            <w:r w:rsidRPr="002E00B6">
              <w:rPr>
                <w:vertAlign w:val="subscript"/>
              </w:rPr>
              <w:t>50</w:t>
            </w:r>
            <w:r>
              <w:t xml:space="preserve"> 23 min</w:t>
            </w:r>
          </w:p>
          <w:p w14:paraId="3C7E283C" w14:textId="11C724C1" w:rsidR="00EC47E5" w:rsidRDefault="00EC47E5" w:rsidP="00377F3A">
            <w:pPr>
              <w:pStyle w:val="TableText"/>
            </w:pPr>
            <w:r>
              <w:t>with artificial sunlight</w:t>
            </w:r>
          </w:p>
        </w:tc>
        <w:tc>
          <w:tcPr>
            <w:tcW w:w="1103" w:type="pct"/>
            <w:tcBorders>
              <w:top w:val="nil"/>
              <w:bottom w:val="nil"/>
            </w:tcBorders>
          </w:tcPr>
          <w:p w14:paraId="4EDA4915" w14:textId="071E4CE0" w:rsidR="00EC47E5" w:rsidRDefault="00EC47E5" w:rsidP="00377F3A">
            <w:pPr>
              <w:pStyle w:val="TableText"/>
            </w:pPr>
            <w:r>
              <w:t xml:space="preserve">Lynn </w:t>
            </w:r>
            <w:r w:rsidR="00B7183A" w:rsidRPr="00B7183A">
              <w:rPr>
                <w:i/>
                <w:iCs/>
              </w:rPr>
              <w:t>et al</w:t>
            </w:r>
            <w:r>
              <w:t>. 2003</w:t>
            </w:r>
          </w:p>
        </w:tc>
      </w:tr>
      <w:tr w:rsidR="00EC47E5" w:rsidRPr="000B2FA7" w14:paraId="6EB28196" w14:textId="77777777" w:rsidTr="00EC47E5">
        <w:trPr>
          <w:cantSplit/>
        </w:trPr>
        <w:tc>
          <w:tcPr>
            <w:tcW w:w="847" w:type="pct"/>
            <w:tcBorders>
              <w:top w:val="nil"/>
              <w:left w:val="nil"/>
              <w:bottom w:val="nil"/>
            </w:tcBorders>
          </w:tcPr>
          <w:p w14:paraId="4F59642B" w14:textId="77777777" w:rsidR="00EC47E5" w:rsidRDefault="00EC47E5" w:rsidP="00377F3A">
            <w:pPr>
              <w:pStyle w:val="TableText"/>
            </w:pPr>
          </w:p>
        </w:tc>
        <w:tc>
          <w:tcPr>
            <w:tcW w:w="843" w:type="pct"/>
            <w:tcBorders>
              <w:top w:val="nil"/>
              <w:left w:val="nil"/>
              <w:bottom w:val="nil"/>
            </w:tcBorders>
          </w:tcPr>
          <w:p w14:paraId="336496D8" w14:textId="51223899" w:rsidR="00EC47E5" w:rsidRDefault="00EC47E5" w:rsidP="00377F3A">
            <w:pPr>
              <w:pStyle w:val="TableText"/>
            </w:pPr>
            <w:r>
              <w:t>Readily biodegradable</w:t>
            </w:r>
          </w:p>
        </w:tc>
        <w:tc>
          <w:tcPr>
            <w:tcW w:w="2207" w:type="pct"/>
            <w:tcBorders>
              <w:top w:val="nil"/>
              <w:bottom w:val="nil"/>
            </w:tcBorders>
          </w:tcPr>
          <w:p w14:paraId="34FBB26A" w14:textId="28E22F02" w:rsidR="00EC47E5" w:rsidRDefault="00EC47E5" w:rsidP="00377F3A">
            <w:pPr>
              <w:pStyle w:val="TableText"/>
            </w:pPr>
            <w:r>
              <w:t>No</w:t>
            </w:r>
          </w:p>
        </w:tc>
        <w:tc>
          <w:tcPr>
            <w:tcW w:w="1103" w:type="pct"/>
            <w:tcBorders>
              <w:top w:val="nil"/>
              <w:bottom w:val="nil"/>
            </w:tcBorders>
          </w:tcPr>
          <w:p w14:paraId="36F84D19" w14:textId="08322903" w:rsidR="00EC47E5" w:rsidRDefault="00EC47E5" w:rsidP="00377F3A">
            <w:pPr>
              <w:pStyle w:val="TableText"/>
            </w:pPr>
            <w:r>
              <w:t>Daniel &amp; Swarbrick 2003a</w:t>
            </w:r>
          </w:p>
        </w:tc>
      </w:tr>
      <w:tr w:rsidR="00EC47E5" w:rsidRPr="000B2FA7" w14:paraId="43744651" w14:textId="77777777" w:rsidTr="00EC47E5">
        <w:trPr>
          <w:cantSplit/>
        </w:trPr>
        <w:tc>
          <w:tcPr>
            <w:tcW w:w="847" w:type="pct"/>
            <w:tcBorders>
              <w:top w:val="nil"/>
              <w:left w:val="nil"/>
              <w:bottom w:val="single" w:sz="4" w:space="0" w:color="auto"/>
            </w:tcBorders>
          </w:tcPr>
          <w:p w14:paraId="476AD9CA" w14:textId="77777777" w:rsidR="00EC47E5" w:rsidRDefault="00EC47E5" w:rsidP="00377F3A">
            <w:pPr>
              <w:pStyle w:val="TableText"/>
            </w:pPr>
          </w:p>
        </w:tc>
        <w:tc>
          <w:tcPr>
            <w:tcW w:w="843" w:type="pct"/>
            <w:tcBorders>
              <w:top w:val="nil"/>
              <w:left w:val="nil"/>
              <w:bottom w:val="single" w:sz="4" w:space="0" w:color="auto"/>
            </w:tcBorders>
          </w:tcPr>
          <w:p w14:paraId="6931FF29" w14:textId="5EBA741B" w:rsidR="00EC47E5" w:rsidRDefault="00EC47E5" w:rsidP="00377F3A">
            <w:pPr>
              <w:pStyle w:val="TableText"/>
            </w:pPr>
            <w:r>
              <w:t>Anaerobic biodegradable</w:t>
            </w:r>
          </w:p>
        </w:tc>
        <w:tc>
          <w:tcPr>
            <w:tcW w:w="2207" w:type="pct"/>
            <w:tcBorders>
              <w:top w:val="nil"/>
              <w:bottom w:val="single" w:sz="4" w:space="0" w:color="auto"/>
            </w:tcBorders>
          </w:tcPr>
          <w:p w14:paraId="3E16AD7F" w14:textId="3205121E" w:rsidR="00EC47E5" w:rsidRDefault="00EC47E5" w:rsidP="00377F3A">
            <w:pPr>
              <w:pStyle w:val="TableText"/>
            </w:pPr>
            <w:r>
              <w:t>No</w:t>
            </w:r>
          </w:p>
        </w:tc>
        <w:tc>
          <w:tcPr>
            <w:tcW w:w="1103" w:type="pct"/>
            <w:tcBorders>
              <w:top w:val="nil"/>
              <w:bottom w:val="single" w:sz="4" w:space="0" w:color="auto"/>
            </w:tcBorders>
          </w:tcPr>
          <w:p w14:paraId="070AC6AB" w14:textId="0794C85E" w:rsidR="00EC47E5" w:rsidRDefault="00EC47E5" w:rsidP="00377F3A">
            <w:pPr>
              <w:pStyle w:val="TableText"/>
            </w:pPr>
            <w:r>
              <w:t>Daniel &amp; Swarbrick 2003b</w:t>
            </w:r>
          </w:p>
        </w:tc>
      </w:tr>
      <w:tr w:rsidR="00EC47E5" w:rsidRPr="000B2FA7" w14:paraId="50770013" w14:textId="77777777" w:rsidTr="00EC47E5">
        <w:trPr>
          <w:cantSplit/>
        </w:trPr>
        <w:tc>
          <w:tcPr>
            <w:tcW w:w="847" w:type="pct"/>
            <w:tcBorders>
              <w:top w:val="single" w:sz="4" w:space="0" w:color="auto"/>
              <w:left w:val="nil"/>
              <w:bottom w:val="single" w:sz="4" w:space="0" w:color="auto"/>
            </w:tcBorders>
          </w:tcPr>
          <w:p w14:paraId="33D7F4AD" w14:textId="7FA427C4" w:rsidR="00EC47E5" w:rsidRDefault="00EC47E5" w:rsidP="00377F3A">
            <w:pPr>
              <w:pStyle w:val="TableText"/>
            </w:pPr>
            <w:r>
              <w:t>Air</w:t>
            </w:r>
          </w:p>
        </w:tc>
        <w:tc>
          <w:tcPr>
            <w:tcW w:w="843" w:type="pct"/>
            <w:tcBorders>
              <w:top w:val="single" w:sz="4" w:space="0" w:color="auto"/>
              <w:left w:val="nil"/>
              <w:bottom w:val="single" w:sz="4" w:space="0" w:color="auto"/>
            </w:tcBorders>
          </w:tcPr>
          <w:p w14:paraId="7ED2576B" w14:textId="09BCE262" w:rsidR="00EC47E5" w:rsidRDefault="00EC47E5" w:rsidP="00377F3A">
            <w:pPr>
              <w:pStyle w:val="TableText"/>
            </w:pPr>
            <w:r>
              <w:t>Tropospheric degradation</w:t>
            </w:r>
          </w:p>
        </w:tc>
        <w:tc>
          <w:tcPr>
            <w:tcW w:w="2207" w:type="pct"/>
            <w:tcBorders>
              <w:top w:val="single" w:sz="4" w:space="0" w:color="auto"/>
              <w:bottom w:val="single" w:sz="4" w:space="0" w:color="auto"/>
            </w:tcBorders>
          </w:tcPr>
          <w:p w14:paraId="2E4572D0" w14:textId="77777777" w:rsidR="00EC47E5" w:rsidRDefault="00EC47E5" w:rsidP="00377F3A">
            <w:pPr>
              <w:pStyle w:val="TableText"/>
            </w:pPr>
            <w:r>
              <w:t>DT</w:t>
            </w:r>
            <w:r w:rsidRPr="00642D1D">
              <w:rPr>
                <w:vertAlign w:val="subscript"/>
              </w:rPr>
              <w:t>50</w:t>
            </w:r>
            <w:r>
              <w:t xml:space="preserve"> 2.2 h (OH radical reaction)</w:t>
            </w:r>
          </w:p>
          <w:p w14:paraId="667098DF" w14:textId="39526BA8" w:rsidR="00EC47E5" w:rsidRDefault="00EC47E5" w:rsidP="00377F3A">
            <w:pPr>
              <w:pStyle w:val="TableText"/>
            </w:pPr>
            <w:r>
              <w:t>DT</w:t>
            </w:r>
            <w:r w:rsidRPr="00642D1D">
              <w:rPr>
                <w:vertAlign w:val="subscript"/>
              </w:rPr>
              <w:t>50</w:t>
            </w:r>
            <w:r>
              <w:t xml:space="preserve"> 2.0 h (ozone reaction)</w:t>
            </w:r>
          </w:p>
        </w:tc>
        <w:tc>
          <w:tcPr>
            <w:tcW w:w="1103" w:type="pct"/>
            <w:tcBorders>
              <w:top w:val="single" w:sz="4" w:space="0" w:color="auto"/>
              <w:bottom w:val="single" w:sz="4" w:space="0" w:color="auto"/>
            </w:tcBorders>
          </w:tcPr>
          <w:p w14:paraId="08A581F3" w14:textId="29F8DA8F" w:rsidR="00EC47E5" w:rsidRDefault="00EC47E5" w:rsidP="00377F3A">
            <w:pPr>
              <w:pStyle w:val="TableText"/>
            </w:pPr>
            <w:r>
              <w:t>Curl 2004b</w:t>
            </w:r>
          </w:p>
        </w:tc>
      </w:tr>
      <w:tr w:rsidR="00EC47E5" w:rsidRPr="000B2FA7" w14:paraId="3D525EC7" w14:textId="77777777" w:rsidTr="00EC47E5">
        <w:trPr>
          <w:cantSplit/>
        </w:trPr>
        <w:tc>
          <w:tcPr>
            <w:tcW w:w="847" w:type="pct"/>
            <w:tcBorders>
              <w:top w:val="single" w:sz="4" w:space="0" w:color="auto"/>
              <w:left w:val="nil"/>
              <w:bottom w:val="single" w:sz="4" w:space="0" w:color="auto"/>
            </w:tcBorders>
          </w:tcPr>
          <w:p w14:paraId="29D91195" w14:textId="4FF6DDB9" w:rsidR="00EC47E5" w:rsidRDefault="00EC47E5" w:rsidP="00377F3A">
            <w:pPr>
              <w:pStyle w:val="TableText"/>
            </w:pPr>
            <w:r>
              <w:t>Biota</w:t>
            </w:r>
          </w:p>
        </w:tc>
        <w:tc>
          <w:tcPr>
            <w:tcW w:w="843" w:type="pct"/>
            <w:tcBorders>
              <w:top w:val="single" w:sz="4" w:space="0" w:color="auto"/>
              <w:left w:val="nil"/>
              <w:bottom w:val="single" w:sz="4" w:space="0" w:color="auto"/>
            </w:tcBorders>
          </w:tcPr>
          <w:p w14:paraId="078453B4" w14:textId="311EC4C5" w:rsidR="00EC47E5" w:rsidRPr="00EC47E5" w:rsidRDefault="00EC47E5" w:rsidP="00377F3A">
            <w:pPr>
              <w:pStyle w:val="TableText"/>
            </w:pPr>
            <w:r w:rsidRPr="00EC47E5">
              <w:t>Mouse</w:t>
            </w:r>
          </w:p>
        </w:tc>
        <w:tc>
          <w:tcPr>
            <w:tcW w:w="2207" w:type="pct"/>
            <w:tcBorders>
              <w:top w:val="single" w:sz="4" w:space="0" w:color="auto"/>
              <w:bottom w:val="single" w:sz="4" w:space="0" w:color="auto"/>
            </w:tcBorders>
          </w:tcPr>
          <w:p w14:paraId="7A8BDA4F" w14:textId="78C24CD7" w:rsidR="00EC47E5" w:rsidRDefault="00EC47E5" w:rsidP="00377F3A">
            <w:pPr>
              <w:pStyle w:val="TableText"/>
            </w:pPr>
            <w:r>
              <w:t>Liver DT</w:t>
            </w:r>
            <w:r w:rsidRPr="00F855FB">
              <w:rPr>
                <w:vertAlign w:val="subscript"/>
              </w:rPr>
              <w:t>50</w:t>
            </w:r>
            <w:r>
              <w:t xml:space="preserve"> 29 d</w:t>
            </w:r>
          </w:p>
        </w:tc>
        <w:tc>
          <w:tcPr>
            <w:tcW w:w="1103" w:type="pct"/>
            <w:tcBorders>
              <w:top w:val="single" w:sz="4" w:space="0" w:color="auto"/>
              <w:bottom w:val="single" w:sz="4" w:space="0" w:color="auto"/>
            </w:tcBorders>
          </w:tcPr>
          <w:p w14:paraId="6242F232" w14:textId="3077F469" w:rsidR="00EC47E5" w:rsidRDefault="00EC47E5" w:rsidP="00377F3A">
            <w:pPr>
              <w:pStyle w:val="TableText"/>
            </w:pPr>
            <w:r>
              <w:t xml:space="preserve">Vandenbroucke </w:t>
            </w:r>
            <w:r w:rsidR="00B7183A" w:rsidRPr="00B7183A">
              <w:rPr>
                <w:i/>
                <w:iCs/>
              </w:rPr>
              <w:t>et al</w:t>
            </w:r>
            <w:r>
              <w:t>. 2008</w:t>
            </w:r>
          </w:p>
        </w:tc>
      </w:tr>
    </w:tbl>
    <w:p w14:paraId="28044784" w14:textId="415C24A9" w:rsidR="00A12A97" w:rsidRPr="00122CA9" w:rsidRDefault="00D560AB" w:rsidP="00377F3A">
      <w:pPr>
        <w:pStyle w:val="Caption"/>
      </w:pPr>
      <w:bookmarkStart w:id="2111" w:name="_Toc213946107"/>
      <w:bookmarkStart w:id="2112" w:name="_Toc216695798"/>
      <w:r>
        <w:t xml:space="preserve">Table </w:t>
      </w:r>
      <w:r>
        <w:fldChar w:fldCharType="begin"/>
      </w:r>
      <w:r>
        <w:instrText xml:space="preserve"> SEQ Table \* ARABIC </w:instrText>
      </w:r>
      <w:r>
        <w:fldChar w:fldCharType="separate"/>
      </w:r>
      <w:r w:rsidR="003861AC">
        <w:rPr>
          <w:noProof/>
        </w:rPr>
        <w:t>136</w:t>
      </w:r>
      <w:r>
        <w:fldChar w:fldCharType="end"/>
      </w:r>
      <w:r>
        <w:t xml:space="preserve">: </w:t>
      </w:r>
      <w:r w:rsidR="00EC47E5">
        <w:t xml:space="preserve">Difethialone – </w:t>
      </w:r>
      <w:r w:rsidR="006A5695">
        <w:t>Residues</w:t>
      </w:r>
      <w:r w:rsidR="00FE61F1">
        <w:t xml:space="preserve"> </w:t>
      </w:r>
      <w:r w:rsidR="006A5695">
        <w:t>m</w:t>
      </w:r>
      <w:r w:rsidR="00A12A97">
        <w:t>onitoring data</w:t>
      </w:r>
      <w:bookmarkEnd w:id="2111"/>
      <w:bookmarkEnd w:id="2112"/>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2"/>
        <w:gridCol w:w="941"/>
        <w:gridCol w:w="6022"/>
        <w:gridCol w:w="1335"/>
      </w:tblGrid>
      <w:tr w:rsidR="0071004A" w:rsidRPr="003B5A86" w14:paraId="0C493B07" w14:textId="77777777" w:rsidTr="0017134F">
        <w:trPr>
          <w:cantSplit/>
          <w:tblHeader/>
        </w:trPr>
        <w:tc>
          <w:tcPr>
            <w:tcW w:w="0" w:type="auto"/>
            <w:tcBorders>
              <w:bottom w:val="single" w:sz="4" w:space="0" w:color="auto"/>
            </w:tcBorders>
            <w:shd w:val="clear" w:color="auto" w:fill="53284F"/>
          </w:tcPr>
          <w:p w14:paraId="5A8D1B19" w14:textId="77777777" w:rsidR="0071004A" w:rsidRPr="002A32B9" w:rsidRDefault="0071004A" w:rsidP="00377F3A">
            <w:pPr>
              <w:pStyle w:val="TableHead"/>
              <w:rPr>
                <w:lang w:eastAsia="en-AU"/>
              </w:rPr>
            </w:pPr>
            <w:r w:rsidRPr="002A32B9">
              <w:rPr>
                <w:lang w:eastAsia="en-AU"/>
              </w:rPr>
              <w:t>Compartment</w:t>
            </w:r>
          </w:p>
        </w:tc>
        <w:tc>
          <w:tcPr>
            <w:tcW w:w="0" w:type="auto"/>
            <w:tcBorders>
              <w:bottom w:val="single" w:sz="4" w:space="0" w:color="auto"/>
            </w:tcBorders>
            <w:shd w:val="clear" w:color="auto" w:fill="53284F"/>
          </w:tcPr>
          <w:p w14:paraId="725576AE" w14:textId="77777777" w:rsidR="0071004A" w:rsidRPr="002A32B9" w:rsidRDefault="0071004A" w:rsidP="00377F3A">
            <w:pPr>
              <w:pStyle w:val="TableHead"/>
              <w:rPr>
                <w:lang w:eastAsia="en-AU"/>
              </w:rPr>
            </w:pPr>
            <w:r w:rsidRPr="002A32B9">
              <w:rPr>
                <w:lang w:eastAsia="en-AU"/>
              </w:rPr>
              <w:t>Location</w:t>
            </w:r>
          </w:p>
        </w:tc>
        <w:tc>
          <w:tcPr>
            <w:tcW w:w="0" w:type="auto"/>
            <w:tcBorders>
              <w:bottom w:val="single" w:sz="4" w:space="0" w:color="auto"/>
            </w:tcBorders>
            <w:shd w:val="clear" w:color="auto" w:fill="53284F"/>
          </w:tcPr>
          <w:p w14:paraId="53B6E0EE" w14:textId="77777777" w:rsidR="0071004A" w:rsidRPr="002A32B9" w:rsidRDefault="0071004A" w:rsidP="00377F3A">
            <w:pPr>
              <w:pStyle w:val="TableHead"/>
              <w:rPr>
                <w:lang w:eastAsia="en-AU"/>
              </w:rPr>
            </w:pPr>
            <w:r w:rsidRPr="002A32B9">
              <w:rPr>
                <w:lang w:eastAsia="en-AU"/>
              </w:rPr>
              <w:t>Value</w:t>
            </w:r>
          </w:p>
        </w:tc>
        <w:tc>
          <w:tcPr>
            <w:tcW w:w="0" w:type="auto"/>
            <w:tcBorders>
              <w:bottom w:val="single" w:sz="4" w:space="0" w:color="auto"/>
            </w:tcBorders>
            <w:shd w:val="clear" w:color="auto" w:fill="53284F"/>
          </w:tcPr>
          <w:p w14:paraId="29DFDDB5" w14:textId="77777777" w:rsidR="0071004A" w:rsidRPr="002A32B9" w:rsidRDefault="0071004A" w:rsidP="00377F3A">
            <w:pPr>
              <w:pStyle w:val="TableHead"/>
              <w:rPr>
                <w:lang w:eastAsia="en-AU"/>
              </w:rPr>
            </w:pPr>
            <w:r w:rsidRPr="002A32B9">
              <w:rPr>
                <w:lang w:eastAsia="en-AU"/>
              </w:rPr>
              <w:t>Reference</w:t>
            </w:r>
          </w:p>
        </w:tc>
      </w:tr>
      <w:tr w:rsidR="0071004A" w:rsidRPr="003B5A86" w14:paraId="6FA4D516" w14:textId="77777777" w:rsidTr="00EC47E5">
        <w:trPr>
          <w:cantSplit/>
          <w:trHeight w:val="13"/>
        </w:trPr>
        <w:tc>
          <w:tcPr>
            <w:tcW w:w="0" w:type="auto"/>
            <w:tcBorders>
              <w:top w:val="single" w:sz="4" w:space="0" w:color="auto"/>
              <w:left w:val="nil"/>
              <w:bottom w:val="single" w:sz="4" w:space="0" w:color="auto"/>
              <w:right w:val="nil"/>
            </w:tcBorders>
          </w:tcPr>
          <w:p w14:paraId="72A4D908" w14:textId="77777777" w:rsidR="0071004A" w:rsidRPr="00E673EB" w:rsidRDefault="0071004A"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3926F0CE"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25F0F411" w14:textId="77777777" w:rsidR="0071004A" w:rsidRPr="00E673EB" w:rsidRDefault="0071004A" w:rsidP="00377F3A">
            <w:pPr>
              <w:pStyle w:val="TableText"/>
            </w:pPr>
            <w:r w:rsidRPr="00E673EB">
              <w:t>&lt;LOQ (1.4 µg/kg) in suspended particulate matter at 16 sampling locations in German rivers in 2015</w:t>
            </w:r>
          </w:p>
        </w:tc>
        <w:tc>
          <w:tcPr>
            <w:tcW w:w="0" w:type="auto"/>
            <w:tcBorders>
              <w:top w:val="single" w:sz="4" w:space="0" w:color="auto"/>
              <w:left w:val="nil"/>
              <w:bottom w:val="single" w:sz="4" w:space="0" w:color="auto"/>
              <w:right w:val="nil"/>
            </w:tcBorders>
          </w:tcPr>
          <w:p w14:paraId="27CFF2DD" w14:textId="04E8269E"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rsidRPr="003B5A86" w14:paraId="5D2F6270" w14:textId="77777777" w:rsidTr="00EC47E5">
        <w:trPr>
          <w:cantSplit/>
          <w:trHeight w:val="13"/>
        </w:trPr>
        <w:tc>
          <w:tcPr>
            <w:tcW w:w="0" w:type="auto"/>
            <w:tcBorders>
              <w:top w:val="single" w:sz="4" w:space="0" w:color="auto"/>
              <w:left w:val="nil"/>
              <w:bottom w:val="nil"/>
              <w:right w:val="nil"/>
            </w:tcBorders>
          </w:tcPr>
          <w:p w14:paraId="1B3FBF07" w14:textId="77777777" w:rsidR="0071004A" w:rsidRPr="00E673EB" w:rsidRDefault="0071004A" w:rsidP="00377F3A">
            <w:pPr>
              <w:pStyle w:val="TableText"/>
              <w:rPr>
                <w:lang w:eastAsia="en-AU"/>
              </w:rPr>
            </w:pPr>
            <w:r w:rsidRPr="00E673EB">
              <w:rPr>
                <w:lang w:eastAsia="en-AU"/>
              </w:rPr>
              <w:lastRenderedPageBreak/>
              <w:t>Target rodents</w:t>
            </w:r>
          </w:p>
        </w:tc>
        <w:tc>
          <w:tcPr>
            <w:tcW w:w="0" w:type="auto"/>
            <w:tcBorders>
              <w:top w:val="single" w:sz="4" w:space="0" w:color="auto"/>
              <w:left w:val="nil"/>
              <w:bottom w:val="nil"/>
              <w:right w:val="nil"/>
            </w:tcBorders>
          </w:tcPr>
          <w:p w14:paraId="779022F1" w14:textId="77777777" w:rsidR="0071004A" w:rsidRPr="00E673EB" w:rsidRDefault="0071004A" w:rsidP="00377F3A">
            <w:pPr>
              <w:pStyle w:val="TableText"/>
            </w:pPr>
            <w:r>
              <w:t>-</w:t>
            </w:r>
          </w:p>
        </w:tc>
        <w:tc>
          <w:tcPr>
            <w:tcW w:w="0" w:type="auto"/>
            <w:tcBorders>
              <w:top w:val="single" w:sz="4" w:space="0" w:color="auto"/>
              <w:left w:val="nil"/>
              <w:bottom w:val="nil"/>
              <w:right w:val="nil"/>
            </w:tcBorders>
          </w:tcPr>
          <w:p w14:paraId="6F99689D" w14:textId="42700427" w:rsidR="0071004A" w:rsidRPr="00E673EB" w:rsidRDefault="0071004A" w:rsidP="00377F3A">
            <w:pPr>
              <w:pStyle w:val="TableText"/>
            </w:pPr>
            <w:r w:rsidRPr="00E673EB">
              <w:t>Max whole body residues 2.8 mg/kg after 3d consumption and 3.1 mg/kg after continuous consumption until death (4-7d) of 25 mg a</w:t>
            </w:r>
            <w:r w:rsidR="00C874AD">
              <w:t>.</w:t>
            </w:r>
            <w:r w:rsidRPr="00E673EB">
              <w:t>c</w:t>
            </w:r>
            <w:r w:rsidR="00C874AD">
              <w:t>.</w:t>
            </w:r>
            <w:r w:rsidRPr="00E673EB">
              <w:t>/kg bait</w:t>
            </w:r>
          </w:p>
        </w:tc>
        <w:tc>
          <w:tcPr>
            <w:tcW w:w="0" w:type="auto"/>
            <w:tcBorders>
              <w:top w:val="single" w:sz="4" w:space="0" w:color="auto"/>
              <w:left w:val="nil"/>
              <w:bottom w:val="nil"/>
              <w:right w:val="nil"/>
            </w:tcBorders>
          </w:tcPr>
          <w:p w14:paraId="6B4F52FB" w14:textId="77777777" w:rsidR="0071004A" w:rsidRPr="00E673EB" w:rsidRDefault="0071004A" w:rsidP="00377F3A">
            <w:pPr>
              <w:pStyle w:val="TableText"/>
            </w:pPr>
            <w:r w:rsidRPr="00E673EB">
              <w:t>Savarie 2005</w:t>
            </w:r>
          </w:p>
        </w:tc>
      </w:tr>
      <w:tr w:rsidR="0071004A" w:rsidRPr="003B5A86" w14:paraId="70F049B3" w14:textId="77777777" w:rsidTr="00EC47E5">
        <w:trPr>
          <w:cantSplit/>
          <w:trHeight w:val="13"/>
        </w:trPr>
        <w:tc>
          <w:tcPr>
            <w:tcW w:w="0" w:type="auto"/>
            <w:tcBorders>
              <w:top w:val="nil"/>
              <w:left w:val="nil"/>
              <w:bottom w:val="single" w:sz="4" w:space="0" w:color="auto"/>
              <w:right w:val="nil"/>
            </w:tcBorders>
          </w:tcPr>
          <w:p w14:paraId="231963B1"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2012550B"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7A55555E" w14:textId="1FA9C59C" w:rsidR="0071004A" w:rsidRPr="00E673EB" w:rsidRDefault="0071004A" w:rsidP="00377F3A">
            <w:pPr>
              <w:pStyle w:val="TableText"/>
            </w:pPr>
            <w:r w:rsidRPr="00E673EB">
              <w:t>Mean whole body residues 2.0 mg/kg after 3d consumption or continuous consumption until death of 25 mg a</w:t>
            </w:r>
            <w:r w:rsidR="00C874AD">
              <w:t>.</w:t>
            </w:r>
            <w:r w:rsidRPr="00E673EB">
              <w:t>c</w:t>
            </w:r>
            <w:r w:rsidR="00C874AD">
              <w:t>.</w:t>
            </w:r>
            <w:r w:rsidRPr="00E673EB">
              <w:t>/kg bait</w:t>
            </w:r>
          </w:p>
        </w:tc>
        <w:tc>
          <w:tcPr>
            <w:tcW w:w="0" w:type="auto"/>
            <w:tcBorders>
              <w:top w:val="nil"/>
              <w:left w:val="nil"/>
              <w:bottom w:val="single" w:sz="4" w:space="0" w:color="auto"/>
              <w:right w:val="nil"/>
            </w:tcBorders>
          </w:tcPr>
          <w:p w14:paraId="36B8F734" w14:textId="591E3BA6" w:rsidR="0071004A" w:rsidRPr="00E673EB" w:rsidRDefault="0071004A" w:rsidP="00377F3A">
            <w:pPr>
              <w:pStyle w:val="TableText"/>
            </w:pPr>
            <w:r w:rsidRPr="00E673EB">
              <w:t xml:space="preserve">Goldade </w:t>
            </w:r>
            <w:r w:rsidR="00B7183A" w:rsidRPr="00B7183A">
              <w:rPr>
                <w:i/>
                <w:iCs/>
              </w:rPr>
              <w:t>et al</w:t>
            </w:r>
            <w:r w:rsidRPr="00E673EB">
              <w:t>. 2001</w:t>
            </w:r>
          </w:p>
        </w:tc>
      </w:tr>
      <w:tr w:rsidR="0071004A" w:rsidRPr="003B5A86" w14:paraId="6766A418" w14:textId="77777777" w:rsidTr="00EC47E5">
        <w:trPr>
          <w:cantSplit/>
          <w:trHeight w:val="13"/>
        </w:trPr>
        <w:tc>
          <w:tcPr>
            <w:tcW w:w="0" w:type="auto"/>
            <w:tcBorders>
              <w:top w:val="single" w:sz="4" w:space="0" w:color="auto"/>
              <w:left w:val="nil"/>
              <w:bottom w:val="nil"/>
              <w:right w:val="nil"/>
            </w:tcBorders>
          </w:tcPr>
          <w:p w14:paraId="67E429D7" w14:textId="77777777" w:rsidR="0071004A" w:rsidRPr="00E673EB" w:rsidRDefault="0071004A"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372616A4"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4B3F5CE1" w14:textId="77777777" w:rsidR="0071004A" w:rsidRPr="00E673EB" w:rsidRDefault="0071004A" w:rsidP="00377F3A">
            <w:pPr>
              <w:pStyle w:val="TableText"/>
            </w:pPr>
            <w:r w:rsidRPr="00E673EB">
              <w:t>Not detected in brushtail possums in rural &amp; urban areas across Australia between 2006 and 2021</w:t>
            </w:r>
          </w:p>
        </w:tc>
        <w:tc>
          <w:tcPr>
            <w:tcW w:w="0" w:type="auto"/>
            <w:tcBorders>
              <w:top w:val="single" w:sz="4" w:space="0" w:color="auto"/>
              <w:left w:val="nil"/>
              <w:bottom w:val="nil"/>
              <w:right w:val="nil"/>
            </w:tcBorders>
          </w:tcPr>
          <w:p w14:paraId="58DB12A2" w14:textId="77777777" w:rsidR="0071004A" w:rsidRPr="00E673EB" w:rsidRDefault="0071004A" w:rsidP="00377F3A">
            <w:pPr>
              <w:pStyle w:val="TableText"/>
            </w:pPr>
            <w:r w:rsidRPr="00E673EB">
              <w:t>WHA 2022</w:t>
            </w:r>
          </w:p>
        </w:tc>
      </w:tr>
      <w:tr w:rsidR="0071004A" w14:paraId="1A5C75F1" w14:textId="77777777" w:rsidTr="00EC47E5">
        <w:trPr>
          <w:cantSplit/>
          <w:trHeight w:val="13"/>
        </w:trPr>
        <w:tc>
          <w:tcPr>
            <w:tcW w:w="0" w:type="auto"/>
            <w:tcBorders>
              <w:top w:val="nil"/>
              <w:left w:val="nil"/>
              <w:bottom w:val="nil"/>
              <w:right w:val="nil"/>
            </w:tcBorders>
          </w:tcPr>
          <w:p w14:paraId="384FD878"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A304736" w14:textId="77777777" w:rsidR="0071004A" w:rsidRPr="00E673EB" w:rsidRDefault="0071004A" w:rsidP="00377F3A">
            <w:pPr>
              <w:pStyle w:val="TableText"/>
            </w:pPr>
          </w:p>
        </w:tc>
        <w:tc>
          <w:tcPr>
            <w:tcW w:w="0" w:type="auto"/>
            <w:tcBorders>
              <w:top w:val="nil"/>
              <w:left w:val="nil"/>
              <w:bottom w:val="nil"/>
              <w:right w:val="nil"/>
            </w:tcBorders>
          </w:tcPr>
          <w:p w14:paraId="5928D7BB" w14:textId="77777777" w:rsidR="0071004A" w:rsidRPr="00E673EB" w:rsidRDefault="0071004A" w:rsidP="00377F3A">
            <w:pPr>
              <w:pStyle w:val="TableText"/>
            </w:pPr>
            <w:r w:rsidRPr="00E673EB">
              <w:t>Max liver residues 10 µg/kg in 3/53 brushtail possums, 66 µg/kg in 1/82 ringtail possums in Victoria in 2022</w:t>
            </w:r>
          </w:p>
        </w:tc>
        <w:tc>
          <w:tcPr>
            <w:tcW w:w="0" w:type="auto"/>
            <w:tcBorders>
              <w:top w:val="nil"/>
              <w:left w:val="nil"/>
              <w:bottom w:val="nil"/>
              <w:right w:val="nil"/>
            </w:tcBorders>
          </w:tcPr>
          <w:p w14:paraId="0EE8F71B" w14:textId="77E332FE" w:rsidR="0071004A" w:rsidRPr="00E673EB" w:rsidRDefault="0071004A" w:rsidP="00377F3A">
            <w:pPr>
              <w:pStyle w:val="TableText"/>
            </w:pPr>
            <w:r w:rsidRPr="00E673EB">
              <w:t xml:space="preserve">Scammell </w:t>
            </w:r>
            <w:r w:rsidR="00B7183A" w:rsidRPr="00B7183A">
              <w:rPr>
                <w:i/>
                <w:iCs/>
              </w:rPr>
              <w:t>et al</w:t>
            </w:r>
            <w:r w:rsidRPr="00E673EB">
              <w:t>. 2024</w:t>
            </w:r>
          </w:p>
        </w:tc>
      </w:tr>
      <w:tr w:rsidR="0071004A" w:rsidRPr="003B5A86" w14:paraId="0FFC9433" w14:textId="77777777" w:rsidTr="00EC47E5">
        <w:trPr>
          <w:cantSplit/>
          <w:trHeight w:val="13"/>
        </w:trPr>
        <w:tc>
          <w:tcPr>
            <w:tcW w:w="0" w:type="auto"/>
            <w:tcBorders>
              <w:top w:val="nil"/>
              <w:left w:val="nil"/>
              <w:bottom w:val="nil"/>
              <w:right w:val="nil"/>
            </w:tcBorders>
          </w:tcPr>
          <w:p w14:paraId="7C3B778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0657B45" w14:textId="77777777" w:rsidR="0071004A" w:rsidRPr="00E673EB" w:rsidRDefault="0071004A" w:rsidP="00377F3A">
            <w:pPr>
              <w:pStyle w:val="TableText"/>
            </w:pPr>
            <w:r>
              <w:t>Europe</w:t>
            </w:r>
          </w:p>
        </w:tc>
        <w:tc>
          <w:tcPr>
            <w:tcW w:w="0" w:type="auto"/>
            <w:tcBorders>
              <w:top w:val="nil"/>
              <w:left w:val="nil"/>
              <w:bottom w:val="nil"/>
              <w:right w:val="nil"/>
            </w:tcBorders>
          </w:tcPr>
          <w:p w14:paraId="2036B80C" w14:textId="77777777" w:rsidR="0071004A" w:rsidRPr="00E673EB" w:rsidRDefault="0071004A" w:rsidP="00377F3A">
            <w:pPr>
              <w:pStyle w:val="TableText"/>
            </w:pPr>
            <w:r w:rsidRPr="00E673EB">
              <w:t>Liver residues 5.9 µg/kg in 1/51 wild boars in urban area (not detected in muscle); not detected in liver or muscle of 20 wild boars in suburban area or 13 in rural area of Spain</w:t>
            </w:r>
          </w:p>
        </w:tc>
        <w:tc>
          <w:tcPr>
            <w:tcW w:w="0" w:type="auto"/>
            <w:tcBorders>
              <w:top w:val="nil"/>
              <w:left w:val="nil"/>
              <w:bottom w:val="nil"/>
              <w:right w:val="nil"/>
            </w:tcBorders>
          </w:tcPr>
          <w:p w14:paraId="6E3F5DC1" w14:textId="62284125" w:rsidR="0071004A" w:rsidRPr="00E673EB" w:rsidRDefault="0071004A" w:rsidP="00377F3A">
            <w:pPr>
              <w:pStyle w:val="TableText"/>
            </w:pPr>
            <w:r w:rsidRPr="00E673EB">
              <w:t xml:space="preserve">Alabau </w:t>
            </w:r>
            <w:r w:rsidR="00B7183A" w:rsidRPr="00B7183A">
              <w:rPr>
                <w:i/>
                <w:iCs/>
              </w:rPr>
              <w:t>et al</w:t>
            </w:r>
            <w:r w:rsidRPr="00E673EB">
              <w:t>. 2020</w:t>
            </w:r>
          </w:p>
        </w:tc>
      </w:tr>
      <w:tr w:rsidR="0071004A" w14:paraId="02C075B0" w14:textId="77777777" w:rsidTr="00EC47E5">
        <w:trPr>
          <w:cantSplit/>
          <w:trHeight w:val="13"/>
        </w:trPr>
        <w:tc>
          <w:tcPr>
            <w:tcW w:w="0" w:type="auto"/>
            <w:tcBorders>
              <w:top w:val="nil"/>
              <w:left w:val="nil"/>
              <w:bottom w:val="nil"/>
              <w:right w:val="nil"/>
            </w:tcBorders>
          </w:tcPr>
          <w:p w14:paraId="6BFAC2AB" w14:textId="14BC230F" w:rsidR="0071004A" w:rsidRPr="00E673EB" w:rsidRDefault="0071004A" w:rsidP="00377F3A">
            <w:pPr>
              <w:pStyle w:val="TableText"/>
              <w:rPr>
                <w:lang w:eastAsia="en-AU"/>
              </w:rPr>
            </w:pPr>
          </w:p>
        </w:tc>
        <w:tc>
          <w:tcPr>
            <w:tcW w:w="0" w:type="auto"/>
            <w:tcBorders>
              <w:top w:val="nil"/>
              <w:left w:val="nil"/>
              <w:bottom w:val="nil"/>
              <w:right w:val="nil"/>
            </w:tcBorders>
          </w:tcPr>
          <w:p w14:paraId="0E0AFE74" w14:textId="1099C1C1" w:rsidR="0071004A" w:rsidRPr="00E673EB" w:rsidRDefault="0071004A" w:rsidP="00377F3A">
            <w:pPr>
              <w:pStyle w:val="TableText"/>
            </w:pPr>
          </w:p>
        </w:tc>
        <w:tc>
          <w:tcPr>
            <w:tcW w:w="0" w:type="auto"/>
            <w:tcBorders>
              <w:top w:val="nil"/>
              <w:left w:val="nil"/>
              <w:bottom w:val="nil"/>
              <w:right w:val="nil"/>
            </w:tcBorders>
          </w:tcPr>
          <w:p w14:paraId="56D06402" w14:textId="77777777" w:rsidR="0071004A" w:rsidRPr="00E673EB" w:rsidRDefault="0071004A" w:rsidP="00377F3A">
            <w:pPr>
              <w:pStyle w:val="TableText"/>
            </w:pPr>
            <w:r w:rsidRPr="00E673EB">
              <w:t>Max liver residues 256 µg/kg in 4/106 Algerian hedgehogs, 142 µg/kg in 2/48 European hedgehogs in Mediterranean region of Spain between 2011 and 2013</w:t>
            </w:r>
          </w:p>
        </w:tc>
        <w:tc>
          <w:tcPr>
            <w:tcW w:w="0" w:type="auto"/>
            <w:tcBorders>
              <w:top w:val="nil"/>
              <w:left w:val="nil"/>
              <w:bottom w:val="nil"/>
              <w:right w:val="nil"/>
            </w:tcBorders>
          </w:tcPr>
          <w:p w14:paraId="13997F97" w14:textId="3D58007C" w:rsidR="0071004A" w:rsidRPr="00E673EB" w:rsidRDefault="0071004A" w:rsidP="00377F3A">
            <w:pPr>
              <w:pStyle w:val="TableText"/>
            </w:pPr>
            <w:r w:rsidRPr="00E673EB">
              <w:t xml:space="preserve">López-Perea </w:t>
            </w:r>
            <w:r w:rsidR="00B7183A" w:rsidRPr="00B7183A">
              <w:rPr>
                <w:i/>
                <w:iCs/>
              </w:rPr>
              <w:t>et al</w:t>
            </w:r>
            <w:r w:rsidRPr="00E673EB">
              <w:t>. 2015</w:t>
            </w:r>
          </w:p>
        </w:tc>
      </w:tr>
      <w:tr w:rsidR="0071004A" w14:paraId="6D786A65" w14:textId="77777777" w:rsidTr="00EC47E5">
        <w:trPr>
          <w:cantSplit/>
          <w:trHeight w:val="13"/>
        </w:trPr>
        <w:tc>
          <w:tcPr>
            <w:tcW w:w="0" w:type="auto"/>
            <w:tcBorders>
              <w:top w:val="nil"/>
              <w:left w:val="nil"/>
              <w:bottom w:val="nil"/>
              <w:right w:val="nil"/>
            </w:tcBorders>
          </w:tcPr>
          <w:p w14:paraId="4E69E60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4FAA2ACD" w14:textId="77777777" w:rsidR="0071004A" w:rsidRPr="00E673EB" w:rsidRDefault="0071004A" w:rsidP="00377F3A">
            <w:pPr>
              <w:pStyle w:val="TableText"/>
            </w:pPr>
          </w:p>
        </w:tc>
        <w:tc>
          <w:tcPr>
            <w:tcW w:w="0" w:type="auto"/>
            <w:tcBorders>
              <w:top w:val="nil"/>
              <w:left w:val="nil"/>
              <w:bottom w:val="nil"/>
              <w:right w:val="nil"/>
            </w:tcBorders>
          </w:tcPr>
          <w:p w14:paraId="4E38E445" w14:textId="77777777" w:rsidR="0071004A" w:rsidRPr="00E673EB" w:rsidRDefault="0071004A" w:rsidP="00377F3A">
            <w:pPr>
              <w:pStyle w:val="TableText"/>
            </w:pPr>
            <w:r w:rsidRPr="00E673EB">
              <w:t>Max liver residues 926 µg/kg in 1/96 carnivores; not detected in 29 herbivores, 3 insectivores in Spain between 2005 and 2010</w:t>
            </w:r>
          </w:p>
        </w:tc>
        <w:tc>
          <w:tcPr>
            <w:tcW w:w="0" w:type="auto"/>
            <w:tcBorders>
              <w:top w:val="nil"/>
              <w:left w:val="nil"/>
              <w:bottom w:val="nil"/>
              <w:right w:val="nil"/>
            </w:tcBorders>
          </w:tcPr>
          <w:p w14:paraId="779A172F" w14:textId="741758EE"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rsidRPr="003B5A86" w14:paraId="6F745ADB" w14:textId="77777777" w:rsidTr="00EC47E5">
        <w:trPr>
          <w:cantSplit/>
          <w:trHeight w:val="13"/>
        </w:trPr>
        <w:tc>
          <w:tcPr>
            <w:tcW w:w="0" w:type="auto"/>
            <w:tcBorders>
              <w:top w:val="nil"/>
              <w:left w:val="nil"/>
              <w:bottom w:val="single" w:sz="4" w:space="0" w:color="auto"/>
              <w:right w:val="nil"/>
            </w:tcBorders>
          </w:tcPr>
          <w:p w14:paraId="0FFEC56D"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3BE8A1CB" w14:textId="77777777" w:rsidR="0071004A" w:rsidRPr="00E673EB" w:rsidRDefault="0071004A" w:rsidP="00377F3A">
            <w:pPr>
              <w:pStyle w:val="TableText"/>
            </w:pPr>
            <w:r w:rsidRPr="00E673EB">
              <w:t>South Africa</w:t>
            </w:r>
          </w:p>
        </w:tc>
        <w:tc>
          <w:tcPr>
            <w:tcW w:w="0" w:type="auto"/>
            <w:tcBorders>
              <w:top w:val="nil"/>
              <w:left w:val="nil"/>
              <w:bottom w:val="single" w:sz="4" w:space="0" w:color="auto"/>
              <w:right w:val="nil"/>
            </w:tcBorders>
          </w:tcPr>
          <w:p w14:paraId="6693AF40" w14:textId="77777777" w:rsidR="0071004A" w:rsidRPr="00E673EB" w:rsidRDefault="0071004A" w:rsidP="00377F3A">
            <w:pPr>
              <w:pStyle w:val="TableText"/>
            </w:pPr>
            <w:r w:rsidRPr="00E673EB">
              <w:t>Mean liver residues 50 µg/kg in 22/24 caracals in Greater Cape Town, South Africa between 2014 and 2017</w:t>
            </w:r>
          </w:p>
        </w:tc>
        <w:tc>
          <w:tcPr>
            <w:tcW w:w="0" w:type="auto"/>
            <w:tcBorders>
              <w:top w:val="nil"/>
              <w:left w:val="nil"/>
              <w:bottom w:val="single" w:sz="4" w:space="0" w:color="auto"/>
              <w:right w:val="nil"/>
            </w:tcBorders>
          </w:tcPr>
          <w:p w14:paraId="4AB72788" w14:textId="3EBB9208" w:rsidR="0071004A" w:rsidRPr="00E673EB" w:rsidRDefault="0071004A" w:rsidP="00377F3A">
            <w:pPr>
              <w:pStyle w:val="TableText"/>
            </w:pPr>
            <w:r w:rsidRPr="00E673EB">
              <w:t xml:space="preserve">Serieys </w:t>
            </w:r>
            <w:r w:rsidR="00B7183A" w:rsidRPr="00B7183A">
              <w:rPr>
                <w:i/>
                <w:iCs/>
              </w:rPr>
              <w:t>et al</w:t>
            </w:r>
            <w:r w:rsidRPr="00E673EB">
              <w:t>. 2019</w:t>
            </w:r>
          </w:p>
        </w:tc>
      </w:tr>
      <w:tr w:rsidR="0071004A" w:rsidRPr="003B5A86" w14:paraId="6CEECBA8" w14:textId="77777777" w:rsidTr="00EC47E5">
        <w:trPr>
          <w:cantSplit/>
          <w:trHeight w:val="13"/>
        </w:trPr>
        <w:tc>
          <w:tcPr>
            <w:tcW w:w="0" w:type="auto"/>
            <w:tcBorders>
              <w:top w:val="single" w:sz="4" w:space="0" w:color="auto"/>
              <w:left w:val="nil"/>
              <w:bottom w:val="nil"/>
              <w:right w:val="nil"/>
            </w:tcBorders>
          </w:tcPr>
          <w:p w14:paraId="51E7781B" w14:textId="77777777" w:rsidR="0071004A" w:rsidRPr="00E673EB" w:rsidRDefault="0071004A"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37F793C1" w14:textId="77777777" w:rsidR="0071004A" w:rsidRPr="00E673EB" w:rsidRDefault="0071004A" w:rsidP="00377F3A">
            <w:pPr>
              <w:pStyle w:val="TableText"/>
            </w:pPr>
            <w:r w:rsidRPr="00E673EB">
              <w:t>Australia</w:t>
            </w:r>
          </w:p>
        </w:tc>
        <w:tc>
          <w:tcPr>
            <w:tcW w:w="0" w:type="auto"/>
            <w:tcBorders>
              <w:top w:val="single" w:sz="4" w:space="0" w:color="auto"/>
              <w:left w:val="nil"/>
              <w:bottom w:val="nil"/>
              <w:right w:val="nil"/>
            </w:tcBorders>
          </w:tcPr>
          <w:p w14:paraId="2FEC14D4" w14:textId="77777777" w:rsidR="0071004A" w:rsidRPr="00E673EB" w:rsidRDefault="0071004A" w:rsidP="00377F3A">
            <w:pPr>
              <w:pStyle w:val="TableText"/>
            </w:pPr>
            <w:r w:rsidRPr="00E673EB">
              <w:t>Max liver residues 690 µg/kg Australian kestrels, 190 µg/kg barn owls; not detected in little ravens, whistling kites, barking owls, southern boobooks, powerful owls, tawny frogmouths in rural &amp; urban areas across Australia between 2006 and 2021</w:t>
            </w:r>
          </w:p>
        </w:tc>
        <w:tc>
          <w:tcPr>
            <w:tcW w:w="0" w:type="auto"/>
            <w:tcBorders>
              <w:top w:val="single" w:sz="4" w:space="0" w:color="auto"/>
              <w:left w:val="nil"/>
              <w:bottom w:val="nil"/>
              <w:right w:val="nil"/>
            </w:tcBorders>
          </w:tcPr>
          <w:p w14:paraId="0EE7C7F5" w14:textId="77777777" w:rsidR="0071004A" w:rsidRPr="00E673EB" w:rsidRDefault="0071004A" w:rsidP="00377F3A">
            <w:pPr>
              <w:pStyle w:val="TableText"/>
            </w:pPr>
            <w:r w:rsidRPr="00E673EB">
              <w:t>WHA 2022</w:t>
            </w:r>
          </w:p>
        </w:tc>
      </w:tr>
      <w:tr w:rsidR="0071004A" w:rsidRPr="003B5A86" w14:paraId="6CBD8DB6" w14:textId="77777777" w:rsidTr="00EC47E5">
        <w:trPr>
          <w:cantSplit/>
          <w:trHeight w:val="13"/>
        </w:trPr>
        <w:tc>
          <w:tcPr>
            <w:tcW w:w="0" w:type="auto"/>
            <w:tcBorders>
              <w:top w:val="nil"/>
              <w:left w:val="nil"/>
              <w:bottom w:val="nil"/>
              <w:right w:val="nil"/>
            </w:tcBorders>
          </w:tcPr>
          <w:p w14:paraId="686C493B"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1D425AC4" w14:textId="77777777" w:rsidR="0071004A" w:rsidRPr="00E673EB" w:rsidRDefault="0071004A" w:rsidP="00377F3A">
            <w:pPr>
              <w:pStyle w:val="TableText"/>
            </w:pPr>
          </w:p>
        </w:tc>
        <w:tc>
          <w:tcPr>
            <w:tcW w:w="0" w:type="auto"/>
            <w:tcBorders>
              <w:top w:val="nil"/>
              <w:left w:val="nil"/>
              <w:bottom w:val="nil"/>
              <w:right w:val="nil"/>
            </w:tcBorders>
          </w:tcPr>
          <w:p w14:paraId="15A0CE1F" w14:textId="77777777" w:rsidR="0071004A" w:rsidRPr="00E673EB" w:rsidRDefault="0071004A" w:rsidP="00377F3A">
            <w:pPr>
              <w:pStyle w:val="TableText"/>
            </w:pPr>
            <w:r w:rsidRPr="00E673EB">
              <w:t xml:space="preserve">Max liver residues 6 µg/kg in 3/19 tawny frogmouths, 8 µg/kg in 2/24 powerful owls; not detected in 5 eastern barn owls, 12 southern boobooks in urban, forest, &amp; agricultural areas of Vic, SA &amp; NSW between 2003 and 2022 </w:t>
            </w:r>
          </w:p>
        </w:tc>
        <w:tc>
          <w:tcPr>
            <w:tcW w:w="0" w:type="auto"/>
            <w:tcBorders>
              <w:top w:val="nil"/>
              <w:left w:val="nil"/>
              <w:bottom w:val="nil"/>
              <w:right w:val="nil"/>
            </w:tcBorders>
          </w:tcPr>
          <w:p w14:paraId="55104896" w14:textId="3CDE0237" w:rsidR="0071004A" w:rsidRPr="00E673EB" w:rsidRDefault="0071004A" w:rsidP="00377F3A">
            <w:pPr>
              <w:pStyle w:val="TableText"/>
            </w:pPr>
            <w:r w:rsidRPr="00E673EB">
              <w:t xml:space="preserve">Cooke </w:t>
            </w:r>
            <w:r w:rsidR="00B7183A" w:rsidRPr="00B7183A">
              <w:rPr>
                <w:i/>
                <w:iCs/>
              </w:rPr>
              <w:t>et al</w:t>
            </w:r>
            <w:r w:rsidRPr="00E673EB">
              <w:t>. 2023</w:t>
            </w:r>
          </w:p>
        </w:tc>
      </w:tr>
      <w:tr w:rsidR="0071004A" w14:paraId="0821C2C6" w14:textId="77777777" w:rsidTr="00EC47E5">
        <w:trPr>
          <w:cantSplit/>
          <w:trHeight w:val="13"/>
        </w:trPr>
        <w:tc>
          <w:tcPr>
            <w:tcW w:w="0" w:type="auto"/>
            <w:tcBorders>
              <w:top w:val="nil"/>
              <w:left w:val="nil"/>
              <w:bottom w:val="nil"/>
              <w:right w:val="nil"/>
            </w:tcBorders>
          </w:tcPr>
          <w:p w14:paraId="77A0E365"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240800A" w14:textId="77777777" w:rsidR="0071004A" w:rsidRPr="00E673EB" w:rsidRDefault="0071004A" w:rsidP="00377F3A">
            <w:pPr>
              <w:pStyle w:val="TableText"/>
            </w:pPr>
          </w:p>
        </w:tc>
        <w:tc>
          <w:tcPr>
            <w:tcW w:w="0" w:type="auto"/>
            <w:tcBorders>
              <w:top w:val="nil"/>
              <w:left w:val="nil"/>
              <w:bottom w:val="nil"/>
              <w:right w:val="nil"/>
            </w:tcBorders>
          </w:tcPr>
          <w:p w14:paraId="2F7D04A2" w14:textId="77777777" w:rsidR="0071004A" w:rsidRPr="00E673EB" w:rsidRDefault="0071004A" w:rsidP="00377F3A">
            <w:pPr>
              <w:pStyle w:val="TableText"/>
            </w:pPr>
            <w:r w:rsidRPr="00E673EB">
              <w:t>Not detected in 5 Carnaby’s cockatoos from Kalamunda WA in 2024</w:t>
            </w:r>
          </w:p>
        </w:tc>
        <w:tc>
          <w:tcPr>
            <w:tcW w:w="0" w:type="auto"/>
            <w:tcBorders>
              <w:top w:val="nil"/>
              <w:left w:val="nil"/>
              <w:bottom w:val="nil"/>
              <w:right w:val="nil"/>
            </w:tcBorders>
          </w:tcPr>
          <w:p w14:paraId="6A277E36" w14:textId="2C07D27F" w:rsidR="0071004A" w:rsidRPr="00E673EB" w:rsidRDefault="0071004A" w:rsidP="00377F3A">
            <w:pPr>
              <w:pStyle w:val="TableText"/>
            </w:pPr>
            <w:r w:rsidRPr="00E673EB">
              <w:t xml:space="preserve">Le Souëf </w:t>
            </w:r>
            <w:r w:rsidR="00B7183A" w:rsidRPr="00B7183A">
              <w:rPr>
                <w:i/>
                <w:iCs/>
              </w:rPr>
              <w:t>et al</w:t>
            </w:r>
            <w:r w:rsidRPr="00E673EB">
              <w:t>. 2024</w:t>
            </w:r>
          </w:p>
        </w:tc>
      </w:tr>
      <w:tr w:rsidR="0071004A" w:rsidRPr="003B5A86" w14:paraId="013919BD" w14:textId="77777777" w:rsidTr="00EC47E5">
        <w:trPr>
          <w:cantSplit/>
          <w:trHeight w:val="13"/>
        </w:trPr>
        <w:tc>
          <w:tcPr>
            <w:tcW w:w="0" w:type="auto"/>
            <w:tcBorders>
              <w:top w:val="nil"/>
              <w:left w:val="nil"/>
              <w:bottom w:val="nil"/>
              <w:right w:val="nil"/>
            </w:tcBorders>
          </w:tcPr>
          <w:p w14:paraId="51926E3A"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99B8780" w14:textId="77777777" w:rsidR="0071004A" w:rsidRPr="00E673EB" w:rsidRDefault="0071004A" w:rsidP="00377F3A">
            <w:pPr>
              <w:pStyle w:val="TableText"/>
            </w:pPr>
          </w:p>
        </w:tc>
        <w:tc>
          <w:tcPr>
            <w:tcW w:w="0" w:type="auto"/>
            <w:tcBorders>
              <w:top w:val="nil"/>
              <w:left w:val="nil"/>
              <w:bottom w:val="nil"/>
              <w:right w:val="nil"/>
            </w:tcBorders>
          </w:tcPr>
          <w:p w14:paraId="5EAA30EF" w14:textId="77777777" w:rsidR="0071004A" w:rsidRPr="00E673EB" w:rsidRDefault="0071004A" w:rsidP="00377F3A">
            <w:pPr>
              <w:pStyle w:val="TableText"/>
            </w:pPr>
            <w:r w:rsidRPr="00E673EB">
              <w:t>Max liver residues 775 µg/kg in 6/73 southern boobooks (8.2%) in urban &amp; peri-urban areas of WA</w:t>
            </w:r>
          </w:p>
        </w:tc>
        <w:tc>
          <w:tcPr>
            <w:tcW w:w="0" w:type="auto"/>
            <w:tcBorders>
              <w:top w:val="nil"/>
              <w:left w:val="nil"/>
              <w:bottom w:val="nil"/>
              <w:right w:val="nil"/>
            </w:tcBorders>
          </w:tcPr>
          <w:p w14:paraId="42242F58" w14:textId="77777777" w:rsidR="0071004A" w:rsidRPr="00E673EB" w:rsidRDefault="0071004A" w:rsidP="00377F3A">
            <w:pPr>
              <w:pStyle w:val="TableText"/>
            </w:pPr>
            <w:r w:rsidRPr="00E673EB">
              <w:t>Lohr 2018</w:t>
            </w:r>
          </w:p>
        </w:tc>
      </w:tr>
      <w:tr w:rsidR="0071004A" w:rsidRPr="003B5A86" w14:paraId="5B8A9567" w14:textId="77777777" w:rsidTr="00EC47E5">
        <w:trPr>
          <w:cantSplit/>
          <w:trHeight w:val="13"/>
        </w:trPr>
        <w:tc>
          <w:tcPr>
            <w:tcW w:w="0" w:type="auto"/>
            <w:tcBorders>
              <w:top w:val="nil"/>
              <w:left w:val="nil"/>
              <w:bottom w:val="nil"/>
              <w:right w:val="nil"/>
            </w:tcBorders>
          </w:tcPr>
          <w:p w14:paraId="561B08E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630B6D3" w14:textId="77777777" w:rsidR="0071004A" w:rsidRPr="00E673EB" w:rsidRDefault="0071004A" w:rsidP="00377F3A">
            <w:pPr>
              <w:pStyle w:val="TableText"/>
            </w:pPr>
          </w:p>
        </w:tc>
        <w:tc>
          <w:tcPr>
            <w:tcW w:w="0" w:type="auto"/>
            <w:tcBorders>
              <w:top w:val="nil"/>
              <w:left w:val="nil"/>
              <w:bottom w:val="nil"/>
              <w:right w:val="nil"/>
            </w:tcBorders>
          </w:tcPr>
          <w:p w14:paraId="75E2ACBE" w14:textId="77777777" w:rsidR="0071004A" w:rsidRPr="00E673EB" w:rsidRDefault="0071004A" w:rsidP="00377F3A">
            <w:pPr>
              <w:pStyle w:val="TableText"/>
            </w:pPr>
            <w:r w:rsidRPr="00E673EB">
              <w:t>Not detected in 50 wedge-tailed eagles across Tasmania between 1996 and 2018</w:t>
            </w:r>
          </w:p>
        </w:tc>
        <w:tc>
          <w:tcPr>
            <w:tcW w:w="0" w:type="auto"/>
            <w:tcBorders>
              <w:top w:val="nil"/>
              <w:left w:val="nil"/>
              <w:bottom w:val="nil"/>
              <w:right w:val="nil"/>
            </w:tcBorders>
          </w:tcPr>
          <w:p w14:paraId="1409EB0A" w14:textId="432315CC" w:rsidR="0071004A" w:rsidRPr="00E673EB" w:rsidRDefault="0071004A" w:rsidP="00377F3A">
            <w:pPr>
              <w:pStyle w:val="TableText"/>
            </w:pPr>
            <w:r w:rsidRPr="00E673EB">
              <w:t xml:space="preserve">Pay </w:t>
            </w:r>
            <w:r w:rsidR="00B7183A" w:rsidRPr="00B7183A">
              <w:rPr>
                <w:i/>
                <w:iCs/>
              </w:rPr>
              <w:t>et al</w:t>
            </w:r>
            <w:r w:rsidRPr="00E673EB">
              <w:t>. 2021</w:t>
            </w:r>
          </w:p>
        </w:tc>
      </w:tr>
      <w:tr w:rsidR="0071004A" w:rsidRPr="003B5A86" w14:paraId="167B63FB" w14:textId="77777777" w:rsidTr="00EC47E5">
        <w:trPr>
          <w:cantSplit/>
          <w:trHeight w:val="13"/>
        </w:trPr>
        <w:tc>
          <w:tcPr>
            <w:tcW w:w="0" w:type="auto"/>
            <w:tcBorders>
              <w:top w:val="nil"/>
              <w:left w:val="nil"/>
              <w:bottom w:val="nil"/>
              <w:right w:val="nil"/>
            </w:tcBorders>
          </w:tcPr>
          <w:p w14:paraId="067E240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039BF25" w14:textId="77777777" w:rsidR="0071004A" w:rsidRPr="00E673EB" w:rsidRDefault="0071004A" w:rsidP="00377F3A">
            <w:pPr>
              <w:pStyle w:val="TableText"/>
            </w:pPr>
            <w:r>
              <w:t>North America</w:t>
            </w:r>
          </w:p>
        </w:tc>
        <w:tc>
          <w:tcPr>
            <w:tcW w:w="0" w:type="auto"/>
            <w:tcBorders>
              <w:top w:val="nil"/>
              <w:left w:val="nil"/>
              <w:bottom w:val="nil"/>
              <w:right w:val="nil"/>
            </w:tcBorders>
          </w:tcPr>
          <w:p w14:paraId="3266BFAA" w14:textId="77777777" w:rsidR="0071004A" w:rsidRPr="00E673EB" w:rsidRDefault="0071004A" w:rsidP="00377F3A">
            <w:pPr>
              <w:pStyle w:val="TableText"/>
            </w:pPr>
            <w:r w:rsidRPr="00E673EB">
              <w:t>Max 310 µg/kg in pellets of 8/9 rat-eating barn owls from agricultural barn sites in Canada</w:t>
            </w:r>
          </w:p>
        </w:tc>
        <w:tc>
          <w:tcPr>
            <w:tcW w:w="0" w:type="auto"/>
            <w:tcBorders>
              <w:top w:val="nil"/>
              <w:left w:val="nil"/>
              <w:bottom w:val="nil"/>
              <w:right w:val="nil"/>
            </w:tcBorders>
          </w:tcPr>
          <w:p w14:paraId="2AD3B2B4" w14:textId="34080DC6" w:rsidR="0071004A" w:rsidRPr="00E673EB" w:rsidRDefault="0071004A" w:rsidP="00377F3A">
            <w:pPr>
              <w:pStyle w:val="TableText"/>
            </w:pPr>
            <w:r w:rsidRPr="00E673EB">
              <w:t xml:space="preserve">Elliott </w:t>
            </w:r>
            <w:r w:rsidR="00B7183A" w:rsidRPr="00B7183A">
              <w:rPr>
                <w:i/>
                <w:iCs/>
              </w:rPr>
              <w:t>et al</w:t>
            </w:r>
            <w:r w:rsidRPr="00E673EB">
              <w:t>. 2014</w:t>
            </w:r>
          </w:p>
        </w:tc>
      </w:tr>
      <w:tr w:rsidR="0071004A" w:rsidRPr="003B5A86" w14:paraId="5F96CCA9" w14:textId="77777777" w:rsidTr="00EC47E5">
        <w:trPr>
          <w:cantSplit/>
          <w:trHeight w:val="13"/>
        </w:trPr>
        <w:tc>
          <w:tcPr>
            <w:tcW w:w="0" w:type="auto"/>
            <w:tcBorders>
              <w:top w:val="nil"/>
              <w:left w:val="nil"/>
              <w:bottom w:val="nil"/>
              <w:right w:val="nil"/>
            </w:tcBorders>
          </w:tcPr>
          <w:p w14:paraId="13920A0C"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498316B" w14:textId="77777777" w:rsidR="0071004A" w:rsidRPr="00E673EB" w:rsidRDefault="0071004A" w:rsidP="00377F3A">
            <w:pPr>
              <w:pStyle w:val="TableText"/>
            </w:pPr>
          </w:p>
        </w:tc>
        <w:tc>
          <w:tcPr>
            <w:tcW w:w="0" w:type="auto"/>
            <w:tcBorders>
              <w:top w:val="nil"/>
              <w:left w:val="nil"/>
              <w:bottom w:val="nil"/>
              <w:right w:val="nil"/>
            </w:tcBorders>
          </w:tcPr>
          <w:p w14:paraId="3DACC584" w14:textId="77777777" w:rsidR="0071004A" w:rsidRPr="00E673EB" w:rsidRDefault="0071004A" w:rsidP="00377F3A">
            <w:pPr>
              <w:pStyle w:val="TableText"/>
            </w:pPr>
            <w:r w:rsidRPr="00E673EB">
              <w:t>Mean liver residues before &amp; after implementation of risk mitigation measures in Canada (barred owl, barn owl, great-horned owl):</w:t>
            </w:r>
          </w:p>
          <w:p w14:paraId="28222528" w14:textId="55A28782" w:rsidR="0071004A" w:rsidRPr="00E673EB" w:rsidRDefault="0071004A" w:rsidP="00377F3A">
            <w:pPr>
              <w:pStyle w:val="TableText"/>
            </w:pPr>
            <w:r w:rsidRPr="00E673EB">
              <w:t>1988-2013: 20, 20, 10 µg/kg</w:t>
            </w:r>
          </w:p>
          <w:p w14:paraId="40F83EF5" w14:textId="77777777" w:rsidR="0071004A" w:rsidRPr="00E673EB" w:rsidRDefault="0071004A" w:rsidP="00377F3A">
            <w:pPr>
              <w:pStyle w:val="TableText"/>
            </w:pPr>
            <w:r w:rsidRPr="00E673EB">
              <w:t>2014-2018: 30, 40, 20 µg/kg</w:t>
            </w:r>
          </w:p>
        </w:tc>
        <w:tc>
          <w:tcPr>
            <w:tcW w:w="0" w:type="auto"/>
            <w:tcBorders>
              <w:top w:val="nil"/>
              <w:left w:val="nil"/>
              <w:bottom w:val="nil"/>
              <w:right w:val="nil"/>
            </w:tcBorders>
          </w:tcPr>
          <w:p w14:paraId="0E94052A" w14:textId="34053687" w:rsidR="0071004A" w:rsidRPr="00E673EB" w:rsidRDefault="0071004A" w:rsidP="00377F3A">
            <w:pPr>
              <w:pStyle w:val="TableText"/>
            </w:pPr>
            <w:r w:rsidRPr="00E673EB">
              <w:t xml:space="preserve">Elliott </w:t>
            </w:r>
            <w:r w:rsidR="00B7183A" w:rsidRPr="00B7183A">
              <w:rPr>
                <w:i/>
                <w:iCs/>
              </w:rPr>
              <w:t>et al</w:t>
            </w:r>
            <w:r w:rsidRPr="00E673EB">
              <w:t>. 2022</w:t>
            </w:r>
          </w:p>
        </w:tc>
      </w:tr>
      <w:tr w:rsidR="0071004A" w:rsidRPr="003B5A86" w14:paraId="10AF4B47" w14:textId="77777777" w:rsidTr="00EC47E5">
        <w:trPr>
          <w:cantSplit/>
          <w:trHeight w:val="13"/>
        </w:trPr>
        <w:tc>
          <w:tcPr>
            <w:tcW w:w="0" w:type="auto"/>
            <w:tcBorders>
              <w:top w:val="nil"/>
              <w:left w:val="nil"/>
              <w:bottom w:val="nil"/>
              <w:right w:val="nil"/>
            </w:tcBorders>
          </w:tcPr>
          <w:p w14:paraId="3A987DF7"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72551F6" w14:textId="77777777" w:rsidR="0071004A" w:rsidRPr="00E673EB" w:rsidRDefault="0071004A" w:rsidP="00377F3A">
            <w:pPr>
              <w:pStyle w:val="TableText"/>
            </w:pPr>
          </w:p>
        </w:tc>
        <w:tc>
          <w:tcPr>
            <w:tcW w:w="0" w:type="auto"/>
            <w:tcBorders>
              <w:top w:val="nil"/>
              <w:left w:val="nil"/>
              <w:bottom w:val="nil"/>
              <w:right w:val="nil"/>
            </w:tcBorders>
          </w:tcPr>
          <w:p w14:paraId="3DC60D0E" w14:textId="77777777" w:rsidR="0071004A" w:rsidRPr="00E673EB" w:rsidRDefault="0071004A" w:rsidP="00377F3A">
            <w:pPr>
              <w:pStyle w:val="TableText"/>
            </w:pPr>
            <w:r w:rsidRPr="00E673EB">
              <w:t>Max liver residues 30 µg/kg in 3/61 great horned owls, 17 µg/kg in 1/25 barred owls, 720 µg/kg in 10/78 barn owls in BC &amp; Yukon Territory of Canada between 1988 and 2003</w:t>
            </w:r>
          </w:p>
        </w:tc>
        <w:tc>
          <w:tcPr>
            <w:tcW w:w="0" w:type="auto"/>
            <w:tcBorders>
              <w:top w:val="nil"/>
              <w:left w:val="nil"/>
              <w:bottom w:val="nil"/>
              <w:right w:val="nil"/>
            </w:tcBorders>
          </w:tcPr>
          <w:p w14:paraId="71EF9EE2" w14:textId="4709AB77" w:rsidR="0071004A" w:rsidRPr="00E673EB" w:rsidRDefault="0071004A" w:rsidP="00377F3A">
            <w:pPr>
              <w:pStyle w:val="TableText"/>
            </w:pPr>
            <w:r w:rsidRPr="00E673EB">
              <w:t xml:space="preserve">Albert </w:t>
            </w:r>
            <w:r w:rsidR="00B7183A" w:rsidRPr="00B7183A">
              <w:rPr>
                <w:i/>
                <w:iCs/>
              </w:rPr>
              <w:t>et al</w:t>
            </w:r>
            <w:r w:rsidRPr="00E673EB">
              <w:t>. 2010</w:t>
            </w:r>
          </w:p>
        </w:tc>
      </w:tr>
      <w:tr w:rsidR="0071004A" w:rsidRPr="003B5A86" w14:paraId="0F7FE23B" w14:textId="77777777" w:rsidTr="00EC47E5">
        <w:trPr>
          <w:cantSplit/>
          <w:trHeight w:val="13"/>
        </w:trPr>
        <w:tc>
          <w:tcPr>
            <w:tcW w:w="0" w:type="auto"/>
            <w:tcBorders>
              <w:top w:val="nil"/>
              <w:left w:val="nil"/>
              <w:bottom w:val="nil"/>
              <w:right w:val="nil"/>
            </w:tcBorders>
          </w:tcPr>
          <w:p w14:paraId="60A53BF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3DF9A3FB" w14:textId="77777777" w:rsidR="0071004A" w:rsidRPr="00E673EB" w:rsidRDefault="0071004A" w:rsidP="00377F3A">
            <w:pPr>
              <w:pStyle w:val="TableText"/>
            </w:pPr>
          </w:p>
        </w:tc>
        <w:tc>
          <w:tcPr>
            <w:tcW w:w="0" w:type="auto"/>
            <w:tcBorders>
              <w:top w:val="nil"/>
              <w:left w:val="nil"/>
              <w:bottom w:val="nil"/>
              <w:right w:val="nil"/>
            </w:tcBorders>
          </w:tcPr>
          <w:p w14:paraId="2D14B1B2" w14:textId="77777777" w:rsidR="0071004A" w:rsidRPr="00E673EB" w:rsidRDefault="0071004A" w:rsidP="00377F3A">
            <w:pPr>
              <w:pStyle w:val="TableText"/>
            </w:pPr>
            <w:r w:rsidRPr="00E673EB">
              <w:t>Detected in 23/37 red-tailed hawks, 5/24 barred owls, 6/17 great horned owls, 8/16 eastern screech-owls in Massachusetts between 2012 and 2016</w:t>
            </w:r>
          </w:p>
        </w:tc>
        <w:tc>
          <w:tcPr>
            <w:tcW w:w="0" w:type="auto"/>
            <w:tcBorders>
              <w:top w:val="nil"/>
              <w:left w:val="nil"/>
              <w:bottom w:val="nil"/>
              <w:right w:val="nil"/>
            </w:tcBorders>
          </w:tcPr>
          <w:p w14:paraId="0DF1C785" w14:textId="77777777" w:rsidR="0071004A" w:rsidRPr="00E673EB" w:rsidRDefault="0071004A" w:rsidP="00377F3A">
            <w:pPr>
              <w:pStyle w:val="TableText"/>
            </w:pPr>
            <w:r w:rsidRPr="00E673EB">
              <w:t>Murray 2017</w:t>
            </w:r>
          </w:p>
        </w:tc>
      </w:tr>
      <w:tr w:rsidR="0071004A" w:rsidRPr="003B5A86" w14:paraId="1EC50209" w14:textId="77777777" w:rsidTr="00EC47E5">
        <w:trPr>
          <w:cantSplit/>
          <w:trHeight w:val="13"/>
        </w:trPr>
        <w:tc>
          <w:tcPr>
            <w:tcW w:w="0" w:type="auto"/>
            <w:tcBorders>
              <w:top w:val="nil"/>
              <w:left w:val="nil"/>
              <w:bottom w:val="nil"/>
              <w:right w:val="nil"/>
            </w:tcBorders>
          </w:tcPr>
          <w:p w14:paraId="58C404AD"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2F446F9" w14:textId="77777777" w:rsidR="0071004A" w:rsidRPr="00E673EB" w:rsidRDefault="0071004A" w:rsidP="00377F3A">
            <w:pPr>
              <w:pStyle w:val="TableText"/>
            </w:pPr>
          </w:p>
        </w:tc>
        <w:tc>
          <w:tcPr>
            <w:tcW w:w="0" w:type="auto"/>
            <w:tcBorders>
              <w:top w:val="nil"/>
              <w:left w:val="nil"/>
              <w:bottom w:val="nil"/>
              <w:right w:val="nil"/>
            </w:tcBorders>
          </w:tcPr>
          <w:p w14:paraId="2053AE67" w14:textId="77777777" w:rsidR="0071004A" w:rsidRPr="00E673EB" w:rsidRDefault="0071004A" w:rsidP="00377F3A">
            <w:pPr>
              <w:pStyle w:val="TableText"/>
            </w:pPr>
            <w:r w:rsidRPr="00E673EB">
              <w:t>Max liver residues 610 µg/kg in 17/43 red-tailed hawks in Massachusetts between 2017 and 2019</w:t>
            </w:r>
          </w:p>
        </w:tc>
        <w:tc>
          <w:tcPr>
            <w:tcW w:w="0" w:type="auto"/>
            <w:tcBorders>
              <w:top w:val="nil"/>
              <w:left w:val="nil"/>
              <w:bottom w:val="nil"/>
              <w:right w:val="nil"/>
            </w:tcBorders>
          </w:tcPr>
          <w:p w14:paraId="45566748" w14:textId="77777777" w:rsidR="0071004A" w:rsidRPr="00E673EB" w:rsidRDefault="0071004A" w:rsidP="00377F3A">
            <w:pPr>
              <w:pStyle w:val="TableText"/>
            </w:pPr>
            <w:r w:rsidRPr="00E673EB">
              <w:t>Murray 2020</w:t>
            </w:r>
          </w:p>
        </w:tc>
      </w:tr>
      <w:tr w:rsidR="0071004A" w:rsidRPr="003B5A86" w14:paraId="1ABB942C" w14:textId="77777777" w:rsidTr="00EC47E5">
        <w:trPr>
          <w:cantSplit/>
          <w:trHeight w:val="13"/>
        </w:trPr>
        <w:tc>
          <w:tcPr>
            <w:tcW w:w="0" w:type="auto"/>
            <w:tcBorders>
              <w:top w:val="nil"/>
              <w:left w:val="nil"/>
              <w:bottom w:val="nil"/>
              <w:right w:val="nil"/>
            </w:tcBorders>
          </w:tcPr>
          <w:p w14:paraId="204B0702"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79588B80" w14:textId="77777777" w:rsidR="0071004A" w:rsidRPr="00E673EB" w:rsidRDefault="0071004A" w:rsidP="00377F3A">
            <w:pPr>
              <w:pStyle w:val="TableText"/>
            </w:pPr>
          </w:p>
        </w:tc>
        <w:tc>
          <w:tcPr>
            <w:tcW w:w="0" w:type="auto"/>
            <w:tcBorders>
              <w:top w:val="nil"/>
              <w:left w:val="nil"/>
              <w:bottom w:val="nil"/>
              <w:right w:val="nil"/>
            </w:tcBorders>
          </w:tcPr>
          <w:p w14:paraId="54EC9B0B" w14:textId="77777777" w:rsidR="0071004A" w:rsidRPr="00E673EB" w:rsidRDefault="0071004A" w:rsidP="00377F3A">
            <w:pPr>
              <w:pStyle w:val="TableText"/>
            </w:pPr>
            <w:r w:rsidRPr="00E673EB">
              <w:t>Not detected in 50 Cooper’s hawk, 78 red-tailed hawk, 22 screech owls, 53 great horned owl in New York between 1998 and 2001</w:t>
            </w:r>
          </w:p>
        </w:tc>
        <w:tc>
          <w:tcPr>
            <w:tcW w:w="0" w:type="auto"/>
            <w:tcBorders>
              <w:top w:val="nil"/>
              <w:left w:val="nil"/>
              <w:bottom w:val="nil"/>
              <w:right w:val="nil"/>
            </w:tcBorders>
          </w:tcPr>
          <w:p w14:paraId="1404E46B" w14:textId="5903C693" w:rsidR="0071004A" w:rsidRPr="00E673EB" w:rsidRDefault="0071004A" w:rsidP="00377F3A">
            <w:pPr>
              <w:pStyle w:val="TableText"/>
            </w:pPr>
            <w:r w:rsidRPr="00E673EB">
              <w:t xml:space="preserve">Stone </w:t>
            </w:r>
            <w:r w:rsidR="00B7183A" w:rsidRPr="00B7183A">
              <w:rPr>
                <w:i/>
                <w:iCs/>
              </w:rPr>
              <w:t>et al</w:t>
            </w:r>
            <w:r w:rsidRPr="00E673EB">
              <w:t>. 2003</w:t>
            </w:r>
          </w:p>
        </w:tc>
      </w:tr>
      <w:tr w:rsidR="0071004A" w:rsidRPr="003B5A86" w14:paraId="1CCBB8D1" w14:textId="77777777" w:rsidTr="00EC47E5">
        <w:trPr>
          <w:cantSplit/>
          <w:trHeight w:val="13"/>
        </w:trPr>
        <w:tc>
          <w:tcPr>
            <w:tcW w:w="0" w:type="auto"/>
            <w:tcBorders>
              <w:top w:val="nil"/>
              <w:left w:val="nil"/>
              <w:bottom w:val="nil"/>
              <w:right w:val="nil"/>
            </w:tcBorders>
          </w:tcPr>
          <w:p w14:paraId="3418B02D" w14:textId="79177A4F" w:rsidR="0071004A" w:rsidRPr="00E673EB" w:rsidRDefault="0071004A" w:rsidP="00377F3A">
            <w:pPr>
              <w:pStyle w:val="TableText"/>
              <w:rPr>
                <w:lang w:eastAsia="en-AU"/>
              </w:rPr>
            </w:pPr>
          </w:p>
        </w:tc>
        <w:tc>
          <w:tcPr>
            <w:tcW w:w="0" w:type="auto"/>
            <w:tcBorders>
              <w:top w:val="nil"/>
              <w:left w:val="nil"/>
              <w:bottom w:val="nil"/>
              <w:right w:val="nil"/>
            </w:tcBorders>
          </w:tcPr>
          <w:p w14:paraId="322B8FAE" w14:textId="77777777" w:rsidR="0071004A" w:rsidRPr="00E673EB" w:rsidRDefault="0071004A" w:rsidP="00377F3A">
            <w:pPr>
              <w:pStyle w:val="TableText"/>
            </w:pPr>
            <w:r>
              <w:t>Europe</w:t>
            </w:r>
          </w:p>
        </w:tc>
        <w:tc>
          <w:tcPr>
            <w:tcW w:w="0" w:type="auto"/>
            <w:tcBorders>
              <w:top w:val="nil"/>
              <w:left w:val="nil"/>
              <w:bottom w:val="nil"/>
              <w:right w:val="nil"/>
            </w:tcBorders>
          </w:tcPr>
          <w:p w14:paraId="4C33DE2D" w14:textId="77777777" w:rsidR="0071004A" w:rsidRPr="00E673EB" w:rsidRDefault="0071004A" w:rsidP="00377F3A">
            <w:pPr>
              <w:pStyle w:val="TableText"/>
            </w:pPr>
            <w:r w:rsidRPr="00E673EB">
              <w:t>Max liver residues 119 µg/kg in 8/48 northern goshawk, 37 µg/kg in 8/41 red kite, 8.5 µg/kg in 2/60 white-tailed eagle; not detected in 23 Eurasian sparrowhawk or 13 osprey in Germany between 1996 and 2018</w:t>
            </w:r>
          </w:p>
        </w:tc>
        <w:tc>
          <w:tcPr>
            <w:tcW w:w="0" w:type="auto"/>
            <w:tcBorders>
              <w:top w:val="nil"/>
              <w:left w:val="nil"/>
              <w:bottom w:val="nil"/>
              <w:right w:val="nil"/>
            </w:tcBorders>
          </w:tcPr>
          <w:p w14:paraId="7CDF47A0" w14:textId="00E5E726" w:rsidR="0071004A" w:rsidRPr="00E673EB" w:rsidRDefault="0071004A" w:rsidP="00377F3A">
            <w:pPr>
              <w:pStyle w:val="TableText"/>
            </w:pPr>
            <w:r w:rsidRPr="00E673EB">
              <w:t xml:space="preserve">Badry </w:t>
            </w:r>
            <w:r w:rsidR="00B7183A" w:rsidRPr="00B7183A">
              <w:rPr>
                <w:i/>
                <w:iCs/>
              </w:rPr>
              <w:t>et al</w:t>
            </w:r>
            <w:r w:rsidRPr="00E673EB">
              <w:t>. 2021</w:t>
            </w:r>
          </w:p>
        </w:tc>
      </w:tr>
      <w:tr w:rsidR="0071004A" w14:paraId="362833A8" w14:textId="77777777" w:rsidTr="00EC47E5">
        <w:trPr>
          <w:cantSplit/>
          <w:trHeight w:val="13"/>
        </w:trPr>
        <w:tc>
          <w:tcPr>
            <w:tcW w:w="0" w:type="auto"/>
            <w:tcBorders>
              <w:top w:val="nil"/>
              <w:left w:val="nil"/>
              <w:bottom w:val="nil"/>
              <w:right w:val="nil"/>
            </w:tcBorders>
          </w:tcPr>
          <w:p w14:paraId="503E6C16"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05C56462" w14:textId="77777777" w:rsidR="0071004A" w:rsidRPr="00E673EB" w:rsidRDefault="0071004A" w:rsidP="00377F3A">
            <w:pPr>
              <w:pStyle w:val="TableText"/>
            </w:pPr>
          </w:p>
        </w:tc>
        <w:tc>
          <w:tcPr>
            <w:tcW w:w="0" w:type="auto"/>
            <w:tcBorders>
              <w:top w:val="nil"/>
              <w:left w:val="nil"/>
              <w:bottom w:val="nil"/>
              <w:right w:val="nil"/>
            </w:tcBorders>
          </w:tcPr>
          <w:p w14:paraId="00A8B5A8" w14:textId="77777777" w:rsidR="0071004A" w:rsidRPr="00E673EB" w:rsidRDefault="0071004A" w:rsidP="00377F3A">
            <w:pPr>
              <w:pStyle w:val="TableText"/>
            </w:pPr>
            <w:r w:rsidRPr="00E673EB">
              <w:t>Not detected in 16 golden eagles, 8 eagle owls, 3 osprey, 2 peregrine falcon, 1 gryfalcon across Norway between 2009 and 2011</w:t>
            </w:r>
          </w:p>
        </w:tc>
        <w:tc>
          <w:tcPr>
            <w:tcW w:w="0" w:type="auto"/>
            <w:tcBorders>
              <w:top w:val="nil"/>
              <w:left w:val="nil"/>
              <w:bottom w:val="nil"/>
              <w:right w:val="nil"/>
            </w:tcBorders>
          </w:tcPr>
          <w:p w14:paraId="634DAE65" w14:textId="0EE145F2" w:rsidR="0071004A" w:rsidRPr="00E673EB" w:rsidRDefault="0071004A" w:rsidP="00377F3A">
            <w:pPr>
              <w:pStyle w:val="TableText"/>
            </w:pPr>
            <w:r w:rsidRPr="00E673EB">
              <w:t xml:space="preserve">Langford </w:t>
            </w:r>
            <w:r w:rsidR="00B7183A" w:rsidRPr="00B7183A">
              <w:rPr>
                <w:i/>
                <w:iCs/>
              </w:rPr>
              <w:t>et al</w:t>
            </w:r>
            <w:r w:rsidRPr="00E673EB">
              <w:t>. 2013</w:t>
            </w:r>
          </w:p>
        </w:tc>
      </w:tr>
      <w:tr w:rsidR="0071004A" w14:paraId="3ACE9667" w14:textId="77777777" w:rsidTr="00EC47E5">
        <w:trPr>
          <w:cantSplit/>
          <w:trHeight w:val="13"/>
        </w:trPr>
        <w:tc>
          <w:tcPr>
            <w:tcW w:w="0" w:type="auto"/>
            <w:tcBorders>
              <w:top w:val="nil"/>
              <w:left w:val="nil"/>
              <w:bottom w:val="single" w:sz="4" w:space="0" w:color="auto"/>
              <w:right w:val="nil"/>
            </w:tcBorders>
          </w:tcPr>
          <w:p w14:paraId="5C02A23A"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6C167491"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3482D54A" w14:textId="77777777" w:rsidR="0071004A" w:rsidRPr="00E673EB" w:rsidRDefault="0071004A" w:rsidP="00377F3A">
            <w:pPr>
              <w:pStyle w:val="TableText"/>
            </w:pPr>
            <w:r w:rsidRPr="00E673EB">
              <w:t>Not detected in 142 granivorous birds, 129 predatory birds in Spain between 2005 and 2010</w:t>
            </w:r>
          </w:p>
        </w:tc>
        <w:tc>
          <w:tcPr>
            <w:tcW w:w="0" w:type="auto"/>
            <w:tcBorders>
              <w:top w:val="nil"/>
              <w:left w:val="nil"/>
              <w:bottom w:val="single" w:sz="4" w:space="0" w:color="auto"/>
              <w:right w:val="nil"/>
            </w:tcBorders>
          </w:tcPr>
          <w:p w14:paraId="1A3D400B" w14:textId="7344FDAC"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83C8ECE" w14:textId="77777777" w:rsidTr="00EC47E5">
        <w:trPr>
          <w:cantSplit/>
          <w:trHeight w:val="13"/>
        </w:trPr>
        <w:tc>
          <w:tcPr>
            <w:tcW w:w="0" w:type="auto"/>
            <w:tcBorders>
              <w:top w:val="single" w:sz="4" w:space="0" w:color="auto"/>
              <w:left w:val="nil"/>
              <w:bottom w:val="single" w:sz="4" w:space="0" w:color="auto"/>
              <w:right w:val="nil"/>
            </w:tcBorders>
          </w:tcPr>
          <w:p w14:paraId="3E596C5C" w14:textId="77777777" w:rsidR="0071004A" w:rsidRPr="00E673EB" w:rsidRDefault="0071004A" w:rsidP="00377F3A">
            <w:pPr>
              <w:pStyle w:val="TableText"/>
              <w:rPr>
                <w:lang w:eastAsia="en-AU"/>
              </w:rPr>
            </w:pPr>
            <w:r w:rsidRPr="00E673EB">
              <w:rPr>
                <w:lang w:eastAsia="en-AU"/>
              </w:rPr>
              <w:t>Reptiles</w:t>
            </w:r>
          </w:p>
        </w:tc>
        <w:tc>
          <w:tcPr>
            <w:tcW w:w="0" w:type="auto"/>
            <w:tcBorders>
              <w:top w:val="single" w:sz="4" w:space="0" w:color="auto"/>
              <w:left w:val="nil"/>
              <w:bottom w:val="single" w:sz="4" w:space="0" w:color="auto"/>
              <w:right w:val="nil"/>
            </w:tcBorders>
          </w:tcPr>
          <w:p w14:paraId="079EEAA7" w14:textId="77777777" w:rsidR="0071004A" w:rsidRPr="00E673EB" w:rsidRDefault="0071004A" w:rsidP="00377F3A">
            <w:pPr>
              <w:pStyle w:val="TableText"/>
            </w:pPr>
            <w:r>
              <w:t>Europe</w:t>
            </w:r>
          </w:p>
        </w:tc>
        <w:tc>
          <w:tcPr>
            <w:tcW w:w="0" w:type="auto"/>
            <w:tcBorders>
              <w:top w:val="single" w:sz="4" w:space="0" w:color="auto"/>
              <w:left w:val="nil"/>
              <w:bottom w:val="single" w:sz="4" w:space="0" w:color="auto"/>
              <w:right w:val="nil"/>
            </w:tcBorders>
          </w:tcPr>
          <w:p w14:paraId="769CCB5A" w14:textId="77777777" w:rsidR="0071004A" w:rsidRPr="00E673EB" w:rsidRDefault="0071004A" w:rsidP="00377F3A">
            <w:pPr>
              <w:pStyle w:val="TableText"/>
            </w:pPr>
            <w:r w:rsidRPr="00E673EB">
              <w:t xml:space="preserve">Not detected in 2 reptile species in Spain between 2005 and 2010 </w:t>
            </w:r>
          </w:p>
        </w:tc>
        <w:tc>
          <w:tcPr>
            <w:tcW w:w="0" w:type="auto"/>
            <w:tcBorders>
              <w:top w:val="single" w:sz="4" w:space="0" w:color="auto"/>
              <w:left w:val="nil"/>
              <w:bottom w:val="single" w:sz="4" w:space="0" w:color="auto"/>
              <w:right w:val="nil"/>
            </w:tcBorders>
          </w:tcPr>
          <w:p w14:paraId="78322EDB" w14:textId="38C4B3FF" w:rsidR="0071004A" w:rsidRPr="00E673EB" w:rsidRDefault="0071004A" w:rsidP="00377F3A">
            <w:pPr>
              <w:pStyle w:val="TableText"/>
            </w:pPr>
            <w:r w:rsidRPr="00E673EB">
              <w:t xml:space="preserve">Sánchez-Barbudo </w:t>
            </w:r>
            <w:r w:rsidR="00B7183A" w:rsidRPr="00B7183A">
              <w:rPr>
                <w:i/>
                <w:iCs/>
              </w:rPr>
              <w:t>et al</w:t>
            </w:r>
            <w:r w:rsidRPr="00E673EB">
              <w:t>. 2012</w:t>
            </w:r>
          </w:p>
        </w:tc>
      </w:tr>
      <w:tr w:rsidR="0071004A" w14:paraId="3E5E8BCA" w14:textId="77777777" w:rsidTr="00EC47E5">
        <w:trPr>
          <w:cantSplit/>
          <w:trHeight w:val="13"/>
        </w:trPr>
        <w:tc>
          <w:tcPr>
            <w:tcW w:w="0" w:type="auto"/>
            <w:tcBorders>
              <w:top w:val="single" w:sz="4" w:space="0" w:color="auto"/>
              <w:left w:val="nil"/>
              <w:bottom w:val="nil"/>
              <w:right w:val="nil"/>
            </w:tcBorders>
          </w:tcPr>
          <w:p w14:paraId="44F0DD93" w14:textId="77777777" w:rsidR="0071004A" w:rsidRPr="00E673EB" w:rsidRDefault="0071004A" w:rsidP="00377F3A">
            <w:pPr>
              <w:pStyle w:val="TableText"/>
              <w:rPr>
                <w:lang w:eastAsia="en-AU"/>
              </w:rPr>
            </w:pPr>
            <w:r w:rsidRPr="00E673EB">
              <w:rPr>
                <w:lang w:eastAsia="en-AU"/>
              </w:rPr>
              <w:t>Fish</w:t>
            </w:r>
          </w:p>
        </w:tc>
        <w:tc>
          <w:tcPr>
            <w:tcW w:w="0" w:type="auto"/>
            <w:tcBorders>
              <w:top w:val="single" w:sz="4" w:space="0" w:color="auto"/>
              <w:left w:val="nil"/>
              <w:bottom w:val="nil"/>
              <w:right w:val="nil"/>
            </w:tcBorders>
          </w:tcPr>
          <w:p w14:paraId="6771175B" w14:textId="77777777" w:rsidR="0071004A" w:rsidRPr="00E673EB" w:rsidDel="00F524CF" w:rsidRDefault="0071004A" w:rsidP="00377F3A">
            <w:pPr>
              <w:pStyle w:val="TableText"/>
            </w:pPr>
            <w:r>
              <w:t>Europe</w:t>
            </w:r>
          </w:p>
        </w:tc>
        <w:tc>
          <w:tcPr>
            <w:tcW w:w="0" w:type="auto"/>
            <w:tcBorders>
              <w:top w:val="single" w:sz="4" w:space="0" w:color="auto"/>
              <w:left w:val="nil"/>
              <w:bottom w:val="nil"/>
              <w:right w:val="nil"/>
            </w:tcBorders>
          </w:tcPr>
          <w:p w14:paraId="7899FEC8" w14:textId="57356D8D" w:rsidR="0071004A" w:rsidRPr="00E673EB" w:rsidRDefault="0071004A" w:rsidP="00377F3A">
            <w:pPr>
              <w:pStyle w:val="TableText"/>
            </w:pPr>
            <w:r w:rsidRPr="00E673EB">
              <w:t>Max liver residues 6.3 µg/kg in bream from two German rivers between 1992 and 2015</w:t>
            </w:r>
          </w:p>
        </w:tc>
        <w:tc>
          <w:tcPr>
            <w:tcW w:w="0" w:type="auto"/>
            <w:tcBorders>
              <w:top w:val="single" w:sz="4" w:space="0" w:color="auto"/>
              <w:left w:val="nil"/>
              <w:bottom w:val="nil"/>
              <w:right w:val="nil"/>
            </w:tcBorders>
          </w:tcPr>
          <w:p w14:paraId="46D0411B" w14:textId="6D3A0D48" w:rsidR="0071004A" w:rsidRPr="00E673EB" w:rsidRDefault="0071004A" w:rsidP="00377F3A">
            <w:pPr>
              <w:pStyle w:val="TableText"/>
            </w:pPr>
            <w:r w:rsidRPr="00E673EB">
              <w:t xml:space="preserve">Kotthoff </w:t>
            </w:r>
            <w:r w:rsidR="00B7183A" w:rsidRPr="00B7183A">
              <w:rPr>
                <w:i/>
                <w:iCs/>
              </w:rPr>
              <w:t>et al</w:t>
            </w:r>
            <w:r w:rsidRPr="00E673EB">
              <w:t>. 2019</w:t>
            </w:r>
          </w:p>
        </w:tc>
      </w:tr>
      <w:tr w:rsidR="0071004A" w14:paraId="5D591D3F" w14:textId="77777777" w:rsidTr="00EC47E5">
        <w:trPr>
          <w:cantSplit/>
          <w:trHeight w:val="13"/>
        </w:trPr>
        <w:tc>
          <w:tcPr>
            <w:tcW w:w="0" w:type="auto"/>
            <w:tcBorders>
              <w:top w:val="nil"/>
              <w:left w:val="nil"/>
              <w:bottom w:val="nil"/>
              <w:right w:val="nil"/>
            </w:tcBorders>
          </w:tcPr>
          <w:p w14:paraId="59E625DF" w14:textId="77777777" w:rsidR="0071004A" w:rsidRPr="00E673EB" w:rsidRDefault="0071004A" w:rsidP="00377F3A">
            <w:pPr>
              <w:pStyle w:val="TableText"/>
              <w:rPr>
                <w:lang w:eastAsia="en-AU"/>
              </w:rPr>
            </w:pPr>
          </w:p>
        </w:tc>
        <w:tc>
          <w:tcPr>
            <w:tcW w:w="0" w:type="auto"/>
            <w:tcBorders>
              <w:top w:val="nil"/>
              <w:left w:val="nil"/>
              <w:bottom w:val="nil"/>
              <w:right w:val="nil"/>
            </w:tcBorders>
          </w:tcPr>
          <w:p w14:paraId="6D47B194" w14:textId="77777777" w:rsidR="0071004A" w:rsidRPr="00E673EB" w:rsidRDefault="0071004A" w:rsidP="00377F3A">
            <w:pPr>
              <w:pStyle w:val="TableText"/>
            </w:pPr>
          </w:p>
        </w:tc>
        <w:tc>
          <w:tcPr>
            <w:tcW w:w="0" w:type="auto"/>
            <w:tcBorders>
              <w:top w:val="nil"/>
              <w:left w:val="nil"/>
              <w:bottom w:val="nil"/>
              <w:right w:val="nil"/>
            </w:tcBorders>
          </w:tcPr>
          <w:p w14:paraId="7274653C" w14:textId="77777777" w:rsidR="0071004A" w:rsidRPr="00E673EB" w:rsidRDefault="0071004A" w:rsidP="00377F3A">
            <w:pPr>
              <w:pStyle w:val="TableText"/>
            </w:pPr>
            <w:r w:rsidRPr="00E673EB">
              <w:t>Max liver residues 0.8 µg/kg in 1/32 fish in bioaccumulation ponds and 5.2 µg/kg in 3/12 fish in receiving streams of municipal wastewater treatment plants in Germany between 2013 and 2016</w:t>
            </w:r>
          </w:p>
        </w:tc>
        <w:tc>
          <w:tcPr>
            <w:tcW w:w="0" w:type="auto"/>
            <w:tcBorders>
              <w:top w:val="nil"/>
              <w:left w:val="nil"/>
              <w:bottom w:val="nil"/>
              <w:right w:val="nil"/>
            </w:tcBorders>
          </w:tcPr>
          <w:p w14:paraId="765CB358" w14:textId="671C8694" w:rsidR="0071004A" w:rsidRPr="00E673EB" w:rsidRDefault="0071004A" w:rsidP="00377F3A">
            <w:pPr>
              <w:pStyle w:val="TableText"/>
            </w:pPr>
            <w:r w:rsidRPr="00E673EB">
              <w:t xml:space="preserve">Regnery </w:t>
            </w:r>
            <w:r w:rsidR="00B7183A" w:rsidRPr="00B7183A">
              <w:rPr>
                <w:i/>
                <w:iCs/>
              </w:rPr>
              <w:t>et al</w:t>
            </w:r>
            <w:r w:rsidRPr="00E673EB">
              <w:t>. 2019</w:t>
            </w:r>
          </w:p>
        </w:tc>
      </w:tr>
      <w:tr w:rsidR="0071004A" w14:paraId="5CDA22E5" w14:textId="77777777" w:rsidTr="00EC47E5">
        <w:trPr>
          <w:cantSplit/>
          <w:trHeight w:val="13"/>
        </w:trPr>
        <w:tc>
          <w:tcPr>
            <w:tcW w:w="0" w:type="auto"/>
            <w:tcBorders>
              <w:top w:val="nil"/>
              <w:left w:val="nil"/>
              <w:bottom w:val="single" w:sz="4" w:space="0" w:color="auto"/>
              <w:right w:val="nil"/>
            </w:tcBorders>
          </w:tcPr>
          <w:p w14:paraId="79481C1E" w14:textId="77777777" w:rsidR="0071004A" w:rsidRPr="00E673EB" w:rsidRDefault="0071004A" w:rsidP="00377F3A">
            <w:pPr>
              <w:pStyle w:val="TableText"/>
              <w:rPr>
                <w:lang w:eastAsia="en-AU"/>
              </w:rPr>
            </w:pPr>
          </w:p>
        </w:tc>
        <w:tc>
          <w:tcPr>
            <w:tcW w:w="0" w:type="auto"/>
            <w:tcBorders>
              <w:top w:val="nil"/>
              <w:left w:val="nil"/>
              <w:bottom w:val="single" w:sz="4" w:space="0" w:color="auto"/>
              <w:right w:val="nil"/>
            </w:tcBorders>
          </w:tcPr>
          <w:p w14:paraId="5E6BB331" w14:textId="77777777" w:rsidR="0071004A" w:rsidRPr="00E673EB" w:rsidRDefault="0071004A" w:rsidP="00377F3A">
            <w:pPr>
              <w:pStyle w:val="TableText"/>
            </w:pPr>
          </w:p>
        </w:tc>
        <w:tc>
          <w:tcPr>
            <w:tcW w:w="0" w:type="auto"/>
            <w:tcBorders>
              <w:top w:val="nil"/>
              <w:left w:val="nil"/>
              <w:bottom w:val="single" w:sz="4" w:space="0" w:color="auto"/>
              <w:right w:val="nil"/>
            </w:tcBorders>
          </w:tcPr>
          <w:p w14:paraId="64C64839" w14:textId="77777777" w:rsidR="0071004A" w:rsidRPr="00E673EB" w:rsidRDefault="0071004A" w:rsidP="00377F3A">
            <w:pPr>
              <w:pStyle w:val="TableText"/>
            </w:pPr>
            <w:r w:rsidRPr="00E673EB">
              <w:t>Max liver residues 4.0 µg/kg in 16/46 fish in receiving streams of municipal wastewater treatment plants in Germany in 2019</w:t>
            </w:r>
          </w:p>
        </w:tc>
        <w:tc>
          <w:tcPr>
            <w:tcW w:w="0" w:type="auto"/>
            <w:tcBorders>
              <w:top w:val="nil"/>
              <w:left w:val="nil"/>
              <w:bottom w:val="single" w:sz="4" w:space="0" w:color="auto"/>
              <w:right w:val="nil"/>
            </w:tcBorders>
          </w:tcPr>
          <w:p w14:paraId="25CDA25A" w14:textId="4C63CCAF" w:rsidR="0071004A" w:rsidRPr="00E673EB" w:rsidRDefault="0071004A" w:rsidP="00377F3A">
            <w:pPr>
              <w:pStyle w:val="TableText"/>
            </w:pPr>
            <w:r w:rsidRPr="00E673EB">
              <w:t xml:space="preserve">Regnery </w:t>
            </w:r>
            <w:r w:rsidR="00B7183A" w:rsidRPr="00B7183A">
              <w:rPr>
                <w:i/>
                <w:iCs/>
              </w:rPr>
              <w:t>et al</w:t>
            </w:r>
            <w:r w:rsidRPr="00E673EB">
              <w:t>. 2020</w:t>
            </w:r>
          </w:p>
        </w:tc>
      </w:tr>
    </w:tbl>
    <w:p w14:paraId="030BD192" w14:textId="77777777" w:rsidR="00EE24E4" w:rsidRDefault="00EE24E4" w:rsidP="00377F3A">
      <w:pPr>
        <w:pStyle w:val="APVMAAppendixH3"/>
      </w:pPr>
      <w:bookmarkStart w:id="2113" w:name="_Toc214025626"/>
      <w:bookmarkStart w:id="2114" w:name="_Toc216695648"/>
      <w:r>
        <w:lastRenderedPageBreak/>
        <w:t>Effects on non-target species</w:t>
      </w:r>
      <w:bookmarkEnd w:id="2113"/>
      <w:bookmarkEnd w:id="2114"/>
    </w:p>
    <w:p w14:paraId="2F91D567" w14:textId="1103D801" w:rsidR="00980B2F" w:rsidRPr="00861CA0" w:rsidRDefault="00D560AB" w:rsidP="00377F3A">
      <w:pPr>
        <w:pStyle w:val="Caption"/>
      </w:pPr>
      <w:bookmarkStart w:id="2115" w:name="_Toc213946108"/>
      <w:bookmarkStart w:id="2116" w:name="_Toc216695799"/>
      <w:r>
        <w:t xml:space="preserve">Table </w:t>
      </w:r>
      <w:r>
        <w:fldChar w:fldCharType="begin"/>
      </w:r>
      <w:r>
        <w:instrText xml:space="preserve"> SEQ Table \* ARABIC </w:instrText>
      </w:r>
      <w:r>
        <w:fldChar w:fldCharType="separate"/>
      </w:r>
      <w:r w:rsidR="003861AC">
        <w:rPr>
          <w:noProof/>
        </w:rPr>
        <w:t>137</w:t>
      </w:r>
      <w:r>
        <w:fldChar w:fldCharType="end"/>
      </w:r>
      <w:r>
        <w:t xml:space="preserve">: </w:t>
      </w:r>
      <w:r w:rsidR="00FE61F1">
        <w:t xml:space="preserve">Difethialone – </w:t>
      </w:r>
      <w:r w:rsidR="00980B2F">
        <w:t>Primary poisoning studies on terrestrial vertebrates</w:t>
      </w:r>
      <w:bookmarkEnd w:id="2115"/>
      <w:bookmarkEnd w:id="2116"/>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6"/>
        <w:gridCol w:w="1002"/>
        <w:gridCol w:w="1979"/>
        <w:gridCol w:w="2255"/>
        <w:gridCol w:w="3356"/>
      </w:tblGrid>
      <w:tr w:rsidR="000D594D" w:rsidRPr="000B2FA7" w14:paraId="68F87ACC" w14:textId="77777777" w:rsidTr="0017134F">
        <w:trPr>
          <w:tblHeader/>
        </w:trPr>
        <w:tc>
          <w:tcPr>
            <w:tcW w:w="0" w:type="auto"/>
            <w:tcBorders>
              <w:bottom w:val="single" w:sz="4" w:space="0" w:color="auto"/>
            </w:tcBorders>
            <w:shd w:val="clear" w:color="auto" w:fill="53284F"/>
          </w:tcPr>
          <w:p w14:paraId="1381D3D8" w14:textId="77777777" w:rsidR="000D594D" w:rsidRDefault="000D594D" w:rsidP="00377F3A">
            <w:pPr>
              <w:pStyle w:val="TableHead"/>
            </w:pPr>
            <w:r>
              <w:t>Group</w:t>
            </w:r>
          </w:p>
        </w:tc>
        <w:tc>
          <w:tcPr>
            <w:tcW w:w="0" w:type="auto"/>
            <w:tcBorders>
              <w:bottom w:val="single" w:sz="4" w:space="0" w:color="auto"/>
            </w:tcBorders>
            <w:shd w:val="clear" w:color="auto" w:fill="53284F"/>
          </w:tcPr>
          <w:p w14:paraId="76A8C887" w14:textId="77777777" w:rsidR="000D594D" w:rsidRDefault="000D594D" w:rsidP="00377F3A">
            <w:pPr>
              <w:pStyle w:val="TableHead"/>
            </w:pPr>
            <w:r>
              <w:t>Exposure</w:t>
            </w:r>
          </w:p>
        </w:tc>
        <w:tc>
          <w:tcPr>
            <w:tcW w:w="0" w:type="auto"/>
            <w:tcBorders>
              <w:bottom w:val="single" w:sz="4" w:space="0" w:color="auto"/>
            </w:tcBorders>
            <w:shd w:val="clear" w:color="auto" w:fill="53284F"/>
          </w:tcPr>
          <w:p w14:paraId="4421D2B0"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609C764A" w14:textId="77777777" w:rsidR="000D594D" w:rsidRPr="00CA558C" w:rsidRDefault="000D594D" w:rsidP="00377F3A">
            <w:pPr>
              <w:pStyle w:val="TableHead"/>
            </w:pPr>
            <w:r>
              <w:t>Toxicity v</w:t>
            </w:r>
            <w:r w:rsidRPr="00CA558C">
              <w:t>alue</w:t>
            </w:r>
            <w:r>
              <w:rPr>
                <w:rStyle w:val="FootnoteReference"/>
                <w:rFonts w:ascii="Arial" w:hAnsi="Arial"/>
                <w:b/>
                <w:sz w:val="17"/>
                <w:szCs w:val="17"/>
              </w:rPr>
              <w:footnoteReference w:id="32"/>
            </w:r>
          </w:p>
        </w:tc>
        <w:tc>
          <w:tcPr>
            <w:tcW w:w="0" w:type="auto"/>
            <w:tcBorders>
              <w:bottom w:val="single" w:sz="4" w:space="0" w:color="auto"/>
            </w:tcBorders>
            <w:shd w:val="clear" w:color="auto" w:fill="53284F"/>
          </w:tcPr>
          <w:p w14:paraId="6D72D23E" w14:textId="77777777" w:rsidR="000D594D" w:rsidRPr="00CA558C" w:rsidRDefault="000D594D" w:rsidP="00377F3A">
            <w:pPr>
              <w:pStyle w:val="TableHead"/>
            </w:pPr>
            <w:r>
              <w:t>Reference</w:t>
            </w:r>
          </w:p>
        </w:tc>
      </w:tr>
      <w:tr w:rsidR="000D594D" w:rsidRPr="000B2FA7" w14:paraId="77BFB826" w14:textId="77777777" w:rsidTr="000D594D">
        <w:tc>
          <w:tcPr>
            <w:tcW w:w="0" w:type="auto"/>
            <w:tcBorders>
              <w:top w:val="single" w:sz="4" w:space="0" w:color="auto"/>
              <w:left w:val="nil"/>
              <w:bottom w:val="nil"/>
              <w:right w:val="nil"/>
            </w:tcBorders>
          </w:tcPr>
          <w:p w14:paraId="39B884F5" w14:textId="77777777" w:rsidR="000D594D" w:rsidRDefault="000D594D" w:rsidP="00377F3A">
            <w:pPr>
              <w:pStyle w:val="TableText"/>
            </w:pPr>
            <w:r>
              <w:t>Mammals</w:t>
            </w:r>
          </w:p>
        </w:tc>
        <w:tc>
          <w:tcPr>
            <w:tcW w:w="0" w:type="auto"/>
            <w:tcBorders>
              <w:top w:val="single" w:sz="4" w:space="0" w:color="auto"/>
              <w:left w:val="nil"/>
              <w:bottom w:val="nil"/>
              <w:right w:val="nil"/>
            </w:tcBorders>
          </w:tcPr>
          <w:p w14:paraId="76D18D3B" w14:textId="77777777" w:rsidR="000D594D" w:rsidRDefault="000D594D" w:rsidP="00377F3A">
            <w:pPr>
              <w:pStyle w:val="TableText"/>
            </w:pPr>
            <w:r>
              <w:t>Acute</w:t>
            </w:r>
          </w:p>
        </w:tc>
        <w:tc>
          <w:tcPr>
            <w:tcW w:w="0" w:type="auto"/>
            <w:tcBorders>
              <w:top w:val="single" w:sz="4" w:space="0" w:color="auto"/>
              <w:left w:val="nil"/>
              <w:bottom w:val="nil"/>
              <w:right w:val="nil"/>
            </w:tcBorders>
          </w:tcPr>
          <w:p w14:paraId="602415A8" w14:textId="77777777" w:rsidR="000D594D" w:rsidRDefault="000D594D" w:rsidP="00377F3A">
            <w:pPr>
              <w:pStyle w:val="TableText"/>
            </w:pPr>
            <w:r>
              <w:t>Rattus norvegicus</w:t>
            </w:r>
          </w:p>
        </w:tc>
        <w:tc>
          <w:tcPr>
            <w:tcW w:w="0" w:type="auto"/>
            <w:tcBorders>
              <w:top w:val="single" w:sz="4" w:space="0" w:color="auto"/>
              <w:left w:val="nil"/>
              <w:bottom w:val="nil"/>
              <w:right w:val="nil"/>
            </w:tcBorders>
          </w:tcPr>
          <w:p w14:paraId="635FA65F" w14:textId="77777777" w:rsidR="000D594D" w:rsidRDefault="000D594D" w:rsidP="00377F3A">
            <w:pPr>
              <w:pStyle w:val="TableText"/>
            </w:pPr>
          </w:p>
        </w:tc>
        <w:tc>
          <w:tcPr>
            <w:tcW w:w="0" w:type="auto"/>
            <w:tcBorders>
              <w:top w:val="single" w:sz="4" w:space="0" w:color="auto"/>
              <w:left w:val="nil"/>
              <w:bottom w:val="nil"/>
              <w:right w:val="nil"/>
            </w:tcBorders>
          </w:tcPr>
          <w:p w14:paraId="677E6A45" w14:textId="77777777" w:rsidR="000D594D" w:rsidRDefault="000D594D" w:rsidP="00377F3A">
            <w:pPr>
              <w:pStyle w:val="TableText"/>
            </w:pPr>
          </w:p>
        </w:tc>
      </w:tr>
      <w:tr w:rsidR="000D594D" w:rsidRPr="000B2FA7" w14:paraId="191C8BB7" w14:textId="77777777" w:rsidTr="000D594D">
        <w:tc>
          <w:tcPr>
            <w:tcW w:w="0" w:type="auto"/>
            <w:tcBorders>
              <w:top w:val="nil"/>
              <w:left w:val="nil"/>
              <w:bottom w:val="nil"/>
              <w:right w:val="nil"/>
            </w:tcBorders>
          </w:tcPr>
          <w:p w14:paraId="0CC64161" w14:textId="77777777" w:rsidR="000D594D" w:rsidRDefault="000D594D" w:rsidP="00377F3A">
            <w:pPr>
              <w:pStyle w:val="TableText"/>
            </w:pPr>
          </w:p>
        </w:tc>
        <w:tc>
          <w:tcPr>
            <w:tcW w:w="0" w:type="auto"/>
            <w:tcBorders>
              <w:top w:val="nil"/>
              <w:left w:val="nil"/>
              <w:bottom w:val="nil"/>
              <w:right w:val="nil"/>
            </w:tcBorders>
          </w:tcPr>
          <w:p w14:paraId="2CC6E854" w14:textId="77777777" w:rsidR="000D594D" w:rsidRDefault="000D594D" w:rsidP="00377F3A">
            <w:pPr>
              <w:pStyle w:val="TableText"/>
            </w:pPr>
          </w:p>
        </w:tc>
        <w:tc>
          <w:tcPr>
            <w:tcW w:w="0" w:type="auto"/>
            <w:gridSpan w:val="2"/>
            <w:tcBorders>
              <w:top w:val="nil"/>
              <w:left w:val="nil"/>
              <w:bottom w:val="nil"/>
              <w:right w:val="nil"/>
            </w:tcBorders>
          </w:tcPr>
          <w:p w14:paraId="65CB99EF" w14:textId="77777777" w:rsidR="000D594D" w:rsidRDefault="000D594D" w:rsidP="00377F3A">
            <w:pPr>
              <w:pStyle w:val="TableText"/>
            </w:pPr>
            <w:r>
              <w:t>0.025 g/kg paste: LD</w:t>
            </w:r>
            <w:r w:rsidRPr="006971DB">
              <w:rPr>
                <w:vertAlign w:val="subscript"/>
              </w:rPr>
              <w:t>50</w:t>
            </w:r>
            <w:r>
              <w:t xml:space="preserve"> &gt;0.050 mg/kg bw</w:t>
            </w:r>
          </w:p>
        </w:tc>
        <w:tc>
          <w:tcPr>
            <w:tcW w:w="0" w:type="auto"/>
            <w:tcBorders>
              <w:top w:val="nil"/>
              <w:left w:val="nil"/>
              <w:bottom w:val="nil"/>
              <w:right w:val="nil"/>
            </w:tcBorders>
          </w:tcPr>
          <w:p w14:paraId="4EDD413C" w14:textId="77777777" w:rsidR="000D594D" w:rsidRDefault="000D594D" w:rsidP="00377F3A">
            <w:pPr>
              <w:pStyle w:val="TableText"/>
            </w:pPr>
            <w:r>
              <w:t>Andrews 2001</w:t>
            </w:r>
          </w:p>
        </w:tc>
      </w:tr>
      <w:tr w:rsidR="000D594D" w:rsidRPr="000B2FA7" w14:paraId="4197C5D4" w14:textId="77777777" w:rsidTr="000D594D">
        <w:tc>
          <w:tcPr>
            <w:tcW w:w="0" w:type="auto"/>
            <w:tcBorders>
              <w:top w:val="nil"/>
              <w:left w:val="nil"/>
              <w:bottom w:val="nil"/>
              <w:right w:val="nil"/>
            </w:tcBorders>
          </w:tcPr>
          <w:p w14:paraId="709CDE2D" w14:textId="77777777" w:rsidR="000D594D" w:rsidRDefault="000D594D" w:rsidP="00377F3A">
            <w:pPr>
              <w:pStyle w:val="TableText"/>
            </w:pPr>
          </w:p>
        </w:tc>
        <w:tc>
          <w:tcPr>
            <w:tcW w:w="0" w:type="auto"/>
            <w:tcBorders>
              <w:top w:val="nil"/>
              <w:left w:val="nil"/>
              <w:bottom w:val="nil"/>
              <w:right w:val="nil"/>
            </w:tcBorders>
          </w:tcPr>
          <w:p w14:paraId="4D04594F" w14:textId="77777777" w:rsidR="000D594D" w:rsidRDefault="000D594D" w:rsidP="00377F3A">
            <w:pPr>
              <w:pStyle w:val="TableText"/>
            </w:pPr>
          </w:p>
        </w:tc>
        <w:tc>
          <w:tcPr>
            <w:tcW w:w="0" w:type="auto"/>
            <w:gridSpan w:val="2"/>
            <w:tcBorders>
              <w:top w:val="nil"/>
              <w:left w:val="nil"/>
              <w:bottom w:val="nil"/>
              <w:right w:val="nil"/>
            </w:tcBorders>
          </w:tcPr>
          <w:p w14:paraId="3AE31A5E" w14:textId="77777777" w:rsidR="000D594D" w:rsidRPr="006F78D3" w:rsidRDefault="000D594D" w:rsidP="00377F3A">
            <w:pPr>
              <w:pStyle w:val="TableText"/>
              <w:rPr>
                <w:lang w:val="de-CH"/>
              </w:rPr>
            </w:pPr>
            <w:r w:rsidRPr="006F78D3">
              <w:rPr>
                <w:lang w:val="de-CH"/>
              </w:rPr>
              <w:t>0.025 g/kg block: LD</w:t>
            </w:r>
            <w:r w:rsidRPr="00F85D43">
              <w:rPr>
                <w:vertAlign w:val="subscript"/>
                <w:lang w:val="de-CH"/>
              </w:rPr>
              <w:t>50</w:t>
            </w:r>
            <w:r w:rsidRPr="006F78D3">
              <w:rPr>
                <w:lang w:val="de-CH"/>
              </w:rPr>
              <w:t xml:space="preserve"> &gt;0.13 mg/kg bw </w:t>
            </w:r>
          </w:p>
        </w:tc>
        <w:tc>
          <w:tcPr>
            <w:tcW w:w="0" w:type="auto"/>
            <w:tcBorders>
              <w:top w:val="nil"/>
              <w:left w:val="nil"/>
              <w:bottom w:val="nil"/>
              <w:right w:val="nil"/>
            </w:tcBorders>
          </w:tcPr>
          <w:p w14:paraId="35776CDA" w14:textId="77777777" w:rsidR="000D594D" w:rsidRDefault="000D594D" w:rsidP="00377F3A">
            <w:pPr>
              <w:pStyle w:val="TableText"/>
            </w:pPr>
            <w:r>
              <w:t>Glaza 1987</w:t>
            </w:r>
          </w:p>
        </w:tc>
      </w:tr>
      <w:tr w:rsidR="000D594D" w:rsidRPr="000B2FA7" w14:paraId="1EA58C37" w14:textId="77777777" w:rsidTr="000D594D">
        <w:tc>
          <w:tcPr>
            <w:tcW w:w="0" w:type="auto"/>
            <w:tcBorders>
              <w:top w:val="nil"/>
              <w:left w:val="nil"/>
              <w:bottom w:val="nil"/>
              <w:right w:val="nil"/>
            </w:tcBorders>
          </w:tcPr>
          <w:p w14:paraId="23D03AF2" w14:textId="77777777" w:rsidR="000D594D" w:rsidRDefault="000D594D" w:rsidP="00377F3A">
            <w:pPr>
              <w:pStyle w:val="TableText"/>
            </w:pPr>
          </w:p>
        </w:tc>
        <w:tc>
          <w:tcPr>
            <w:tcW w:w="0" w:type="auto"/>
            <w:tcBorders>
              <w:top w:val="nil"/>
              <w:left w:val="nil"/>
              <w:bottom w:val="nil"/>
              <w:right w:val="nil"/>
            </w:tcBorders>
          </w:tcPr>
          <w:p w14:paraId="067215D5" w14:textId="77777777" w:rsidR="000D594D" w:rsidRDefault="000D594D" w:rsidP="00377F3A">
            <w:pPr>
              <w:pStyle w:val="TableText"/>
            </w:pPr>
          </w:p>
        </w:tc>
        <w:tc>
          <w:tcPr>
            <w:tcW w:w="0" w:type="auto"/>
            <w:gridSpan w:val="2"/>
            <w:tcBorders>
              <w:top w:val="nil"/>
              <w:left w:val="nil"/>
              <w:bottom w:val="nil"/>
              <w:right w:val="nil"/>
            </w:tcBorders>
          </w:tcPr>
          <w:p w14:paraId="61BC3D88" w14:textId="77777777" w:rsidR="000D594D" w:rsidRDefault="000D594D" w:rsidP="00377F3A">
            <w:pPr>
              <w:pStyle w:val="TableText"/>
            </w:pPr>
            <w:r>
              <w:t>0.025 g/kg pellet: LD</w:t>
            </w:r>
            <w:r w:rsidRPr="006971DB">
              <w:rPr>
                <w:vertAlign w:val="subscript"/>
              </w:rPr>
              <w:t>50</w:t>
            </w:r>
            <w:r>
              <w:t xml:space="preserve"> &gt;0.13 mg/kg bw</w:t>
            </w:r>
          </w:p>
        </w:tc>
        <w:tc>
          <w:tcPr>
            <w:tcW w:w="0" w:type="auto"/>
            <w:tcBorders>
              <w:top w:val="nil"/>
              <w:left w:val="nil"/>
              <w:bottom w:val="nil"/>
              <w:right w:val="nil"/>
            </w:tcBorders>
          </w:tcPr>
          <w:p w14:paraId="0D916A3E" w14:textId="77777777" w:rsidR="000D594D" w:rsidRDefault="000D594D" w:rsidP="00377F3A">
            <w:pPr>
              <w:pStyle w:val="TableText"/>
            </w:pPr>
            <w:r>
              <w:t>Rutkowski 1987</w:t>
            </w:r>
          </w:p>
        </w:tc>
      </w:tr>
      <w:tr w:rsidR="000D594D" w:rsidRPr="000B2FA7" w14:paraId="3B01A7BE" w14:textId="77777777" w:rsidTr="000D594D">
        <w:tc>
          <w:tcPr>
            <w:tcW w:w="0" w:type="auto"/>
            <w:tcBorders>
              <w:top w:val="nil"/>
              <w:left w:val="nil"/>
              <w:bottom w:val="nil"/>
              <w:right w:val="nil"/>
            </w:tcBorders>
          </w:tcPr>
          <w:p w14:paraId="4C1B790D" w14:textId="77777777" w:rsidR="000D594D" w:rsidRDefault="000D594D" w:rsidP="00377F3A">
            <w:pPr>
              <w:pStyle w:val="TableText"/>
            </w:pPr>
          </w:p>
        </w:tc>
        <w:tc>
          <w:tcPr>
            <w:tcW w:w="0" w:type="auto"/>
            <w:tcBorders>
              <w:top w:val="nil"/>
              <w:left w:val="nil"/>
              <w:bottom w:val="nil"/>
              <w:right w:val="nil"/>
            </w:tcBorders>
          </w:tcPr>
          <w:p w14:paraId="54FFCCA6" w14:textId="77777777" w:rsidR="000D594D" w:rsidRDefault="000D594D" w:rsidP="00377F3A">
            <w:pPr>
              <w:pStyle w:val="TableText"/>
            </w:pPr>
            <w:r>
              <w:t>Dietary</w:t>
            </w:r>
          </w:p>
        </w:tc>
        <w:tc>
          <w:tcPr>
            <w:tcW w:w="0" w:type="auto"/>
            <w:tcBorders>
              <w:top w:val="nil"/>
              <w:left w:val="nil"/>
              <w:bottom w:val="nil"/>
              <w:right w:val="nil"/>
            </w:tcBorders>
          </w:tcPr>
          <w:p w14:paraId="745AEFD7" w14:textId="77777777" w:rsidR="000D594D" w:rsidRDefault="000D594D" w:rsidP="00377F3A">
            <w:pPr>
              <w:pStyle w:val="TableText"/>
            </w:pPr>
            <w:r>
              <w:t>Mustela furo</w:t>
            </w:r>
          </w:p>
        </w:tc>
        <w:tc>
          <w:tcPr>
            <w:tcW w:w="0" w:type="auto"/>
            <w:tcBorders>
              <w:top w:val="nil"/>
              <w:left w:val="nil"/>
              <w:bottom w:val="nil"/>
              <w:right w:val="nil"/>
            </w:tcBorders>
          </w:tcPr>
          <w:p w14:paraId="5FB00EC1"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760 mg/kg bw/d</w:t>
            </w:r>
          </w:p>
        </w:tc>
        <w:tc>
          <w:tcPr>
            <w:tcW w:w="0" w:type="auto"/>
            <w:tcBorders>
              <w:top w:val="nil"/>
              <w:left w:val="nil"/>
              <w:bottom w:val="nil"/>
              <w:right w:val="nil"/>
            </w:tcBorders>
          </w:tcPr>
          <w:p w14:paraId="0032E180" w14:textId="2BB02526" w:rsidR="000D594D" w:rsidRDefault="000D594D" w:rsidP="00377F3A">
            <w:pPr>
              <w:pStyle w:val="TableText"/>
            </w:pPr>
            <w:r>
              <w:t xml:space="preserve">Goldade </w:t>
            </w:r>
            <w:r w:rsidR="00B7183A" w:rsidRPr="00B7183A">
              <w:rPr>
                <w:i/>
                <w:iCs/>
              </w:rPr>
              <w:t>et al</w:t>
            </w:r>
            <w:r>
              <w:t>. 2001, Savarie 2005</w:t>
            </w:r>
          </w:p>
        </w:tc>
      </w:tr>
      <w:tr w:rsidR="000D594D" w:rsidRPr="000B2FA7" w14:paraId="530073D3" w14:textId="77777777" w:rsidTr="000D594D">
        <w:tc>
          <w:tcPr>
            <w:tcW w:w="0" w:type="auto"/>
            <w:tcBorders>
              <w:top w:val="nil"/>
              <w:left w:val="nil"/>
              <w:bottom w:val="nil"/>
              <w:right w:val="nil"/>
            </w:tcBorders>
          </w:tcPr>
          <w:p w14:paraId="412D64C2" w14:textId="77777777" w:rsidR="000D594D" w:rsidRDefault="000D594D" w:rsidP="00377F3A">
            <w:pPr>
              <w:pStyle w:val="TableText"/>
            </w:pPr>
            <w:r>
              <w:t>Birds</w:t>
            </w:r>
          </w:p>
        </w:tc>
        <w:tc>
          <w:tcPr>
            <w:tcW w:w="0" w:type="auto"/>
            <w:tcBorders>
              <w:top w:val="nil"/>
              <w:left w:val="nil"/>
              <w:bottom w:val="nil"/>
              <w:right w:val="nil"/>
            </w:tcBorders>
          </w:tcPr>
          <w:p w14:paraId="057F3561" w14:textId="77777777" w:rsidR="000D594D" w:rsidRDefault="000D594D" w:rsidP="00377F3A">
            <w:pPr>
              <w:pStyle w:val="TableText"/>
            </w:pPr>
            <w:r>
              <w:t>Acute</w:t>
            </w:r>
          </w:p>
        </w:tc>
        <w:tc>
          <w:tcPr>
            <w:tcW w:w="0" w:type="auto"/>
            <w:tcBorders>
              <w:top w:val="nil"/>
              <w:left w:val="nil"/>
              <w:bottom w:val="nil"/>
              <w:right w:val="nil"/>
            </w:tcBorders>
          </w:tcPr>
          <w:p w14:paraId="7C2F87FA" w14:textId="77777777" w:rsidR="000D594D" w:rsidRDefault="000D594D" w:rsidP="00377F3A">
            <w:pPr>
              <w:pStyle w:val="TableText"/>
            </w:pPr>
            <w:r>
              <w:t>Colinus virginianus</w:t>
            </w:r>
          </w:p>
        </w:tc>
        <w:tc>
          <w:tcPr>
            <w:tcW w:w="0" w:type="auto"/>
            <w:tcBorders>
              <w:top w:val="nil"/>
              <w:left w:val="nil"/>
              <w:bottom w:val="nil"/>
              <w:right w:val="nil"/>
            </w:tcBorders>
          </w:tcPr>
          <w:p w14:paraId="4680756F" w14:textId="77777777" w:rsidR="000D594D" w:rsidRDefault="000D594D" w:rsidP="00377F3A">
            <w:pPr>
              <w:pStyle w:val="TableText"/>
            </w:pPr>
            <w:r>
              <w:t>LD</w:t>
            </w:r>
            <w:r w:rsidRPr="00FB270C">
              <w:rPr>
                <w:vertAlign w:val="subscript"/>
              </w:rPr>
              <w:t>50</w:t>
            </w:r>
            <w:r>
              <w:t xml:space="preserve"> 0.26 mg/kg bw</w:t>
            </w:r>
          </w:p>
        </w:tc>
        <w:tc>
          <w:tcPr>
            <w:tcW w:w="0" w:type="auto"/>
            <w:tcBorders>
              <w:top w:val="nil"/>
              <w:left w:val="nil"/>
              <w:bottom w:val="nil"/>
              <w:right w:val="nil"/>
            </w:tcBorders>
          </w:tcPr>
          <w:p w14:paraId="492607A7" w14:textId="77777777" w:rsidR="000D594D" w:rsidRDefault="000D594D" w:rsidP="00377F3A">
            <w:pPr>
              <w:pStyle w:val="TableText"/>
            </w:pPr>
            <w:r>
              <w:t>Fletcher 1988a</w:t>
            </w:r>
          </w:p>
        </w:tc>
      </w:tr>
      <w:tr w:rsidR="000D594D" w:rsidRPr="000B2FA7" w14:paraId="457EEB77" w14:textId="77777777" w:rsidTr="000D594D">
        <w:tc>
          <w:tcPr>
            <w:tcW w:w="0" w:type="auto"/>
            <w:tcBorders>
              <w:top w:val="nil"/>
              <w:left w:val="nil"/>
              <w:bottom w:val="nil"/>
              <w:right w:val="nil"/>
            </w:tcBorders>
          </w:tcPr>
          <w:p w14:paraId="610DD9CE" w14:textId="77777777" w:rsidR="000D594D" w:rsidRDefault="000D594D" w:rsidP="00377F3A">
            <w:pPr>
              <w:pStyle w:val="TableText"/>
            </w:pPr>
          </w:p>
        </w:tc>
        <w:tc>
          <w:tcPr>
            <w:tcW w:w="0" w:type="auto"/>
            <w:tcBorders>
              <w:top w:val="nil"/>
              <w:left w:val="nil"/>
              <w:bottom w:val="nil"/>
              <w:right w:val="nil"/>
            </w:tcBorders>
          </w:tcPr>
          <w:p w14:paraId="6B69ABA5" w14:textId="77777777" w:rsidR="000D594D" w:rsidRDefault="000D594D" w:rsidP="00377F3A">
            <w:pPr>
              <w:pStyle w:val="TableText"/>
            </w:pPr>
          </w:p>
        </w:tc>
        <w:tc>
          <w:tcPr>
            <w:tcW w:w="0" w:type="auto"/>
            <w:tcBorders>
              <w:top w:val="nil"/>
              <w:left w:val="nil"/>
              <w:bottom w:val="nil"/>
              <w:right w:val="nil"/>
            </w:tcBorders>
          </w:tcPr>
          <w:p w14:paraId="4FEAC3CA" w14:textId="77777777" w:rsidR="000D594D" w:rsidRDefault="000D594D" w:rsidP="00377F3A">
            <w:pPr>
              <w:pStyle w:val="TableText"/>
            </w:pPr>
            <w:r>
              <w:t>Coturnix japonica</w:t>
            </w:r>
          </w:p>
        </w:tc>
        <w:tc>
          <w:tcPr>
            <w:tcW w:w="0" w:type="auto"/>
            <w:tcBorders>
              <w:top w:val="nil"/>
              <w:left w:val="nil"/>
              <w:bottom w:val="nil"/>
              <w:right w:val="nil"/>
            </w:tcBorders>
          </w:tcPr>
          <w:p w14:paraId="7C65F71E" w14:textId="77777777" w:rsidR="000D594D" w:rsidRDefault="000D594D" w:rsidP="00377F3A">
            <w:pPr>
              <w:pStyle w:val="TableText"/>
            </w:pPr>
            <w:r>
              <w:t>LC</w:t>
            </w:r>
            <w:r w:rsidRPr="009D02A4">
              <w:rPr>
                <w:vertAlign w:val="subscript"/>
              </w:rPr>
              <w:t>50</w:t>
            </w:r>
            <w:r>
              <w:t xml:space="preserve"> 23 mg/kg bw</w:t>
            </w:r>
          </w:p>
        </w:tc>
        <w:tc>
          <w:tcPr>
            <w:tcW w:w="0" w:type="auto"/>
            <w:tcBorders>
              <w:top w:val="nil"/>
              <w:left w:val="nil"/>
              <w:bottom w:val="nil"/>
              <w:right w:val="nil"/>
            </w:tcBorders>
          </w:tcPr>
          <w:p w14:paraId="6EC638D3" w14:textId="77777777" w:rsidR="000D594D" w:rsidRDefault="000D594D" w:rsidP="00377F3A">
            <w:pPr>
              <w:pStyle w:val="TableText"/>
            </w:pPr>
            <w:r>
              <w:t>Lorgue 1987</w:t>
            </w:r>
          </w:p>
        </w:tc>
      </w:tr>
      <w:tr w:rsidR="000D594D" w:rsidRPr="000B2FA7" w14:paraId="25CE1637" w14:textId="77777777" w:rsidTr="000D594D">
        <w:tc>
          <w:tcPr>
            <w:tcW w:w="0" w:type="auto"/>
            <w:tcBorders>
              <w:top w:val="nil"/>
              <w:left w:val="nil"/>
              <w:bottom w:val="nil"/>
              <w:right w:val="nil"/>
            </w:tcBorders>
          </w:tcPr>
          <w:p w14:paraId="1D5D0E51" w14:textId="77777777" w:rsidR="000D594D" w:rsidRDefault="000D594D" w:rsidP="00377F3A">
            <w:pPr>
              <w:pStyle w:val="TableText"/>
            </w:pPr>
          </w:p>
        </w:tc>
        <w:tc>
          <w:tcPr>
            <w:tcW w:w="0" w:type="auto"/>
            <w:tcBorders>
              <w:top w:val="nil"/>
              <w:left w:val="nil"/>
              <w:bottom w:val="nil"/>
              <w:right w:val="nil"/>
            </w:tcBorders>
          </w:tcPr>
          <w:p w14:paraId="15FAF0F3" w14:textId="77777777" w:rsidR="000D594D" w:rsidRDefault="000D594D" w:rsidP="00377F3A">
            <w:pPr>
              <w:pStyle w:val="TableText"/>
            </w:pPr>
            <w:r>
              <w:t>Dietary</w:t>
            </w:r>
          </w:p>
        </w:tc>
        <w:tc>
          <w:tcPr>
            <w:tcW w:w="0" w:type="auto"/>
            <w:tcBorders>
              <w:top w:val="nil"/>
              <w:left w:val="nil"/>
              <w:bottom w:val="nil"/>
              <w:right w:val="nil"/>
            </w:tcBorders>
          </w:tcPr>
          <w:p w14:paraId="56FA649B" w14:textId="77777777" w:rsidR="000D594D" w:rsidRDefault="000D594D" w:rsidP="00377F3A">
            <w:pPr>
              <w:pStyle w:val="TableText"/>
            </w:pPr>
            <w:r>
              <w:t>Colinus virginianus</w:t>
            </w:r>
          </w:p>
        </w:tc>
        <w:tc>
          <w:tcPr>
            <w:tcW w:w="0" w:type="auto"/>
            <w:tcBorders>
              <w:top w:val="nil"/>
              <w:left w:val="nil"/>
              <w:bottom w:val="nil"/>
              <w:right w:val="nil"/>
            </w:tcBorders>
          </w:tcPr>
          <w:p w14:paraId="5EF26F57" w14:textId="77777777" w:rsidR="000D594D" w:rsidRDefault="000D594D" w:rsidP="00377F3A">
            <w:pPr>
              <w:pStyle w:val="TableText"/>
            </w:pPr>
            <w:r>
              <w:t>LC</w:t>
            </w:r>
            <w:r w:rsidRPr="009D02A4">
              <w:rPr>
                <w:vertAlign w:val="subscript"/>
              </w:rPr>
              <w:t>50</w:t>
            </w:r>
            <w:r>
              <w:t xml:space="preserve"> 0.56 mg/kg food</w:t>
            </w:r>
          </w:p>
        </w:tc>
        <w:tc>
          <w:tcPr>
            <w:tcW w:w="0" w:type="auto"/>
            <w:tcBorders>
              <w:top w:val="nil"/>
              <w:left w:val="nil"/>
              <w:bottom w:val="nil"/>
              <w:right w:val="nil"/>
            </w:tcBorders>
          </w:tcPr>
          <w:p w14:paraId="15A63F10" w14:textId="77777777" w:rsidR="000D594D" w:rsidRDefault="000D594D" w:rsidP="00377F3A">
            <w:pPr>
              <w:pStyle w:val="TableText"/>
            </w:pPr>
            <w:r>
              <w:t>Fletcher 1988b</w:t>
            </w:r>
          </w:p>
        </w:tc>
      </w:tr>
      <w:tr w:rsidR="000D594D" w:rsidRPr="000B2FA7" w14:paraId="7D84241B" w14:textId="77777777" w:rsidTr="000D594D">
        <w:tc>
          <w:tcPr>
            <w:tcW w:w="0" w:type="auto"/>
            <w:tcBorders>
              <w:top w:val="nil"/>
              <w:left w:val="nil"/>
              <w:bottom w:val="nil"/>
              <w:right w:val="nil"/>
            </w:tcBorders>
          </w:tcPr>
          <w:p w14:paraId="50336325" w14:textId="77777777" w:rsidR="000D594D" w:rsidRDefault="000D594D" w:rsidP="00377F3A">
            <w:pPr>
              <w:pStyle w:val="TableText"/>
            </w:pPr>
            <w:r>
              <w:t>Birds</w:t>
            </w:r>
          </w:p>
        </w:tc>
        <w:tc>
          <w:tcPr>
            <w:tcW w:w="0" w:type="auto"/>
            <w:tcBorders>
              <w:top w:val="nil"/>
              <w:left w:val="nil"/>
              <w:bottom w:val="nil"/>
              <w:right w:val="nil"/>
            </w:tcBorders>
          </w:tcPr>
          <w:p w14:paraId="5E6F5F47" w14:textId="77777777" w:rsidR="000D594D" w:rsidRDefault="000D594D" w:rsidP="00377F3A">
            <w:pPr>
              <w:pStyle w:val="TableText"/>
            </w:pPr>
            <w:r>
              <w:t>Dietary</w:t>
            </w:r>
          </w:p>
        </w:tc>
        <w:tc>
          <w:tcPr>
            <w:tcW w:w="0" w:type="auto"/>
            <w:tcBorders>
              <w:top w:val="nil"/>
              <w:left w:val="nil"/>
              <w:bottom w:val="nil"/>
              <w:right w:val="nil"/>
            </w:tcBorders>
          </w:tcPr>
          <w:p w14:paraId="71A702A7" w14:textId="77777777" w:rsidR="000D594D" w:rsidRDefault="000D594D" w:rsidP="00377F3A">
            <w:pPr>
              <w:pStyle w:val="TableText"/>
            </w:pPr>
            <w:r>
              <w:t>Anas platyrhynchos</w:t>
            </w:r>
          </w:p>
        </w:tc>
        <w:tc>
          <w:tcPr>
            <w:tcW w:w="0" w:type="auto"/>
            <w:tcBorders>
              <w:top w:val="nil"/>
              <w:left w:val="nil"/>
              <w:bottom w:val="nil"/>
              <w:right w:val="nil"/>
            </w:tcBorders>
          </w:tcPr>
          <w:p w14:paraId="2F1DB508" w14:textId="77777777" w:rsidR="000D594D" w:rsidRDefault="000D594D" w:rsidP="00377F3A">
            <w:pPr>
              <w:pStyle w:val="TableText"/>
            </w:pPr>
            <w:r>
              <w:t>LC</w:t>
            </w:r>
            <w:r w:rsidRPr="009D02A4">
              <w:rPr>
                <w:vertAlign w:val="subscript"/>
              </w:rPr>
              <w:t>50</w:t>
            </w:r>
            <w:r>
              <w:t xml:space="preserve"> 1.9 mg/kg food</w:t>
            </w:r>
          </w:p>
        </w:tc>
        <w:tc>
          <w:tcPr>
            <w:tcW w:w="0" w:type="auto"/>
            <w:tcBorders>
              <w:top w:val="nil"/>
              <w:left w:val="nil"/>
              <w:bottom w:val="nil"/>
              <w:right w:val="nil"/>
            </w:tcBorders>
          </w:tcPr>
          <w:p w14:paraId="21B6D132" w14:textId="77777777" w:rsidR="000D594D" w:rsidRDefault="000D594D" w:rsidP="00377F3A">
            <w:pPr>
              <w:pStyle w:val="TableText"/>
            </w:pPr>
            <w:r>
              <w:t>Fletcher 1986</w:t>
            </w:r>
          </w:p>
        </w:tc>
      </w:tr>
      <w:tr w:rsidR="000D594D" w:rsidRPr="000B2FA7" w14:paraId="37B27F8F" w14:textId="77777777" w:rsidTr="000D594D">
        <w:tc>
          <w:tcPr>
            <w:tcW w:w="0" w:type="auto"/>
            <w:tcBorders>
              <w:top w:val="nil"/>
              <w:left w:val="nil"/>
              <w:bottom w:val="single" w:sz="4" w:space="0" w:color="auto"/>
              <w:right w:val="nil"/>
            </w:tcBorders>
          </w:tcPr>
          <w:p w14:paraId="6F9FE1BB" w14:textId="77777777" w:rsidR="000D594D" w:rsidRDefault="000D594D" w:rsidP="00377F3A">
            <w:pPr>
              <w:pStyle w:val="TableText"/>
            </w:pPr>
          </w:p>
        </w:tc>
        <w:tc>
          <w:tcPr>
            <w:tcW w:w="0" w:type="auto"/>
            <w:tcBorders>
              <w:top w:val="nil"/>
              <w:left w:val="nil"/>
              <w:bottom w:val="single" w:sz="4" w:space="0" w:color="auto"/>
              <w:right w:val="nil"/>
            </w:tcBorders>
          </w:tcPr>
          <w:p w14:paraId="63A3B379" w14:textId="77777777" w:rsidR="000D594D" w:rsidRDefault="000D594D" w:rsidP="00377F3A">
            <w:pPr>
              <w:pStyle w:val="TableText"/>
            </w:pPr>
          </w:p>
        </w:tc>
        <w:tc>
          <w:tcPr>
            <w:tcW w:w="0" w:type="auto"/>
            <w:tcBorders>
              <w:top w:val="nil"/>
              <w:left w:val="nil"/>
              <w:bottom w:val="single" w:sz="4" w:space="0" w:color="auto"/>
              <w:right w:val="nil"/>
            </w:tcBorders>
          </w:tcPr>
          <w:p w14:paraId="1A292291" w14:textId="77777777" w:rsidR="000D594D" w:rsidRDefault="000D594D" w:rsidP="00377F3A">
            <w:pPr>
              <w:pStyle w:val="TableText"/>
            </w:pPr>
            <w:r>
              <w:t>Pica pica</w:t>
            </w:r>
          </w:p>
        </w:tc>
        <w:tc>
          <w:tcPr>
            <w:tcW w:w="0" w:type="auto"/>
            <w:tcBorders>
              <w:top w:val="nil"/>
              <w:left w:val="nil"/>
              <w:bottom w:val="single" w:sz="4" w:space="0" w:color="auto"/>
              <w:right w:val="nil"/>
            </w:tcBorders>
          </w:tcPr>
          <w:p w14:paraId="371FE6F3"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7.4 mg/kg bw/d</w:t>
            </w:r>
          </w:p>
        </w:tc>
        <w:tc>
          <w:tcPr>
            <w:tcW w:w="0" w:type="auto"/>
            <w:tcBorders>
              <w:top w:val="nil"/>
              <w:left w:val="nil"/>
              <w:bottom w:val="single" w:sz="4" w:space="0" w:color="auto"/>
              <w:right w:val="nil"/>
            </w:tcBorders>
          </w:tcPr>
          <w:p w14:paraId="5DEBBCAF" w14:textId="1F8DF8E6" w:rsidR="000D594D" w:rsidRDefault="000D594D" w:rsidP="00377F3A">
            <w:pPr>
              <w:pStyle w:val="TableText"/>
            </w:pPr>
            <w:r>
              <w:t xml:space="preserve">Goldade </w:t>
            </w:r>
            <w:r w:rsidR="00B7183A" w:rsidRPr="00B7183A">
              <w:rPr>
                <w:i/>
                <w:iCs/>
              </w:rPr>
              <w:t>et al</w:t>
            </w:r>
            <w:r>
              <w:t>. 2001, Savarie 2005</w:t>
            </w:r>
          </w:p>
        </w:tc>
      </w:tr>
    </w:tbl>
    <w:p w14:paraId="1F4AAF0F"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0F2AA061" w14:textId="13558594" w:rsidR="00980B2F" w:rsidRPr="00861CA0" w:rsidRDefault="00D560AB" w:rsidP="00377F3A">
      <w:pPr>
        <w:pStyle w:val="Caption"/>
      </w:pPr>
      <w:bookmarkStart w:id="2117" w:name="_Toc213946109"/>
      <w:bookmarkStart w:id="2118" w:name="_Toc216695800"/>
      <w:r>
        <w:t xml:space="preserve">Table </w:t>
      </w:r>
      <w:r>
        <w:fldChar w:fldCharType="begin"/>
      </w:r>
      <w:r>
        <w:instrText xml:space="preserve"> SEQ Table \* ARABIC </w:instrText>
      </w:r>
      <w:r>
        <w:fldChar w:fldCharType="separate"/>
      </w:r>
      <w:r w:rsidR="003861AC">
        <w:rPr>
          <w:noProof/>
        </w:rPr>
        <w:t>138</w:t>
      </w:r>
      <w:r>
        <w:fldChar w:fldCharType="end"/>
      </w:r>
      <w:r>
        <w:t xml:space="preserve">: </w:t>
      </w:r>
      <w:r w:rsidR="00FE61F1">
        <w:t xml:space="preserve">Difethialone – </w:t>
      </w:r>
      <w:r w:rsidR="00980B2F">
        <w:t>Secondary poisoning studies on terrestrial vertebrates</w:t>
      </w:r>
      <w:bookmarkEnd w:id="2117"/>
      <w:bookmarkEnd w:id="2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9"/>
        <w:gridCol w:w="805"/>
        <w:gridCol w:w="1768"/>
        <w:gridCol w:w="4595"/>
        <w:gridCol w:w="1851"/>
      </w:tblGrid>
      <w:tr w:rsidR="000D594D" w:rsidRPr="000B2FA7" w14:paraId="31206D71" w14:textId="77777777" w:rsidTr="0017134F">
        <w:trPr>
          <w:tblHeader/>
        </w:trPr>
        <w:tc>
          <w:tcPr>
            <w:tcW w:w="0" w:type="auto"/>
            <w:tcBorders>
              <w:bottom w:val="single" w:sz="4" w:space="0" w:color="auto"/>
            </w:tcBorders>
            <w:shd w:val="clear" w:color="auto" w:fill="53284F"/>
          </w:tcPr>
          <w:p w14:paraId="3F02B05C" w14:textId="77777777" w:rsidR="000D594D" w:rsidRPr="006123DB" w:rsidRDefault="000D594D" w:rsidP="00377F3A">
            <w:pPr>
              <w:pStyle w:val="TableHead"/>
            </w:pPr>
            <w:r w:rsidRPr="006123DB">
              <w:t>Group</w:t>
            </w:r>
          </w:p>
        </w:tc>
        <w:tc>
          <w:tcPr>
            <w:tcW w:w="0" w:type="auto"/>
            <w:tcBorders>
              <w:bottom w:val="single" w:sz="4" w:space="0" w:color="auto"/>
            </w:tcBorders>
            <w:shd w:val="clear" w:color="auto" w:fill="53284F"/>
          </w:tcPr>
          <w:p w14:paraId="653498F4" w14:textId="77777777" w:rsidR="000D594D" w:rsidRPr="006123DB" w:rsidRDefault="000D594D" w:rsidP="00377F3A">
            <w:pPr>
              <w:pStyle w:val="TableHead"/>
            </w:pPr>
            <w:r w:rsidRPr="006123DB">
              <w:t>Species</w:t>
            </w:r>
          </w:p>
        </w:tc>
        <w:tc>
          <w:tcPr>
            <w:tcW w:w="0" w:type="auto"/>
            <w:tcBorders>
              <w:bottom w:val="single" w:sz="4" w:space="0" w:color="auto"/>
            </w:tcBorders>
            <w:shd w:val="clear" w:color="auto" w:fill="53284F"/>
          </w:tcPr>
          <w:p w14:paraId="2DDCB92F" w14:textId="77777777" w:rsidR="000D594D" w:rsidRPr="006123DB" w:rsidRDefault="000D594D" w:rsidP="00377F3A">
            <w:pPr>
              <w:pStyle w:val="TableHead"/>
            </w:pPr>
            <w:r w:rsidRPr="006123DB">
              <w:t>Poisoned food</w:t>
            </w:r>
          </w:p>
        </w:tc>
        <w:tc>
          <w:tcPr>
            <w:tcW w:w="0" w:type="auto"/>
            <w:tcBorders>
              <w:bottom w:val="single" w:sz="4" w:space="0" w:color="auto"/>
            </w:tcBorders>
            <w:shd w:val="clear" w:color="auto" w:fill="53284F"/>
          </w:tcPr>
          <w:p w14:paraId="07B9132C" w14:textId="77777777" w:rsidR="000D594D" w:rsidRPr="006123DB" w:rsidRDefault="000D594D" w:rsidP="00377F3A">
            <w:pPr>
              <w:pStyle w:val="TableHead"/>
            </w:pPr>
            <w:r w:rsidRPr="006123DB">
              <w:t>Study details &amp; result</w:t>
            </w:r>
          </w:p>
        </w:tc>
        <w:tc>
          <w:tcPr>
            <w:tcW w:w="0" w:type="auto"/>
            <w:tcBorders>
              <w:bottom w:val="single" w:sz="4" w:space="0" w:color="auto"/>
            </w:tcBorders>
            <w:shd w:val="clear" w:color="auto" w:fill="53284F"/>
          </w:tcPr>
          <w:p w14:paraId="62214351" w14:textId="77777777" w:rsidR="000D594D" w:rsidRPr="006123DB" w:rsidRDefault="000D594D" w:rsidP="00377F3A">
            <w:pPr>
              <w:pStyle w:val="TableHead"/>
            </w:pPr>
            <w:r w:rsidRPr="006123DB">
              <w:t>Reference</w:t>
            </w:r>
          </w:p>
        </w:tc>
      </w:tr>
      <w:tr w:rsidR="000D594D" w:rsidRPr="000B2FA7" w14:paraId="0E5E0881" w14:textId="77777777" w:rsidTr="000D594D">
        <w:tc>
          <w:tcPr>
            <w:tcW w:w="0" w:type="auto"/>
            <w:tcBorders>
              <w:top w:val="nil"/>
              <w:left w:val="nil"/>
              <w:bottom w:val="single" w:sz="4" w:space="0" w:color="auto"/>
              <w:right w:val="nil"/>
            </w:tcBorders>
          </w:tcPr>
          <w:p w14:paraId="15B67D6C" w14:textId="77777777" w:rsidR="000D594D" w:rsidRPr="00F85B76" w:rsidRDefault="000D594D" w:rsidP="00377F3A">
            <w:pPr>
              <w:pStyle w:val="TableText"/>
            </w:pPr>
            <w:r w:rsidRPr="00F85B76">
              <w:t>Birds</w:t>
            </w:r>
          </w:p>
        </w:tc>
        <w:tc>
          <w:tcPr>
            <w:tcW w:w="0" w:type="auto"/>
            <w:tcBorders>
              <w:top w:val="nil"/>
              <w:left w:val="nil"/>
              <w:bottom w:val="single" w:sz="4" w:space="0" w:color="auto"/>
              <w:right w:val="nil"/>
            </w:tcBorders>
          </w:tcPr>
          <w:p w14:paraId="14F66830" w14:textId="77777777" w:rsidR="000D594D" w:rsidRPr="00F85B76" w:rsidRDefault="000D594D" w:rsidP="00377F3A">
            <w:pPr>
              <w:pStyle w:val="TableText"/>
            </w:pPr>
            <w:r w:rsidRPr="00F85B76">
              <w:t>Tyto alba</w:t>
            </w:r>
          </w:p>
        </w:tc>
        <w:tc>
          <w:tcPr>
            <w:tcW w:w="0" w:type="auto"/>
            <w:tcBorders>
              <w:top w:val="nil"/>
              <w:left w:val="nil"/>
              <w:bottom w:val="single" w:sz="4" w:space="0" w:color="auto"/>
              <w:right w:val="nil"/>
            </w:tcBorders>
          </w:tcPr>
          <w:p w14:paraId="4C07A5A5" w14:textId="77777777" w:rsidR="000D594D" w:rsidRPr="00F85B76" w:rsidRDefault="000D594D" w:rsidP="00377F3A">
            <w:pPr>
              <w:pStyle w:val="TableText"/>
            </w:pPr>
            <w:r w:rsidRPr="00F85B76">
              <w:t>0.30-0.45 mg/kg rats for 1, 3 or 6d</w:t>
            </w:r>
          </w:p>
        </w:tc>
        <w:tc>
          <w:tcPr>
            <w:tcW w:w="0" w:type="auto"/>
            <w:tcBorders>
              <w:top w:val="nil"/>
              <w:left w:val="nil"/>
              <w:bottom w:val="single" w:sz="4" w:space="0" w:color="auto"/>
              <w:right w:val="nil"/>
            </w:tcBorders>
          </w:tcPr>
          <w:p w14:paraId="5C6A8B39" w14:textId="77777777" w:rsidR="000D594D" w:rsidRPr="00F85B76" w:rsidRDefault="000D594D" w:rsidP="00377F3A">
            <w:pPr>
              <w:pStyle w:val="TableText"/>
            </w:pPr>
            <w:r w:rsidRPr="00F85B76">
              <w:t>LD</w:t>
            </w:r>
            <w:r w:rsidRPr="00F85B76">
              <w:rPr>
                <w:vertAlign w:val="subscript"/>
              </w:rPr>
              <w:t>100</w:t>
            </w:r>
            <w:r w:rsidRPr="00F85B76">
              <w:t xml:space="preserve"> 0.27-0.39 mg/kg bw. Ingested difethialone readily available; excretion/ metabolism low during 56d period</w:t>
            </w:r>
          </w:p>
        </w:tc>
        <w:tc>
          <w:tcPr>
            <w:tcW w:w="0" w:type="auto"/>
            <w:tcBorders>
              <w:top w:val="nil"/>
              <w:left w:val="nil"/>
              <w:bottom w:val="single" w:sz="4" w:space="0" w:color="auto"/>
              <w:right w:val="nil"/>
            </w:tcBorders>
          </w:tcPr>
          <w:p w14:paraId="7E6BF334" w14:textId="77777777" w:rsidR="000D594D" w:rsidRPr="00F85B76" w:rsidRDefault="000D594D" w:rsidP="00377F3A">
            <w:pPr>
              <w:pStyle w:val="TableText"/>
            </w:pPr>
            <w:r w:rsidRPr="00F85B76">
              <w:t>Saravanan &amp; Kanakasabai 2004</w:t>
            </w:r>
          </w:p>
        </w:tc>
      </w:tr>
    </w:tbl>
    <w:p w14:paraId="43193E34" w14:textId="1B494445" w:rsidR="000D594D" w:rsidRPr="00861CA0" w:rsidRDefault="00CA58F0" w:rsidP="00377F3A">
      <w:pPr>
        <w:pStyle w:val="Caption"/>
      </w:pPr>
      <w:bookmarkStart w:id="2119" w:name="_Ref213315541"/>
      <w:bookmarkStart w:id="2120" w:name="_Toc213946110"/>
      <w:bookmarkStart w:id="2121" w:name="_Toc216695801"/>
      <w:r>
        <w:t xml:space="preserve">Table </w:t>
      </w:r>
      <w:r>
        <w:fldChar w:fldCharType="begin"/>
      </w:r>
      <w:r>
        <w:instrText xml:space="preserve"> SEQ Table \* ARABIC </w:instrText>
      </w:r>
      <w:r>
        <w:fldChar w:fldCharType="separate"/>
      </w:r>
      <w:r w:rsidR="003861AC">
        <w:rPr>
          <w:noProof/>
        </w:rPr>
        <w:t>139</w:t>
      </w:r>
      <w:r>
        <w:fldChar w:fldCharType="end"/>
      </w:r>
      <w:bookmarkStart w:id="2122" w:name="_Toc231963183"/>
      <w:bookmarkStart w:id="2123" w:name="_Toc231963195"/>
      <w:bookmarkEnd w:id="2119"/>
      <w:r>
        <w:t xml:space="preserve">: </w:t>
      </w:r>
      <w:r w:rsidR="000D594D">
        <w:t>Difethialone – Effects on aquatic species</w:t>
      </w:r>
      <w:bookmarkEnd w:id="2120"/>
      <w:bookmarkEnd w:id="2121"/>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77"/>
        <w:gridCol w:w="1151"/>
        <w:gridCol w:w="2862"/>
        <w:gridCol w:w="2079"/>
        <w:gridCol w:w="1959"/>
      </w:tblGrid>
      <w:tr w:rsidR="000D594D" w:rsidRPr="000B2FA7" w14:paraId="70C594C0" w14:textId="77777777" w:rsidTr="0017134F">
        <w:trPr>
          <w:tblHeader/>
        </w:trPr>
        <w:tc>
          <w:tcPr>
            <w:tcW w:w="0" w:type="auto"/>
            <w:tcBorders>
              <w:bottom w:val="single" w:sz="4" w:space="0" w:color="auto"/>
            </w:tcBorders>
            <w:shd w:val="clear" w:color="auto" w:fill="53284F"/>
          </w:tcPr>
          <w:p w14:paraId="1472E6CD" w14:textId="77777777" w:rsidR="000D594D" w:rsidRDefault="000D594D" w:rsidP="00377F3A">
            <w:pPr>
              <w:pStyle w:val="TableHead"/>
            </w:pPr>
            <w:r>
              <w:t>Group</w:t>
            </w:r>
          </w:p>
        </w:tc>
        <w:tc>
          <w:tcPr>
            <w:tcW w:w="0" w:type="auto"/>
            <w:tcBorders>
              <w:bottom w:val="single" w:sz="4" w:space="0" w:color="auto"/>
            </w:tcBorders>
            <w:shd w:val="clear" w:color="auto" w:fill="53284F"/>
          </w:tcPr>
          <w:p w14:paraId="170CF7DA" w14:textId="77777777" w:rsidR="000D594D" w:rsidRDefault="000D594D" w:rsidP="00377F3A">
            <w:pPr>
              <w:pStyle w:val="TableHead"/>
            </w:pPr>
            <w:r>
              <w:t>Exposure</w:t>
            </w:r>
          </w:p>
        </w:tc>
        <w:tc>
          <w:tcPr>
            <w:tcW w:w="0" w:type="auto"/>
            <w:tcBorders>
              <w:bottom w:val="single" w:sz="4" w:space="0" w:color="auto"/>
            </w:tcBorders>
            <w:shd w:val="clear" w:color="auto" w:fill="53284F"/>
          </w:tcPr>
          <w:p w14:paraId="678D3491"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2F269EBB" w14:textId="77777777" w:rsidR="000D594D" w:rsidRPr="00CA558C" w:rsidRDefault="000D594D" w:rsidP="00377F3A">
            <w:pPr>
              <w:pStyle w:val="TableHead"/>
            </w:pPr>
            <w:r>
              <w:t>Toxicity v</w:t>
            </w:r>
            <w:r w:rsidRPr="00CA558C">
              <w:t>alue</w:t>
            </w:r>
          </w:p>
        </w:tc>
        <w:tc>
          <w:tcPr>
            <w:tcW w:w="0" w:type="auto"/>
            <w:tcBorders>
              <w:bottom w:val="single" w:sz="4" w:space="0" w:color="auto"/>
            </w:tcBorders>
            <w:shd w:val="clear" w:color="auto" w:fill="53284F"/>
          </w:tcPr>
          <w:p w14:paraId="77A42FAA" w14:textId="77777777" w:rsidR="000D594D" w:rsidRPr="00CA558C" w:rsidRDefault="000D594D" w:rsidP="00377F3A">
            <w:pPr>
              <w:pStyle w:val="TableHead"/>
            </w:pPr>
            <w:r>
              <w:t>Reference</w:t>
            </w:r>
          </w:p>
        </w:tc>
      </w:tr>
      <w:tr w:rsidR="000D594D" w:rsidRPr="000B2FA7" w14:paraId="27C41CD7" w14:textId="77777777" w:rsidTr="00C75073">
        <w:tc>
          <w:tcPr>
            <w:tcW w:w="0" w:type="auto"/>
            <w:tcBorders>
              <w:top w:val="single" w:sz="4" w:space="0" w:color="auto"/>
              <w:left w:val="nil"/>
              <w:bottom w:val="nil"/>
              <w:right w:val="nil"/>
            </w:tcBorders>
          </w:tcPr>
          <w:p w14:paraId="4FBC550A" w14:textId="77777777" w:rsidR="000D594D" w:rsidRDefault="000D594D" w:rsidP="00377F3A">
            <w:pPr>
              <w:pStyle w:val="TableText"/>
            </w:pPr>
            <w:r>
              <w:t>Fish</w:t>
            </w:r>
          </w:p>
        </w:tc>
        <w:tc>
          <w:tcPr>
            <w:tcW w:w="0" w:type="auto"/>
            <w:tcBorders>
              <w:top w:val="single" w:sz="4" w:space="0" w:color="auto"/>
              <w:left w:val="nil"/>
              <w:bottom w:val="nil"/>
              <w:right w:val="nil"/>
            </w:tcBorders>
          </w:tcPr>
          <w:p w14:paraId="07174783" w14:textId="77777777" w:rsidR="000D594D" w:rsidRDefault="000D594D" w:rsidP="00377F3A">
            <w:pPr>
              <w:pStyle w:val="TableText"/>
            </w:pPr>
            <w:r>
              <w:t xml:space="preserve">Acute </w:t>
            </w:r>
          </w:p>
        </w:tc>
        <w:tc>
          <w:tcPr>
            <w:tcW w:w="0" w:type="auto"/>
            <w:tcBorders>
              <w:top w:val="single" w:sz="4" w:space="0" w:color="auto"/>
              <w:left w:val="nil"/>
              <w:bottom w:val="nil"/>
              <w:right w:val="nil"/>
            </w:tcBorders>
          </w:tcPr>
          <w:p w14:paraId="231F2F21" w14:textId="77777777" w:rsidR="000D594D" w:rsidRPr="007528B2" w:rsidRDefault="000D594D" w:rsidP="00377F3A">
            <w:pPr>
              <w:pStyle w:val="TableText"/>
            </w:pPr>
            <w:r>
              <w:t>Oncorhynchus mykiss</w:t>
            </w:r>
          </w:p>
        </w:tc>
        <w:tc>
          <w:tcPr>
            <w:tcW w:w="0" w:type="auto"/>
            <w:tcBorders>
              <w:top w:val="single" w:sz="4" w:space="0" w:color="auto"/>
              <w:left w:val="nil"/>
              <w:bottom w:val="nil"/>
              <w:right w:val="nil"/>
            </w:tcBorders>
          </w:tcPr>
          <w:p w14:paraId="7E5FC3DA" w14:textId="77777777" w:rsidR="000D594D" w:rsidRPr="007528B2" w:rsidRDefault="000D594D" w:rsidP="00377F3A">
            <w:pPr>
              <w:pStyle w:val="TableText"/>
            </w:pPr>
            <w:r>
              <w:t>LC</w:t>
            </w:r>
            <w:r w:rsidRPr="007606F8">
              <w:rPr>
                <w:vertAlign w:val="subscript"/>
              </w:rPr>
              <w:t>50</w:t>
            </w:r>
            <w:r>
              <w:t xml:space="preserve"> 0.051 mg/L</w:t>
            </w:r>
          </w:p>
        </w:tc>
        <w:tc>
          <w:tcPr>
            <w:tcW w:w="0" w:type="auto"/>
            <w:tcBorders>
              <w:top w:val="single" w:sz="4" w:space="0" w:color="auto"/>
              <w:left w:val="nil"/>
              <w:bottom w:val="nil"/>
              <w:right w:val="nil"/>
            </w:tcBorders>
          </w:tcPr>
          <w:p w14:paraId="3AE96B3F" w14:textId="77777777" w:rsidR="000D594D" w:rsidRPr="007528B2" w:rsidRDefault="000D594D" w:rsidP="00377F3A">
            <w:pPr>
              <w:pStyle w:val="TableText"/>
            </w:pPr>
            <w:r>
              <w:t>Nicholson 1986a</w:t>
            </w:r>
          </w:p>
        </w:tc>
      </w:tr>
      <w:tr w:rsidR="000D594D" w14:paraId="5E5FD0E3" w14:textId="77777777" w:rsidTr="00C75073">
        <w:tc>
          <w:tcPr>
            <w:tcW w:w="0" w:type="auto"/>
            <w:tcBorders>
              <w:top w:val="nil"/>
              <w:left w:val="nil"/>
              <w:bottom w:val="single" w:sz="4" w:space="0" w:color="auto"/>
              <w:right w:val="nil"/>
            </w:tcBorders>
          </w:tcPr>
          <w:p w14:paraId="0E1E7CB9" w14:textId="77777777" w:rsidR="000D594D" w:rsidRDefault="000D594D" w:rsidP="00377F3A">
            <w:pPr>
              <w:pStyle w:val="TableText"/>
            </w:pPr>
          </w:p>
        </w:tc>
        <w:tc>
          <w:tcPr>
            <w:tcW w:w="0" w:type="auto"/>
            <w:tcBorders>
              <w:top w:val="nil"/>
              <w:left w:val="nil"/>
              <w:bottom w:val="single" w:sz="4" w:space="0" w:color="auto"/>
              <w:right w:val="nil"/>
            </w:tcBorders>
          </w:tcPr>
          <w:p w14:paraId="42A3795B" w14:textId="77777777" w:rsidR="000D594D" w:rsidRDefault="000D594D" w:rsidP="00377F3A">
            <w:pPr>
              <w:pStyle w:val="TableText"/>
            </w:pPr>
          </w:p>
        </w:tc>
        <w:tc>
          <w:tcPr>
            <w:tcW w:w="0" w:type="auto"/>
            <w:tcBorders>
              <w:top w:val="nil"/>
              <w:left w:val="nil"/>
              <w:bottom w:val="single" w:sz="4" w:space="0" w:color="auto"/>
              <w:right w:val="nil"/>
            </w:tcBorders>
          </w:tcPr>
          <w:p w14:paraId="14738216" w14:textId="77777777" w:rsidR="000D594D" w:rsidRPr="007528B2" w:rsidRDefault="000D594D" w:rsidP="00377F3A">
            <w:pPr>
              <w:pStyle w:val="TableText"/>
            </w:pPr>
            <w:r>
              <w:t>Lepomis macrochirus</w:t>
            </w:r>
          </w:p>
        </w:tc>
        <w:tc>
          <w:tcPr>
            <w:tcW w:w="0" w:type="auto"/>
            <w:tcBorders>
              <w:top w:val="nil"/>
              <w:left w:val="nil"/>
              <w:bottom w:val="single" w:sz="4" w:space="0" w:color="auto"/>
              <w:right w:val="nil"/>
            </w:tcBorders>
          </w:tcPr>
          <w:p w14:paraId="2E523A4B" w14:textId="77777777" w:rsidR="000D594D" w:rsidRPr="007528B2" w:rsidRDefault="000D594D" w:rsidP="00377F3A">
            <w:pPr>
              <w:pStyle w:val="TableText"/>
            </w:pPr>
            <w:r>
              <w:t>LC</w:t>
            </w:r>
            <w:r w:rsidRPr="007606F8">
              <w:rPr>
                <w:vertAlign w:val="subscript"/>
              </w:rPr>
              <w:t>50</w:t>
            </w:r>
            <w:r>
              <w:t xml:space="preserve"> 0.075 mg/L</w:t>
            </w:r>
          </w:p>
        </w:tc>
        <w:tc>
          <w:tcPr>
            <w:tcW w:w="0" w:type="auto"/>
            <w:tcBorders>
              <w:top w:val="nil"/>
              <w:left w:val="nil"/>
              <w:bottom w:val="single" w:sz="4" w:space="0" w:color="auto"/>
              <w:right w:val="nil"/>
            </w:tcBorders>
          </w:tcPr>
          <w:p w14:paraId="239320D8" w14:textId="77777777" w:rsidR="000D594D" w:rsidRPr="007528B2" w:rsidRDefault="000D594D" w:rsidP="00377F3A">
            <w:pPr>
              <w:pStyle w:val="TableText"/>
            </w:pPr>
            <w:r>
              <w:t>Nicholson 1986b</w:t>
            </w:r>
          </w:p>
        </w:tc>
      </w:tr>
      <w:tr w:rsidR="000D594D" w14:paraId="7649BDB3" w14:textId="77777777" w:rsidTr="00C75073">
        <w:tc>
          <w:tcPr>
            <w:tcW w:w="0" w:type="auto"/>
            <w:tcBorders>
              <w:top w:val="single" w:sz="4" w:space="0" w:color="auto"/>
              <w:left w:val="nil"/>
              <w:bottom w:val="single" w:sz="4" w:space="0" w:color="auto"/>
              <w:right w:val="nil"/>
            </w:tcBorders>
          </w:tcPr>
          <w:p w14:paraId="7A7DC2B9" w14:textId="77777777" w:rsidR="000D594D" w:rsidRDefault="000D594D" w:rsidP="00377F3A">
            <w:pPr>
              <w:pStyle w:val="TableText"/>
            </w:pPr>
            <w:r>
              <w:lastRenderedPageBreak/>
              <w:t>Invertebrates</w:t>
            </w:r>
          </w:p>
        </w:tc>
        <w:tc>
          <w:tcPr>
            <w:tcW w:w="0" w:type="auto"/>
            <w:tcBorders>
              <w:top w:val="single" w:sz="4" w:space="0" w:color="auto"/>
              <w:left w:val="nil"/>
              <w:bottom w:val="single" w:sz="4" w:space="0" w:color="auto"/>
              <w:right w:val="nil"/>
            </w:tcBorders>
          </w:tcPr>
          <w:p w14:paraId="45A42912" w14:textId="77777777" w:rsidR="000D594D" w:rsidRDefault="000D594D" w:rsidP="00377F3A">
            <w:pPr>
              <w:pStyle w:val="TableText"/>
            </w:pPr>
            <w:r>
              <w:t>Acute</w:t>
            </w:r>
          </w:p>
        </w:tc>
        <w:tc>
          <w:tcPr>
            <w:tcW w:w="0" w:type="auto"/>
            <w:tcBorders>
              <w:top w:val="single" w:sz="4" w:space="0" w:color="auto"/>
              <w:left w:val="nil"/>
              <w:bottom w:val="single" w:sz="4" w:space="0" w:color="auto"/>
              <w:right w:val="nil"/>
            </w:tcBorders>
          </w:tcPr>
          <w:p w14:paraId="45C866BD" w14:textId="77777777" w:rsidR="000D594D" w:rsidRPr="007528B2" w:rsidRDefault="000D594D" w:rsidP="00377F3A">
            <w:pPr>
              <w:pStyle w:val="TableText"/>
            </w:pPr>
            <w:r>
              <w:t>Daphnia magna</w:t>
            </w:r>
          </w:p>
        </w:tc>
        <w:tc>
          <w:tcPr>
            <w:tcW w:w="0" w:type="auto"/>
            <w:tcBorders>
              <w:top w:val="single" w:sz="4" w:space="0" w:color="auto"/>
              <w:left w:val="nil"/>
              <w:bottom w:val="single" w:sz="4" w:space="0" w:color="auto"/>
              <w:right w:val="nil"/>
            </w:tcBorders>
          </w:tcPr>
          <w:p w14:paraId="341A3A47" w14:textId="77777777" w:rsidR="000D594D" w:rsidRPr="007528B2" w:rsidRDefault="000D594D" w:rsidP="00377F3A">
            <w:pPr>
              <w:pStyle w:val="TableText"/>
            </w:pPr>
            <w:r>
              <w:t>EC</w:t>
            </w:r>
            <w:r w:rsidRPr="00066436">
              <w:rPr>
                <w:vertAlign w:val="subscript"/>
              </w:rPr>
              <w:t>50</w:t>
            </w:r>
            <w:r>
              <w:t xml:space="preserve"> 0.0044 mg/L</w:t>
            </w:r>
          </w:p>
        </w:tc>
        <w:tc>
          <w:tcPr>
            <w:tcW w:w="0" w:type="auto"/>
            <w:tcBorders>
              <w:top w:val="single" w:sz="4" w:space="0" w:color="auto"/>
              <w:left w:val="nil"/>
              <w:bottom w:val="single" w:sz="4" w:space="0" w:color="auto"/>
              <w:right w:val="nil"/>
            </w:tcBorders>
          </w:tcPr>
          <w:p w14:paraId="6D3A728F" w14:textId="77777777" w:rsidR="000D594D" w:rsidRPr="007528B2" w:rsidRDefault="000D594D" w:rsidP="00377F3A">
            <w:pPr>
              <w:pStyle w:val="TableText"/>
            </w:pPr>
            <w:r>
              <w:t>Nicholson 1986c</w:t>
            </w:r>
          </w:p>
        </w:tc>
      </w:tr>
      <w:tr w:rsidR="000D594D" w14:paraId="682542F6" w14:textId="77777777" w:rsidTr="00C75073">
        <w:tc>
          <w:tcPr>
            <w:tcW w:w="0" w:type="auto"/>
            <w:tcBorders>
              <w:top w:val="single" w:sz="4" w:space="0" w:color="auto"/>
              <w:left w:val="nil"/>
              <w:bottom w:val="single" w:sz="4" w:space="0" w:color="auto"/>
              <w:right w:val="nil"/>
            </w:tcBorders>
          </w:tcPr>
          <w:p w14:paraId="336ACAE8" w14:textId="77777777" w:rsidR="000D594D" w:rsidRDefault="000D594D" w:rsidP="00377F3A">
            <w:pPr>
              <w:pStyle w:val="TableText"/>
            </w:pPr>
            <w:r>
              <w:t>Algae</w:t>
            </w:r>
          </w:p>
        </w:tc>
        <w:tc>
          <w:tcPr>
            <w:tcW w:w="0" w:type="auto"/>
            <w:tcBorders>
              <w:top w:val="single" w:sz="4" w:space="0" w:color="auto"/>
              <w:left w:val="nil"/>
              <w:bottom w:val="single" w:sz="4" w:space="0" w:color="auto"/>
              <w:right w:val="nil"/>
            </w:tcBorders>
          </w:tcPr>
          <w:p w14:paraId="22F70870" w14:textId="77777777" w:rsidR="000D594D" w:rsidRDefault="000D594D" w:rsidP="00377F3A">
            <w:pPr>
              <w:pStyle w:val="TableText"/>
            </w:pPr>
            <w:r>
              <w:t>Chronic</w:t>
            </w:r>
          </w:p>
        </w:tc>
        <w:tc>
          <w:tcPr>
            <w:tcW w:w="0" w:type="auto"/>
            <w:tcBorders>
              <w:top w:val="single" w:sz="4" w:space="0" w:color="auto"/>
              <w:left w:val="nil"/>
              <w:bottom w:val="single" w:sz="4" w:space="0" w:color="auto"/>
              <w:right w:val="nil"/>
            </w:tcBorders>
          </w:tcPr>
          <w:p w14:paraId="7A0B8893" w14:textId="77777777" w:rsidR="000D594D" w:rsidRPr="007528B2" w:rsidRDefault="000D594D" w:rsidP="00377F3A">
            <w:pPr>
              <w:pStyle w:val="TableText"/>
            </w:pPr>
            <w:r>
              <w:t>Raphidocelis subcapitata</w:t>
            </w:r>
          </w:p>
        </w:tc>
        <w:tc>
          <w:tcPr>
            <w:tcW w:w="0" w:type="auto"/>
            <w:tcBorders>
              <w:top w:val="single" w:sz="4" w:space="0" w:color="auto"/>
              <w:left w:val="nil"/>
              <w:bottom w:val="single" w:sz="4" w:space="0" w:color="auto"/>
              <w:right w:val="nil"/>
            </w:tcBorders>
          </w:tcPr>
          <w:p w14:paraId="27837214" w14:textId="77777777" w:rsidR="000D594D" w:rsidRPr="007528B2" w:rsidRDefault="000D594D" w:rsidP="00377F3A">
            <w:pPr>
              <w:pStyle w:val="TableText"/>
            </w:pPr>
            <w:r>
              <w:t>E</w:t>
            </w:r>
            <w:r w:rsidRPr="00707E8F">
              <w:rPr>
                <w:vertAlign w:val="subscript"/>
              </w:rPr>
              <w:t>r</w:t>
            </w:r>
            <w:r>
              <w:t>C</w:t>
            </w:r>
            <w:r w:rsidRPr="00707E8F">
              <w:rPr>
                <w:vertAlign w:val="subscript"/>
              </w:rPr>
              <w:t>50</w:t>
            </w:r>
            <w:r>
              <w:t xml:space="preserve"> &gt;0.18 mg/L</w:t>
            </w:r>
          </w:p>
        </w:tc>
        <w:tc>
          <w:tcPr>
            <w:tcW w:w="0" w:type="auto"/>
            <w:tcBorders>
              <w:top w:val="single" w:sz="4" w:space="0" w:color="auto"/>
              <w:left w:val="nil"/>
              <w:bottom w:val="single" w:sz="4" w:space="0" w:color="auto"/>
              <w:right w:val="nil"/>
            </w:tcBorders>
          </w:tcPr>
          <w:p w14:paraId="78BC3AB6" w14:textId="77777777" w:rsidR="000D594D" w:rsidRPr="007528B2" w:rsidRDefault="000D594D" w:rsidP="00377F3A">
            <w:pPr>
              <w:pStyle w:val="TableText"/>
            </w:pPr>
            <w:r>
              <w:t>Swarbrick 2003</w:t>
            </w:r>
          </w:p>
        </w:tc>
      </w:tr>
    </w:tbl>
    <w:p w14:paraId="0B2FEF63" w14:textId="645CD5A2" w:rsidR="007F0040" w:rsidRPr="00861CA0" w:rsidRDefault="00D560AB" w:rsidP="00377F3A">
      <w:pPr>
        <w:pStyle w:val="Caption"/>
      </w:pPr>
      <w:bookmarkStart w:id="2124" w:name="_Ref213315931"/>
      <w:bookmarkStart w:id="2125" w:name="_Toc213946111"/>
      <w:bookmarkStart w:id="2126" w:name="_Toc216695802"/>
      <w:r>
        <w:t xml:space="preserve">Table </w:t>
      </w:r>
      <w:r>
        <w:fldChar w:fldCharType="begin"/>
      </w:r>
      <w:r>
        <w:instrText xml:space="preserve"> SEQ Table \* ARABIC </w:instrText>
      </w:r>
      <w:r>
        <w:fldChar w:fldCharType="separate"/>
      </w:r>
      <w:r w:rsidR="003861AC">
        <w:rPr>
          <w:noProof/>
        </w:rPr>
        <w:t>140</w:t>
      </w:r>
      <w:r>
        <w:fldChar w:fldCharType="end"/>
      </w:r>
      <w:bookmarkEnd w:id="2124"/>
      <w:r>
        <w:t xml:space="preserve">: </w:t>
      </w:r>
      <w:r w:rsidR="007F0040">
        <w:t>Difethialone – Effects on soil organisms</w:t>
      </w:r>
      <w:bookmarkEnd w:id="2125"/>
      <w:bookmarkEnd w:id="2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52"/>
        <w:gridCol w:w="996"/>
        <w:gridCol w:w="1709"/>
        <w:gridCol w:w="2696"/>
        <w:gridCol w:w="2475"/>
      </w:tblGrid>
      <w:tr w:rsidR="007F0040" w:rsidRPr="000B2FA7" w14:paraId="7363268A" w14:textId="77777777" w:rsidTr="0017134F">
        <w:trPr>
          <w:tblHeader/>
        </w:trPr>
        <w:tc>
          <w:tcPr>
            <w:tcW w:w="0" w:type="auto"/>
            <w:tcBorders>
              <w:bottom w:val="single" w:sz="4" w:space="0" w:color="auto"/>
            </w:tcBorders>
            <w:shd w:val="clear" w:color="auto" w:fill="53284F"/>
          </w:tcPr>
          <w:p w14:paraId="081146A6" w14:textId="77777777" w:rsidR="007F0040" w:rsidRDefault="007F0040" w:rsidP="00377F3A">
            <w:pPr>
              <w:pStyle w:val="TableHead"/>
            </w:pPr>
            <w:r>
              <w:t>Group</w:t>
            </w:r>
          </w:p>
        </w:tc>
        <w:tc>
          <w:tcPr>
            <w:tcW w:w="0" w:type="auto"/>
            <w:tcBorders>
              <w:bottom w:val="single" w:sz="4" w:space="0" w:color="auto"/>
            </w:tcBorders>
            <w:shd w:val="clear" w:color="auto" w:fill="53284F"/>
          </w:tcPr>
          <w:p w14:paraId="19CFFF76" w14:textId="77777777" w:rsidR="007F0040" w:rsidRDefault="007F0040" w:rsidP="00377F3A">
            <w:pPr>
              <w:pStyle w:val="TableHead"/>
            </w:pPr>
            <w:r>
              <w:t>Exposure</w:t>
            </w:r>
          </w:p>
        </w:tc>
        <w:tc>
          <w:tcPr>
            <w:tcW w:w="0" w:type="auto"/>
            <w:tcBorders>
              <w:bottom w:val="single" w:sz="4" w:space="0" w:color="auto"/>
            </w:tcBorders>
            <w:shd w:val="clear" w:color="auto" w:fill="53284F"/>
          </w:tcPr>
          <w:p w14:paraId="5B880B56"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0D27C84C"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4A3BCE38" w14:textId="77777777" w:rsidR="007F0040" w:rsidRPr="00CA558C" w:rsidRDefault="007F0040" w:rsidP="00377F3A">
            <w:pPr>
              <w:pStyle w:val="TableHead"/>
            </w:pPr>
            <w:r>
              <w:t>Reference</w:t>
            </w:r>
          </w:p>
        </w:tc>
      </w:tr>
      <w:tr w:rsidR="007F0040" w:rsidRPr="000B2FA7" w14:paraId="53EE700E" w14:textId="77777777" w:rsidTr="007F0040">
        <w:tc>
          <w:tcPr>
            <w:tcW w:w="0" w:type="auto"/>
            <w:tcBorders>
              <w:top w:val="single" w:sz="4" w:space="0" w:color="auto"/>
              <w:left w:val="nil"/>
              <w:bottom w:val="single" w:sz="4" w:space="0" w:color="auto"/>
              <w:right w:val="nil"/>
            </w:tcBorders>
          </w:tcPr>
          <w:p w14:paraId="17ADBF3A" w14:textId="77777777" w:rsidR="007F0040" w:rsidRDefault="007F0040" w:rsidP="00377F3A">
            <w:pPr>
              <w:pStyle w:val="TableText"/>
            </w:pPr>
            <w:r>
              <w:t>Macro-organisms</w:t>
            </w:r>
          </w:p>
        </w:tc>
        <w:tc>
          <w:tcPr>
            <w:tcW w:w="0" w:type="auto"/>
            <w:tcBorders>
              <w:top w:val="single" w:sz="4" w:space="0" w:color="auto"/>
              <w:left w:val="nil"/>
              <w:bottom w:val="single" w:sz="4" w:space="0" w:color="auto"/>
              <w:right w:val="nil"/>
            </w:tcBorders>
          </w:tcPr>
          <w:p w14:paraId="7F8DC55F" w14:textId="77777777" w:rsidR="007F0040" w:rsidRDefault="007F0040" w:rsidP="00377F3A">
            <w:pPr>
              <w:pStyle w:val="TableText"/>
            </w:pPr>
            <w:r>
              <w:t>Acute</w:t>
            </w:r>
          </w:p>
        </w:tc>
        <w:tc>
          <w:tcPr>
            <w:tcW w:w="0" w:type="auto"/>
            <w:tcBorders>
              <w:top w:val="single" w:sz="4" w:space="0" w:color="auto"/>
              <w:left w:val="nil"/>
              <w:bottom w:val="single" w:sz="4" w:space="0" w:color="auto"/>
              <w:right w:val="nil"/>
            </w:tcBorders>
          </w:tcPr>
          <w:p w14:paraId="7CD9BB47" w14:textId="77777777" w:rsidR="007F0040" w:rsidRDefault="007F0040" w:rsidP="00377F3A">
            <w:pPr>
              <w:pStyle w:val="TableText"/>
            </w:pPr>
            <w:r w:rsidRPr="00C72A63">
              <w:t>Eisenia fetida</w:t>
            </w:r>
          </w:p>
        </w:tc>
        <w:tc>
          <w:tcPr>
            <w:tcW w:w="0" w:type="auto"/>
            <w:tcBorders>
              <w:top w:val="single" w:sz="4" w:space="0" w:color="auto"/>
              <w:left w:val="nil"/>
              <w:bottom w:val="single" w:sz="4" w:space="0" w:color="auto"/>
              <w:right w:val="nil"/>
            </w:tcBorders>
          </w:tcPr>
          <w:p w14:paraId="47F2970B" w14:textId="77777777" w:rsidR="007F0040" w:rsidRDefault="007F0040" w:rsidP="00377F3A">
            <w:pPr>
              <w:pStyle w:val="TableText"/>
            </w:pPr>
            <w:r>
              <w:t>LC</w:t>
            </w:r>
            <w:r w:rsidRPr="00C72A63">
              <w:rPr>
                <w:vertAlign w:val="subscript"/>
              </w:rPr>
              <w:t>50</w:t>
            </w:r>
            <w:r>
              <w:rPr>
                <w:vertAlign w:val="subscript"/>
              </w:rPr>
              <w:t>corr</w:t>
            </w:r>
            <w:r>
              <w:t xml:space="preserve"> &gt;500 mg/kg dry soil</w:t>
            </w:r>
          </w:p>
        </w:tc>
        <w:tc>
          <w:tcPr>
            <w:tcW w:w="0" w:type="auto"/>
            <w:tcBorders>
              <w:top w:val="single" w:sz="4" w:space="0" w:color="auto"/>
              <w:left w:val="nil"/>
              <w:bottom w:val="single" w:sz="4" w:space="0" w:color="auto"/>
              <w:right w:val="nil"/>
            </w:tcBorders>
          </w:tcPr>
          <w:p w14:paraId="40994B66" w14:textId="77777777" w:rsidR="007F0040" w:rsidRDefault="007F0040" w:rsidP="00377F3A">
            <w:pPr>
              <w:pStyle w:val="TableText"/>
            </w:pPr>
            <w:r>
              <w:t>Hughes &amp; Paterson 2003</w:t>
            </w:r>
          </w:p>
        </w:tc>
      </w:tr>
    </w:tbl>
    <w:p w14:paraId="71B5DFA2" w14:textId="36B99358" w:rsidR="007F0040" w:rsidRPr="007F0040" w:rsidRDefault="00D560AB" w:rsidP="00377F3A">
      <w:pPr>
        <w:pStyle w:val="Caption"/>
      </w:pPr>
      <w:bookmarkStart w:id="2127" w:name="_Ref213316068"/>
      <w:bookmarkStart w:id="2128" w:name="_Toc213946112"/>
      <w:bookmarkStart w:id="2129" w:name="_Toc216695803"/>
      <w:r>
        <w:t xml:space="preserve">Table </w:t>
      </w:r>
      <w:r>
        <w:fldChar w:fldCharType="begin"/>
      </w:r>
      <w:r>
        <w:instrText xml:space="preserve"> SEQ Table \* ARABIC </w:instrText>
      </w:r>
      <w:r>
        <w:fldChar w:fldCharType="separate"/>
      </w:r>
      <w:r w:rsidR="003861AC">
        <w:rPr>
          <w:noProof/>
        </w:rPr>
        <w:t>141</w:t>
      </w:r>
      <w:r>
        <w:fldChar w:fldCharType="end"/>
      </w:r>
      <w:bookmarkEnd w:id="2127"/>
      <w:r>
        <w:t xml:space="preserve">: </w:t>
      </w:r>
      <w:r w:rsidR="007F0040" w:rsidRPr="007F0040">
        <w:t>Difethialone – Effects on biological methods of sewage treatment</w:t>
      </w:r>
      <w:bookmarkEnd w:id="2128"/>
      <w:bookmarkEnd w:id="2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03"/>
        <w:gridCol w:w="3199"/>
        <w:gridCol w:w="3126"/>
      </w:tblGrid>
      <w:tr w:rsidR="007F0040" w:rsidRPr="007F0040" w14:paraId="6B26FDDF" w14:textId="77777777" w:rsidTr="0017134F">
        <w:trPr>
          <w:cantSplit/>
          <w:tblHeader/>
        </w:trPr>
        <w:tc>
          <w:tcPr>
            <w:tcW w:w="0" w:type="auto"/>
            <w:tcBorders>
              <w:bottom w:val="single" w:sz="4" w:space="0" w:color="auto"/>
            </w:tcBorders>
            <w:shd w:val="clear" w:color="auto" w:fill="53284F"/>
          </w:tcPr>
          <w:p w14:paraId="6AE11774" w14:textId="77777777" w:rsidR="007F0040" w:rsidRPr="007F0040" w:rsidRDefault="007F004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584DB194" w14:textId="77777777" w:rsidR="007F0040" w:rsidRPr="007F0040" w:rsidRDefault="007F004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37A25F18" w14:textId="77777777" w:rsidR="007F0040" w:rsidRPr="007F0040" w:rsidRDefault="007F0040" w:rsidP="00377F3A">
            <w:pPr>
              <w:pStyle w:val="TableHead"/>
              <w:rPr>
                <w:lang w:eastAsia="en-AU"/>
              </w:rPr>
            </w:pPr>
            <w:r w:rsidRPr="007F0040">
              <w:rPr>
                <w:lang w:eastAsia="en-AU"/>
              </w:rPr>
              <w:t>Reference</w:t>
            </w:r>
          </w:p>
        </w:tc>
      </w:tr>
      <w:tr w:rsidR="007F0040" w:rsidRPr="007F0040" w14:paraId="4EA8DE33" w14:textId="77777777" w:rsidTr="007F0040">
        <w:trPr>
          <w:cantSplit/>
        </w:trPr>
        <w:tc>
          <w:tcPr>
            <w:tcW w:w="0" w:type="auto"/>
            <w:tcBorders>
              <w:top w:val="single" w:sz="4" w:space="0" w:color="auto"/>
              <w:left w:val="nil"/>
              <w:bottom w:val="single" w:sz="4" w:space="0" w:color="auto"/>
              <w:right w:val="nil"/>
            </w:tcBorders>
          </w:tcPr>
          <w:p w14:paraId="0B332052" w14:textId="77777777" w:rsidR="007F0040" w:rsidRPr="007F0040" w:rsidRDefault="007F0040" w:rsidP="00377F3A">
            <w:pPr>
              <w:pStyle w:val="TableText"/>
            </w:pPr>
            <w:r w:rsidRPr="007F0040">
              <w:rPr>
                <w:lang w:eastAsia="en-AU"/>
              </w:rPr>
              <w:t>Activated sludge</w:t>
            </w:r>
          </w:p>
        </w:tc>
        <w:tc>
          <w:tcPr>
            <w:tcW w:w="0" w:type="auto"/>
            <w:tcBorders>
              <w:top w:val="single" w:sz="4" w:space="0" w:color="auto"/>
              <w:left w:val="nil"/>
              <w:bottom w:val="single" w:sz="4" w:space="0" w:color="auto"/>
              <w:right w:val="nil"/>
            </w:tcBorders>
          </w:tcPr>
          <w:p w14:paraId="436B95C6" w14:textId="77777777" w:rsidR="007F0040" w:rsidRPr="007F0040" w:rsidRDefault="007F0040" w:rsidP="00377F3A">
            <w:pPr>
              <w:pStyle w:val="TableText"/>
            </w:pPr>
            <w:r w:rsidRPr="007F0040">
              <w:t>EC</w:t>
            </w:r>
            <w:r w:rsidRPr="007F0040">
              <w:rPr>
                <w:vertAlign w:val="subscript"/>
              </w:rPr>
              <w:t>50</w:t>
            </w:r>
            <w:r w:rsidRPr="007F0040">
              <w:t xml:space="preserve"> &gt;100 mg/L</w:t>
            </w:r>
          </w:p>
        </w:tc>
        <w:tc>
          <w:tcPr>
            <w:tcW w:w="0" w:type="auto"/>
            <w:tcBorders>
              <w:top w:val="single" w:sz="4" w:space="0" w:color="auto"/>
              <w:left w:val="nil"/>
              <w:bottom w:val="single" w:sz="4" w:space="0" w:color="auto"/>
              <w:right w:val="nil"/>
            </w:tcBorders>
          </w:tcPr>
          <w:p w14:paraId="115D9850" w14:textId="77777777" w:rsidR="007F0040" w:rsidRPr="007F0040" w:rsidRDefault="007F0040" w:rsidP="00377F3A">
            <w:pPr>
              <w:pStyle w:val="TableText"/>
            </w:pPr>
            <w:r w:rsidRPr="007F0040">
              <w:t>Swarbrich 2002</w:t>
            </w:r>
          </w:p>
        </w:tc>
      </w:tr>
    </w:tbl>
    <w:p w14:paraId="454C3817" w14:textId="698648B9" w:rsidR="00EE24E4" w:rsidRDefault="00EE24E4" w:rsidP="00377F3A">
      <w:pPr>
        <w:pStyle w:val="APVMAAppendixH2"/>
      </w:pPr>
      <w:bookmarkStart w:id="2130" w:name="_Toc214025627"/>
      <w:bookmarkStart w:id="2131" w:name="_Toc216695649"/>
      <w:r>
        <w:t>Flocoumafen</w:t>
      </w:r>
      <w:bookmarkEnd w:id="2130"/>
      <w:bookmarkEnd w:id="2131"/>
    </w:p>
    <w:p w14:paraId="3EE62302" w14:textId="77777777" w:rsidR="00EE24E4" w:rsidRDefault="00EE24E4" w:rsidP="00377F3A">
      <w:pPr>
        <w:pStyle w:val="APVMAAppendixH3"/>
      </w:pPr>
      <w:bookmarkStart w:id="2132" w:name="_Toc214025628"/>
      <w:bookmarkStart w:id="2133" w:name="_Toc216695650"/>
      <w:r>
        <w:t>Fate and behaviour in the environment</w:t>
      </w:r>
      <w:bookmarkEnd w:id="2132"/>
      <w:bookmarkEnd w:id="2133"/>
    </w:p>
    <w:p w14:paraId="1C91454A" w14:textId="06875F84" w:rsidR="00EE24E4" w:rsidRPr="00542311" w:rsidRDefault="00D560AB" w:rsidP="00377F3A">
      <w:pPr>
        <w:pStyle w:val="Caption"/>
        <w:rPr>
          <w:color w:val="auto"/>
        </w:rPr>
      </w:pPr>
      <w:bookmarkStart w:id="2134" w:name="_Toc213946113"/>
      <w:bookmarkStart w:id="2135" w:name="_Toc216695804"/>
      <w:r>
        <w:t xml:space="preserve">Table </w:t>
      </w:r>
      <w:r>
        <w:fldChar w:fldCharType="begin"/>
      </w:r>
      <w:r>
        <w:instrText xml:space="preserve"> SEQ Table \* ARABIC </w:instrText>
      </w:r>
      <w:r>
        <w:fldChar w:fldCharType="separate"/>
      </w:r>
      <w:r w:rsidR="003861AC">
        <w:rPr>
          <w:noProof/>
        </w:rPr>
        <w:t>142</w:t>
      </w:r>
      <w:r>
        <w:fldChar w:fldCharType="end"/>
      </w:r>
      <w:r>
        <w:t xml:space="preserve">: </w:t>
      </w:r>
      <w:r w:rsidR="00EC47E5">
        <w:t xml:space="preserve">Flocoumafen – </w:t>
      </w:r>
      <w:r w:rsidR="00EE24E4" w:rsidRPr="008B4AF6">
        <w:t>Physical</w:t>
      </w:r>
      <w:r w:rsidR="00EC47E5">
        <w:t xml:space="preserve"> </w:t>
      </w:r>
      <w:r w:rsidR="00EE24E4" w:rsidRPr="008B4AF6">
        <w:t>and chemical properties</w:t>
      </w:r>
      <w:bookmarkEnd w:id="2134"/>
      <w:bookmarkEnd w:id="2135"/>
      <w:r w:rsidR="00EE24E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9"/>
        <w:gridCol w:w="3950"/>
        <w:gridCol w:w="2889"/>
      </w:tblGrid>
      <w:tr w:rsidR="00EE24E4" w:rsidRPr="00542311" w14:paraId="378EC0C0" w14:textId="77777777" w:rsidTr="0017134F">
        <w:trPr>
          <w:tblHeader/>
        </w:trPr>
        <w:tc>
          <w:tcPr>
            <w:tcW w:w="0" w:type="auto"/>
            <w:tcBorders>
              <w:bottom w:val="single" w:sz="4" w:space="0" w:color="auto"/>
            </w:tcBorders>
            <w:shd w:val="clear" w:color="auto" w:fill="53284F"/>
          </w:tcPr>
          <w:p w14:paraId="0C1BDA03" w14:textId="77777777" w:rsidR="00EE24E4" w:rsidRPr="00542311" w:rsidRDefault="00EE24E4" w:rsidP="00377F3A">
            <w:pPr>
              <w:pStyle w:val="TableHead"/>
            </w:pPr>
            <w:r w:rsidRPr="00542311">
              <w:t>Study</w:t>
            </w:r>
          </w:p>
        </w:tc>
        <w:tc>
          <w:tcPr>
            <w:tcW w:w="0" w:type="auto"/>
            <w:tcBorders>
              <w:bottom w:val="single" w:sz="4" w:space="0" w:color="auto"/>
            </w:tcBorders>
            <w:shd w:val="clear" w:color="auto" w:fill="53284F"/>
          </w:tcPr>
          <w:p w14:paraId="23876C6C" w14:textId="77777777" w:rsidR="00EE24E4" w:rsidRPr="00542311" w:rsidRDefault="00EE24E4" w:rsidP="00377F3A">
            <w:pPr>
              <w:pStyle w:val="TableHead"/>
            </w:pPr>
            <w:r w:rsidRPr="00542311">
              <w:t>Result</w:t>
            </w:r>
          </w:p>
        </w:tc>
        <w:tc>
          <w:tcPr>
            <w:tcW w:w="0" w:type="auto"/>
            <w:tcBorders>
              <w:bottom w:val="single" w:sz="4" w:space="0" w:color="auto"/>
            </w:tcBorders>
            <w:shd w:val="clear" w:color="auto" w:fill="53284F"/>
          </w:tcPr>
          <w:p w14:paraId="1D574214" w14:textId="77777777" w:rsidR="00EE24E4" w:rsidRPr="00542311" w:rsidRDefault="00EE24E4" w:rsidP="00377F3A">
            <w:pPr>
              <w:pStyle w:val="TableHead"/>
            </w:pPr>
            <w:r w:rsidRPr="00542311">
              <w:t>Reference</w:t>
            </w:r>
          </w:p>
        </w:tc>
      </w:tr>
      <w:tr w:rsidR="00EE24E4" w:rsidRPr="008B4AF6" w14:paraId="13D06757" w14:textId="77777777" w:rsidTr="000B24BE">
        <w:tc>
          <w:tcPr>
            <w:tcW w:w="0" w:type="auto"/>
            <w:tcBorders>
              <w:top w:val="single" w:sz="4" w:space="0" w:color="auto"/>
              <w:left w:val="nil"/>
              <w:bottom w:val="nil"/>
              <w:right w:val="nil"/>
            </w:tcBorders>
          </w:tcPr>
          <w:p w14:paraId="7A854429" w14:textId="77777777" w:rsidR="00EE24E4" w:rsidRPr="008B4AF6" w:rsidRDefault="00EE24E4" w:rsidP="00377F3A">
            <w:pPr>
              <w:pStyle w:val="TableText"/>
            </w:pPr>
            <w:r w:rsidRPr="008B4AF6">
              <w:t>Vapour pressure</w:t>
            </w:r>
          </w:p>
        </w:tc>
        <w:tc>
          <w:tcPr>
            <w:tcW w:w="0" w:type="auto"/>
            <w:tcBorders>
              <w:top w:val="single" w:sz="4" w:space="0" w:color="auto"/>
              <w:left w:val="nil"/>
              <w:bottom w:val="nil"/>
              <w:right w:val="nil"/>
            </w:tcBorders>
          </w:tcPr>
          <w:p w14:paraId="6594E4DC" w14:textId="77777777" w:rsidR="00EE24E4" w:rsidRPr="00E65C02" w:rsidRDefault="00EE24E4" w:rsidP="00377F3A">
            <w:pPr>
              <w:pStyle w:val="TableText"/>
            </w:pPr>
            <w:r>
              <w:t>&lt;2.7</w:t>
            </w:r>
            <w:r w:rsidRPr="00C94AB5">
              <w:t xml:space="preserve"> </w:t>
            </w:r>
            <w:r>
              <w:t>× 10</w:t>
            </w:r>
            <w:r w:rsidRPr="001B1C10">
              <w:rPr>
                <w:vertAlign w:val="superscript"/>
              </w:rPr>
              <w:t>-</w:t>
            </w:r>
            <w:r>
              <w:rPr>
                <w:vertAlign w:val="superscript"/>
              </w:rPr>
              <w:t>7</w:t>
            </w:r>
            <w:r>
              <w:t xml:space="preserve"> Pa at 55-77°C</w:t>
            </w:r>
          </w:p>
        </w:tc>
        <w:tc>
          <w:tcPr>
            <w:tcW w:w="0" w:type="auto"/>
            <w:tcBorders>
              <w:top w:val="single" w:sz="4" w:space="0" w:color="auto"/>
              <w:left w:val="nil"/>
              <w:bottom w:val="nil"/>
              <w:right w:val="nil"/>
            </w:tcBorders>
          </w:tcPr>
          <w:p w14:paraId="1C1CB174" w14:textId="77777777" w:rsidR="00EE24E4" w:rsidRDefault="00EE24E4" w:rsidP="00377F3A">
            <w:pPr>
              <w:pStyle w:val="TableText"/>
            </w:pPr>
            <w:r>
              <w:t>Camilleri &amp; Weaver 1985</w:t>
            </w:r>
          </w:p>
        </w:tc>
      </w:tr>
      <w:tr w:rsidR="00EE24E4" w:rsidRPr="008B4AF6" w14:paraId="397763F0" w14:textId="77777777" w:rsidTr="000B24BE">
        <w:tc>
          <w:tcPr>
            <w:tcW w:w="0" w:type="auto"/>
            <w:tcBorders>
              <w:top w:val="nil"/>
              <w:left w:val="nil"/>
              <w:bottom w:val="nil"/>
              <w:right w:val="nil"/>
            </w:tcBorders>
          </w:tcPr>
          <w:p w14:paraId="3D1930EC" w14:textId="77777777" w:rsidR="00EE24E4" w:rsidRDefault="00EE24E4" w:rsidP="00377F3A">
            <w:pPr>
              <w:pStyle w:val="TableText"/>
            </w:pPr>
          </w:p>
        </w:tc>
        <w:tc>
          <w:tcPr>
            <w:tcW w:w="0" w:type="auto"/>
            <w:tcBorders>
              <w:top w:val="nil"/>
              <w:left w:val="nil"/>
              <w:bottom w:val="nil"/>
              <w:right w:val="nil"/>
            </w:tcBorders>
          </w:tcPr>
          <w:p w14:paraId="0A76B00B" w14:textId="77777777" w:rsidR="00EE24E4" w:rsidRPr="00E65C02" w:rsidRDefault="00EE24E4" w:rsidP="00377F3A">
            <w:pPr>
              <w:pStyle w:val="TableText"/>
            </w:pPr>
            <w:r>
              <w:t>&lt;1.0 × 10</w:t>
            </w:r>
            <w:r w:rsidRPr="001B1C10">
              <w:rPr>
                <w:vertAlign w:val="superscript"/>
              </w:rPr>
              <w:t>-</w:t>
            </w:r>
            <w:r>
              <w:rPr>
                <w:vertAlign w:val="superscript"/>
              </w:rPr>
              <w:t>3</w:t>
            </w:r>
            <w:r>
              <w:t xml:space="preserve"> Pa at 20, 25 and 50°C</w:t>
            </w:r>
          </w:p>
        </w:tc>
        <w:tc>
          <w:tcPr>
            <w:tcW w:w="0" w:type="auto"/>
            <w:tcBorders>
              <w:top w:val="nil"/>
              <w:left w:val="nil"/>
              <w:bottom w:val="nil"/>
              <w:right w:val="nil"/>
            </w:tcBorders>
          </w:tcPr>
          <w:p w14:paraId="064C5577" w14:textId="77777777" w:rsidR="00EE24E4" w:rsidRDefault="00EE24E4" w:rsidP="00377F3A">
            <w:pPr>
              <w:pStyle w:val="TableText"/>
            </w:pPr>
            <w:r>
              <w:t>Franke 2001</w:t>
            </w:r>
          </w:p>
        </w:tc>
      </w:tr>
      <w:tr w:rsidR="00EE24E4" w:rsidRPr="008B4AF6" w14:paraId="2118A70F" w14:textId="77777777" w:rsidTr="000B24BE">
        <w:tc>
          <w:tcPr>
            <w:tcW w:w="0" w:type="auto"/>
            <w:tcBorders>
              <w:top w:val="nil"/>
              <w:left w:val="nil"/>
              <w:bottom w:val="nil"/>
              <w:right w:val="nil"/>
            </w:tcBorders>
          </w:tcPr>
          <w:p w14:paraId="3441C063" w14:textId="77777777" w:rsidR="00EE24E4" w:rsidRDefault="00EE24E4" w:rsidP="00377F3A">
            <w:pPr>
              <w:pStyle w:val="TableText"/>
            </w:pPr>
            <w:r w:rsidRPr="008B4AF6">
              <w:t>Solubility in water</w:t>
            </w:r>
          </w:p>
        </w:tc>
        <w:tc>
          <w:tcPr>
            <w:tcW w:w="0" w:type="auto"/>
            <w:tcBorders>
              <w:top w:val="nil"/>
              <w:left w:val="nil"/>
              <w:bottom w:val="nil"/>
              <w:right w:val="nil"/>
            </w:tcBorders>
          </w:tcPr>
          <w:p w14:paraId="597E5368" w14:textId="77777777" w:rsidR="00EE24E4" w:rsidRPr="00E65C02" w:rsidRDefault="00EE24E4" w:rsidP="00377F3A">
            <w:pPr>
              <w:pStyle w:val="TableText"/>
            </w:pPr>
            <w:r>
              <w:t>1.0 mg/L</w:t>
            </w:r>
          </w:p>
        </w:tc>
        <w:tc>
          <w:tcPr>
            <w:tcW w:w="0" w:type="auto"/>
            <w:tcBorders>
              <w:top w:val="nil"/>
              <w:left w:val="nil"/>
              <w:bottom w:val="nil"/>
              <w:right w:val="nil"/>
            </w:tcBorders>
          </w:tcPr>
          <w:p w14:paraId="5E529485" w14:textId="77777777" w:rsidR="00EE24E4" w:rsidRDefault="00EE24E4" w:rsidP="00377F3A">
            <w:pPr>
              <w:pStyle w:val="TableText"/>
            </w:pPr>
            <w:r>
              <w:t>Camilleri &amp; Weaver 1985</w:t>
            </w:r>
          </w:p>
        </w:tc>
      </w:tr>
      <w:tr w:rsidR="00EE24E4" w:rsidRPr="008B4AF6" w14:paraId="2A50D8E6" w14:textId="77777777" w:rsidTr="000B24BE">
        <w:tc>
          <w:tcPr>
            <w:tcW w:w="0" w:type="auto"/>
            <w:tcBorders>
              <w:top w:val="nil"/>
              <w:left w:val="nil"/>
              <w:bottom w:val="nil"/>
              <w:right w:val="nil"/>
            </w:tcBorders>
          </w:tcPr>
          <w:p w14:paraId="49CD9DC6" w14:textId="77777777" w:rsidR="00EE24E4" w:rsidRPr="008B4AF6" w:rsidRDefault="00EE24E4" w:rsidP="00377F3A">
            <w:pPr>
              <w:pStyle w:val="TableText"/>
            </w:pPr>
            <w:r w:rsidRPr="008B4AF6">
              <w:t>Partition coefficient</w:t>
            </w:r>
          </w:p>
        </w:tc>
        <w:tc>
          <w:tcPr>
            <w:tcW w:w="0" w:type="auto"/>
            <w:tcBorders>
              <w:top w:val="nil"/>
              <w:left w:val="nil"/>
              <w:bottom w:val="nil"/>
              <w:right w:val="nil"/>
            </w:tcBorders>
          </w:tcPr>
          <w:p w14:paraId="702A9F07" w14:textId="77777777" w:rsidR="00EE24E4" w:rsidRPr="00E65C02" w:rsidRDefault="00EE24E4" w:rsidP="00377F3A">
            <w:pPr>
              <w:pStyle w:val="TableText"/>
            </w:pPr>
            <w:r>
              <w:t>log P</w:t>
            </w:r>
            <w:r w:rsidRPr="00F81098">
              <w:rPr>
                <w:vertAlign w:val="subscript"/>
              </w:rPr>
              <w:t>OW</w:t>
            </w:r>
            <w:r>
              <w:t xml:space="preserve"> 4.7</w:t>
            </w:r>
          </w:p>
        </w:tc>
        <w:tc>
          <w:tcPr>
            <w:tcW w:w="0" w:type="auto"/>
            <w:tcBorders>
              <w:top w:val="nil"/>
              <w:left w:val="nil"/>
              <w:bottom w:val="nil"/>
              <w:right w:val="nil"/>
            </w:tcBorders>
          </w:tcPr>
          <w:p w14:paraId="2E23B12D" w14:textId="77777777" w:rsidR="00EE24E4" w:rsidRDefault="00EE24E4" w:rsidP="00377F3A">
            <w:pPr>
              <w:pStyle w:val="TableText"/>
            </w:pPr>
            <w:r>
              <w:t>Camilleri &amp; Weaver 1985</w:t>
            </w:r>
          </w:p>
        </w:tc>
      </w:tr>
      <w:tr w:rsidR="00EE24E4" w:rsidRPr="008B4AF6" w14:paraId="75F2EFAC" w14:textId="77777777" w:rsidTr="000B24BE">
        <w:tc>
          <w:tcPr>
            <w:tcW w:w="0" w:type="auto"/>
            <w:tcBorders>
              <w:top w:val="nil"/>
              <w:left w:val="nil"/>
              <w:bottom w:val="nil"/>
              <w:right w:val="nil"/>
            </w:tcBorders>
          </w:tcPr>
          <w:p w14:paraId="7A9DC951" w14:textId="77777777" w:rsidR="00EE24E4" w:rsidRPr="008B4AF6" w:rsidRDefault="00EE24E4" w:rsidP="00377F3A">
            <w:pPr>
              <w:pStyle w:val="TableText"/>
            </w:pPr>
          </w:p>
        </w:tc>
        <w:tc>
          <w:tcPr>
            <w:tcW w:w="0" w:type="auto"/>
            <w:tcBorders>
              <w:top w:val="nil"/>
              <w:left w:val="nil"/>
              <w:bottom w:val="nil"/>
              <w:right w:val="nil"/>
            </w:tcBorders>
          </w:tcPr>
          <w:p w14:paraId="1241197F" w14:textId="77777777" w:rsidR="00EE24E4" w:rsidRDefault="00EE24E4" w:rsidP="00377F3A">
            <w:pPr>
              <w:pStyle w:val="TableText"/>
            </w:pPr>
            <w:r>
              <w:t>pH 7: log P</w:t>
            </w:r>
            <w:r w:rsidRPr="00F81098">
              <w:rPr>
                <w:vertAlign w:val="subscript"/>
              </w:rPr>
              <w:t>OW</w:t>
            </w:r>
            <w:r>
              <w:t xml:space="preserve"> 6.1</w:t>
            </w:r>
          </w:p>
          <w:p w14:paraId="667BD45B" w14:textId="77777777" w:rsidR="00EE24E4" w:rsidRPr="00E65C02" w:rsidRDefault="00EE24E4" w:rsidP="00377F3A">
            <w:pPr>
              <w:pStyle w:val="TableText"/>
            </w:pPr>
            <w:r>
              <w:t>pH 9: log P</w:t>
            </w:r>
            <w:r w:rsidRPr="00F81098">
              <w:rPr>
                <w:vertAlign w:val="subscript"/>
              </w:rPr>
              <w:t>OW</w:t>
            </w:r>
            <w:r>
              <w:t xml:space="preserve"> 5.1</w:t>
            </w:r>
          </w:p>
        </w:tc>
        <w:tc>
          <w:tcPr>
            <w:tcW w:w="0" w:type="auto"/>
            <w:tcBorders>
              <w:top w:val="nil"/>
              <w:left w:val="nil"/>
              <w:bottom w:val="nil"/>
              <w:right w:val="nil"/>
            </w:tcBorders>
          </w:tcPr>
          <w:p w14:paraId="378EA23E" w14:textId="77777777" w:rsidR="00EE24E4" w:rsidRDefault="00EE24E4" w:rsidP="00377F3A">
            <w:pPr>
              <w:pStyle w:val="TableText"/>
            </w:pPr>
            <w:r>
              <w:t>Daum 2002a</w:t>
            </w:r>
          </w:p>
        </w:tc>
      </w:tr>
      <w:tr w:rsidR="00EE24E4" w:rsidRPr="008B4AF6" w14:paraId="2B955316" w14:textId="77777777" w:rsidTr="000B24BE">
        <w:tc>
          <w:tcPr>
            <w:tcW w:w="0" w:type="auto"/>
            <w:tcBorders>
              <w:top w:val="nil"/>
              <w:left w:val="nil"/>
              <w:bottom w:val="nil"/>
              <w:right w:val="nil"/>
            </w:tcBorders>
          </w:tcPr>
          <w:p w14:paraId="03E1A0CF" w14:textId="77777777" w:rsidR="00EE24E4" w:rsidRPr="008B4AF6" w:rsidRDefault="00EE24E4" w:rsidP="00377F3A">
            <w:pPr>
              <w:pStyle w:val="TableText"/>
            </w:pPr>
            <w:r w:rsidRPr="008B4AF6">
              <w:t>Dissociation constant</w:t>
            </w:r>
          </w:p>
        </w:tc>
        <w:tc>
          <w:tcPr>
            <w:tcW w:w="0" w:type="auto"/>
            <w:tcBorders>
              <w:top w:val="nil"/>
              <w:left w:val="nil"/>
              <w:bottom w:val="nil"/>
              <w:right w:val="nil"/>
            </w:tcBorders>
          </w:tcPr>
          <w:p w14:paraId="01E2DA7A" w14:textId="77777777" w:rsidR="00EE24E4" w:rsidRPr="00E65C02" w:rsidRDefault="00EE24E4" w:rsidP="00377F3A">
            <w:pPr>
              <w:pStyle w:val="TableText"/>
            </w:pPr>
            <w:r>
              <w:t>pKa 4.5</w:t>
            </w:r>
          </w:p>
        </w:tc>
        <w:tc>
          <w:tcPr>
            <w:tcW w:w="0" w:type="auto"/>
            <w:tcBorders>
              <w:top w:val="nil"/>
              <w:left w:val="nil"/>
              <w:bottom w:val="nil"/>
              <w:right w:val="nil"/>
            </w:tcBorders>
          </w:tcPr>
          <w:p w14:paraId="76E4336A" w14:textId="77777777" w:rsidR="00EE24E4" w:rsidRDefault="00EE24E4" w:rsidP="00377F3A">
            <w:pPr>
              <w:pStyle w:val="TableText"/>
            </w:pPr>
            <w:r>
              <w:t>Daum 2002b, Martin 2001</w:t>
            </w:r>
          </w:p>
        </w:tc>
      </w:tr>
      <w:tr w:rsidR="00EE24E4" w:rsidRPr="008B4AF6" w14:paraId="175DF319" w14:textId="77777777" w:rsidTr="000B24BE">
        <w:tc>
          <w:tcPr>
            <w:tcW w:w="0" w:type="auto"/>
            <w:tcBorders>
              <w:top w:val="nil"/>
              <w:left w:val="nil"/>
              <w:bottom w:val="nil"/>
              <w:right w:val="nil"/>
            </w:tcBorders>
          </w:tcPr>
          <w:p w14:paraId="1AA13ADA" w14:textId="77777777" w:rsidR="00EE24E4" w:rsidRPr="008B4AF6" w:rsidRDefault="00EE24E4" w:rsidP="00377F3A">
            <w:pPr>
              <w:pStyle w:val="TableText"/>
            </w:pPr>
            <w:r w:rsidRPr="008B4AF6">
              <w:t>UV-VIS absorption (max)</w:t>
            </w:r>
          </w:p>
        </w:tc>
        <w:tc>
          <w:tcPr>
            <w:tcW w:w="0" w:type="auto"/>
            <w:tcBorders>
              <w:top w:val="nil"/>
              <w:left w:val="nil"/>
              <w:bottom w:val="nil"/>
              <w:right w:val="nil"/>
            </w:tcBorders>
          </w:tcPr>
          <w:p w14:paraId="365B7817" w14:textId="77777777" w:rsidR="00EE24E4" w:rsidRPr="00B923A8" w:rsidRDefault="00EE24E4" w:rsidP="00377F3A">
            <w:pPr>
              <w:pStyle w:val="TableText"/>
            </w:pPr>
            <w:r>
              <w:t>solution</w:t>
            </w:r>
            <w:r w:rsidRPr="00C94AB5">
              <w:tab/>
            </w:r>
            <w:r w:rsidRPr="003729E7">
              <w:t>λmax</w:t>
            </w:r>
            <w:r>
              <w:tab/>
            </w:r>
            <w:r w:rsidRPr="003729E7">
              <w:t>ε (L mol</w:t>
            </w:r>
            <w:r w:rsidRPr="003729E7">
              <w:rPr>
                <w:vertAlign w:val="superscript"/>
              </w:rPr>
              <w:t>-1</w:t>
            </w:r>
            <w:r w:rsidRPr="003729E7">
              <w:t xml:space="preserve"> cm</w:t>
            </w:r>
            <w:r w:rsidRPr="003729E7">
              <w:rPr>
                <w:vertAlign w:val="superscript"/>
              </w:rPr>
              <w:t>-1</w:t>
            </w:r>
            <w:r w:rsidRPr="003729E7">
              <w:t>)</w:t>
            </w:r>
          </w:p>
        </w:tc>
        <w:tc>
          <w:tcPr>
            <w:tcW w:w="0" w:type="auto"/>
            <w:tcBorders>
              <w:top w:val="nil"/>
              <w:left w:val="nil"/>
              <w:bottom w:val="nil"/>
              <w:right w:val="nil"/>
            </w:tcBorders>
          </w:tcPr>
          <w:p w14:paraId="6E1ADB5A" w14:textId="77777777" w:rsidR="00EE24E4" w:rsidRDefault="00EE24E4" w:rsidP="00377F3A">
            <w:pPr>
              <w:pStyle w:val="TableText"/>
            </w:pPr>
          </w:p>
        </w:tc>
      </w:tr>
      <w:tr w:rsidR="00EE24E4" w:rsidRPr="008B4AF6" w14:paraId="27DE0CB7" w14:textId="77777777" w:rsidTr="000B24BE">
        <w:tc>
          <w:tcPr>
            <w:tcW w:w="0" w:type="auto"/>
            <w:tcBorders>
              <w:top w:val="nil"/>
              <w:left w:val="nil"/>
              <w:bottom w:val="nil"/>
              <w:right w:val="nil"/>
            </w:tcBorders>
          </w:tcPr>
          <w:p w14:paraId="0A43D309" w14:textId="77777777" w:rsidR="00EE24E4" w:rsidRPr="008B4AF6" w:rsidRDefault="00EE24E4" w:rsidP="00377F3A">
            <w:pPr>
              <w:pStyle w:val="TableText"/>
            </w:pPr>
          </w:p>
        </w:tc>
        <w:tc>
          <w:tcPr>
            <w:tcW w:w="0" w:type="auto"/>
            <w:tcBorders>
              <w:top w:val="nil"/>
              <w:left w:val="nil"/>
              <w:bottom w:val="nil"/>
              <w:right w:val="nil"/>
            </w:tcBorders>
          </w:tcPr>
          <w:p w14:paraId="6703C8A6" w14:textId="77777777" w:rsidR="00EE24E4" w:rsidRDefault="00EE24E4" w:rsidP="00377F3A">
            <w:pPr>
              <w:pStyle w:val="TableText"/>
            </w:pPr>
            <w:r w:rsidRPr="00984183">
              <w:t>CH</w:t>
            </w:r>
            <w:r w:rsidRPr="00984183">
              <w:rPr>
                <w:vertAlign w:val="subscript"/>
              </w:rPr>
              <w:t>3</w:t>
            </w:r>
            <w:r w:rsidRPr="00984183">
              <w:t>CN</w:t>
            </w:r>
            <w:r>
              <w:tab/>
              <w:t>308 nm</w:t>
            </w:r>
            <w:r>
              <w:tab/>
              <w:t>131000</w:t>
            </w:r>
          </w:p>
          <w:p w14:paraId="173573FB" w14:textId="77777777" w:rsidR="00EE24E4" w:rsidRDefault="00EE24E4" w:rsidP="00377F3A">
            <w:pPr>
              <w:pStyle w:val="TableText"/>
            </w:pPr>
            <w:r w:rsidRPr="00984183">
              <w:t>CH</w:t>
            </w:r>
            <w:r w:rsidRPr="00984183">
              <w:rPr>
                <w:vertAlign w:val="subscript"/>
              </w:rPr>
              <w:t>3</w:t>
            </w:r>
            <w:r w:rsidRPr="00984183">
              <w:t>CN</w:t>
            </w:r>
            <w:r>
              <w:tab/>
              <w:t>282 nm</w:t>
            </w:r>
            <w:r>
              <w:tab/>
              <w:t>158000</w:t>
            </w:r>
          </w:p>
          <w:p w14:paraId="78AF1855" w14:textId="77777777" w:rsidR="00EE24E4" w:rsidRDefault="00EE24E4" w:rsidP="00377F3A">
            <w:pPr>
              <w:pStyle w:val="TableText"/>
            </w:pPr>
            <w:r w:rsidRPr="00984183">
              <w:lastRenderedPageBreak/>
              <w:t>CH</w:t>
            </w:r>
            <w:r w:rsidRPr="00984183">
              <w:rPr>
                <w:vertAlign w:val="subscript"/>
              </w:rPr>
              <w:t>3</w:t>
            </w:r>
            <w:r w:rsidRPr="00984183">
              <w:t>CN</w:t>
            </w:r>
            <w:r>
              <w:tab/>
              <w:t>271 nm</w:t>
            </w:r>
            <w:r>
              <w:tab/>
              <w:t>155000</w:t>
            </w:r>
          </w:p>
          <w:p w14:paraId="70455EE6" w14:textId="77777777" w:rsidR="00EE24E4" w:rsidRDefault="00EE24E4" w:rsidP="00377F3A">
            <w:pPr>
              <w:pStyle w:val="TableText"/>
            </w:pPr>
            <w:r>
              <w:t>CH</w:t>
            </w:r>
            <w:r w:rsidRPr="006F78FB">
              <w:rPr>
                <w:vertAlign w:val="subscript"/>
              </w:rPr>
              <w:t>3</w:t>
            </w:r>
            <w:r>
              <w:t>OH</w:t>
            </w:r>
            <w:r>
              <w:tab/>
              <w:t>308 nm</w:t>
            </w:r>
            <w:r>
              <w:tab/>
              <w:t>135400</w:t>
            </w:r>
          </w:p>
          <w:p w14:paraId="30569EA8" w14:textId="77777777" w:rsidR="00EE24E4" w:rsidRDefault="00EE24E4" w:rsidP="00377F3A">
            <w:pPr>
              <w:pStyle w:val="TableText"/>
            </w:pPr>
            <w:r>
              <w:t>CH</w:t>
            </w:r>
            <w:r w:rsidRPr="006F78FB">
              <w:rPr>
                <w:vertAlign w:val="subscript"/>
              </w:rPr>
              <w:t>3</w:t>
            </w:r>
            <w:r>
              <w:t>OH</w:t>
            </w:r>
            <w:r>
              <w:tab/>
              <w:t>283 nm</w:t>
            </w:r>
            <w:r>
              <w:tab/>
              <w:t>82900</w:t>
            </w:r>
          </w:p>
          <w:p w14:paraId="06116BAD" w14:textId="77777777" w:rsidR="00EE24E4" w:rsidRDefault="00EE24E4" w:rsidP="00377F3A">
            <w:pPr>
              <w:pStyle w:val="TableText"/>
              <w:rPr>
                <w:u w:val="single"/>
              </w:rPr>
            </w:pPr>
            <w:r>
              <w:t>CH</w:t>
            </w:r>
            <w:r w:rsidRPr="006F78FB">
              <w:rPr>
                <w:vertAlign w:val="subscript"/>
              </w:rPr>
              <w:t>3</w:t>
            </w:r>
            <w:r>
              <w:t>OH</w:t>
            </w:r>
            <w:r>
              <w:tab/>
              <w:t>274 nm</w:t>
            </w:r>
            <w:r>
              <w:tab/>
              <w:t>66400</w:t>
            </w:r>
          </w:p>
        </w:tc>
        <w:tc>
          <w:tcPr>
            <w:tcW w:w="0" w:type="auto"/>
            <w:tcBorders>
              <w:top w:val="nil"/>
              <w:left w:val="nil"/>
              <w:bottom w:val="nil"/>
              <w:right w:val="nil"/>
            </w:tcBorders>
          </w:tcPr>
          <w:p w14:paraId="655C7AC0" w14:textId="77777777" w:rsidR="00EE24E4" w:rsidRDefault="00EE24E4" w:rsidP="00377F3A">
            <w:pPr>
              <w:pStyle w:val="TableText"/>
            </w:pPr>
            <w:r>
              <w:lastRenderedPageBreak/>
              <w:t>Camilleri &amp; Weaver 1985</w:t>
            </w:r>
          </w:p>
        </w:tc>
      </w:tr>
      <w:tr w:rsidR="00EE24E4" w:rsidRPr="008B4AF6" w14:paraId="3B5D1DF5" w14:textId="77777777" w:rsidTr="000B24BE">
        <w:tc>
          <w:tcPr>
            <w:tcW w:w="0" w:type="auto"/>
            <w:tcBorders>
              <w:top w:val="nil"/>
              <w:left w:val="nil"/>
              <w:bottom w:val="single" w:sz="4" w:space="0" w:color="auto"/>
              <w:right w:val="nil"/>
            </w:tcBorders>
          </w:tcPr>
          <w:p w14:paraId="0C9A90B7" w14:textId="77777777" w:rsidR="00EE24E4" w:rsidRPr="008B4AF6" w:rsidRDefault="00EE24E4" w:rsidP="00377F3A">
            <w:pPr>
              <w:pStyle w:val="TableText"/>
            </w:pPr>
          </w:p>
        </w:tc>
        <w:tc>
          <w:tcPr>
            <w:tcW w:w="0" w:type="auto"/>
            <w:tcBorders>
              <w:top w:val="nil"/>
              <w:left w:val="nil"/>
              <w:bottom w:val="single" w:sz="4" w:space="0" w:color="auto"/>
              <w:right w:val="nil"/>
            </w:tcBorders>
          </w:tcPr>
          <w:p w14:paraId="20AE73DB" w14:textId="77777777" w:rsidR="00EE24E4" w:rsidRDefault="00EE24E4" w:rsidP="00377F3A">
            <w:pPr>
              <w:pStyle w:val="TableText"/>
            </w:pPr>
            <w:r>
              <w:t>pH 0.7</w:t>
            </w:r>
            <w:r>
              <w:tab/>
              <w:t>315 nm</w:t>
            </w:r>
            <w:r>
              <w:tab/>
              <w:t>20291</w:t>
            </w:r>
          </w:p>
          <w:p w14:paraId="5F9F54F3" w14:textId="77777777" w:rsidR="00EE24E4" w:rsidRDefault="00EE24E4" w:rsidP="00377F3A">
            <w:pPr>
              <w:pStyle w:val="TableText"/>
            </w:pPr>
            <w:r>
              <w:t>pH 5.0</w:t>
            </w:r>
            <w:r>
              <w:tab/>
              <w:t>309 nm</w:t>
            </w:r>
            <w:r>
              <w:tab/>
              <w:t>13173</w:t>
            </w:r>
          </w:p>
          <w:p w14:paraId="7E8AD78C" w14:textId="77777777" w:rsidR="00EE24E4" w:rsidRDefault="00EE24E4" w:rsidP="00377F3A">
            <w:pPr>
              <w:pStyle w:val="TableText"/>
            </w:pPr>
            <w:r>
              <w:t>pH 6.8</w:t>
            </w:r>
            <w:r>
              <w:tab/>
              <w:t>311 nm</w:t>
            </w:r>
            <w:r>
              <w:tab/>
              <w:t>14162</w:t>
            </w:r>
          </w:p>
          <w:p w14:paraId="2F7C1DEE" w14:textId="77777777" w:rsidR="00EE24E4" w:rsidRDefault="00EE24E4" w:rsidP="00377F3A">
            <w:pPr>
              <w:pStyle w:val="TableText"/>
              <w:rPr>
                <w:u w:val="single"/>
              </w:rPr>
            </w:pPr>
            <w:r>
              <w:t>pH 13</w:t>
            </w:r>
            <w:r>
              <w:tab/>
              <w:t>309 nm</w:t>
            </w:r>
            <w:r>
              <w:tab/>
              <w:t>14326</w:t>
            </w:r>
          </w:p>
        </w:tc>
        <w:tc>
          <w:tcPr>
            <w:tcW w:w="0" w:type="auto"/>
            <w:tcBorders>
              <w:top w:val="nil"/>
              <w:left w:val="nil"/>
              <w:bottom w:val="single" w:sz="4" w:space="0" w:color="auto"/>
              <w:right w:val="nil"/>
            </w:tcBorders>
          </w:tcPr>
          <w:p w14:paraId="479507E8" w14:textId="77777777" w:rsidR="00EE24E4" w:rsidRDefault="00EE24E4" w:rsidP="00377F3A">
            <w:pPr>
              <w:pStyle w:val="TableText"/>
            </w:pPr>
            <w:r>
              <w:t>Daum 2003</w:t>
            </w:r>
          </w:p>
        </w:tc>
      </w:tr>
    </w:tbl>
    <w:p w14:paraId="04E61963" w14:textId="0FEADB37" w:rsidR="00EE24E4" w:rsidRPr="00861CA0" w:rsidRDefault="00D560AB" w:rsidP="00377F3A">
      <w:pPr>
        <w:pStyle w:val="Caption"/>
      </w:pPr>
      <w:bookmarkStart w:id="2136" w:name="_Ref213315160"/>
      <w:bookmarkStart w:id="2137" w:name="_Toc213946114"/>
      <w:bookmarkStart w:id="2138" w:name="_Toc216695805"/>
      <w:r>
        <w:t xml:space="preserve">Table </w:t>
      </w:r>
      <w:r>
        <w:fldChar w:fldCharType="begin"/>
      </w:r>
      <w:r>
        <w:instrText xml:space="preserve"> SEQ Table \* ARABIC </w:instrText>
      </w:r>
      <w:r>
        <w:fldChar w:fldCharType="separate"/>
      </w:r>
      <w:r w:rsidR="003861AC">
        <w:rPr>
          <w:noProof/>
        </w:rPr>
        <w:t>143</w:t>
      </w:r>
      <w:r>
        <w:fldChar w:fldCharType="end"/>
      </w:r>
      <w:bookmarkEnd w:id="2136"/>
      <w:r>
        <w:t xml:space="preserve">: </w:t>
      </w:r>
      <w:r w:rsidR="00623F42">
        <w:t xml:space="preserve">Flocoumafen – </w:t>
      </w:r>
      <w:r w:rsidR="00EE24E4">
        <w:t xml:space="preserve">Fate and behaviour in </w:t>
      </w:r>
      <w:r w:rsidR="00623F42">
        <w:t>environmental media</w:t>
      </w:r>
      <w:bookmarkEnd w:id="2137"/>
      <w:bookmarkEnd w:id="2138"/>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632"/>
        <w:gridCol w:w="1624"/>
        <w:gridCol w:w="4252"/>
        <w:gridCol w:w="2125"/>
      </w:tblGrid>
      <w:tr w:rsidR="00EE24E4" w:rsidRPr="000B2FA7" w14:paraId="417FD7EF" w14:textId="77777777" w:rsidTr="0017134F">
        <w:trPr>
          <w:cantSplit/>
          <w:tblHeader/>
        </w:trPr>
        <w:tc>
          <w:tcPr>
            <w:tcW w:w="847" w:type="pct"/>
            <w:tcBorders>
              <w:bottom w:val="single" w:sz="4" w:space="0" w:color="auto"/>
            </w:tcBorders>
            <w:shd w:val="clear" w:color="auto" w:fill="53284F"/>
          </w:tcPr>
          <w:p w14:paraId="0A68ACAE" w14:textId="49764228" w:rsidR="00EE24E4" w:rsidRDefault="00623F42" w:rsidP="00377F3A">
            <w:pPr>
              <w:pStyle w:val="TableHead"/>
            </w:pPr>
            <w:r>
              <w:t>Compartment</w:t>
            </w:r>
          </w:p>
        </w:tc>
        <w:tc>
          <w:tcPr>
            <w:tcW w:w="843" w:type="pct"/>
            <w:tcBorders>
              <w:bottom w:val="single" w:sz="4" w:space="0" w:color="auto"/>
            </w:tcBorders>
            <w:shd w:val="clear" w:color="auto" w:fill="53284F"/>
          </w:tcPr>
          <w:p w14:paraId="6CB54E26" w14:textId="77777777" w:rsidR="00EE24E4" w:rsidRDefault="00EE24E4" w:rsidP="00377F3A">
            <w:pPr>
              <w:pStyle w:val="TableHead"/>
            </w:pPr>
            <w:r>
              <w:t>Study</w:t>
            </w:r>
          </w:p>
        </w:tc>
        <w:tc>
          <w:tcPr>
            <w:tcW w:w="2207" w:type="pct"/>
            <w:tcBorders>
              <w:bottom w:val="single" w:sz="4" w:space="0" w:color="auto"/>
            </w:tcBorders>
            <w:shd w:val="clear" w:color="auto" w:fill="53284F"/>
          </w:tcPr>
          <w:p w14:paraId="0283F7D4" w14:textId="77777777" w:rsidR="00EE24E4" w:rsidRPr="00CA558C" w:rsidRDefault="00EE24E4" w:rsidP="00377F3A">
            <w:pPr>
              <w:pStyle w:val="TableHead"/>
            </w:pPr>
            <w:r>
              <w:t>Result</w:t>
            </w:r>
          </w:p>
        </w:tc>
        <w:tc>
          <w:tcPr>
            <w:tcW w:w="1103" w:type="pct"/>
            <w:tcBorders>
              <w:bottom w:val="single" w:sz="4" w:space="0" w:color="auto"/>
            </w:tcBorders>
            <w:shd w:val="clear" w:color="auto" w:fill="53284F"/>
          </w:tcPr>
          <w:p w14:paraId="1BC72269" w14:textId="77777777" w:rsidR="00EE24E4" w:rsidRPr="00CA558C" w:rsidRDefault="00EE24E4" w:rsidP="00377F3A">
            <w:pPr>
              <w:pStyle w:val="TableHead"/>
            </w:pPr>
            <w:r>
              <w:t>Reference</w:t>
            </w:r>
          </w:p>
        </w:tc>
      </w:tr>
      <w:tr w:rsidR="00EE24E4" w:rsidRPr="000B2FA7" w14:paraId="4EAC0D1E" w14:textId="77777777" w:rsidTr="000B24BE">
        <w:trPr>
          <w:cantSplit/>
        </w:trPr>
        <w:tc>
          <w:tcPr>
            <w:tcW w:w="847" w:type="pct"/>
            <w:tcBorders>
              <w:top w:val="single" w:sz="4" w:space="0" w:color="auto"/>
              <w:left w:val="nil"/>
              <w:bottom w:val="nil"/>
            </w:tcBorders>
          </w:tcPr>
          <w:p w14:paraId="7F9621EE" w14:textId="4FB6D720" w:rsidR="00EE24E4" w:rsidRDefault="00623F42" w:rsidP="00377F3A">
            <w:pPr>
              <w:pStyle w:val="TableText"/>
            </w:pPr>
            <w:r>
              <w:t>Soil</w:t>
            </w:r>
          </w:p>
        </w:tc>
        <w:tc>
          <w:tcPr>
            <w:tcW w:w="843" w:type="pct"/>
            <w:tcBorders>
              <w:top w:val="single" w:sz="4" w:space="0" w:color="auto"/>
              <w:left w:val="nil"/>
              <w:bottom w:val="nil"/>
            </w:tcBorders>
          </w:tcPr>
          <w:p w14:paraId="3DA0A138" w14:textId="77777777" w:rsidR="00EE24E4" w:rsidRDefault="00EE24E4" w:rsidP="00377F3A">
            <w:pPr>
              <w:pStyle w:val="TableText"/>
            </w:pPr>
            <w:r>
              <w:t>Aerobic soil metabolism</w:t>
            </w:r>
          </w:p>
        </w:tc>
        <w:tc>
          <w:tcPr>
            <w:tcW w:w="2207" w:type="pct"/>
            <w:tcBorders>
              <w:top w:val="single" w:sz="4" w:space="0" w:color="auto"/>
              <w:bottom w:val="nil"/>
            </w:tcBorders>
          </w:tcPr>
          <w:p w14:paraId="5655C1A0" w14:textId="77777777" w:rsidR="00EE24E4" w:rsidRDefault="00EE24E4" w:rsidP="00377F3A">
            <w:pPr>
              <w:pStyle w:val="TableText"/>
            </w:pPr>
            <w:r>
              <w:t>loamy sand:</w:t>
            </w:r>
            <w:r>
              <w:tab/>
              <w:t>DT</w:t>
            </w:r>
            <w:r w:rsidRPr="00551D37">
              <w:rPr>
                <w:vertAlign w:val="subscript"/>
              </w:rPr>
              <w:t>50</w:t>
            </w:r>
            <w:r>
              <w:t xml:space="preserve"> 296 d</w:t>
            </w:r>
          </w:p>
          <w:p w14:paraId="32F200A0" w14:textId="77777777" w:rsidR="00EE24E4" w:rsidRDefault="00EE24E4" w:rsidP="00377F3A">
            <w:pPr>
              <w:pStyle w:val="TableText"/>
            </w:pPr>
            <w:r>
              <w:t>silt loam:</w:t>
            </w:r>
            <w:r>
              <w:tab/>
              <w:t>DT</w:t>
            </w:r>
            <w:r w:rsidRPr="00551D37">
              <w:rPr>
                <w:vertAlign w:val="subscript"/>
              </w:rPr>
              <w:t>50</w:t>
            </w:r>
            <w:r>
              <w:t xml:space="preserve"> 223 d</w:t>
            </w:r>
          </w:p>
          <w:p w14:paraId="090ECA60" w14:textId="77777777" w:rsidR="00EE24E4" w:rsidRDefault="00EE24E4" w:rsidP="00377F3A">
            <w:pPr>
              <w:pStyle w:val="TableText"/>
            </w:pPr>
            <w:r>
              <w:t>silty clay loam:</w:t>
            </w:r>
            <w:r>
              <w:tab/>
              <w:t>DT</w:t>
            </w:r>
            <w:r w:rsidRPr="00551D37">
              <w:rPr>
                <w:vertAlign w:val="subscript"/>
              </w:rPr>
              <w:t>50</w:t>
            </w:r>
            <w:r>
              <w:t xml:space="preserve"> 73 d</w:t>
            </w:r>
          </w:p>
          <w:p w14:paraId="17768CF5" w14:textId="77777777" w:rsidR="00EE24E4" w:rsidRDefault="00EE24E4" w:rsidP="00377F3A">
            <w:pPr>
              <w:pStyle w:val="TableText"/>
            </w:pPr>
            <w:r>
              <w:t>loamy sand:</w:t>
            </w:r>
            <w:r>
              <w:tab/>
              <w:t>DT</w:t>
            </w:r>
            <w:r w:rsidRPr="00551D37">
              <w:rPr>
                <w:vertAlign w:val="subscript"/>
              </w:rPr>
              <w:t>50</w:t>
            </w:r>
            <w:r>
              <w:t xml:space="preserve"> 432 d</w:t>
            </w:r>
          </w:p>
          <w:p w14:paraId="3A0A62CE" w14:textId="77777777" w:rsidR="00EE24E4" w:rsidRDefault="00EE24E4" w:rsidP="00377F3A">
            <w:pPr>
              <w:pStyle w:val="TableText"/>
            </w:pPr>
            <w:r>
              <w:t>Geomean DT</w:t>
            </w:r>
            <w:r w:rsidRPr="00B81B1D">
              <w:rPr>
                <w:vertAlign w:val="subscript"/>
              </w:rPr>
              <w:t>50</w:t>
            </w:r>
            <w:r>
              <w:t xml:space="preserve"> 256 d</w:t>
            </w:r>
          </w:p>
        </w:tc>
        <w:tc>
          <w:tcPr>
            <w:tcW w:w="1103" w:type="pct"/>
            <w:tcBorders>
              <w:top w:val="single" w:sz="4" w:space="0" w:color="auto"/>
              <w:bottom w:val="nil"/>
            </w:tcBorders>
          </w:tcPr>
          <w:p w14:paraId="3B7D3D79" w14:textId="77777777" w:rsidR="00EE24E4" w:rsidRDefault="00EE24E4" w:rsidP="00377F3A">
            <w:pPr>
              <w:pStyle w:val="TableText"/>
            </w:pPr>
            <w:r>
              <w:t>Derz 2006</w:t>
            </w:r>
          </w:p>
        </w:tc>
      </w:tr>
      <w:tr w:rsidR="00EE24E4" w:rsidRPr="000B2FA7" w14:paraId="78E72F5B" w14:textId="77777777" w:rsidTr="00623F42">
        <w:trPr>
          <w:cantSplit/>
        </w:trPr>
        <w:tc>
          <w:tcPr>
            <w:tcW w:w="847" w:type="pct"/>
            <w:tcBorders>
              <w:top w:val="nil"/>
              <w:left w:val="nil"/>
              <w:bottom w:val="nil"/>
            </w:tcBorders>
          </w:tcPr>
          <w:p w14:paraId="398020A6" w14:textId="77777777" w:rsidR="00EE24E4" w:rsidRDefault="00EE24E4" w:rsidP="00377F3A">
            <w:pPr>
              <w:pStyle w:val="TableText"/>
            </w:pPr>
          </w:p>
        </w:tc>
        <w:tc>
          <w:tcPr>
            <w:tcW w:w="843" w:type="pct"/>
            <w:tcBorders>
              <w:top w:val="nil"/>
              <w:left w:val="nil"/>
              <w:bottom w:val="nil"/>
            </w:tcBorders>
          </w:tcPr>
          <w:p w14:paraId="0371579A" w14:textId="77777777" w:rsidR="00EE24E4" w:rsidRDefault="00EE24E4" w:rsidP="00377F3A">
            <w:pPr>
              <w:pStyle w:val="TableText"/>
            </w:pPr>
            <w:r>
              <w:t>Adsorption/</w:t>
            </w:r>
          </w:p>
          <w:p w14:paraId="2E3A5383" w14:textId="77777777" w:rsidR="00EE24E4" w:rsidRDefault="00EE24E4" w:rsidP="00377F3A">
            <w:pPr>
              <w:pStyle w:val="TableText"/>
            </w:pPr>
            <w:r>
              <w:t>desorption</w:t>
            </w:r>
          </w:p>
        </w:tc>
        <w:tc>
          <w:tcPr>
            <w:tcW w:w="2207" w:type="pct"/>
            <w:tcBorders>
              <w:top w:val="nil"/>
              <w:bottom w:val="nil"/>
            </w:tcBorders>
          </w:tcPr>
          <w:p w14:paraId="0EA294A5" w14:textId="77777777" w:rsidR="00EE24E4" w:rsidRDefault="00EE24E4" w:rsidP="00377F3A">
            <w:pPr>
              <w:pStyle w:val="TableText"/>
            </w:pPr>
            <w:r>
              <w:t>Koc 101684 mL/g</w:t>
            </w:r>
          </w:p>
        </w:tc>
        <w:tc>
          <w:tcPr>
            <w:tcW w:w="1103" w:type="pct"/>
            <w:tcBorders>
              <w:top w:val="nil"/>
              <w:bottom w:val="nil"/>
            </w:tcBorders>
          </w:tcPr>
          <w:p w14:paraId="0E2D3F6F" w14:textId="77777777" w:rsidR="00EE24E4" w:rsidRDefault="00EE24E4" w:rsidP="00377F3A">
            <w:pPr>
              <w:pStyle w:val="TableText"/>
            </w:pPr>
            <w:r>
              <w:t>Weissenfeld 2002</w:t>
            </w:r>
          </w:p>
        </w:tc>
      </w:tr>
      <w:tr w:rsidR="00EE24E4" w:rsidRPr="000B2FA7" w14:paraId="22D890CE" w14:textId="77777777" w:rsidTr="00623F42">
        <w:trPr>
          <w:cantSplit/>
        </w:trPr>
        <w:tc>
          <w:tcPr>
            <w:tcW w:w="847" w:type="pct"/>
            <w:tcBorders>
              <w:top w:val="nil"/>
              <w:left w:val="nil"/>
              <w:bottom w:val="single" w:sz="4" w:space="0" w:color="auto"/>
            </w:tcBorders>
          </w:tcPr>
          <w:p w14:paraId="5810B270" w14:textId="3467B47A" w:rsidR="00EE24E4" w:rsidRDefault="00EE24E4" w:rsidP="00377F3A">
            <w:pPr>
              <w:pStyle w:val="TableText"/>
            </w:pPr>
          </w:p>
        </w:tc>
        <w:tc>
          <w:tcPr>
            <w:tcW w:w="843" w:type="pct"/>
            <w:tcBorders>
              <w:top w:val="nil"/>
              <w:left w:val="nil"/>
              <w:bottom w:val="single" w:sz="4" w:space="0" w:color="auto"/>
            </w:tcBorders>
          </w:tcPr>
          <w:p w14:paraId="139A609C" w14:textId="77777777" w:rsidR="00EE24E4" w:rsidRDefault="00EE24E4" w:rsidP="00377F3A">
            <w:pPr>
              <w:pStyle w:val="TableText"/>
            </w:pPr>
            <w:r>
              <w:t>Column leaching</w:t>
            </w:r>
          </w:p>
        </w:tc>
        <w:tc>
          <w:tcPr>
            <w:tcW w:w="2207" w:type="pct"/>
            <w:tcBorders>
              <w:top w:val="nil"/>
              <w:bottom w:val="single" w:sz="4" w:space="0" w:color="auto"/>
            </w:tcBorders>
          </w:tcPr>
          <w:p w14:paraId="2479060F" w14:textId="77777777" w:rsidR="00EE24E4" w:rsidRDefault="00EE24E4" w:rsidP="00377F3A">
            <w:pPr>
              <w:pStyle w:val="TableText"/>
            </w:pPr>
            <w:r>
              <w:t>200 mm elution over 2d, four soils:</w:t>
            </w:r>
          </w:p>
          <w:p w14:paraId="51EA2891" w14:textId="77777777" w:rsidR="00EE24E4" w:rsidRDefault="00EE24E4" w:rsidP="00377F3A">
            <w:pPr>
              <w:pStyle w:val="TableText"/>
            </w:pPr>
            <w:r>
              <w:t>0.09-0.18% in leachate</w:t>
            </w:r>
          </w:p>
        </w:tc>
        <w:tc>
          <w:tcPr>
            <w:tcW w:w="1103" w:type="pct"/>
            <w:tcBorders>
              <w:top w:val="nil"/>
              <w:bottom w:val="single" w:sz="4" w:space="0" w:color="auto"/>
            </w:tcBorders>
          </w:tcPr>
          <w:p w14:paraId="1F232895" w14:textId="77777777" w:rsidR="00EE24E4" w:rsidRDefault="00EE24E4" w:rsidP="00377F3A">
            <w:pPr>
              <w:pStyle w:val="TableText"/>
            </w:pPr>
            <w:r>
              <w:t>Wallace &amp; Eadsforth 1984</w:t>
            </w:r>
          </w:p>
        </w:tc>
      </w:tr>
      <w:tr w:rsidR="00623F42" w:rsidRPr="000B2FA7" w14:paraId="19A98ADD" w14:textId="77777777" w:rsidTr="00623F42">
        <w:trPr>
          <w:cantSplit/>
        </w:trPr>
        <w:tc>
          <w:tcPr>
            <w:tcW w:w="847" w:type="pct"/>
            <w:tcBorders>
              <w:top w:val="single" w:sz="4" w:space="0" w:color="auto"/>
              <w:left w:val="nil"/>
              <w:bottom w:val="nil"/>
            </w:tcBorders>
          </w:tcPr>
          <w:p w14:paraId="1EFFEE59" w14:textId="77777777" w:rsidR="00623F42" w:rsidRDefault="00623F42" w:rsidP="00377F3A">
            <w:pPr>
              <w:pStyle w:val="TableText"/>
            </w:pPr>
            <w:r>
              <w:t>Water and</w:t>
            </w:r>
          </w:p>
          <w:p w14:paraId="5AB8B624" w14:textId="282A5263" w:rsidR="00623F42" w:rsidRDefault="00623F42" w:rsidP="00377F3A">
            <w:pPr>
              <w:pStyle w:val="TableText"/>
            </w:pPr>
            <w:r>
              <w:t>sediment</w:t>
            </w:r>
          </w:p>
        </w:tc>
        <w:tc>
          <w:tcPr>
            <w:tcW w:w="843" w:type="pct"/>
            <w:tcBorders>
              <w:top w:val="single" w:sz="4" w:space="0" w:color="auto"/>
              <w:left w:val="nil"/>
              <w:bottom w:val="nil"/>
            </w:tcBorders>
          </w:tcPr>
          <w:p w14:paraId="7B306B4D" w14:textId="2808F7C9" w:rsidR="00623F42" w:rsidRDefault="00623F42" w:rsidP="00377F3A">
            <w:pPr>
              <w:pStyle w:val="TableText"/>
            </w:pPr>
            <w:r>
              <w:t>Hydrolysis</w:t>
            </w:r>
          </w:p>
        </w:tc>
        <w:tc>
          <w:tcPr>
            <w:tcW w:w="2207" w:type="pct"/>
            <w:tcBorders>
              <w:top w:val="single" w:sz="4" w:space="0" w:color="auto"/>
              <w:bottom w:val="nil"/>
            </w:tcBorders>
          </w:tcPr>
          <w:p w14:paraId="7B16B235" w14:textId="77777777" w:rsidR="00623F42" w:rsidRPr="006F78D3" w:rsidRDefault="00623F42" w:rsidP="00377F3A">
            <w:pPr>
              <w:pStyle w:val="TableText"/>
              <w:rPr>
                <w:lang w:val="de-CH"/>
              </w:rPr>
            </w:pPr>
            <w:r w:rsidRPr="006F78D3">
              <w:rPr>
                <w:lang w:val="de-CH"/>
              </w:rPr>
              <w:t>pH 5, 50°C: DT</w:t>
            </w:r>
            <w:r w:rsidRPr="00F85D43">
              <w:rPr>
                <w:vertAlign w:val="subscript"/>
                <w:lang w:val="de-CH"/>
              </w:rPr>
              <w:t>50</w:t>
            </w:r>
            <w:r w:rsidRPr="006F78D3">
              <w:rPr>
                <w:lang w:val="de-CH"/>
              </w:rPr>
              <w:t xml:space="preserve"> 30 d</w:t>
            </w:r>
          </w:p>
          <w:p w14:paraId="30BF9371" w14:textId="77777777" w:rsidR="00623F42" w:rsidRPr="006F78D3" w:rsidRDefault="00623F42" w:rsidP="00377F3A">
            <w:pPr>
              <w:pStyle w:val="TableText"/>
              <w:rPr>
                <w:lang w:val="de-CH"/>
              </w:rPr>
            </w:pPr>
            <w:r w:rsidRPr="006F78D3">
              <w:rPr>
                <w:lang w:val="de-CH"/>
              </w:rPr>
              <w:t>pH 7, 50°C: DT</w:t>
            </w:r>
            <w:r w:rsidRPr="00F85D43">
              <w:rPr>
                <w:vertAlign w:val="subscript"/>
                <w:lang w:val="de-CH"/>
              </w:rPr>
              <w:t>50</w:t>
            </w:r>
            <w:r w:rsidRPr="006F78D3">
              <w:rPr>
                <w:lang w:val="de-CH"/>
              </w:rPr>
              <w:t xml:space="preserve"> 447 d</w:t>
            </w:r>
          </w:p>
          <w:p w14:paraId="0B915C37" w14:textId="40881704" w:rsidR="00623F42" w:rsidRDefault="00623F42" w:rsidP="00377F3A">
            <w:pPr>
              <w:pStyle w:val="TableText"/>
            </w:pPr>
            <w:r>
              <w:t>pH 9, 50°C: DT</w:t>
            </w:r>
            <w:r w:rsidRPr="002E00B6">
              <w:rPr>
                <w:vertAlign w:val="subscript"/>
              </w:rPr>
              <w:t>50</w:t>
            </w:r>
            <w:r>
              <w:t xml:space="preserve"> 445 d</w:t>
            </w:r>
          </w:p>
        </w:tc>
        <w:tc>
          <w:tcPr>
            <w:tcW w:w="1103" w:type="pct"/>
            <w:tcBorders>
              <w:top w:val="single" w:sz="4" w:space="0" w:color="auto"/>
              <w:bottom w:val="nil"/>
            </w:tcBorders>
          </w:tcPr>
          <w:p w14:paraId="628B6B8A" w14:textId="3FE7BA70" w:rsidR="00623F42" w:rsidRDefault="00623F42" w:rsidP="00377F3A">
            <w:pPr>
              <w:pStyle w:val="TableText"/>
            </w:pPr>
            <w:r>
              <w:t>Camilleri &amp; Weaver 1985</w:t>
            </w:r>
          </w:p>
        </w:tc>
      </w:tr>
      <w:tr w:rsidR="00623F42" w:rsidRPr="000B2FA7" w14:paraId="2EBCED51" w14:textId="77777777" w:rsidTr="00623F42">
        <w:trPr>
          <w:cantSplit/>
        </w:trPr>
        <w:tc>
          <w:tcPr>
            <w:tcW w:w="847" w:type="pct"/>
            <w:tcBorders>
              <w:top w:val="nil"/>
              <w:left w:val="nil"/>
              <w:bottom w:val="nil"/>
            </w:tcBorders>
          </w:tcPr>
          <w:p w14:paraId="1293C23C" w14:textId="77777777" w:rsidR="00623F42" w:rsidRDefault="00623F42" w:rsidP="00377F3A">
            <w:pPr>
              <w:pStyle w:val="TableText"/>
            </w:pPr>
          </w:p>
        </w:tc>
        <w:tc>
          <w:tcPr>
            <w:tcW w:w="843" w:type="pct"/>
            <w:tcBorders>
              <w:top w:val="nil"/>
              <w:left w:val="nil"/>
              <w:bottom w:val="nil"/>
            </w:tcBorders>
          </w:tcPr>
          <w:p w14:paraId="498F34A3" w14:textId="77777777" w:rsidR="00623F42" w:rsidRDefault="00623F42" w:rsidP="00377F3A">
            <w:pPr>
              <w:pStyle w:val="TableText"/>
            </w:pPr>
          </w:p>
        </w:tc>
        <w:tc>
          <w:tcPr>
            <w:tcW w:w="2207" w:type="pct"/>
            <w:tcBorders>
              <w:top w:val="nil"/>
              <w:bottom w:val="nil"/>
            </w:tcBorders>
          </w:tcPr>
          <w:p w14:paraId="20E8F5F9" w14:textId="77777777" w:rsidR="00623F42" w:rsidRDefault="00623F42" w:rsidP="00377F3A">
            <w:pPr>
              <w:pStyle w:val="TableText"/>
            </w:pPr>
            <w:r>
              <w:t>pH 5, 50°C: stable</w:t>
            </w:r>
          </w:p>
          <w:p w14:paraId="2431181E" w14:textId="77777777" w:rsidR="00623F42" w:rsidRDefault="00623F42" w:rsidP="00377F3A">
            <w:pPr>
              <w:pStyle w:val="TableText"/>
            </w:pPr>
            <w:r>
              <w:t>pH 7, 50°C: stable</w:t>
            </w:r>
          </w:p>
          <w:p w14:paraId="15E33DF0" w14:textId="0A76F564" w:rsidR="00623F42" w:rsidRDefault="00623F42" w:rsidP="00377F3A">
            <w:pPr>
              <w:pStyle w:val="TableText"/>
            </w:pPr>
            <w:r>
              <w:t>pH 9, 50°C: stable</w:t>
            </w:r>
          </w:p>
        </w:tc>
        <w:tc>
          <w:tcPr>
            <w:tcW w:w="1103" w:type="pct"/>
            <w:tcBorders>
              <w:top w:val="nil"/>
              <w:bottom w:val="nil"/>
            </w:tcBorders>
          </w:tcPr>
          <w:p w14:paraId="49CBE92B" w14:textId="10B0C38A" w:rsidR="00623F42" w:rsidRDefault="00623F42" w:rsidP="00377F3A">
            <w:pPr>
              <w:pStyle w:val="TableText"/>
            </w:pPr>
            <w:r>
              <w:t>Singh &amp; Trollinger 2003</w:t>
            </w:r>
          </w:p>
        </w:tc>
      </w:tr>
      <w:tr w:rsidR="00623F42" w:rsidRPr="000B2FA7" w14:paraId="535EA830" w14:textId="77777777" w:rsidTr="00623F42">
        <w:trPr>
          <w:cantSplit/>
        </w:trPr>
        <w:tc>
          <w:tcPr>
            <w:tcW w:w="847" w:type="pct"/>
            <w:tcBorders>
              <w:top w:val="nil"/>
              <w:left w:val="nil"/>
              <w:bottom w:val="nil"/>
            </w:tcBorders>
          </w:tcPr>
          <w:p w14:paraId="40A84253" w14:textId="77777777" w:rsidR="00623F42" w:rsidRDefault="00623F42" w:rsidP="00377F3A">
            <w:pPr>
              <w:pStyle w:val="TableText"/>
            </w:pPr>
          </w:p>
        </w:tc>
        <w:tc>
          <w:tcPr>
            <w:tcW w:w="843" w:type="pct"/>
            <w:tcBorders>
              <w:top w:val="nil"/>
              <w:left w:val="nil"/>
              <w:bottom w:val="nil"/>
            </w:tcBorders>
          </w:tcPr>
          <w:p w14:paraId="120552FB" w14:textId="716724BB" w:rsidR="00623F42" w:rsidRDefault="00623F42" w:rsidP="00377F3A">
            <w:pPr>
              <w:pStyle w:val="TableText"/>
            </w:pPr>
            <w:r>
              <w:t>Aqueous photolysis</w:t>
            </w:r>
          </w:p>
        </w:tc>
        <w:tc>
          <w:tcPr>
            <w:tcW w:w="2207" w:type="pct"/>
            <w:tcBorders>
              <w:top w:val="nil"/>
              <w:bottom w:val="nil"/>
            </w:tcBorders>
          </w:tcPr>
          <w:p w14:paraId="714D1F14" w14:textId="1CF91E56" w:rsidR="00623F42" w:rsidRDefault="00623F42" w:rsidP="00377F3A">
            <w:pPr>
              <w:pStyle w:val="TableText"/>
            </w:pPr>
            <w:r>
              <w:t>DT</w:t>
            </w:r>
            <w:r w:rsidRPr="0041675A">
              <w:rPr>
                <w:vertAlign w:val="subscript"/>
              </w:rPr>
              <w:t>50</w:t>
            </w:r>
            <w:r>
              <w:t xml:space="preserve"> 1.7 d in April, central Europe</w:t>
            </w:r>
          </w:p>
        </w:tc>
        <w:tc>
          <w:tcPr>
            <w:tcW w:w="1103" w:type="pct"/>
            <w:tcBorders>
              <w:top w:val="nil"/>
              <w:bottom w:val="nil"/>
            </w:tcBorders>
          </w:tcPr>
          <w:p w14:paraId="36AE2F70" w14:textId="1C0D7B39" w:rsidR="00623F42" w:rsidRDefault="00623F42" w:rsidP="00377F3A">
            <w:pPr>
              <w:pStyle w:val="TableText"/>
            </w:pPr>
            <w:r>
              <w:t>Hennecke 2006</w:t>
            </w:r>
          </w:p>
        </w:tc>
      </w:tr>
      <w:tr w:rsidR="00623F42" w:rsidRPr="000B2FA7" w14:paraId="737D8102" w14:textId="77777777" w:rsidTr="00623F42">
        <w:trPr>
          <w:cantSplit/>
        </w:trPr>
        <w:tc>
          <w:tcPr>
            <w:tcW w:w="847" w:type="pct"/>
            <w:tcBorders>
              <w:top w:val="nil"/>
              <w:left w:val="nil"/>
              <w:bottom w:val="nil"/>
            </w:tcBorders>
          </w:tcPr>
          <w:p w14:paraId="12825139" w14:textId="77777777" w:rsidR="00623F42" w:rsidRDefault="00623F42" w:rsidP="00377F3A">
            <w:pPr>
              <w:pStyle w:val="TableText"/>
            </w:pPr>
          </w:p>
        </w:tc>
        <w:tc>
          <w:tcPr>
            <w:tcW w:w="843" w:type="pct"/>
            <w:tcBorders>
              <w:top w:val="nil"/>
              <w:left w:val="nil"/>
              <w:bottom w:val="nil"/>
            </w:tcBorders>
          </w:tcPr>
          <w:p w14:paraId="2C72B320" w14:textId="30CB262F" w:rsidR="00623F42" w:rsidRDefault="00623F42" w:rsidP="00377F3A">
            <w:pPr>
              <w:pStyle w:val="TableText"/>
            </w:pPr>
            <w:r>
              <w:t>Readily biodegradable</w:t>
            </w:r>
          </w:p>
        </w:tc>
        <w:tc>
          <w:tcPr>
            <w:tcW w:w="2207" w:type="pct"/>
            <w:tcBorders>
              <w:top w:val="nil"/>
              <w:bottom w:val="nil"/>
            </w:tcBorders>
          </w:tcPr>
          <w:p w14:paraId="474EAE0A" w14:textId="7C84A7AC" w:rsidR="00623F42" w:rsidRDefault="00623F42" w:rsidP="00377F3A">
            <w:pPr>
              <w:pStyle w:val="TableText"/>
            </w:pPr>
            <w:r>
              <w:t>No</w:t>
            </w:r>
          </w:p>
        </w:tc>
        <w:tc>
          <w:tcPr>
            <w:tcW w:w="1103" w:type="pct"/>
            <w:tcBorders>
              <w:top w:val="nil"/>
              <w:bottom w:val="nil"/>
            </w:tcBorders>
          </w:tcPr>
          <w:p w14:paraId="30778030" w14:textId="08216015" w:rsidR="00623F42" w:rsidRDefault="00623F42" w:rsidP="00377F3A">
            <w:pPr>
              <w:pStyle w:val="TableText"/>
            </w:pPr>
            <w:r>
              <w:t>Dengler 2004</w:t>
            </w:r>
          </w:p>
        </w:tc>
      </w:tr>
      <w:tr w:rsidR="00623F42" w:rsidRPr="000B2FA7" w14:paraId="246B50D7" w14:textId="77777777" w:rsidTr="00623F42">
        <w:trPr>
          <w:cantSplit/>
        </w:trPr>
        <w:tc>
          <w:tcPr>
            <w:tcW w:w="847" w:type="pct"/>
            <w:tcBorders>
              <w:top w:val="nil"/>
              <w:left w:val="nil"/>
              <w:bottom w:val="single" w:sz="4" w:space="0" w:color="auto"/>
            </w:tcBorders>
          </w:tcPr>
          <w:p w14:paraId="7392E9CC" w14:textId="77777777" w:rsidR="00623F42" w:rsidRDefault="00623F42" w:rsidP="00377F3A">
            <w:pPr>
              <w:pStyle w:val="TableText"/>
            </w:pPr>
          </w:p>
        </w:tc>
        <w:tc>
          <w:tcPr>
            <w:tcW w:w="843" w:type="pct"/>
            <w:tcBorders>
              <w:top w:val="nil"/>
              <w:left w:val="nil"/>
              <w:bottom w:val="single" w:sz="4" w:space="0" w:color="auto"/>
            </w:tcBorders>
          </w:tcPr>
          <w:p w14:paraId="66202806" w14:textId="440917AE" w:rsidR="00623F42" w:rsidRDefault="00623F42" w:rsidP="00377F3A">
            <w:pPr>
              <w:pStyle w:val="TableText"/>
            </w:pPr>
            <w:r>
              <w:t>Anaerobic biodegradable</w:t>
            </w:r>
          </w:p>
        </w:tc>
        <w:tc>
          <w:tcPr>
            <w:tcW w:w="2207" w:type="pct"/>
            <w:tcBorders>
              <w:top w:val="nil"/>
              <w:bottom w:val="single" w:sz="4" w:space="0" w:color="auto"/>
            </w:tcBorders>
          </w:tcPr>
          <w:p w14:paraId="7AAC6430" w14:textId="2BDE444E" w:rsidR="00623F42" w:rsidRDefault="00623F42" w:rsidP="00377F3A">
            <w:pPr>
              <w:pStyle w:val="TableText"/>
            </w:pPr>
            <w:r>
              <w:t>No</w:t>
            </w:r>
          </w:p>
        </w:tc>
        <w:tc>
          <w:tcPr>
            <w:tcW w:w="1103" w:type="pct"/>
            <w:tcBorders>
              <w:top w:val="nil"/>
              <w:bottom w:val="single" w:sz="4" w:space="0" w:color="auto"/>
            </w:tcBorders>
          </w:tcPr>
          <w:p w14:paraId="428C88DD" w14:textId="08EF32DD" w:rsidR="00623F42" w:rsidRDefault="00623F42" w:rsidP="00377F3A">
            <w:pPr>
              <w:pStyle w:val="TableText"/>
            </w:pPr>
            <w:r>
              <w:t>Schwarz 2004</w:t>
            </w:r>
          </w:p>
        </w:tc>
      </w:tr>
      <w:tr w:rsidR="00623F42" w:rsidRPr="000B2FA7" w14:paraId="6BA459D5" w14:textId="77777777" w:rsidTr="00886A28">
        <w:trPr>
          <w:cantSplit/>
        </w:trPr>
        <w:tc>
          <w:tcPr>
            <w:tcW w:w="847" w:type="pct"/>
            <w:tcBorders>
              <w:top w:val="single" w:sz="4" w:space="0" w:color="auto"/>
              <w:left w:val="nil"/>
              <w:bottom w:val="single" w:sz="4" w:space="0" w:color="auto"/>
            </w:tcBorders>
          </w:tcPr>
          <w:p w14:paraId="4FFDFD2C" w14:textId="4EDCFF33" w:rsidR="00623F42" w:rsidRDefault="00623F42" w:rsidP="00377F3A">
            <w:pPr>
              <w:pStyle w:val="TableText"/>
            </w:pPr>
            <w:r>
              <w:t>Air</w:t>
            </w:r>
          </w:p>
        </w:tc>
        <w:tc>
          <w:tcPr>
            <w:tcW w:w="843" w:type="pct"/>
            <w:tcBorders>
              <w:top w:val="single" w:sz="4" w:space="0" w:color="auto"/>
              <w:left w:val="nil"/>
              <w:bottom w:val="single" w:sz="4" w:space="0" w:color="auto"/>
            </w:tcBorders>
          </w:tcPr>
          <w:p w14:paraId="5DE666A9" w14:textId="13015517" w:rsidR="00623F42" w:rsidRDefault="00623F42" w:rsidP="00377F3A">
            <w:pPr>
              <w:pStyle w:val="TableText"/>
            </w:pPr>
            <w:r>
              <w:t>Tropospheric degradation</w:t>
            </w:r>
          </w:p>
        </w:tc>
        <w:tc>
          <w:tcPr>
            <w:tcW w:w="2207" w:type="pct"/>
            <w:tcBorders>
              <w:top w:val="single" w:sz="4" w:space="0" w:color="auto"/>
              <w:bottom w:val="single" w:sz="4" w:space="0" w:color="auto"/>
            </w:tcBorders>
          </w:tcPr>
          <w:p w14:paraId="352A00FD" w14:textId="77777777" w:rsidR="00623F42" w:rsidRDefault="00623F42" w:rsidP="00377F3A">
            <w:pPr>
              <w:pStyle w:val="TableText"/>
            </w:pPr>
            <w:r>
              <w:t>DT</w:t>
            </w:r>
            <w:r w:rsidRPr="00642D1D">
              <w:rPr>
                <w:vertAlign w:val="subscript"/>
              </w:rPr>
              <w:t>50</w:t>
            </w:r>
            <w:r>
              <w:t xml:space="preserve"> 1.5 h (OH radical reaction)</w:t>
            </w:r>
          </w:p>
          <w:p w14:paraId="6AFD4DE3" w14:textId="2774B524" w:rsidR="00623F42" w:rsidRDefault="00623F42" w:rsidP="00377F3A">
            <w:pPr>
              <w:pStyle w:val="TableText"/>
            </w:pPr>
            <w:r>
              <w:t>DT</w:t>
            </w:r>
            <w:r w:rsidRPr="00642D1D">
              <w:rPr>
                <w:vertAlign w:val="subscript"/>
              </w:rPr>
              <w:t>50</w:t>
            </w:r>
            <w:r>
              <w:t xml:space="preserve"> 2.0 h (ozone reaction)</w:t>
            </w:r>
          </w:p>
        </w:tc>
        <w:tc>
          <w:tcPr>
            <w:tcW w:w="1103" w:type="pct"/>
            <w:tcBorders>
              <w:top w:val="single" w:sz="4" w:space="0" w:color="auto"/>
              <w:bottom w:val="single" w:sz="4" w:space="0" w:color="auto"/>
            </w:tcBorders>
          </w:tcPr>
          <w:p w14:paraId="12A1FE45" w14:textId="4355E7A4" w:rsidR="00623F42" w:rsidRDefault="00623F42" w:rsidP="00377F3A">
            <w:pPr>
              <w:pStyle w:val="TableText"/>
            </w:pPr>
            <w:r>
              <w:t>Martin 2002</w:t>
            </w:r>
          </w:p>
        </w:tc>
      </w:tr>
      <w:tr w:rsidR="00886A28" w:rsidRPr="000B2FA7" w14:paraId="0C18A06E" w14:textId="77777777" w:rsidTr="00886A28">
        <w:trPr>
          <w:cantSplit/>
        </w:trPr>
        <w:tc>
          <w:tcPr>
            <w:tcW w:w="847" w:type="pct"/>
            <w:tcBorders>
              <w:top w:val="single" w:sz="4" w:space="0" w:color="auto"/>
              <w:left w:val="nil"/>
              <w:bottom w:val="nil"/>
            </w:tcBorders>
          </w:tcPr>
          <w:p w14:paraId="06784B1C" w14:textId="1B5ADCA6" w:rsidR="00886A28" w:rsidRDefault="00886A28" w:rsidP="00377F3A">
            <w:pPr>
              <w:pStyle w:val="TableText"/>
            </w:pPr>
            <w:r>
              <w:t>Biota</w:t>
            </w:r>
          </w:p>
        </w:tc>
        <w:tc>
          <w:tcPr>
            <w:tcW w:w="843" w:type="pct"/>
            <w:tcBorders>
              <w:top w:val="single" w:sz="4" w:space="0" w:color="auto"/>
              <w:left w:val="nil"/>
              <w:bottom w:val="nil"/>
            </w:tcBorders>
          </w:tcPr>
          <w:p w14:paraId="4FE629AB" w14:textId="37631E41" w:rsidR="00886A28" w:rsidRPr="00886A28" w:rsidRDefault="00886A28" w:rsidP="00377F3A">
            <w:pPr>
              <w:pStyle w:val="TableText"/>
            </w:pPr>
            <w:r w:rsidRPr="00886A28">
              <w:t>Rat</w:t>
            </w:r>
          </w:p>
        </w:tc>
        <w:tc>
          <w:tcPr>
            <w:tcW w:w="2207" w:type="pct"/>
            <w:tcBorders>
              <w:top w:val="single" w:sz="4" w:space="0" w:color="auto"/>
              <w:bottom w:val="nil"/>
            </w:tcBorders>
          </w:tcPr>
          <w:p w14:paraId="4BD95D50" w14:textId="7B29B41F" w:rsidR="00886A28" w:rsidRDefault="00886A28" w:rsidP="00377F3A">
            <w:pPr>
              <w:pStyle w:val="TableText"/>
            </w:pPr>
            <w:r>
              <w:t>28-42% elimination after 7d</w:t>
            </w:r>
          </w:p>
        </w:tc>
        <w:tc>
          <w:tcPr>
            <w:tcW w:w="1103" w:type="pct"/>
            <w:tcBorders>
              <w:top w:val="single" w:sz="4" w:space="0" w:color="auto"/>
              <w:bottom w:val="nil"/>
            </w:tcBorders>
          </w:tcPr>
          <w:p w14:paraId="6CDD97E2" w14:textId="09F0159B" w:rsidR="00886A28" w:rsidRDefault="00886A28" w:rsidP="00377F3A">
            <w:pPr>
              <w:pStyle w:val="TableText"/>
            </w:pPr>
            <w:r>
              <w:t>Huckle &amp; Warburton 1986</w:t>
            </w:r>
          </w:p>
        </w:tc>
      </w:tr>
      <w:tr w:rsidR="00886A28" w:rsidRPr="000B2FA7" w14:paraId="65049555" w14:textId="77777777" w:rsidTr="00886A28">
        <w:trPr>
          <w:cantSplit/>
        </w:trPr>
        <w:tc>
          <w:tcPr>
            <w:tcW w:w="847" w:type="pct"/>
            <w:tcBorders>
              <w:top w:val="nil"/>
              <w:left w:val="nil"/>
              <w:bottom w:val="nil"/>
            </w:tcBorders>
          </w:tcPr>
          <w:p w14:paraId="54C14A89" w14:textId="77777777" w:rsidR="00886A28" w:rsidRDefault="00886A28" w:rsidP="00377F3A">
            <w:pPr>
              <w:pStyle w:val="TableText"/>
            </w:pPr>
          </w:p>
        </w:tc>
        <w:tc>
          <w:tcPr>
            <w:tcW w:w="843" w:type="pct"/>
            <w:tcBorders>
              <w:top w:val="nil"/>
              <w:left w:val="nil"/>
              <w:bottom w:val="nil"/>
            </w:tcBorders>
          </w:tcPr>
          <w:p w14:paraId="1655408A" w14:textId="77777777" w:rsidR="00886A28" w:rsidRPr="00886A28" w:rsidRDefault="00886A28" w:rsidP="00377F3A">
            <w:pPr>
              <w:pStyle w:val="TableText"/>
            </w:pPr>
          </w:p>
        </w:tc>
        <w:tc>
          <w:tcPr>
            <w:tcW w:w="2207" w:type="pct"/>
            <w:tcBorders>
              <w:top w:val="nil"/>
              <w:bottom w:val="nil"/>
            </w:tcBorders>
          </w:tcPr>
          <w:p w14:paraId="7BE1C6ED" w14:textId="77777777" w:rsidR="00886A28" w:rsidRDefault="00886A28" w:rsidP="00377F3A">
            <w:pPr>
              <w:pStyle w:val="TableText"/>
            </w:pPr>
            <w:r>
              <w:t>23-26% elimination after 7d</w:t>
            </w:r>
          </w:p>
          <w:p w14:paraId="5F99AEA5" w14:textId="1F996544" w:rsidR="00886A28" w:rsidRDefault="00886A28" w:rsidP="00377F3A">
            <w:pPr>
              <w:pStyle w:val="TableText"/>
            </w:pPr>
            <w:r>
              <w:t>Liver DT</w:t>
            </w:r>
            <w:r w:rsidRPr="00F855FB">
              <w:rPr>
                <w:vertAlign w:val="subscript"/>
              </w:rPr>
              <w:t>50</w:t>
            </w:r>
            <w:r>
              <w:t xml:space="preserve"> 220 d</w:t>
            </w:r>
          </w:p>
        </w:tc>
        <w:tc>
          <w:tcPr>
            <w:tcW w:w="1103" w:type="pct"/>
            <w:tcBorders>
              <w:top w:val="nil"/>
              <w:bottom w:val="nil"/>
            </w:tcBorders>
          </w:tcPr>
          <w:p w14:paraId="25CDD8D8" w14:textId="24925E15" w:rsidR="00886A28" w:rsidRDefault="00886A28" w:rsidP="00377F3A">
            <w:pPr>
              <w:pStyle w:val="TableText"/>
            </w:pPr>
            <w:r>
              <w:t xml:space="preserve">Warburton &amp; Hutson 1985a, 1985b, Huckle </w:t>
            </w:r>
            <w:r w:rsidR="00B7183A" w:rsidRPr="00B7183A">
              <w:rPr>
                <w:i/>
                <w:iCs/>
              </w:rPr>
              <w:t>et al</w:t>
            </w:r>
            <w:r>
              <w:t>. 1989a</w:t>
            </w:r>
          </w:p>
        </w:tc>
      </w:tr>
      <w:tr w:rsidR="00886A28" w:rsidRPr="000B2FA7" w14:paraId="61BF90D3" w14:textId="77777777" w:rsidTr="00886A28">
        <w:trPr>
          <w:cantSplit/>
        </w:trPr>
        <w:tc>
          <w:tcPr>
            <w:tcW w:w="847" w:type="pct"/>
            <w:tcBorders>
              <w:top w:val="nil"/>
              <w:left w:val="nil"/>
              <w:bottom w:val="nil"/>
            </w:tcBorders>
          </w:tcPr>
          <w:p w14:paraId="4CFA69CC" w14:textId="77777777" w:rsidR="00886A28" w:rsidRDefault="00886A28" w:rsidP="00377F3A">
            <w:pPr>
              <w:pStyle w:val="TableText"/>
            </w:pPr>
          </w:p>
        </w:tc>
        <w:tc>
          <w:tcPr>
            <w:tcW w:w="843" w:type="pct"/>
            <w:tcBorders>
              <w:top w:val="nil"/>
              <w:left w:val="nil"/>
              <w:bottom w:val="nil"/>
            </w:tcBorders>
          </w:tcPr>
          <w:p w14:paraId="3DB98842" w14:textId="77777777" w:rsidR="00886A28" w:rsidRPr="00886A28" w:rsidRDefault="00886A28" w:rsidP="00377F3A">
            <w:pPr>
              <w:pStyle w:val="TableText"/>
            </w:pPr>
          </w:p>
        </w:tc>
        <w:tc>
          <w:tcPr>
            <w:tcW w:w="2207" w:type="pct"/>
            <w:tcBorders>
              <w:top w:val="nil"/>
              <w:bottom w:val="nil"/>
            </w:tcBorders>
          </w:tcPr>
          <w:p w14:paraId="11AD1AF4" w14:textId="0D23D349" w:rsidR="00886A28" w:rsidRDefault="00886A28" w:rsidP="00377F3A">
            <w:pPr>
              <w:pStyle w:val="TableText"/>
            </w:pPr>
            <w:r>
              <w:t>Liver DT</w:t>
            </w:r>
            <w:r w:rsidRPr="00F855FB">
              <w:rPr>
                <w:vertAlign w:val="subscript"/>
              </w:rPr>
              <w:t>50</w:t>
            </w:r>
            <w:r>
              <w:t xml:space="preserve"> 159 d</w:t>
            </w:r>
          </w:p>
        </w:tc>
        <w:tc>
          <w:tcPr>
            <w:tcW w:w="1103" w:type="pct"/>
            <w:tcBorders>
              <w:top w:val="nil"/>
              <w:bottom w:val="nil"/>
            </w:tcBorders>
          </w:tcPr>
          <w:p w14:paraId="38EFC75A" w14:textId="1E300CE5" w:rsidR="00886A28" w:rsidRDefault="00886A28" w:rsidP="00377F3A">
            <w:pPr>
              <w:pStyle w:val="TableText"/>
            </w:pPr>
            <w:r>
              <w:t xml:space="preserve">Hawkins </w:t>
            </w:r>
            <w:r w:rsidR="00B7183A" w:rsidRPr="00B7183A">
              <w:rPr>
                <w:i/>
                <w:iCs/>
              </w:rPr>
              <w:t>et al</w:t>
            </w:r>
            <w:r>
              <w:t>. 1991</w:t>
            </w:r>
          </w:p>
        </w:tc>
      </w:tr>
      <w:tr w:rsidR="00886A28" w:rsidRPr="000B2FA7" w14:paraId="61523166" w14:textId="77777777" w:rsidTr="00886A28">
        <w:trPr>
          <w:cantSplit/>
        </w:trPr>
        <w:tc>
          <w:tcPr>
            <w:tcW w:w="847" w:type="pct"/>
            <w:tcBorders>
              <w:top w:val="nil"/>
              <w:left w:val="nil"/>
              <w:bottom w:val="nil"/>
            </w:tcBorders>
          </w:tcPr>
          <w:p w14:paraId="545A12CB" w14:textId="77777777" w:rsidR="00886A28" w:rsidRDefault="00886A28" w:rsidP="00377F3A">
            <w:pPr>
              <w:pStyle w:val="TableText"/>
            </w:pPr>
          </w:p>
        </w:tc>
        <w:tc>
          <w:tcPr>
            <w:tcW w:w="843" w:type="pct"/>
            <w:tcBorders>
              <w:top w:val="nil"/>
              <w:left w:val="nil"/>
              <w:bottom w:val="nil"/>
            </w:tcBorders>
          </w:tcPr>
          <w:p w14:paraId="1E8FC6AC" w14:textId="65B510EF" w:rsidR="00886A28" w:rsidRPr="00886A28" w:rsidRDefault="00886A28" w:rsidP="00377F3A">
            <w:pPr>
              <w:pStyle w:val="TableText"/>
            </w:pPr>
            <w:r w:rsidRPr="00886A28">
              <w:t>Mouse</w:t>
            </w:r>
          </w:p>
        </w:tc>
        <w:tc>
          <w:tcPr>
            <w:tcW w:w="2207" w:type="pct"/>
            <w:tcBorders>
              <w:top w:val="nil"/>
              <w:bottom w:val="nil"/>
            </w:tcBorders>
          </w:tcPr>
          <w:p w14:paraId="0CC56E8F" w14:textId="4B5C3101" w:rsidR="00886A28" w:rsidRDefault="00886A28" w:rsidP="00377F3A">
            <w:pPr>
              <w:pStyle w:val="TableText"/>
            </w:pPr>
            <w:r>
              <w:t>Liver DT</w:t>
            </w:r>
            <w:r w:rsidRPr="00F855FB">
              <w:rPr>
                <w:vertAlign w:val="subscript"/>
              </w:rPr>
              <w:t>50</w:t>
            </w:r>
            <w:r>
              <w:t xml:space="preserve"> 94 d</w:t>
            </w:r>
          </w:p>
        </w:tc>
        <w:tc>
          <w:tcPr>
            <w:tcW w:w="1103" w:type="pct"/>
            <w:tcBorders>
              <w:top w:val="nil"/>
              <w:bottom w:val="nil"/>
            </w:tcBorders>
          </w:tcPr>
          <w:p w14:paraId="0D2F0EA9" w14:textId="346B68AF" w:rsidR="00886A28" w:rsidRDefault="00886A28" w:rsidP="00377F3A">
            <w:pPr>
              <w:pStyle w:val="TableText"/>
            </w:pPr>
            <w:r>
              <w:t xml:space="preserve">Vandenbroucke </w:t>
            </w:r>
            <w:r w:rsidR="00B7183A" w:rsidRPr="00B7183A">
              <w:rPr>
                <w:i/>
                <w:iCs/>
              </w:rPr>
              <w:t>et al</w:t>
            </w:r>
            <w:r>
              <w:t>. 2008</w:t>
            </w:r>
          </w:p>
        </w:tc>
      </w:tr>
      <w:tr w:rsidR="00886A28" w:rsidRPr="000B2FA7" w14:paraId="658938C6" w14:textId="77777777" w:rsidTr="00886A28">
        <w:trPr>
          <w:cantSplit/>
        </w:trPr>
        <w:tc>
          <w:tcPr>
            <w:tcW w:w="847" w:type="pct"/>
            <w:tcBorders>
              <w:top w:val="nil"/>
              <w:left w:val="nil"/>
              <w:bottom w:val="nil"/>
            </w:tcBorders>
          </w:tcPr>
          <w:p w14:paraId="0902E926" w14:textId="77777777" w:rsidR="00886A28" w:rsidRDefault="00886A28" w:rsidP="00377F3A">
            <w:pPr>
              <w:pStyle w:val="TableText"/>
            </w:pPr>
          </w:p>
        </w:tc>
        <w:tc>
          <w:tcPr>
            <w:tcW w:w="843" w:type="pct"/>
            <w:tcBorders>
              <w:top w:val="nil"/>
              <w:left w:val="nil"/>
              <w:bottom w:val="nil"/>
            </w:tcBorders>
          </w:tcPr>
          <w:p w14:paraId="4FB719B7" w14:textId="6E21ECA8" w:rsidR="00886A28" w:rsidRPr="00886A28" w:rsidRDefault="00886A28" w:rsidP="00377F3A">
            <w:pPr>
              <w:pStyle w:val="TableText"/>
            </w:pPr>
            <w:r w:rsidRPr="00886A28">
              <w:t>Sheep</w:t>
            </w:r>
          </w:p>
        </w:tc>
        <w:tc>
          <w:tcPr>
            <w:tcW w:w="2207" w:type="pct"/>
            <w:tcBorders>
              <w:top w:val="nil"/>
              <w:bottom w:val="nil"/>
            </w:tcBorders>
          </w:tcPr>
          <w:p w14:paraId="3E626330" w14:textId="1C973064" w:rsidR="00886A28" w:rsidRDefault="00886A28" w:rsidP="00377F3A">
            <w:pPr>
              <w:pStyle w:val="TableText"/>
            </w:pPr>
            <w:r>
              <w:t>Liver DT</w:t>
            </w:r>
            <w:r w:rsidRPr="00F855FB">
              <w:rPr>
                <w:vertAlign w:val="subscript"/>
              </w:rPr>
              <w:t>50</w:t>
            </w:r>
            <w:r>
              <w:t xml:space="preserve"> &gt;256 d</w:t>
            </w:r>
          </w:p>
        </w:tc>
        <w:tc>
          <w:tcPr>
            <w:tcW w:w="1103" w:type="pct"/>
            <w:tcBorders>
              <w:top w:val="nil"/>
              <w:bottom w:val="nil"/>
            </w:tcBorders>
          </w:tcPr>
          <w:p w14:paraId="5F83FCE1" w14:textId="6F282918" w:rsidR="00886A28" w:rsidRDefault="00886A28" w:rsidP="00377F3A">
            <w:pPr>
              <w:pStyle w:val="TableText"/>
            </w:pPr>
            <w:r>
              <w:t>Nelson &amp; Hickling 1994</w:t>
            </w:r>
          </w:p>
        </w:tc>
      </w:tr>
      <w:tr w:rsidR="00886A28" w:rsidRPr="000B2FA7" w14:paraId="4DA03115" w14:textId="77777777" w:rsidTr="00886A28">
        <w:trPr>
          <w:cantSplit/>
        </w:trPr>
        <w:tc>
          <w:tcPr>
            <w:tcW w:w="847" w:type="pct"/>
            <w:tcBorders>
              <w:top w:val="nil"/>
              <w:left w:val="nil"/>
              <w:bottom w:val="nil"/>
            </w:tcBorders>
          </w:tcPr>
          <w:p w14:paraId="2F482169" w14:textId="77777777" w:rsidR="00886A28" w:rsidRDefault="00886A28" w:rsidP="00377F3A">
            <w:pPr>
              <w:pStyle w:val="TableText"/>
            </w:pPr>
          </w:p>
        </w:tc>
        <w:tc>
          <w:tcPr>
            <w:tcW w:w="843" w:type="pct"/>
            <w:tcBorders>
              <w:top w:val="nil"/>
              <w:left w:val="nil"/>
              <w:bottom w:val="nil"/>
            </w:tcBorders>
          </w:tcPr>
          <w:p w14:paraId="7D369574" w14:textId="05ACCF9C" w:rsidR="00886A28" w:rsidRPr="00886A28" w:rsidRDefault="00886A28" w:rsidP="00377F3A">
            <w:pPr>
              <w:pStyle w:val="TableText"/>
            </w:pPr>
            <w:r w:rsidRPr="00886A28">
              <w:t>Dog</w:t>
            </w:r>
          </w:p>
        </w:tc>
        <w:tc>
          <w:tcPr>
            <w:tcW w:w="2207" w:type="pct"/>
            <w:tcBorders>
              <w:top w:val="nil"/>
              <w:bottom w:val="nil"/>
            </w:tcBorders>
          </w:tcPr>
          <w:p w14:paraId="32107AF4" w14:textId="1896086B" w:rsidR="00886A28" w:rsidRDefault="00886A28" w:rsidP="00377F3A">
            <w:pPr>
              <w:pStyle w:val="TableText"/>
            </w:pPr>
            <w:r>
              <w:t>Liver DT</w:t>
            </w:r>
            <w:r w:rsidRPr="00F855FB">
              <w:rPr>
                <w:vertAlign w:val="subscript"/>
              </w:rPr>
              <w:t>50</w:t>
            </w:r>
            <w:r>
              <w:t xml:space="preserve"> &gt;300 d</w:t>
            </w:r>
          </w:p>
        </w:tc>
        <w:tc>
          <w:tcPr>
            <w:tcW w:w="1103" w:type="pct"/>
            <w:tcBorders>
              <w:top w:val="nil"/>
              <w:bottom w:val="nil"/>
            </w:tcBorders>
          </w:tcPr>
          <w:p w14:paraId="3D49A733" w14:textId="179BE3F5" w:rsidR="00886A28" w:rsidRDefault="00886A28" w:rsidP="00377F3A">
            <w:pPr>
              <w:pStyle w:val="TableText"/>
            </w:pPr>
            <w:r>
              <w:t xml:space="preserve">Veenstra </w:t>
            </w:r>
            <w:r w:rsidR="00B7183A" w:rsidRPr="00B7183A">
              <w:rPr>
                <w:i/>
                <w:iCs/>
              </w:rPr>
              <w:t>et al</w:t>
            </w:r>
            <w:r>
              <w:t>. 1991</w:t>
            </w:r>
          </w:p>
        </w:tc>
      </w:tr>
      <w:tr w:rsidR="00886A28" w:rsidRPr="000B2FA7" w14:paraId="410D612C" w14:textId="77777777" w:rsidTr="00886A28">
        <w:trPr>
          <w:cantSplit/>
        </w:trPr>
        <w:tc>
          <w:tcPr>
            <w:tcW w:w="847" w:type="pct"/>
            <w:tcBorders>
              <w:top w:val="nil"/>
              <w:left w:val="nil"/>
              <w:bottom w:val="nil"/>
            </w:tcBorders>
          </w:tcPr>
          <w:p w14:paraId="73BA8DB7" w14:textId="77777777" w:rsidR="00886A28" w:rsidRDefault="00886A28" w:rsidP="00377F3A">
            <w:pPr>
              <w:pStyle w:val="TableText"/>
            </w:pPr>
          </w:p>
        </w:tc>
        <w:tc>
          <w:tcPr>
            <w:tcW w:w="843" w:type="pct"/>
            <w:tcBorders>
              <w:top w:val="nil"/>
              <w:left w:val="nil"/>
              <w:bottom w:val="nil"/>
            </w:tcBorders>
          </w:tcPr>
          <w:p w14:paraId="56DB9C8A" w14:textId="43EE9ECA" w:rsidR="00886A28" w:rsidRPr="00886A28" w:rsidRDefault="00886A28" w:rsidP="00377F3A">
            <w:pPr>
              <w:pStyle w:val="TableText"/>
            </w:pPr>
            <w:r w:rsidRPr="00886A28">
              <w:t>Chicken</w:t>
            </w:r>
          </w:p>
        </w:tc>
        <w:tc>
          <w:tcPr>
            <w:tcW w:w="2207" w:type="pct"/>
            <w:tcBorders>
              <w:top w:val="nil"/>
              <w:bottom w:val="nil"/>
            </w:tcBorders>
          </w:tcPr>
          <w:p w14:paraId="42114C19" w14:textId="2637D0CD" w:rsidR="00886A28" w:rsidRDefault="00886A28" w:rsidP="00377F3A">
            <w:pPr>
              <w:pStyle w:val="TableText"/>
            </w:pPr>
            <w:r>
              <w:t>68% elimination after 1d</w:t>
            </w:r>
          </w:p>
        </w:tc>
        <w:tc>
          <w:tcPr>
            <w:tcW w:w="1103" w:type="pct"/>
            <w:tcBorders>
              <w:top w:val="nil"/>
              <w:bottom w:val="nil"/>
            </w:tcBorders>
          </w:tcPr>
          <w:p w14:paraId="2CA13F7D" w14:textId="5284F470" w:rsidR="00886A28" w:rsidRDefault="00886A28" w:rsidP="00377F3A">
            <w:pPr>
              <w:pStyle w:val="TableText"/>
            </w:pPr>
            <w:r>
              <w:t xml:space="preserve">Eadsforth </w:t>
            </w:r>
            <w:r w:rsidR="00B7183A" w:rsidRPr="00B7183A">
              <w:rPr>
                <w:i/>
                <w:iCs/>
              </w:rPr>
              <w:t>et al</w:t>
            </w:r>
            <w:r>
              <w:t>. 1993, Huckle 1988</w:t>
            </w:r>
          </w:p>
        </w:tc>
      </w:tr>
      <w:tr w:rsidR="00886A28" w:rsidRPr="000B2FA7" w14:paraId="651169ED" w14:textId="77777777" w:rsidTr="00886A28">
        <w:trPr>
          <w:cantSplit/>
        </w:trPr>
        <w:tc>
          <w:tcPr>
            <w:tcW w:w="847" w:type="pct"/>
            <w:tcBorders>
              <w:top w:val="nil"/>
              <w:left w:val="nil"/>
              <w:bottom w:val="nil"/>
            </w:tcBorders>
          </w:tcPr>
          <w:p w14:paraId="7374EAF1" w14:textId="77777777" w:rsidR="00886A28" w:rsidRDefault="00886A28" w:rsidP="00377F3A">
            <w:pPr>
              <w:pStyle w:val="TableText"/>
            </w:pPr>
          </w:p>
        </w:tc>
        <w:tc>
          <w:tcPr>
            <w:tcW w:w="843" w:type="pct"/>
            <w:tcBorders>
              <w:top w:val="nil"/>
              <w:left w:val="nil"/>
              <w:bottom w:val="nil"/>
            </w:tcBorders>
          </w:tcPr>
          <w:p w14:paraId="6766097F" w14:textId="6CA4068B" w:rsidR="00886A28" w:rsidRPr="00886A28" w:rsidRDefault="00886A28" w:rsidP="00377F3A">
            <w:pPr>
              <w:pStyle w:val="TableText"/>
            </w:pPr>
            <w:r w:rsidRPr="00886A28">
              <w:t>Japanese quail</w:t>
            </w:r>
          </w:p>
        </w:tc>
        <w:tc>
          <w:tcPr>
            <w:tcW w:w="2207" w:type="pct"/>
            <w:tcBorders>
              <w:top w:val="nil"/>
              <w:bottom w:val="nil"/>
            </w:tcBorders>
          </w:tcPr>
          <w:p w14:paraId="50874758" w14:textId="3B080614" w:rsidR="00886A28" w:rsidRDefault="00886A28" w:rsidP="00377F3A">
            <w:pPr>
              <w:pStyle w:val="TableText"/>
            </w:pPr>
            <w:r>
              <w:t>76% elimination after 7d</w:t>
            </w:r>
          </w:p>
        </w:tc>
        <w:tc>
          <w:tcPr>
            <w:tcW w:w="1103" w:type="pct"/>
            <w:tcBorders>
              <w:top w:val="nil"/>
              <w:bottom w:val="nil"/>
            </w:tcBorders>
          </w:tcPr>
          <w:p w14:paraId="70C8DE9F" w14:textId="3DDDF3EC" w:rsidR="00886A28" w:rsidRDefault="00886A28" w:rsidP="00377F3A">
            <w:pPr>
              <w:pStyle w:val="TableText"/>
            </w:pPr>
            <w:r>
              <w:t>Huckle &amp; Warburton 1985</w:t>
            </w:r>
          </w:p>
        </w:tc>
      </w:tr>
      <w:tr w:rsidR="00886A28" w:rsidRPr="000B2FA7" w14:paraId="6FA2C50B" w14:textId="77777777" w:rsidTr="00886A28">
        <w:trPr>
          <w:cantSplit/>
        </w:trPr>
        <w:tc>
          <w:tcPr>
            <w:tcW w:w="847" w:type="pct"/>
            <w:tcBorders>
              <w:top w:val="nil"/>
              <w:left w:val="nil"/>
              <w:bottom w:val="nil"/>
            </w:tcBorders>
          </w:tcPr>
          <w:p w14:paraId="7A3774F3" w14:textId="77777777" w:rsidR="00886A28" w:rsidRDefault="00886A28" w:rsidP="00377F3A">
            <w:pPr>
              <w:pStyle w:val="TableText"/>
            </w:pPr>
          </w:p>
        </w:tc>
        <w:tc>
          <w:tcPr>
            <w:tcW w:w="843" w:type="pct"/>
            <w:tcBorders>
              <w:top w:val="nil"/>
              <w:left w:val="nil"/>
              <w:bottom w:val="nil"/>
            </w:tcBorders>
          </w:tcPr>
          <w:p w14:paraId="3C8E8258" w14:textId="77777777" w:rsidR="00886A28" w:rsidRDefault="00886A28" w:rsidP="00377F3A">
            <w:pPr>
              <w:pStyle w:val="TableText"/>
            </w:pPr>
          </w:p>
        </w:tc>
        <w:tc>
          <w:tcPr>
            <w:tcW w:w="2207" w:type="pct"/>
            <w:tcBorders>
              <w:top w:val="nil"/>
              <w:bottom w:val="nil"/>
            </w:tcBorders>
          </w:tcPr>
          <w:p w14:paraId="422B2B62" w14:textId="526E248A" w:rsidR="00886A28" w:rsidRDefault="00886A28" w:rsidP="00377F3A">
            <w:pPr>
              <w:pStyle w:val="TableText"/>
            </w:pPr>
            <w:r>
              <w:t>Liver DT</w:t>
            </w:r>
            <w:r w:rsidRPr="00F855FB">
              <w:rPr>
                <w:vertAlign w:val="subscript"/>
              </w:rPr>
              <w:t>50</w:t>
            </w:r>
            <w:r>
              <w:t xml:space="preserve"> &gt;100 d</w:t>
            </w:r>
          </w:p>
        </w:tc>
        <w:tc>
          <w:tcPr>
            <w:tcW w:w="1103" w:type="pct"/>
            <w:tcBorders>
              <w:top w:val="nil"/>
              <w:bottom w:val="nil"/>
            </w:tcBorders>
          </w:tcPr>
          <w:p w14:paraId="0D2C1809" w14:textId="51A23CA3" w:rsidR="00886A28" w:rsidRDefault="00886A28" w:rsidP="00377F3A">
            <w:pPr>
              <w:pStyle w:val="TableText"/>
            </w:pPr>
            <w:r>
              <w:t xml:space="preserve">Huckle </w:t>
            </w:r>
            <w:r w:rsidR="00B7183A" w:rsidRPr="00B7183A">
              <w:rPr>
                <w:i/>
                <w:iCs/>
              </w:rPr>
              <w:t>et al</w:t>
            </w:r>
            <w:r>
              <w:t>. 1989b</w:t>
            </w:r>
          </w:p>
        </w:tc>
      </w:tr>
      <w:tr w:rsidR="00886A28" w:rsidRPr="000B2FA7" w14:paraId="058EEA7A" w14:textId="77777777" w:rsidTr="00886A28">
        <w:trPr>
          <w:cantSplit/>
        </w:trPr>
        <w:tc>
          <w:tcPr>
            <w:tcW w:w="847" w:type="pct"/>
            <w:tcBorders>
              <w:top w:val="nil"/>
              <w:left w:val="nil"/>
              <w:bottom w:val="single" w:sz="4" w:space="0" w:color="auto"/>
            </w:tcBorders>
          </w:tcPr>
          <w:p w14:paraId="43BE9F67" w14:textId="77777777" w:rsidR="00886A28" w:rsidRPr="00886A28" w:rsidRDefault="00886A28" w:rsidP="00377F3A">
            <w:pPr>
              <w:pStyle w:val="TableText"/>
            </w:pPr>
          </w:p>
        </w:tc>
        <w:tc>
          <w:tcPr>
            <w:tcW w:w="843" w:type="pct"/>
            <w:tcBorders>
              <w:top w:val="nil"/>
              <w:left w:val="nil"/>
              <w:bottom w:val="single" w:sz="4" w:space="0" w:color="auto"/>
            </w:tcBorders>
          </w:tcPr>
          <w:p w14:paraId="02F61BFF" w14:textId="3EA5ACF4" w:rsidR="00886A28" w:rsidRPr="00886A28" w:rsidRDefault="00886A28" w:rsidP="00377F3A">
            <w:pPr>
              <w:pStyle w:val="TableText"/>
            </w:pPr>
            <w:r w:rsidRPr="00886A28">
              <w:t>Fish</w:t>
            </w:r>
          </w:p>
        </w:tc>
        <w:tc>
          <w:tcPr>
            <w:tcW w:w="2207" w:type="pct"/>
            <w:tcBorders>
              <w:top w:val="nil"/>
              <w:bottom w:val="single" w:sz="4" w:space="0" w:color="auto"/>
            </w:tcBorders>
          </w:tcPr>
          <w:p w14:paraId="369CB67E" w14:textId="572B38EE" w:rsidR="00886A28" w:rsidRDefault="00886A28" w:rsidP="00377F3A">
            <w:pPr>
              <w:pStyle w:val="TableText"/>
            </w:pPr>
            <w:r>
              <w:t>BCF 24300, CT</w:t>
            </w:r>
            <w:r w:rsidRPr="00886A28">
              <w:rPr>
                <w:vertAlign w:val="subscript"/>
              </w:rPr>
              <w:t>50</w:t>
            </w:r>
            <w:r>
              <w:t xml:space="preserve"> 38 d</w:t>
            </w:r>
          </w:p>
        </w:tc>
        <w:tc>
          <w:tcPr>
            <w:tcW w:w="1103" w:type="pct"/>
            <w:tcBorders>
              <w:top w:val="nil"/>
              <w:bottom w:val="single" w:sz="4" w:space="0" w:color="auto"/>
            </w:tcBorders>
          </w:tcPr>
          <w:p w14:paraId="3511C3BD" w14:textId="41147FB6" w:rsidR="00886A28" w:rsidRDefault="00886A28" w:rsidP="00377F3A">
            <w:pPr>
              <w:pStyle w:val="TableText"/>
            </w:pPr>
            <w:r>
              <w:t>Wenzel 2011</w:t>
            </w:r>
          </w:p>
        </w:tc>
      </w:tr>
    </w:tbl>
    <w:p w14:paraId="32AB13C2" w14:textId="641B1D42" w:rsidR="00A12A97" w:rsidRPr="00122CA9" w:rsidRDefault="00D560AB" w:rsidP="00377F3A">
      <w:pPr>
        <w:pStyle w:val="Caption"/>
      </w:pPr>
      <w:bookmarkStart w:id="2139" w:name="_Toc213946115"/>
      <w:bookmarkStart w:id="2140" w:name="_Toc216695806"/>
      <w:r>
        <w:t xml:space="preserve">Table </w:t>
      </w:r>
      <w:r>
        <w:fldChar w:fldCharType="begin"/>
      </w:r>
      <w:r>
        <w:instrText xml:space="preserve"> SEQ Table \* ARABIC </w:instrText>
      </w:r>
      <w:r>
        <w:fldChar w:fldCharType="separate"/>
      </w:r>
      <w:r w:rsidR="003861AC">
        <w:rPr>
          <w:noProof/>
        </w:rPr>
        <w:t>144</w:t>
      </w:r>
      <w:r>
        <w:fldChar w:fldCharType="end"/>
      </w:r>
      <w:r>
        <w:t xml:space="preserve">: </w:t>
      </w:r>
      <w:r w:rsidR="00623F42">
        <w:t xml:space="preserve">Flocoumafen – </w:t>
      </w:r>
      <w:r w:rsidR="006A5695">
        <w:t>Residues m</w:t>
      </w:r>
      <w:r w:rsidR="00A12A97">
        <w:t>onitoring data</w:t>
      </w:r>
      <w:bookmarkEnd w:id="2139"/>
      <w:bookmarkEnd w:id="2140"/>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42"/>
        <w:gridCol w:w="830"/>
        <w:gridCol w:w="6210"/>
        <w:gridCol w:w="1308"/>
      </w:tblGrid>
      <w:tr w:rsidR="00A12A97" w:rsidRPr="003B5A86" w14:paraId="1B7FB1C9" w14:textId="77777777" w:rsidTr="0017134F">
        <w:trPr>
          <w:cantSplit/>
          <w:tblHeader/>
        </w:trPr>
        <w:tc>
          <w:tcPr>
            <w:tcW w:w="0" w:type="auto"/>
            <w:tcBorders>
              <w:bottom w:val="single" w:sz="4" w:space="0" w:color="auto"/>
            </w:tcBorders>
            <w:shd w:val="clear" w:color="auto" w:fill="53284F"/>
          </w:tcPr>
          <w:p w14:paraId="726FF638" w14:textId="77777777" w:rsidR="00A12A97" w:rsidRPr="00A12A97" w:rsidRDefault="00A12A97" w:rsidP="00377F3A">
            <w:pPr>
              <w:pStyle w:val="TableHead"/>
              <w:rPr>
                <w:lang w:eastAsia="en-AU"/>
              </w:rPr>
            </w:pPr>
            <w:r w:rsidRPr="00A12A97">
              <w:rPr>
                <w:lang w:eastAsia="en-AU"/>
              </w:rPr>
              <w:t>Compartment</w:t>
            </w:r>
          </w:p>
        </w:tc>
        <w:tc>
          <w:tcPr>
            <w:tcW w:w="0" w:type="auto"/>
            <w:tcBorders>
              <w:bottom w:val="single" w:sz="4" w:space="0" w:color="auto"/>
            </w:tcBorders>
            <w:shd w:val="clear" w:color="auto" w:fill="53284F"/>
          </w:tcPr>
          <w:p w14:paraId="4C45B68F" w14:textId="77777777" w:rsidR="00A12A97" w:rsidRPr="00A12A97" w:rsidRDefault="00A12A97" w:rsidP="00377F3A">
            <w:pPr>
              <w:pStyle w:val="TableHead"/>
              <w:rPr>
                <w:lang w:eastAsia="en-AU"/>
              </w:rPr>
            </w:pPr>
            <w:r w:rsidRPr="00A12A97">
              <w:rPr>
                <w:lang w:eastAsia="en-AU"/>
              </w:rPr>
              <w:t>Location</w:t>
            </w:r>
          </w:p>
        </w:tc>
        <w:tc>
          <w:tcPr>
            <w:tcW w:w="0" w:type="auto"/>
            <w:tcBorders>
              <w:bottom w:val="single" w:sz="4" w:space="0" w:color="auto"/>
            </w:tcBorders>
            <w:shd w:val="clear" w:color="auto" w:fill="53284F"/>
          </w:tcPr>
          <w:p w14:paraId="29795B4D" w14:textId="77777777" w:rsidR="00A12A97" w:rsidRPr="00A12A97" w:rsidRDefault="00A12A97" w:rsidP="00377F3A">
            <w:pPr>
              <w:pStyle w:val="TableHead"/>
              <w:rPr>
                <w:lang w:eastAsia="en-AU"/>
              </w:rPr>
            </w:pPr>
            <w:r w:rsidRPr="00A12A97">
              <w:rPr>
                <w:lang w:eastAsia="en-AU"/>
              </w:rPr>
              <w:t>Value</w:t>
            </w:r>
          </w:p>
        </w:tc>
        <w:tc>
          <w:tcPr>
            <w:tcW w:w="0" w:type="auto"/>
            <w:tcBorders>
              <w:bottom w:val="single" w:sz="4" w:space="0" w:color="auto"/>
            </w:tcBorders>
            <w:shd w:val="clear" w:color="auto" w:fill="53284F"/>
          </w:tcPr>
          <w:p w14:paraId="2FB05A29" w14:textId="77777777" w:rsidR="00A12A97" w:rsidRPr="00A12A97" w:rsidRDefault="00A12A97" w:rsidP="00377F3A">
            <w:pPr>
              <w:pStyle w:val="TableHead"/>
              <w:rPr>
                <w:lang w:eastAsia="en-AU"/>
              </w:rPr>
            </w:pPr>
            <w:r w:rsidRPr="00A12A97">
              <w:rPr>
                <w:lang w:eastAsia="en-AU"/>
              </w:rPr>
              <w:t>Reference</w:t>
            </w:r>
          </w:p>
        </w:tc>
      </w:tr>
      <w:tr w:rsidR="00A12A97" w:rsidRPr="003B5A86" w14:paraId="7FC1DAF0" w14:textId="77777777" w:rsidTr="00886A28">
        <w:trPr>
          <w:cantSplit/>
          <w:trHeight w:val="13"/>
        </w:trPr>
        <w:tc>
          <w:tcPr>
            <w:tcW w:w="0" w:type="auto"/>
            <w:tcBorders>
              <w:top w:val="single" w:sz="4" w:space="0" w:color="auto"/>
              <w:left w:val="nil"/>
              <w:bottom w:val="single" w:sz="4" w:space="0" w:color="auto"/>
              <w:right w:val="nil"/>
            </w:tcBorders>
          </w:tcPr>
          <w:p w14:paraId="4FAA6AC2" w14:textId="77777777" w:rsidR="00A12A97" w:rsidRPr="00E673EB" w:rsidRDefault="00A12A97" w:rsidP="00377F3A">
            <w:pPr>
              <w:pStyle w:val="TableText"/>
              <w:rPr>
                <w:lang w:eastAsia="en-AU"/>
              </w:rPr>
            </w:pPr>
            <w:r w:rsidRPr="00E673EB">
              <w:rPr>
                <w:lang w:eastAsia="en-AU"/>
              </w:rPr>
              <w:t>Water</w:t>
            </w:r>
          </w:p>
        </w:tc>
        <w:tc>
          <w:tcPr>
            <w:tcW w:w="0" w:type="auto"/>
            <w:tcBorders>
              <w:top w:val="single" w:sz="4" w:space="0" w:color="auto"/>
              <w:left w:val="nil"/>
              <w:bottom w:val="single" w:sz="4" w:space="0" w:color="auto"/>
              <w:right w:val="nil"/>
            </w:tcBorders>
          </w:tcPr>
          <w:p w14:paraId="57CE6267" w14:textId="77777777" w:rsidR="00A12A97" w:rsidRPr="00E673EB" w:rsidRDefault="00A12A97" w:rsidP="00377F3A">
            <w:pPr>
              <w:pStyle w:val="TableText"/>
            </w:pPr>
            <w:r>
              <w:t>Europe</w:t>
            </w:r>
          </w:p>
        </w:tc>
        <w:tc>
          <w:tcPr>
            <w:tcW w:w="0" w:type="auto"/>
            <w:tcBorders>
              <w:top w:val="single" w:sz="4" w:space="0" w:color="auto"/>
              <w:left w:val="nil"/>
              <w:bottom w:val="single" w:sz="4" w:space="0" w:color="auto"/>
              <w:right w:val="nil"/>
            </w:tcBorders>
          </w:tcPr>
          <w:p w14:paraId="23A1DFAA" w14:textId="77777777" w:rsidR="00A12A97" w:rsidRPr="00E673EB" w:rsidRDefault="00A12A97" w:rsidP="00377F3A">
            <w:pPr>
              <w:pStyle w:val="TableText"/>
            </w:pPr>
            <w:r w:rsidRPr="00E673EB">
              <w:t>&lt;LOQ (1.0 µg/kg) in suspended particulate matter at 16 sampling locations in German rivers in 2015</w:t>
            </w:r>
          </w:p>
        </w:tc>
        <w:tc>
          <w:tcPr>
            <w:tcW w:w="0" w:type="auto"/>
            <w:tcBorders>
              <w:top w:val="single" w:sz="4" w:space="0" w:color="auto"/>
              <w:left w:val="nil"/>
              <w:bottom w:val="single" w:sz="4" w:space="0" w:color="auto"/>
              <w:right w:val="nil"/>
            </w:tcBorders>
          </w:tcPr>
          <w:p w14:paraId="140E32DC" w14:textId="57FD0BC9" w:rsidR="00A12A97" w:rsidRPr="00E673EB" w:rsidRDefault="00A12A97" w:rsidP="00377F3A">
            <w:pPr>
              <w:pStyle w:val="TableText"/>
            </w:pPr>
            <w:r w:rsidRPr="00E673EB">
              <w:t xml:space="preserve">Kotthoff </w:t>
            </w:r>
            <w:r w:rsidR="00B7183A" w:rsidRPr="00B7183A">
              <w:rPr>
                <w:i/>
                <w:iCs/>
              </w:rPr>
              <w:t>et al</w:t>
            </w:r>
            <w:r w:rsidRPr="00E673EB">
              <w:t>. 2019</w:t>
            </w:r>
          </w:p>
        </w:tc>
      </w:tr>
      <w:tr w:rsidR="00A12A97" w:rsidRPr="003B5A86" w14:paraId="5D214AA3" w14:textId="77777777" w:rsidTr="00886A28">
        <w:trPr>
          <w:cantSplit/>
          <w:trHeight w:val="13"/>
        </w:trPr>
        <w:tc>
          <w:tcPr>
            <w:tcW w:w="0" w:type="auto"/>
            <w:tcBorders>
              <w:top w:val="single" w:sz="4" w:space="0" w:color="auto"/>
              <w:left w:val="nil"/>
              <w:bottom w:val="single" w:sz="4" w:space="0" w:color="auto"/>
              <w:right w:val="nil"/>
            </w:tcBorders>
          </w:tcPr>
          <w:p w14:paraId="550603DE" w14:textId="77777777" w:rsidR="00A12A97" w:rsidRPr="00E673EB" w:rsidRDefault="00A12A97" w:rsidP="00377F3A">
            <w:pPr>
              <w:pStyle w:val="TableText"/>
              <w:rPr>
                <w:lang w:eastAsia="en-AU"/>
              </w:rPr>
            </w:pPr>
            <w:r w:rsidRPr="00E673EB">
              <w:rPr>
                <w:lang w:eastAsia="en-AU"/>
              </w:rPr>
              <w:t>Target rodents</w:t>
            </w:r>
          </w:p>
        </w:tc>
        <w:tc>
          <w:tcPr>
            <w:tcW w:w="0" w:type="auto"/>
            <w:tcBorders>
              <w:top w:val="single" w:sz="4" w:space="0" w:color="auto"/>
              <w:left w:val="nil"/>
              <w:bottom w:val="single" w:sz="4" w:space="0" w:color="auto"/>
              <w:right w:val="nil"/>
            </w:tcBorders>
          </w:tcPr>
          <w:p w14:paraId="62CF4598" w14:textId="77777777" w:rsidR="00A12A97" w:rsidRPr="00E673EB" w:rsidRDefault="00A12A97" w:rsidP="00377F3A">
            <w:pPr>
              <w:pStyle w:val="TableText"/>
            </w:pPr>
            <w:r w:rsidRPr="00E673EB">
              <w:t>UK</w:t>
            </w:r>
          </w:p>
        </w:tc>
        <w:tc>
          <w:tcPr>
            <w:tcW w:w="0" w:type="auto"/>
            <w:tcBorders>
              <w:top w:val="single" w:sz="4" w:space="0" w:color="auto"/>
              <w:left w:val="nil"/>
              <w:bottom w:val="single" w:sz="4" w:space="0" w:color="auto"/>
              <w:right w:val="nil"/>
            </w:tcBorders>
          </w:tcPr>
          <w:p w14:paraId="44ADD247" w14:textId="77777777" w:rsidR="00A12A97" w:rsidRPr="00E673EB" w:rsidRDefault="00A12A97" w:rsidP="00377F3A">
            <w:pPr>
              <w:pStyle w:val="TableText"/>
            </w:pPr>
            <w:r w:rsidRPr="00E673EB">
              <w:t>Max liver residues 8 µg/kg in 1/12 house mice from farms in Northern Ireland within 30m from buildings (flocoumafen use)</w:t>
            </w:r>
          </w:p>
        </w:tc>
        <w:tc>
          <w:tcPr>
            <w:tcW w:w="0" w:type="auto"/>
            <w:tcBorders>
              <w:top w:val="single" w:sz="4" w:space="0" w:color="auto"/>
              <w:left w:val="nil"/>
              <w:bottom w:val="single" w:sz="4" w:space="0" w:color="auto"/>
              <w:right w:val="nil"/>
            </w:tcBorders>
          </w:tcPr>
          <w:p w14:paraId="5B68C382" w14:textId="21B9FE4E" w:rsidR="00A12A97" w:rsidRPr="00E673EB" w:rsidRDefault="00A12A97" w:rsidP="00377F3A">
            <w:pPr>
              <w:pStyle w:val="TableText"/>
            </w:pPr>
            <w:r w:rsidRPr="00E673EB">
              <w:t xml:space="preserve">Tosh </w:t>
            </w:r>
            <w:r w:rsidR="00B7183A" w:rsidRPr="00B7183A">
              <w:rPr>
                <w:i/>
                <w:iCs/>
              </w:rPr>
              <w:t>et al</w:t>
            </w:r>
            <w:r w:rsidRPr="00E673EB">
              <w:t>. 2012</w:t>
            </w:r>
          </w:p>
        </w:tc>
      </w:tr>
      <w:tr w:rsidR="00A12A97" w:rsidRPr="003B5A86" w14:paraId="51C844CB" w14:textId="77777777" w:rsidTr="00886A28">
        <w:trPr>
          <w:cantSplit/>
          <w:trHeight w:val="13"/>
        </w:trPr>
        <w:tc>
          <w:tcPr>
            <w:tcW w:w="0" w:type="auto"/>
            <w:tcBorders>
              <w:top w:val="single" w:sz="4" w:space="0" w:color="auto"/>
              <w:left w:val="nil"/>
              <w:bottom w:val="nil"/>
              <w:right w:val="nil"/>
            </w:tcBorders>
          </w:tcPr>
          <w:p w14:paraId="6850769C" w14:textId="77777777" w:rsidR="00A12A97" w:rsidRPr="00E673EB" w:rsidRDefault="00A12A97" w:rsidP="00377F3A">
            <w:pPr>
              <w:pStyle w:val="TableText"/>
              <w:rPr>
                <w:lang w:eastAsia="en-AU"/>
              </w:rPr>
            </w:pPr>
            <w:r w:rsidRPr="00E673EB">
              <w:rPr>
                <w:lang w:eastAsia="en-AU"/>
              </w:rPr>
              <w:t>Non-target mammals</w:t>
            </w:r>
          </w:p>
        </w:tc>
        <w:tc>
          <w:tcPr>
            <w:tcW w:w="0" w:type="auto"/>
            <w:tcBorders>
              <w:top w:val="single" w:sz="4" w:space="0" w:color="auto"/>
              <w:left w:val="nil"/>
              <w:bottom w:val="nil"/>
              <w:right w:val="nil"/>
            </w:tcBorders>
          </w:tcPr>
          <w:p w14:paraId="71E332A8" w14:textId="77777777" w:rsidR="00A12A97" w:rsidRPr="00E673EB" w:rsidRDefault="00A12A97" w:rsidP="00377F3A">
            <w:pPr>
              <w:pStyle w:val="TableText"/>
            </w:pPr>
            <w:r w:rsidRPr="00E673EB">
              <w:t>Australia</w:t>
            </w:r>
          </w:p>
        </w:tc>
        <w:tc>
          <w:tcPr>
            <w:tcW w:w="0" w:type="auto"/>
            <w:tcBorders>
              <w:top w:val="single" w:sz="4" w:space="0" w:color="auto"/>
              <w:left w:val="nil"/>
              <w:bottom w:val="nil"/>
              <w:right w:val="nil"/>
            </w:tcBorders>
          </w:tcPr>
          <w:p w14:paraId="341B5E21" w14:textId="77777777" w:rsidR="00A12A97" w:rsidRPr="00E673EB" w:rsidRDefault="00A12A97" w:rsidP="00377F3A">
            <w:pPr>
              <w:pStyle w:val="TableText"/>
            </w:pPr>
            <w:r w:rsidRPr="00E673EB">
              <w:t>Not detected in brushtail possums in rural &amp; urban areas across Australia between 2006 and 2021</w:t>
            </w:r>
          </w:p>
        </w:tc>
        <w:tc>
          <w:tcPr>
            <w:tcW w:w="0" w:type="auto"/>
            <w:tcBorders>
              <w:top w:val="single" w:sz="4" w:space="0" w:color="auto"/>
              <w:left w:val="nil"/>
              <w:bottom w:val="nil"/>
              <w:right w:val="nil"/>
            </w:tcBorders>
          </w:tcPr>
          <w:p w14:paraId="18F6DEA6" w14:textId="77777777" w:rsidR="00A12A97" w:rsidRPr="00E673EB" w:rsidRDefault="00A12A97" w:rsidP="00377F3A">
            <w:pPr>
              <w:pStyle w:val="TableText"/>
            </w:pPr>
            <w:r w:rsidRPr="00E673EB">
              <w:t>WHA 2022</w:t>
            </w:r>
          </w:p>
        </w:tc>
      </w:tr>
      <w:tr w:rsidR="00A12A97" w14:paraId="6925837B" w14:textId="77777777" w:rsidTr="00623F42">
        <w:trPr>
          <w:cantSplit/>
          <w:trHeight w:val="13"/>
        </w:trPr>
        <w:tc>
          <w:tcPr>
            <w:tcW w:w="0" w:type="auto"/>
            <w:tcBorders>
              <w:top w:val="nil"/>
              <w:left w:val="nil"/>
              <w:bottom w:val="nil"/>
              <w:right w:val="nil"/>
            </w:tcBorders>
          </w:tcPr>
          <w:p w14:paraId="355960D5"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40E4AA50" w14:textId="77777777" w:rsidR="00A12A97" w:rsidRPr="00E673EB" w:rsidRDefault="00A12A97" w:rsidP="00377F3A">
            <w:pPr>
              <w:pStyle w:val="TableText"/>
            </w:pPr>
          </w:p>
        </w:tc>
        <w:tc>
          <w:tcPr>
            <w:tcW w:w="0" w:type="auto"/>
            <w:tcBorders>
              <w:top w:val="nil"/>
              <w:left w:val="nil"/>
              <w:bottom w:val="nil"/>
              <w:right w:val="nil"/>
            </w:tcBorders>
          </w:tcPr>
          <w:p w14:paraId="1F669E39" w14:textId="77777777" w:rsidR="00A12A97" w:rsidRPr="00E673EB" w:rsidRDefault="00A12A97" w:rsidP="00377F3A">
            <w:pPr>
              <w:pStyle w:val="TableText"/>
            </w:pPr>
            <w:r w:rsidRPr="00E673EB">
              <w:t>Max liver residues 1400 µg/kg in 2/53 (4%) brushtail possums, 1497 µg/kg in 5/82 (6%) ringtail possums in Victoria in 2022</w:t>
            </w:r>
          </w:p>
        </w:tc>
        <w:tc>
          <w:tcPr>
            <w:tcW w:w="0" w:type="auto"/>
            <w:tcBorders>
              <w:top w:val="nil"/>
              <w:left w:val="nil"/>
              <w:bottom w:val="nil"/>
              <w:right w:val="nil"/>
            </w:tcBorders>
          </w:tcPr>
          <w:p w14:paraId="3ED0BE68" w14:textId="775DB978" w:rsidR="00A12A97" w:rsidRPr="00E673EB" w:rsidRDefault="00A12A97" w:rsidP="00377F3A">
            <w:pPr>
              <w:pStyle w:val="TableText"/>
            </w:pPr>
            <w:r w:rsidRPr="00E673EB">
              <w:t xml:space="preserve">Scammell </w:t>
            </w:r>
            <w:r w:rsidR="00B7183A" w:rsidRPr="00B7183A">
              <w:rPr>
                <w:i/>
                <w:iCs/>
              </w:rPr>
              <w:t>et al</w:t>
            </w:r>
            <w:r w:rsidRPr="00E673EB">
              <w:t>. 2024</w:t>
            </w:r>
          </w:p>
        </w:tc>
      </w:tr>
      <w:tr w:rsidR="00A12A97" w:rsidRPr="003B5A86" w14:paraId="21A6915A" w14:textId="77777777" w:rsidTr="00623F42">
        <w:trPr>
          <w:cantSplit/>
          <w:trHeight w:val="13"/>
        </w:trPr>
        <w:tc>
          <w:tcPr>
            <w:tcW w:w="0" w:type="auto"/>
            <w:tcBorders>
              <w:top w:val="nil"/>
              <w:left w:val="nil"/>
              <w:bottom w:val="nil"/>
              <w:right w:val="nil"/>
            </w:tcBorders>
          </w:tcPr>
          <w:p w14:paraId="1997CF7D"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6FFFB537" w14:textId="77777777" w:rsidR="00A12A97" w:rsidRPr="00E673EB" w:rsidRDefault="00A12A97" w:rsidP="00377F3A">
            <w:pPr>
              <w:pStyle w:val="TableText"/>
            </w:pPr>
            <w:r>
              <w:t>Europe</w:t>
            </w:r>
          </w:p>
        </w:tc>
        <w:tc>
          <w:tcPr>
            <w:tcW w:w="0" w:type="auto"/>
            <w:tcBorders>
              <w:top w:val="nil"/>
              <w:left w:val="nil"/>
              <w:bottom w:val="nil"/>
              <w:right w:val="nil"/>
            </w:tcBorders>
          </w:tcPr>
          <w:p w14:paraId="3FD7F1C5" w14:textId="77777777" w:rsidR="00A12A97" w:rsidRPr="00E673EB" w:rsidRDefault="00A12A97" w:rsidP="00377F3A">
            <w:pPr>
              <w:pStyle w:val="TableText"/>
            </w:pPr>
            <w:r w:rsidRPr="00E673EB">
              <w:t>Mean liver residues 7.0 µg/kg in 2/51 wild boars in urban area (not detected in muscle); not detected in liver or muscle of 20 wild boars in suburban area or 13 in rural area of Spain</w:t>
            </w:r>
          </w:p>
        </w:tc>
        <w:tc>
          <w:tcPr>
            <w:tcW w:w="0" w:type="auto"/>
            <w:tcBorders>
              <w:top w:val="nil"/>
              <w:left w:val="nil"/>
              <w:bottom w:val="nil"/>
              <w:right w:val="nil"/>
            </w:tcBorders>
          </w:tcPr>
          <w:p w14:paraId="5A62F6E5" w14:textId="61A12734" w:rsidR="00A12A97" w:rsidRPr="00E673EB" w:rsidRDefault="00A12A97" w:rsidP="00377F3A">
            <w:pPr>
              <w:pStyle w:val="TableText"/>
            </w:pPr>
            <w:r w:rsidRPr="00E673EB">
              <w:t xml:space="preserve">Alabau </w:t>
            </w:r>
            <w:r w:rsidR="00B7183A" w:rsidRPr="00B7183A">
              <w:rPr>
                <w:i/>
                <w:iCs/>
              </w:rPr>
              <w:t>et al</w:t>
            </w:r>
            <w:r w:rsidRPr="00E673EB">
              <w:t>. 2020</w:t>
            </w:r>
          </w:p>
        </w:tc>
      </w:tr>
      <w:tr w:rsidR="00A12A97" w14:paraId="33943B2C" w14:textId="77777777" w:rsidTr="00623F42">
        <w:trPr>
          <w:cantSplit/>
          <w:trHeight w:val="13"/>
        </w:trPr>
        <w:tc>
          <w:tcPr>
            <w:tcW w:w="0" w:type="auto"/>
            <w:tcBorders>
              <w:top w:val="nil"/>
              <w:left w:val="nil"/>
              <w:bottom w:val="nil"/>
              <w:right w:val="nil"/>
            </w:tcBorders>
          </w:tcPr>
          <w:p w14:paraId="6A40F604"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592AEF43" w14:textId="77777777" w:rsidR="00A12A97" w:rsidRPr="00E673EB" w:rsidRDefault="00A12A97" w:rsidP="00377F3A">
            <w:pPr>
              <w:pStyle w:val="TableText"/>
            </w:pPr>
          </w:p>
        </w:tc>
        <w:tc>
          <w:tcPr>
            <w:tcW w:w="0" w:type="auto"/>
            <w:tcBorders>
              <w:top w:val="nil"/>
              <w:left w:val="nil"/>
              <w:bottom w:val="nil"/>
              <w:right w:val="nil"/>
            </w:tcBorders>
          </w:tcPr>
          <w:p w14:paraId="5F29C830" w14:textId="77777777" w:rsidR="00A12A97" w:rsidRPr="00E673EB" w:rsidRDefault="00A12A97" w:rsidP="00377F3A">
            <w:pPr>
              <w:pStyle w:val="TableText"/>
            </w:pPr>
            <w:r w:rsidRPr="00E673EB">
              <w:t>Max liver residues 29 µg/kg in 6/48 European hedgehogs; not detected in 106 Algerian hedgehogs in Mediterranean region of Spain between 2011 and 2013</w:t>
            </w:r>
          </w:p>
        </w:tc>
        <w:tc>
          <w:tcPr>
            <w:tcW w:w="0" w:type="auto"/>
            <w:tcBorders>
              <w:top w:val="nil"/>
              <w:left w:val="nil"/>
              <w:bottom w:val="nil"/>
              <w:right w:val="nil"/>
            </w:tcBorders>
          </w:tcPr>
          <w:p w14:paraId="60F1B406" w14:textId="7E69E468" w:rsidR="00A12A97" w:rsidRPr="00E673EB" w:rsidRDefault="00A12A97" w:rsidP="00377F3A">
            <w:pPr>
              <w:pStyle w:val="TableText"/>
            </w:pPr>
            <w:r w:rsidRPr="00E673EB">
              <w:t xml:space="preserve">López-Perea </w:t>
            </w:r>
            <w:r w:rsidR="00B7183A" w:rsidRPr="00B7183A">
              <w:rPr>
                <w:i/>
                <w:iCs/>
              </w:rPr>
              <w:t>et al</w:t>
            </w:r>
            <w:r w:rsidRPr="00E673EB">
              <w:t>. 2015</w:t>
            </w:r>
          </w:p>
        </w:tc>
      </w:tr>
      <w:tr w:rsidR="00A12A97" w14:paraId="55338C76" w14:textId="77777777" w:rsidTr="00623F42">
        <w:trPr>
          <w:cantSplit/>
          <w:trHeight w:val="13"/>
        </w:trPr>
        <w:tc>
          <w:tcPr>
            <w:tcW w:w="0" w:type="auto"/>
            <w:tcBorders>
              <w:top w:val="nil"/>
              <w:left w:val="nil"/>
              <w:bottom w:val="nil"/>
              <w:right w:val="nil"/>
            </w:tcBorders>
          </w:tcPr>
          <w:p w14:paraId="47755604"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7B71A659" w14:textId="77777777" w:rsidR="00A12A97" w:rsidRPr="00E673EB" w:rsidRDefault="00A12A97" w:rsidP="00377F3A">
            <w:pPr>
              <w:pStyle w:val="TableText"/>
            </w:pPr>
          </w:p>
        </w:tc>
        <w:tc>
          <w:tcPr>
            <w:tcW w:w="0" w:type="auto"/>
            <w:tcBorders>
              <w:top w:val="nil"/>
              <w:left w:val="nil"/>
              <w:bottom w:val="nil"/>
              <w:right w:val="nil"/>
            </w:tcBorders>
          </w:tcPr>
          <w:p w14:paraId="5207AECC" w14:textId="77777777" w:rsidR="00A12A97" w:rsidRPr="00E673EB" w:rsidRDefault="00A12A97" w:rsidP="00377F3A">
            <w:pPr>
              <w:pStyle w:val="TableText"/>
            </w:pPr>
            <w:r w:rsidRPr="00E673EB">
              <w:t>Max liver residues 353 µg/kg in 8/96 carnivores; not detected in 29 herbivores, 3 insectivores in Spain between 2005 and 2010</w:t>
            </w:r>
          </w:p>
        </w:tc>
        <w:tc>
          <w:tcPr>
            <w:tcW w:w="0" w:type="auto"/>
            <w:tcBorders>
              <w:top w:val="nil"/>
              <w:left w:val="nil"/>
              <w:bottom w:val="nil"/>
              <w:right w:val="nil"/>
            </w:tcBorders>
          </w:tcPr>
          <w:p w14:paraId="0BC9BBBA" w14:textId="3F6C66E9" w:rsidR="00A12A97" w:rsidRPr="00E673EB" w:rsidRDefault="00A12A97" w:rsidP="00377F3A">
            <w:pPr>
              <w:pStyle w:val="TableText"/>
            </w:pPr>
            <w:r w:rsidRPr="00E673EB">
              <w:t xml:space="preserve">Sánchez-Barbudo </w:t>
            </w:r>
            <w:r w:rsidR="00B7183A" w:rsidRPr="00B7183A">
              <w:rPr>
                <w:i/>
                <w:iCs/>
              </w:rPr>
              <w:t>et al</w:t>
            </w:r>
            <w:r w:rsidRPr="00E673EB">
              <w:t>. 2012</w:t>
            </w:r>
          </w:p>
        </w:tc>
      </w:tr>
      <w:tr w:rsidR="00A12A97" w14:paraId="4C04D0E3" w14:textId="77777777" w:rsidTr="00623F42">
        <w:trPr>
          <w:cantSplit/>
          <w:trHeight w:val="13"/>
        </w:trPr>
        <w:tc>
          <w:tcPr>
            <w:tcW w:w="0" w:type="auto"/>
            <w:tcBorders>
              <w:top w:val="nil"/>
              <w:left w:val="nil"/>
              <w:bottom w:val="nil"/>
              <w:right w:val="nil"/>
            </w:tcBorders>
          </w:tcPr>
          <w:p w14:paraId="65780319"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481BB205" w14:textId="77777777" w:rsidR="00A12A97" w:rsidRPr="00E673EB" w:rsidRDefault="00A12A97" w:rsidP="00377F3A">
            <w:pPr>
              <w:pStyle w:val="TableText"/>
            </w:pPr>
          </w:p>
        </w:tc>
        <w:tc>
          <w:tcPr>
            <w:tcW w:w="0" w:type="auto"/>
            <w:tcBorders>
              <w:top w:val="nil"/>
              <w:left w:val="nil"/>
              <w:bottom w:val="nil"/>
              <w:right w:val="nil"/>
            </w:tcBorders>
          </w:tcPr>
          <w:p w14:paraId="69893EC8" w14:textId="77777777" w:rsidR="00A12A97" w:rsidRPr="00E673EB" w:rsidRDefault="00A12A97" w:rsidP="00377F3A">
            <w:pPr>
              <w:pStyle w:val="TableText"/>
            </w:pPr>
            <w:r w:rsidRPr="00E673EB">
              <w:t>Not detected in liver of polecat that made heavy use of agricultural premises using anticoagulant rodenticides in UK between 1993-95</w:t>
            </w:r>
          </w:p>
        </w:tc>
        <w:tc>
          <w:tcPr>
            <w:tcW w:w="0" w:type="auto"/>
            <w:tcBorders>
              <w:top w:val="nil"/>
              <w:left w:val="nil"/>
              <w:bottom w:val="nil"/>
              <w:right w:val="nil"/>
            </w:tcBorders>
          </w:tcPr>
          <w:p w14:paraId="513A7E1C" w14:textId="77777777" w:rsidR="00A12A97" w:rsidRPr="00E673EB" w:rsidRDefault="00A12A97" w:rsidP="00377F3A">
            <w:pPr>
              <w:pStyle w:val="TableText"/>
            </w:pPr>
            <w:r w:rsidRPr="00E673EB">
              <w:t>Birks 1998</w:t>
            </w:r>
          </w:p>
        </w:tc>
      </w:tr>
      <w:tr w:rsidR="00A12A97" w14:paraId="52DE58A0" w14:textId="77777777" w:rsidTr="00623F42">
        <w:trPr>
          <w:cantSplit/>
          <w:trHeight w:val="13"/>
        </w:trPr>
        <w:tc>
          <w:tcPr>
            <w:tcW w:w="0" w:type="auto"/>
            <w:tcBorders>
              <w:top w:val="nil"/>
              <w:left w:val="nil"/>
              <w:bottom w:val="nil"/>
              <w:right w:val="nil"/>
            </w:tcBorders>
          </w:tcPr>
          <w:p w14:paraId="5DC673DE" w14:textId="3604FC40" w:rsidR="00A12A97" w:rsidRPr="00E673EB" w:rsidRDefault="00A12A97" w:rsidP="00377F3A">
            <w:pPr>
              <w:pStyle w:val="TableText"/>
              <w:rPr>
                <w:lang w:eastAsia="en-AU"/>
              </w:rPr>
            </w:pPr>
          </w:p>
        </w:tc>
        <w:tc>
          <w:tcPr>
            <w:tcW w:w="0" w:type="auto"/>
            <w:tcBorders>
              <w:top w:val="nil"/>
              <w:left w:val="nil"/>
              <w:bottom w:val="nil"/>
              <w:right w:val="nil"/>
            </w:tcBorders>
          </w:tcPr>
          <w:p w14:paraId="2157FAC5" w14:textId="543FFE20" w:rsidR="00A12A97" w:rsidRPr="00E673EB" w:rsidRDefault="00A12A97" w:rsidP="00377F3A">
            <w:pPr>
              <w:pStyle w:val="TableText"/>
            </w:pPr>
          </w:p>
        </w:tc>
        <w:tc>
          <w:tcPr>
            <w:tcW w:w="0" w:type="auto"/>
            <w:tcBorders>
              <w:top w:val="nil"/>
              <w:left w:val="nil"/>
              <w:bottom w:val="nil"/>
              <w:right w:val="nil"/>
            </w:tcBorders>
          </w:tcPr>
          <w:p w14:paraId="473C195A" w14:textId="77777777" w:rsidR="00A12A97" w:rsidRPr="00E673EB" w:rsidRDefault="00A12A97" w:rsidP="00377F3A">
            <w:pPr>
              <w:pStyle w:val="TableText"/>
            </w:pPr>
            <w:r w:rsidRPr="00E673EB">
              <w:t>Not detected in 29 polecats from west Midlands of England between 1992 and 1994</w:t>
            </w:r>
          </w:p>
        </w:tc>
        <w:tc>
          <w:tcPr>
            <w:tcW w:w="0" w:type="auto"/>
            <w:tcBorders>
              <w:top w:val="nil"/>
              <w:left w:val="nil"/>
              <w:bottom w:val="nil"/>
              <w:right w:val="nil"/>
            </w:tcBorders>
          </w:tcPr>
          <w:p w14:paraId="67A57DF7" w14:textId="3CB4DFAC" w:rsidR="00A12A97" w:rsidRPr="00E673EB" w:rsidRDefault="00A12A97" w:rsidP="00377F3A">
            <w:pPr>
              <w:pStyle w:val="TableText"/>
            </w:pPr>
            <w:r w:rsidRPr="00E673EB">
              <w:t xml:space="preserve">Shore </w:t>
            </w:r>
            <w:r w:rsidR="00B7183A" w:rsidRPr="00B7183A">
              <w:rPr>
                <w:i/>
                <w:iCs/>
              </w:rPr>
              <w:t>et al</w:t>
            </w:r>
            <w:r w:rsidRPr="00E673EB">
              <w:t>. 1996</w:t>
            </w:r>
          </w:p>
        </w:tc>
      </w:tr>
      <w:tr w:rsidR="00A12A97" w14:paraId="3D4171BA" w14:textId="77777777" w:rsidTr="00886A28">
        <w:trPr>
          <w:cantSplit/>
          <w:trHeight w:val="13"/>
        </w:trPr>
        <w:tc>
          <w:tcPr>
            <w:tcW w:w="0" w:type="auto"/>
            <w:tcBorders>
              <w:top w:val="nil"/>
              <w:left w:val="nil"/>
              <w:bottom w:val="nil"/>
              <w:right w:val="nil"/>
            </w:tcBorders>
          </w:tcPr>
          <w:p w14:paraId="51AB6F28"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38D42D52" w14:textId="77777777" w:rsidR="00A12A97" w:rsidRPr="00E673EB" w:rsidRDefault="00A12A97" w:rsidP="00377F3A">
            <w:pPr>
              <w:pStyle w:val="TableText"/>
            </w:pPr>
          </w:p>
        </w:tc>
        <w:tc>
          <w:tcPr>
            <w:tcW w:w="0" w:type="auto"/>
            <w:tcBorders>
              <w:top w:val="nil"/>
              <w:left w:val="nil"/>
              <w:bottom w:val="nil"/>
              <w:right w:val="nil"/>
            </w:tcBorders>
          </w:tcPr>
          <w:p w14:paraId="3EDB69D2" w14:textId="77777777" w:rsidR="00A12A97" w:rsidRPr="00E673EB" w:rsidRDefault="00A12A97" w:rsidP="00377F3A">
            <w:pPr>
              <w:pStyle w:val="TableText"/>
            </w:pPr>
            <w:r w:rsidRPr="00E673EB">
              <w:t>Not detected in 50 polecats from recolonised areas in central and eastern Britain between 1993 and 1999</w:t>
            </w:r>
          </w:p>
        </w:tc>
        <w:tc>
          <w:tcPr>
            <w:tcW w:w="0" w:type="auto"/>
            <w:tcBorders>
              <w:top w:val="nil"/>
              <w:left w:val="nil"/>
              <w:bottom w:val="nil"/>
              <w:right w:val="nil"/>
            </w:tcBorders>
          </w:tcPr>
          <w:p w14:paraId="02777EA0" w14:textId="01F599F6" w:rsidR="00A12A97" w:rsidRPr="00E673EB" w:rsidRDefault="00A12A97" w:rsidP="00377F3A">
            <w:pPr>
              <w:pStyle w:val="TableText"/>
            </w:pPr>
            <w:r w:rsidRPr="00E673EB">
              <w:t xml:space="preserve">Shore </w:t>
            </w:r>
            <w:r w:rsidR="00B7183A" w:rsidRPr="00B7183A">
              <w:rPr>
                <w:i/>
                <w:iCs/>
              </w:rPr>
              <w:t>et al</w:t>
            </w:r>
            <w:r w:rsidRPr="00E673EB">
              <w:t>. 2003</w:t>
            </w:r>
          </w:p>
        </w:tc>
      </w:tr>
      <w:tr w:rsidR="00A12A97" w14:paraId="0A01F4B5" w14:textId="77777777" w:rsidTr="00886A28">
        <w:trPr>
          <w:cantSplit/>
          <w:trHeight w:val="13"/>
        </w:trPr>
        <w:tc>
          <w:tcPr>
            <w:tcW w:w="0" w:type="auto"/>
            <w:tcBorders>
              <w:top w:val="nil"/>
              <w:left w:val="nil"/>
              <w:bottom w:val="single" w:sz="4" w:space="0" w:color="auto"/>
              <w:right w:val="nil"/>
            </w:tcBorders>
          </w:tcPr>
          <w:p w14:paraId="3D96C286" w14:textId="77777777" w:rsidR="00A12A97" w:rsidRPr="00E673EB" w:rsidRDefault="00A12A97" w:rsidP="00377F3A">
            <w:pPr>
              <w:pStyle w:val="TableText"/>
              <w:rPr>
                <w:lang w:eastAsia="en-AU"/>
              </w:rPr>
            </w:pPr>
          </w:p>
        </w:tc>
        <w:tc>
          <w:tcPr>
            <w:tcW w:w="0" w:type="auto"/>
            <w:tcBorders>
              <w:top w:val="nil"/>
              <w:left w:val="nil"/>
              <w:bottom w:val="single" w:sz="4" w:space="0" w:color="auto"/>
              <w:right w:val="nil"/>
            </w:tcBorders>
          </w:tcPr>
          <w:p w14:paraId="5BB170D6" w14:textId="77777777" w:rsidR="00A12A97" w:rsidRPr="00E673EB" w:rsidRDefault="00A12A97" w:rsidP="00377F3A">
            <w:pPr>
              <w:pStyle w:val="TableText"/>
            </w:pPr>
          </w:p>
        </w:tc>
        <w:tc>
          <w:tcPr>
            <w:tcW w:w="0" w:type="auto"/>
            <w:tcBorders>
              <w:top w:val="nil"/>
              <w:left w:val="nil"/>
              <w:bottom w:val="single" w:sz="4" w:space="0" w:color="auto"/>
              <w:right w:val="nil"/>
            </w:tcBorders>
          </w:tcPr>
          <w:p w14:paraId="414299A2" w14:textId="77777777" w:rsidR="00A12A97" w:rsidRPr="00E673EB" w:rsidRDefault="00A12A97" w:rsidP="00377F3A">
            <w:pPr>
              <w:pStyle w:val="TableText"/>
            </w:pPr>
            <w:r w:rsidRPr="00E673EB">
              <w:t>Max liver residues 615 µg/kg in 2/55 wood mice from farms in Northern Ireland more than 30m from buildings (flocoumafen use)</w:t>
            </w:r>
          </w:p>
        </w:tc>
        <w:tc>
          <w:tcPr>
            <w:tcW w:w="0" w:type="auto"/>
            <w:tcBorders>
              <w:top w:val="nil"/>
              <w:left w:val="nil"/>
              <w:bottom w:val="single" w:sz="4" w:space="0" w:color="auto"/>
              <w:right w:val="nil"/>
            </w:tcBorders>
          </w:tcPr>
          <w:p w14:paraId="330CB82A" w14:textId="462028FD" w:rsidR="00A12A97" w:rsidRPr="00E673EB" w:rsidRDefault="00A12A97" w:rsidP="00377F3A">
            <w:pPr>
              <w:pStyle w:val="TableText"/>
            </w:pPr>
            <w:r w:rsidRPr="00E673EB">
              <w:t xml:space="preserve">Tosh </w:t>
            </w:r>
            <w:r w:rsidR="00B7183A" w:rsidRPr="00B7183A">
              <w:rPr>
                <w:i/>
                <w:iCs/>
              </w:rPr>
              <w:t>et al</w:t>
            </w:r>
            <w:r w:rsidRPr="00E673EB">
              <w:t>. 2012</w:t>
            </w:r>
          </w:p>
        </w:tc>
      </w:tr>
      <w:tr w:rsidR="00A12A97" w:rsidRPr="003B5A86" w14:paraId="5494DE42" w14:textId="77777777" w:rsidTr="00886A28">
        <w:trPr>
          <w:cantSplit/>
          <w:trHeight w:val="13"/>
        </w:trPr>
        <w:tc>
          <w:tcPr>
            <w:tcW w:w="0" w:type="auto"/>
            <w:tcBorders>
              <w:top w:val="single" w:sz="4" w:space="0" w:color="auto"/>
              <w:left w:val="nil"/>
              <w:bottom w:val="nil"/>
              <w:right w:val="nil"/>
            </w:tcBorders>
          </w:tcPr>
          <w:p w14:paraId="3D1866C0" w14:textId="77777777" w:rsidR="00A12A97" w:rsidRPr="00E673EB" w:rsidRDefault="00A12A97" w:rsidP="00377F3A">
            <w:pPr>
              <w:pStyle w:val="TableText"/>
              <w:rPr>
                <w:lang w:eastAsia="en-AU"/>
              </w:rPr>
            </w:pPr>
            <w:r w:rsidRPr="00E673EB">
              <w:rPr>
                <w:lang w:eastAsia="en-AU"/>
              </w:rPr>
              <w:t>Birds</w:t>
            </w:r>
          </w:p>
        </w:tc>
        <w:tc>
          <w:tcPr>
            <w:tcW w:w="0" w:type="auto"/>
            <w:tcBorders>
              <w:top w:val="single" w:sz="4" w:space="0" w:color="auto"/>
              <w:left w:val="nil"/>
              <w:bottom w:val="nil"/>
              <w:right w:val="nil"/>
            </w:tcBorders>
          </w:tcPr>
          <w:p w14:paraId="6C2A9E60" w14:textId="77777777" w:rsidR="00A12A97" w:rsidRPr="00E673EB" w:rsidRDefault="00A12A97" w:rsidP="00377F3A">
            <w:pPr>
              <w:pStyle w:val="TableText"/>
            </w:pPr>
            <w:r w:rsidRPr="00E673EB">
              <w:t>Australia</w:t>
            </w:r>
          </w:p>
        </w:tc>
        <w:tc>
          <w:tcPr>
            <w:tcW w:w="0" w:type="auto"/>
            <w:tcBorders>
              <w:top w:val="single" w:sz="4" w:space="0" w:color="auto"/>
              <w:left w:val="nil"/>
              <w:bottom w:val="nil"/>
              <w:right w:val="nil"/>
            </w:tcBorders>
          </w:tcPr>
          <w:p w14:paraId="3A0AC5C8" w14:textId="77777777" w:rsidR="00A12A97" w:rsidRPr="00E673EB" w:rsidRDefault="00A12A97" w:rsidP="00377F3A">
            <w:pPr>
              <w:pStyle w:val="TableText"/>
            </w:pPr>
            <w:r w:rsidRPr="00E673EB">
              <w:t>Not detected in little ravens, Australian kestrels, whistling kites, barking owls, southern boobooks, powerful owls, tawny frogmouths, barn owls in rural &amp; urban areas across Australia between 2006 and 2021</w:t>
            </w:r>
          </w:p>
        </w:tc>
        <w:tc>
          <w:tcPr>
            <w:tcW w:w="0" w:type="auto"/>
            <w:tcBorders>
              <w:top w:val="single" w:sz="4" w:space="0" w:color="auto"/>
              <w:left w:val="nil"/>
              <w:bottom w:val="nil"/>
              <w:right w:val="nil"/>
            </w:tcBorders>
          </w:tcPr>
          <w:p w14:paraId="4A525BB4" w14:textId="77777777" w:rsidR="00A12A97" w:rsidRPr="00E673EB" w:rsidRDefault="00A12A97" w:rsidP="00377F3A">
            <w:pPr>
              <w:pStyle w:val="TableText"/>
            </w:pPr>
            <w:r w:rsidRPr="00E673EB">
              <w:t>WHA 2022</w:t>
            </w:r>
          </w:p>
        </w:tc>
      </w:tr>
      <w:tr w:rsidR="00A12A97" w:rsidRPr="003B5A86" w14:paraId="778847D1" w14:textId="77777777" w:rsidTr="00623F42">
        <w:trPr>
          <w:cantSplit/>
          <w:trHeight w:val="13"/>
        </w:trPr>
        <w:tc>
          <w:tcPr>
            <w:tcW w:w="0" w:type="auto"/>
            <w:tcBorders>
              <w:top w:val="nil"/>
              <w:left w:val="nil"/>
              <w:bottom w:val="nil"/>
              <w:right w:val="nil"/>
            </w:tcBorders>
          </w:tcPr>
          <w:p w14:paraId="4630CFFE"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59A82401" w14:textId="77777777" w:rsidR="00A12A97" w:rsidRPr="00E673EB" w:rsidRDefault="00A12A97" w:rsidP="00377F3A">
            <w:pPr>
              <w:pStyle w:val="TableText"/>
            </w:pPr>
          </w:p>
        </w:tc>
        <w:tc>
          <w:tcPr>
            <w:tcW w:w="0" w:type="auto"/>
            <w:tcBorders>
              <w:top w:val="nil"/>
              <w:left w:val="nil"/>
              <w:bottom w:val="nil"/>
              <w:right w:val="nil"/>
            </w:tcBorders>
          </w:tcPr>
          <w:p w14:paraId="227A2750" w14:textId="77777777" w:rsidR="00A12A97" w:rsidRPr="00E673EB" w:rsidRDefault="00A12A97" w:rsidP="00377F3A">
            <w:pPr>
              <w:pStyle w:val="TableText"/>
            </w:pPr>
            <w:r w:rsidRPr="00E673EB">
              <w:t>Max liver residues 88 µg/kg in 4/38 powerful owls in Sydney basin urban areas between 2015 and 2021</w:t>
            </w:r>
          </w:p>
        </w:tc>
        <w:tc>
          <w:tcPr>
            <w:tcW w:w="0" w:type="auto"/>
            <w:tcBorders>
              <w:top w:val="nil"/>
              <w:left w:val="nil"/>
              <w:bottom w:val="nil"/>
              <w:right w:val="nil"/>
            </w:tcBorders>
          </w:tcPr>
          <w:p w14:paraId="4342DF96" w14:textId="77777777" w:rsidR="00A12A97" w:rsidRPr="00E673EB" w:rsidRDefault="00A12A97" w:rsidP="00377F3A">
            <w:pPr>
              <w:pStyle w:val="TableText"/>
            </w:pPr>
            <w:r w:rsidRPr="00E673EB">
              <w:t>Birdlife Australia 2022</w:t>
            </w:r>
          </w:p>
        </w:tc>
      </w:tr>
      <w:tr w:rsidR="00A12A97" w:rsidRPr="003B5A86" w14:paraId="17AACA99" w14:textId="77777777" w:rsidTr="00623F42">
        <w:trPr>
          <w:cantSplit/>
          <w:trHeight w:val="13"/>
        </w:trPr>
        <w:tc>
          <w:tcPr>
            <w:tcW w:w="0" w:type="auto"/>
            <w:tcBorders>
              <w:top w:val="nil"/>
              <w:left w:val="nil"/>
              <w:bottom w:val="nil"/>
              <w:right w:val="nil"/>
            </w:tcBorders>
          </w:tcPr>
          <w:p w14:paraId="7ED64051"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7C6E5E28" w14:textId="77777777" w:rsidR="00A12A97" w:rsidRPr="00E673EB" w:rsidRDefault="00A12A97" w:rsidP="00377F3A">
            <w:pPr>
              <w:pStyle w:val="TableText"/>
            </w:pPr>
          </w:p>
        </w:tc>
        <w:tc>
          <w:tcPr>
            <w:tcW w:w="0" w:type="auto"/>
            <w:tcBorders>
              <w:top w:val="nil"/>
              <w:left w:val="nil"/>
              <w:bottom w:val="nil"/>
              <w:right w:val="nil"/>
            </w:tcBorders>
          </w:tcPr>
          <w:p w14:paraId="311F12C1" w14:textId="77777777" w:rsidR="00A12A97" w:rsidRPr="00E673EB" w:rsidRDefault="00A12A97" w:rsidP="00377F3A">
            <w:pPr>
              <w:pStyle w:val="TableText"/>
            </w:pPr>
            <w:r w:rsidRPr="00E673EB">
              <w:t xml:space="preserve">Max liver residues 5 µg/kg in 2/5 eastern barn owls; 1 µg/kg in 1/19 tawny frogmouths; not detected in 12 southern boobooks or 24 powerful owls in urban, forest, &amp; agricultural areas of Vic, SA &amp; NSW between 2003 and 2022 </w:t>
            </w:r>
          </w:p>
        </w:tc>
        <w:tc>
          <w:tcPr>
            <w:tcW w:w="0" w:type="auto"/>
            <w:tcBorders>
              <w:top w:val="nil"/>
              <w:left w:val="nil"/>
              <w:bottom w:val="nil"/>
              <w:right w:val="nil"/>
            </w:tcBorders>
          </w:tcPr>
          <w:p w14:paraId="101F3116" w14:textId="5AD15BB6" w:rsidR="00A12A97" w:rsidRPr="00E673EB" w:rsidRDefault="00A12A97" w:rsidP="00377F3A">
            <w:pPr>
              <w:pStyle w:val="TableText"/>
            </w:pPr>
            <w:r w:rsidRPr="00E673EB">
              <w:t xml:space="preserve">Cooke </w:t>
            </w:r>
            <w:r w:rsidR="00B7183A" w:rsidRPr="00B7183A">
              <w:rPr>
                <w:i/>
                <w:iCs/>
              </w:rPr>
              <w:t>et al</w:t>
            </w:r>
            <w:r w:rsidRPr="00E673EB">
              <w:t>. 2023</w:t>
            </w:r>
          </w:p>
        </w:tc>
      </w:tr>
      <w:tr w:rsidR="00A12A97" w14:paraId="16F3BC1B" w14:textId="77777777" w:rsidTr="00623F42">
        <w:trPr>
          <w:cantSplit/>
          <w:trHeight w:val="13"/>
        </w:trPr>
        <w:tc>
          <w:tcPr>
            <w:tcW w:w="0" w:type="auto"/>
            <w:tcBorders>
              <w:top w:val="nil"/>
              <w:left w:val="nil"/>
              <w:bottom w:val="nil"/>
              <w:right w:val="nil"/>
            </w:tcBorders>
          </w:tcPr>
          <w:p w14:paraId="248B57D4"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10B524E1" w14:textId="77777777" w:rsidR="00A12A97" w:rsidRPr="00E673EB" w:rsidRDefault="00A12A97" w:rsidP="00377F3A">
            <w:pPr>
              <w:pStyle w:val="TableText"/>
            </w:pPr>
          </w:p>
        </w:tc>
        <w:tc>
          <w:tcPr>
            <w:tcW w:w="0" w:type="auto"/>
            <w:tcBorders>
              <w:top w:val="nil"/>
              <w:left w:val="nil"/>
              <w:bottom w:val="nil"/>
              <w:right w:val="nil"/>
            </w:tcBorders>
          </w:tcPr>
          <w:p w14:paraId="10547C72" w14:textId="77777777" w:rsidR="00A12A97" w:rsidRPr="00E673EB" w:rsidRDefault="00A12A97" w:rsidP="00377F3A">
            <w:pPr>
              <w:pStyle w:val="TableText"/>
            </w:pPr>
            <w:r w:rsidRPr="00E673EB">
              <w:t>Not detected in 5 Carnaby’s cockatoos from Kalamunda WA in 2024</w:t>
            </w:r>
          </w:p>
        </w:tc>
        <w:tc>
          <w:tcPr>
            <w:tcW w:w="0" w:type="auto"/>
            <w:tcBorders>
              <w:top w:val="nil"/>
              <w:left w:val="nil"/>
              <w:bottom w:val="nil"/>
              <w:right w:val="nil"/>
            </w:tcBorders>
          </w:tcPr>
          <w:p w14:paraId="1436D771" w14:textId="2CB831E1" w:rsidR="00A12A97" w:rsidRPr="00E673EB" w:rsidRDefault="00A12A97" w:rsidP="00377F3A">
            <w:pPr>
              <w:pStyle w:val="TableText"/>
            </w:pPr>
            <w:r w:rsidRPr="00E673EB">
              <w:t xml:space="preserve">Le Souëf </w:t>
            </w:r>
            <w:r w:rsidR="00B7183A" w:rsidRPr="00B7183A">
              <w:rPr>
                <w:i/>
                <w:iCs/>
              </w:rPr>
              <w:t>et al</w:t>
            </w:r>
            <w:r w:rsidRPr="00E673EB">
              <w:t>. 2024</w:t>
            </w:r>
          </w:p>
        </w:tc>
      </w:tr>
      <w:tr w:rsidR="00A12A97" w:rsidRPr="003B5A86" w14:paraId="5C3702FF" w14:textId="77777777" w:rsidTr="00623F42">
        <w:trPr>
          <w:cantSplit/>
          <w:trHeight w:val="13"/>
        </w:trPr>
        <w:tc>
          <w:tcPr>
            <w:tcW w:w="0" w:type="auto"/>
            <w:tcBorders>
              <w:top w:val="nil"/>
              <w:left w:val="nil"/>
              <w:bottom w:val="nil"/>
              <w:right w:val="nil"/>
            </w:tcBorders>
          </w:tcPr>
          <w:p w14:paraId="29A02AF3"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009C7363" w14:textId="77777777" w:rsidR="00A12A97" w:rsidRPr="00E673EB" w:rsidRDefault="00A12A97" w:rsidP="00377F3A">
            <w:pPr>
              <w:pStyle w:val="TableText"/>
            </w:pPr>
          </w:p>
        </w:tc>
        <w:tc>
          <w:tcPr>
            <w:tcW w:w="0" w:type="auto"/>
            <w:tcBorders>
              <w:top w:val="nil"/>
              <w:left w:val="nil"/>
              <w:bottom w:val="nil"/>
              <w:right w:val="nil"/>
            </w:tcBorders>
          </w:tcPr>
          <w:p w14:paraId="0D035EE8" w14:textId="77777777" w:rsidR="00A12A97" w:rsidRPr="00E673EB" w:rsidRDefault="00A12A97" w:rsidP="00377F3A">
            <w:pPr>
              <w:pStyle w:val="TableText"/>
            </w:pPr>
            <w:r w:rsidRPr="00E673EB">
              <w:t>Max liver residues 818 µg/kg in 2/73 southern boobooks (2.7%) in urban &amp; peri-urban areas of WA</w:t>
            </w:r>
          </w:p>
        </w:tc>
        <w:tc>
          <w:tcPr>
            <w:tcW w:w="0" w:type="auto"/>
            <w:tcBorders>
              <w:top w:val="nil"/>
              <w:left w:val="nil"/>
              <w:bottom w:val="nil"/>
              <w:right w:val="nil"/>
            </w:tcBorders>
          </w:tcPr>
          <w:p w14:paraId="555C97C3" w14:textId="77777777" w:rsidR="00A12A97" w:rsidRPr="00E673EB" w:rsidRDefault="00A12A97" w:rsidP="00377F3A">
            <w:pPr>
              <w:pStyle w:val="TableText"/>
            </w:pPr>
            <w:r w:rsidRPr="00E673EB">
              <w:t>Lohr 2018</w:t>
            </w:r>
          </w:p>
        </w:tc>
      </w:tr>
      <w:tr w:rsidR="00A12A97" w:rsidRPr="003B5A86" w14:paraId="161008BB" w14:textId="77777777" w:rsidTr="00623F42">
        <w:trPr>
          <w:cantSplit/>
          <w:trHeight w:val="13"/>
        </w:trPr>
        <w:tc>
          <w:tcPr>
            <w:tcW w:w="0" w:type="auto"/>
            <w:tcBorders>
              <w:top w:val="nil"/>
              <w:left w:val="nil"/>
              <w:bottom w:val="nil"/>
              <w:right w:val="nil"/>
            </w:tcBorders>
          </w:tcPr>
          <w:p w14:paraId="127FDE74"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4E85BCBD" w14:textId="77777777" w:rsidR="00A12A97" w:rsidRPr="00E673EB" w:rsidRDefault="00A12A97" w:rsidP="00377F3A">
            <w:pPr>
              <w:pStyle w:val="TableText"/>
            </w:pPr>
          </w:p>
        </w:tc>
        <w:tc>
          <w:tcPr>
            <w:tcW w:w="0" w:type="auto"/>
            <w:tcBorders>
              <w:top w:val="nil"/>
              <w:left w:val="nil"/>
              <w:bottom w:val="nil"/>
              <w:right w:val="nil"/>
            </w:tcBorders>
          </w:tcPr>
          <w:p w14:paraId="7BA68C21" w14:textId="77777777" w:rsidR="00A12A97" w:rsidRPr="00E673EB" w:rsidRDefault="00A12A97" w:rsidP="00377F3A">
            <w:pPr>
              <w:pStyle w:val="TableText"/>
            </w:pPr>
            <w:r w:rsidRPr="00E673EB">
              <w:t>Max liver residues 348 µg/kg in 20/50 (40%) wedge-tailed eagles across Tasmania between 1996 and 2018 (40%)</w:t>
            </w:r>
          </w:p>
        </w:tc>
        <w:tc>
          <w:tcPr>
            <w:tcW w:w="0" w:type="auto"/>
            <w:tcBorders>
              <w:top w:val="nil"/>
              <w:left w:val="nil"/>
              <w:bottom w:val="nil"/>
              <w:right w:val="nil"/>
            </w:tcBorders>
          </w:tcPr>
          <w:p w14:paraId="3F5AB64A" w14:textId="315E59A2" w:rsidR="00A12A97" w:rsidRPr="00E673EB" w:rsidRDefault="00A12A97" w:rsidP="00377F3A">
            <w:pPr>
              <w:pStyle w:val="TableText"/>
            </w:pPr>
            <w:r w:rsidRPr="00E673EB">
              <w:t xml:space="preserve">Pay </w:t>
            </w:r>
            <w:r w:rsidR="00B7183A" w:rsidRPr="00B7183A">
              <w:rPr>
                <w:i/>
                <w:iCs/>
              </w:rPr>
              <w:t>et al</w:t>
            </w:r>
            <w:r w:rsidRPr="00E673EB">
              <w:t>. 2021</w:t>
            </w:r>
          </w:p>
        </w:tc>
      </w:tr>
      <w:tr w:rsidR="00A12A97" w:rsidRPr="003B5A86" w14:paraId="2FCB26F7" w14:textId="77777777" w:rsidTr="00623F42">
        <w:trPr>
          <w:cantSplit/>
          <w:trHeight w:val="13"/>
        </w:trPr>
        <w:tc>
          <w:tcPr>
            <w:tcW w:w="0" w:type="auto"/>
            <w:tcBorders>
              <w:top w:val="nil"/>
              <w:left w:val="nil"/>
              <w:bottom w:val="nil"/>
              <w:right w:val="nil"/>
            </w:tcBorders>
          </w:tcPr>
          <w:p w14:paraId="265499E0"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169FFCFF" w14:textId="77777777" w:rsidR="00A12A97" w:rsidRPr="00E673EB" w:rsidRDefault="00A12A97" w:rsidP="00377F3A">
            <w:pPr>
              <w:pStyle w:val="TableText"/>
            </w:pPr>
            <w:r w:rsidRPr="00E673EB">
              <w:t>Tawain</w:t>
            </w:r>
          </w:p>
        </w:tc>
        <w:tc>
          <w:tcPr>
            <w:tcW w:w="0" w:type="auto"/>
            <w:tcBorders>
              <w:top w:val="nil"/>
              <w:left w:val="nil"/>
              <w:bottom w:val="nil"/>
              <w:right w:val="nil"/>
            </w:tcBorders>
          </w:tcPr>
          <w:p w14:paraId="12B9839A" w14:textId="77777777" w:rsidR="00A12A97" w:rsidRPr="00E673EB" w:rsidRDefault="00A12A97" w:rsidP="00377F3A">
            <w:pPr>
              <w:pStyle w:val="TableText"/>
            </w:pPr>
            <w:r w:rsidRPr="00E673EB">
              <w:t>Geomean liver residues 22 µg/kg in 40/74 black-winged kite, 12 µg/kg in 13/46 crested goshawk, 9 µg/kg in 11/42 collared scops-owl, 26 µg/kg in 5/12 crested serpent-eagle, 95 µg/kg in 1/8 black kite, 2 µg/kg in 1/6 oriental honey-buzzard, 15 µg/kg in 1/3 eastern grass-owl; not detected in 6 short-eared owl, 3 eurasian kestrel, 1 common buzzard or 11 other raptor species in Taiwan between 2010 and 2018</w:t>
            </w:r>
          </w:p>
        </w:tc>
        <w:tc>
          <w:tcPr>
            <w:tcW w:w="0" w:type="auto"/>
            <w:tcBorders>
              <w:top w:val="nil"/>
              <w:left w:val="nil"/>
              <w:bottom w:val="nil"/>
              <w:right w:val="nil"/>
            </w:tcBorders>
          </w:tcPr>
          <w:p w14:paraId="71FA70ED" w14:textId="0BA16DFA" w:rsidR="00A12A97" w:rsidRPr="00E673EB" w:rsidRDefault="00A12A97" w:rsidP="00377F3A">
            <w:pPr>
              <w:pStyle w:val="TableText"/>
            </w:pPr>
            <w:r w:rsidRPr="00E673EB">
              <w:t xml:space="preserve">Hong </w:t>
            </w:r>
            <w:r w:rsidR="00B7183A" w:rsidRPr="00B7183A">
              <w:rPr>
                <w:i/>
                <w:iCs/>
              </w:rPr>
              <w:t>et al</w:t>
            </w:r>
            <w:r w:rsidRPr="00E673EB">
              <w:t>. 2019</w:t>
            </w:r>
          </w:p>
        </w:tc>
      </w:tr>
      <w:tr w:rsidR="00A12A97" w:rsidRPr="003B5A86" w14:paraId="2D235B2E" w14:textId="77777777" w:rsidTr="00623F42">
        <w:trPr>
          <w:cantSplit/>
          <w:trHeight w:val="13"/>
        </w:trPr>
        <w:tc>
          <w:tcPr>
            <w:tcW w:w="0" w:type="auto"/>
            <w:tcBorders>
              <w:top w:val="nil"/>
              <w:left w:val="nil"/>
              <w:bottom w:val="nil"/>
              <w:right w:val="nil"/>
            </w:tcBorders>
          </w:tcPr>
          <w:p w14:paraId="3B7DB5AA"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60AF0EE7" w14:textId="77777777" w:rsidR="00A12A97" w:rsidRPr="00E673EB" w:rsidRDefault="00A12A97" w:rsidP="00377F3A">
            <w:pPr>
              <w:pStyle w:val="TableText"/>
            </w:pPr>
          </w:p>
        </w:tc>
        <w:tc>
          <w:tcPr>
            <w:tcW w:w="0" w:type="auto"/>
            <w:tcBorders>
              <w:top w:val="nil"/>
              <w:left w:val="nil"/>
              <w:bottom w:val="nil"/>
              <w:right w:val="nil"/>
            </w:tcBorders>
          </w:tcPr>
          <w:p w14:paraId="36DB8D15" w14:textId="77777777" w:rsidR="00A12A97" w:rsidRPr="00E673EB" w:rsidRDefault="00A12A97" w:rsidP="00377F3A">
            <w:pPr>
              <w:pStyle w:val="TableText"/>
            </w:pPr>
            <w:r w:rsidRPr="00E673EB">
              <w:t>Detected in 54/112 black-winged kites from Taiwan airports between 2013 and 2016</w:t>
            </w:r>
          </w:p>
        </w:tc>
        <w:tc>
          <w:tcPr>
            <w:tcW w:w="0" w:type="auto"/>
            <w:tcBorders>
              <w:top w:val="nil"/>
              <w:left w:val="nil"/>
              <w:bottom w:val="nil"/>
              <w:right w:val="nil"/>
            </w:tcBorders>
          </w:tcPr>
          <w:p w14:paraId="1FC03E51" w14:textId="4B04C64B" w:rsidR="00A12A97" w:rsidRPr="00E673EB" w:rsidRDefault="00A12A97" w:rsidP="00377F3A">
            <w:pPr>
              <w:pStyle w:val="TableText"/>
            </w:pPr>
            <w:r w:rsidRPr="00E673EB">
              <w:t xml:space="preserve">Lin </w:t>
            </w:r>
            <w:r w:rsidR="00B7183A" w:rsidRPr="00B7183A">
              <w:rPr>
                <w:i/>
                <w:iCs/>
              </w:rPr>
              <w:t>et al</w:t>
            </w:r>
            <w:r w:rsidRPr="00E673EB">
              <w:t>. 2022</w:t>
            </w:r>
          </w:p>
        </w:tc>
      </w:tr>
      <w:tr w:rsidR="00A12A97" w:rsidRPr="003B5A86" w14:paraId="18E88741" w14:textId="77777777" w:rsidTr="00623F42">
        <w:trPr>
          <w:cantSplit/>
          <w:trHeight w:val="13"/>
        </w:trPr>
        <w:tc>
          <w:tcPr>
            <w:tcW w:w="0" w:type="auto"/>
            <w:tcBorders>
              <w:top w:val="nil"/>
              <w:left w:val="nil"/>
              <w:bottom w:val="nil"/>
              <w:right w:val="nil"/>
            </w:tcBorders>
          </w:tcPr>
          <w:p w14:paraId="4D3485C2"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72FC4F72" w14:textId="77777777" w:rsidR="00A12A97" w:rsidRPr="00E673EB" w:rsidRDefault="00A12A97" w:rsidP="00377F3A">
            <w:pPr>
              <w:pStyle w:val="TableText"/>
            </w:pPr>
            <w:r>
              <w:t>Europe</w:t>
            </w:r>
          </w:p>
        </w:tc>
        <w:tc>
          <w:tcPr>
            <w:tcW w:w="0" w:type="auto"/>
            <w:tcBorders>
              <w:top w:val="nil"/>
              <w:left w:val="nil"/>
              <w:bottom w:val="nil"/>
              <w:right w:val="nil"/>
            </w:tcBorders>
          </w:tcPr>
          <w:p w14:paraId="5480BECD" w14:textId="77777777" w:rsidR="00A12A97" w:rsidRPr="00E673EB" w:rsidRDefault="00A12A97" w:rsidP="00377F3A">
            <w:pPr>
              <w:pStyle w:val="TableText"/>
            </w:pPr>
            <w:r w:rsidRPr="00E673EB">
              <w:t>Max liver residues 14 µg/kg in 2/48 northern goshawk, 88 µg/kg in 12/41 red kite, not detected in60 white-tailed eagle, 23 Eurasian sparrowhawk or 13 osprey in Germany between 1996 and 2018</w:t>
            </w:r>
          </w:p>
        </w:tc>
        <w:tc>
          <w:tcPr>
            <w:tcW w:w="0" w:type="auto"/>
            <w:tcBorders>
              <w:top w:val="nil"/>
              <w:left w:val="nil"/>
              <w:bottom w:val="nil"/>
              <w:right w:val="nil"/>
            </w:tcBorders>
          </w:tcPr>
          <w:p w14:paraId="6A249802" w14:textId="1138071D" w:rsidR="00A12A97" w:rsidRPr="00E673EB" w:rsidRDefault="00A12A97" w:rsidP="00377F3A">
            <w:pPr>
              <w:pStyle w:val="TableText"/>
            </w:pPr>
            <w:r w:rsidRPr="00E673EB">
              <w:t xml:space="preserve">Badry </w:t>
            </w:r>
            <w:r w:rsidR="00B7183A" w:rsidRPr="00B7183A">
              <w:rPr>
                <w:i/>
                <w:iCs/>
              </w:rPr>
              <w:t>et al</w:t>
            </w:r>
            <w:r w:rsidRPr="00E673EB">
              <w:t>. 2021</w:t>
            </w:r>
          </w:p>
        </w:tc>
      </w:tr>
      <w:tr w:rsidR="00A12A97" w:rsidRPr="003B5A86" w14:paraId="25B2A847" w14:textId="77777777" w:rsidTr="00623F42">
        <w:trPr>
          <w:cantSplit/>
          <w:trHeight w:val="13"/>
        </w:trPr>
        <w:tc>
          <w:tcPr>
            <w:tcW w:w="0" w:type="auto"/>
            <w:tcBorders>
              <w:top w:val="nil"/>
              <w:left w:val="nil"/>
              <w:bottom w:val="nil"/>
              <w:right w:val="nil"/>
            </w:tcBorders>
          </w:tcPr>
          <w:p w14:paraId="3CA1745A"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18F97A89" w14:textId="77777777" w:rsidR="00A12A97" w:rsidRPr="00E673EB" w:rsidRDefault="00A12A97" w:rsidP="00377F3A">
            <w:pPr>
              <w:pStyle w:val="TableText"/>
            </w:pPr>
          </w:p>
        </w:tc>
        <w:tc>
          <w:tcPr>
            <w:tcW w:w="0" w:type="auto"/>
            <w:tcBorders>
              <w:top w:val="nil"/>
              <w:left w:val="nil"/>
              <w:bottom w:val="nil"/>
              <w:right w:val="nil"/>
            </w:tcBorders>
          </w:tcPr>
          <w:p w14:paraId="35DEAB71" w14:textId="77777777" w:rsidR="00A12A97" w:rsidRPr="00E673EB" w:rsidRDefault="00A12A97" w:rsidP="00377F3A">
            <w:pPr>
              <w:pStyle w:val="TableText"/>
            </w:pPr>
            <w:r w:rsidRPr="00E673EB">
              <w:t>Max liver residues 34 µg/kg in 14/80 barn owls, 115 µg/kg in 16/141 buzzards, 20 µg/kg in 18/66 kestrels, 2 µg/kg in 6/38 long-eared owls, 42 µg/kg in 8/44 tawny owls; not detected in 31 rough-legged buzzards from intensively managed landscapes in Denmark</w:t>
            </w:r>
          </w:p>
        </w:tc>
        <w:tc>
          <w:tcPr>
            <w:tcW w:w="0" w:type="auto"/>
            <w:tcBorders>
              <w:top w:val="nil"/>
              <w:left w:val="nil"/>
              <w:bottom w:val="nil"/>
              <w:right w:val="nil"/>
            </w:tcBorders>
          </w:tcPr>
          <w:p w14:paraId="3A63E771" w14:textId="2D758B2C" w:rsidR="00A12A97" w:rsidRPr="00E673EB" w:rsidRDefault="00A12A97" w:rsidP="00377F3A">
            <w:pPr>
              <w:pStyle w:val="TableText"/>
            </w:pPr>
            <w:r w:rsidRPr="00E673EB">
              <w:t xml:space="preserve">Christensen </w:t>
            </w:r>
            <w:r w:rsidR="00B7183A" w:rsidRPr="00B7183A">
              <w:rPr>
                <w:i/>
                <w:iCs/>
              </w:rPr>
              <w:t>et al</w:t>
            </w:r>
            <w:r w:rsidRPr="00E673EB">
              <w:t>. 2012</w:t>
            </w:r>
          </w:p>
        </w:tc>
      </w:tr>
      <w:tr w:rsidR="00A12A97" w:rsidRPr="00E673EB" w14:paraId="2C538192" w14:textId="77777777" w:rsidTr="00623F42">
        <w:trPr>
          <w:cantSplit/>
          <w:trHeight w:val="13"/>
        </w:trPr>
        <w:tc>
          <w:tcPr>
            <w:tcW w:w="0" w:type="auto"/>
            <w:tcBorders>
              <w:top w:val="nil"/>
              <w:left w:val="nil"/>
              <w:bottom w:val="nil"/>
              <w:right w:val="nil"/>
            </w:tcBorders>
          </w:tcPr>
          <w:p w14:paraId="446D01D6"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24EC4FA0" w14:textId="77777777" w:rsidR="00A12A97" w:rsidRPr="00E673EB" w:rsidRDefault="00A12A97" w:rsidP="00377F3A">
            <w:pPr>
              <w:pStyle w:val="TableText"/>
            </w:pPr>
          </w:p>
        </w:tc>
        <w:tc>
          <w:tcPr>
            <w:tcW w:w="0" w:type="auto"/>
            <w:tcBorders>
              <w:top w:val="nil"/>
              <w:left w:val="nil"/>
              <w:bottom w:val="nil"/>
              <w:right w:val="nil"/>
            </w:tcBorders>
          </w:tcPr>
          <w:p w14:paraId="18B781A6" w14:textId="77777777" w:rsidR="00A12A97" w:rsidRPr="00E673EB" w:rsidRDefault="00A12A97" w:rsidP="00377F3A">
            <w:pPr>
              <w:pStyle w:val="TableText"/>
            </w:pPr>
            <w:r w:rsidRPr="00E673EB">
              <w:t>Max liver residues 117 µg/kg in 2/16 golden eagles, 13 µg/kg in 1/8 eagle owls; not detected in 3 osprey, 2 peregrine falcon, 1 gryfalcon across Norway between 2009 and 2011</w:t>
            </w:r>
          </w:p>
        </w:tc>
        <w:tc>
          <w:tcPr>
            <w:tcW w:w="0" w:type="auto"/>
            <w:tcBorders>
              <w:top w:val="nil"/>
              <w:left w:val="nil"/>
              <w:bottom w:val="nil"/>
              <w:right w:val="nil"/>
            </w:tcBorders>
          </w:tcPr>
          <w:p w14:paraId="52F56C95" w14:textId="1168F433" w:rsidR="00A12A97" w:rsidRPr="00E673EB" w:rsidRDefault="00A12A97" w:rsidP="00377F3A">
            <w:pPr>
              <w:pStyle w:val="TableText"/>
            </w:pPr>
            <w:r w:rsidRPr="00E673EB">
              <w:t xml:space="preserve">Langford </w:t>
            </w:r>
            <w:r w:rsidR="00B7183A" w:rsidRPr="00B7183A">
              <w:rPr>
                <w:i/>
                <w:iCs/>
              </w:rPr>
              <w:t>et al</w:t>
            </w:r>
            <w:r w:rsidRPr="00E673EB">
              <w:t>. 2013</w:t>
            </w:r>
          </w:p>
        </w:tc>
      </w:tr>
      <w:tr w:rsidR="00A12A97" w:rsidRPr="00E673EB" w14:paraId="6672521E" w14:textId="77777777" w:rsidTr="00886A28">
        <w:trPr>
          <w:cantSplit/>
          <w:trHeight w:val="23"/>
        </w:trPr>
        <w:tc>
          <w:tcPr>
            <w:tcW w:w="0" w:type="auto"/>
            <w:tcBorders>
              <w:top w:val="nil"/>
              <w:left w:val="nil"/>
              <w:bottom w:val="nil"/>
              <w:right w:val="nil"/>
            </w:tcBorders>
          </w:tcPr>
          <w:p w14:paraId="513B2427" w14:textId="5A20D193" w:rsidR="00A12A97" w:rsidRPr="00E673EB" w:rsidRDefault="00A12A97" w:rsidP="00377F3A">
            <w:pPr>
              <w:pStyle w:val="TableText"/>
              <w:rPr>
                <w:lang w:eastAsia="en-AU"/>
              </w:rPr>
            </w:pPr>
          </w:p>
        </w:tc>
        <w:tc>
          <w:tcPr>
            <w:tcW w:w="0" w:type="auto"/>
            <w:tcBorders>
              <w:top w:val="nil"/>
              <w:left w:val="nil"/>
              <w:bottom w:val="nil"/>
              <w:right w:val="nil"/>
            </w:tcBorders>
          </w:tcPr>
          <w:p w14:paraId="64E6BD50" w14:textId="3814ED90" w:rsidR="00A12A97" w:rsidRPr="00E673EB" w:rsidRDefault="00A12A97" w:rsidP="00377F3A">
            <w:pPr>
              <w:pStyle w:val="TableText"/>
            </w:pPr>
          </w:p>
        </w:tc>
        <w:tc>
          <w:tcPr>
            <w:tcW w:w="0" w:type="auto"/>
            <w:tcBorders>
              <w:top w:val="nil"/>
              <w:left w:val="nil"/>
              <w:bottom w:val="nil"/>
              <w:right w:val="nil"/>
            </w:tcBorders>
          </w:tcPr>
          <w:p w14:paraId="02F99B67" w14:textId="77777777" w:rsidR="00A12A97" w:rsidRPr="00E673EB" w:rsidRDefault="00A12A97" w:rsidP="00377F3A">
            <w:pPr>
              <w:pStyle w:val="TableText"/>
            </w:pPr>
            <w:r w:rsidRPr="00E673EB">
              <w:t>Max liver residues 10 µg/kg in 2/33 scops owls, 299 µg/kg in 3/41 barn owls, 118 µg/kg in 7/27 tawny owls, 90 µg/kg in 4/14 eagle owls, 33 µg/kg in 1/7 little owls, 175 µg/kg in 7/56 common buzzards; not detected in 12 long-eared owls in Mediterranean region of Spain between 2011 and 2013</w:t>
            </w:r>
          </w:p>
        </w:tc>
        <w:tc>
          <w:tcPr>
            <w:tcW w:w="0" w:type="auto"/>
            <w:tcBorders>
              <w:top w:val="nil"/>
              <w:left w:val="nil"/>
              <w:bottom w:val="nil"/>
              <w:right w:val="nil"/>
            </w:tcBorders>
          </w:tcPr>
          <w:p w14:paraId="3CCB8321" w14:textId="026CFA82" w:rsidR="00A12A97" w:rsidRPr="00E673EB" w:rsidRDefault="00A12A97" w:rsidP="00377F3A">
            <w:pPr>
              <w:pStyle w:val="TableText"/>
            </w:pPr>
            <w:r w:rsidRPr="00E673EB">
              <w:t xml:space="preserve">López-Perea </w:t>
            </w:r>
            <w:r w:rsidR="00B7183A" w:rsidRPr="00B7183A">
              <w:rPr>
                <w:i/>
                <w:iCs/>
              </w:rPr>
              <w:t>et al</w:t>
            </w:r>
            <w:r w:rsidRPr="00E673EB">
              <w:t>. 2015</w:t>
            </w:r>
          </w:p>
        </w:tc>
      </w:tr>
      <w:tr w:rsidR="00A12A97" w:rsidRPr="003B5A86" w14:paraId="0100A8A8" w14:textId="77777777" w:rsidTr="00623F42">
        <w:trPr>
          <w:cantSplit/>
          <w:trHeight w:val="13"/>
        </w:trPr>
        <w:tc>
          <w:tcPr>
            <w:tcW w:w="0" w:type="auto"/>
            <w:tcBorders>
              <w:top w:val="nil"/>
              <w:left w:val="nil"/>
              <w:bottom w:val="nil"/>
              <w:right w:val="nil"/>
            </w:tcBorders>
          </w:tcPr>
          <w:p w14:paraId="0CE2E402"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7751E8F4" w14:textId="77777777" w:rsidR="00A12A97" w:rsidRPr="00E673EB" w:rsidRDefault="00A12A97" w:rsidP="00377F3A">
            <w:pPr>
              <w:pStyle w:val="TableText"/>
            </w:pPr>
          </w:p>
        </w:tc>
        <w:tc>
          <w:tcPr>
            <w:tcW w:w="0" w:type="auto"/>
            <w:tcBorders>
              <w:top w:val="nil"/>
              <w:left w:val="nil"/>
              <w:bottom w:val="nil"/>
              <w:right w:val="nil"/>
            </w:tcBorders>
          </w:tcPr>
          <w:p w14:paraId="1C62DCBE" w14:textId="77777777" w:rsidR="00A12A97" w:rsidRPr="00E673EB" w:rsidRDefault="00A12A97" w:rsidP="00377F3A">
            <w:pPr>
              <w:pStyle w:val="TableText"/>
            </w:pPr>
            <w:r w:rsidRPr="00E673EB">
              <w:t>Max liver residues 143 µg/kg in 1/142 granivorous birds, 400 µg/kg in 8/129 predatory birds in Spain between 2005 and 2010</w:t>
            </w:r>
          </w:p>
        </w:tc>
        <w:tc>
          <w:tcPr>
            <w:tcW w:w="0" w:type="auto"/>
            <w:tcBorders>
              <w:top w:val="nil"/>
              <w:left w:val="nil"/>
              <w:bottom w:val="nil"/>
              <w:right w:val="nil"/>
            </w:tcBorders>
          </w:tcPr>
          <w:p w14:paraId="17BB217E" w14:textId="29D306A0" w:rsidR="00A12A97" w:rsidRPr="00E673EB" w:rsidRDefault="00A12A97" w:rsidP="00377F3A">
            <w:pPr>
              <w:pStyle w:val="TableText"/>
            </w:pPr>
            <w:r w:rsidRPr="00E673EB">
              <w:t xml:space="preserve">Sánchez-Barbudo </w:t>
            </w:r>
            <w:r w:rsidR="00B7183A" w:rsidRPr="00B7183A">
              <w:rPr>
                <w:i/>
                <w:iCs/>
              </w:rPr>
              <w:t>et al</w:t>
            </w:r>
            <w:r w:rsidRPr="00E673EB">
              <w:t>. 2012</w:t>
            </w:r>
          </w:p>
        </w:tc>
      </w:tr>
      <w:tr w:rsidR="00A12A97" w:rsidRPr="003B5A86" w14:paraId="3273D5D7" w14:textId="77777777" w:rsidTr="00623F42">
        <w:trPr>
          <w:cantSplit/>
          <w:trHeight w:val="13"/>
        </w:trPr>
        <w:tc>
          <w:tcPr>
            <w:tcW w:w="0" w:type="auto"/>
            <w:tcBorders>
              <w:top w:val="nil"/>
              <w:left w:val="nil"/>
              <w:bottom w:val="nil"/>
              <w:right w:val="nil"/>
            </w:tcBorders>
          </w:tcPr>
          <w:p w14:paraId="353E4E6F"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3253CEFB" w14:textId="77777777" w:rsidR="00A12A97" w:rsidRPr="00E673EB" w:rsidRDefault="00A12A97" w:rsidP="00377F3A">
            <w:pPr>
              <w:pStyle w:val="TableText"/>
            </w:pPr>
          </w:p>
        </w:tc>
        <w:tc>
          <w:tcPr>
            <w:tcW w:w="0" w:type="auto"/>
            <w:tcBorders>
              <w:top w:val="nil"/>
              <w:left w:val="nil"/>
              <w:bottom w:val="nil"/>
              <w:right w:val="nil"/>
            </w:tcBorders>
          </w:tcPr>
          <w:p w14:paraId="54383C6D" w14:textId="77777777" w:rsidR="00A12A97" w:rsidRPr="00E673EB" w:rsidRDefault="00A12A97" w:rsidP="00377F3A">
            <w:pPr>
              <w:pStyle w:val="TableText"/>
            </w:pPr>
            <w:r w:rsidRPr="00E673EB">
              <w:t xml:space="preserve">Detectable residues in 0/172 tawny owls, 5/431 barn owls, 0/73 kestrels across Britain between 1990-93 or 2003-05 </w:t>
            </w:r>
          </w:p>
        </w:tc>
        <w:tc>
          <w:tcPr>
            <w:tcW w:w="0" w:type="auto"/>
            <w:tcBorders>
              <w:top w:val="nil"/>
              <w:left w:val="nil"/>
              <w:bottom w:val="nil"/>
              <w:right w:val="nil"/>
            </w:tcBorders>
          </w:tcPr>
          <w:p w14:paraId="0C72FD80" w14:textId="1FB1E0DA" w:rsidR="00A12A97" w:rsidRPr="00E673EB" w:rsidRDefault="00A12A97" w:rsidP="00377F3A">
            <w:pPr>
              <w:pStyle w:val="TableText"/>
            </w:pPr>
            <w:r w:rsidRPr="00E673EB">
              <w:t xml:space="preserve">Walker </w:t>
            </w:r>
            <w:r w:rsidR="00B7183A" w:rsidRPr="00B7183A">
              <w:rPr>
                <w:i/>
                <w:iCs/>
              </w:rPr>
              <w:t>et al</w:t>
            </w:r>
            <w:r w:rsidRPr="00E673EB">
              <w:t>. 2008</w:t>
            </w:r>
          </w:p>
        </w:tc>
      </w:tr>
      <w:tr w:rsidR="00A12A97" w:rsidRPr="003B5A86" w14:paraId="10AFD122" w14:textId="77777777" w:rsidTr="00623F42">
        <w:trPr>
          <w:cantSplit/>
          <w:trHeight w:val="13"/>
        </w:trPr>
        <w:tc>
          <w:tcPr>
            <w:tcW w:w="0" w:type="auto"/>
            <w:tcBorders>
              <w:top w:val="nil"/>
              <w:left w:val="nil"/>
              <w:bottom w:val="nil"/>
              <w:right w:val="nil"/>
            </w:tcBorders>
          </w:tcPr>
          <w:p w14:paraId="3801774F"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2B4AEFE3" w14:textId="77777777" w:rsidR="00A12A97" w:rsidRPr="00E673EB" w:rsidRDefault="00A12A97" w:rsidP="00377F3A">
            <w:pPr>
              <w:pStyle w:val="TableText"/>
            </w:pPr>
          </w:p>
        </w:tc>
        <w:tc>
          <w:tcPr>
            <w:tcW w:w="0" w:type="auto"/>
            <w:tcBorders>
              <w:top w:val="nil"/>
              <w:left w:val="nil"/>
              <w:bottom w:val="nil"/>
              <w:right w:val="nil"/>
            </w:tcBorders>
          </w:tcPr>
          <w:p w14:paraId="74E1974D" w14:textId="77777777" w:rsidR="00A12A97" w:rsidRPr="00E673EB" w:rsidRDefault="00A12A97" w:rsidP="00377F3A">
            <w:pPr>
              <w:pStyle w:val="TableText"/>
            </w:pPr>
            <w:r w:rsidRPr="00E673EB">
              <w:t>Not detected in &gt;97% of 89 barn owl pellets collected winter of 1988-1989 over five counties in southern Eire, UK</w:t>
            </w:r>
          </w:p>
        </w:tc>
        <w:tc>
          <w:tcPr>
            <w:tcW w:w="0" w:type="auto"/>
            <w:tcBorders>
              <w:top w:val="nil"/>
              <w:left w:val="nil"/>
              <w:bottom w:val="nil"/>
              <w:right w:val="nil"/>
            </w:tcBorders>
          </w:tcPr>
          <w:p w14:paraId="0D765BE3" w14:textId="060BC292" w:rsidR="00A12A97" w:rsidRPr="00E673EB" w:rsidRDefault="00A12A97" w:rsidP="00377F3A">
            <w:pPr>
              <w:pStyle w:val="TableText"/>
            </w:pPr>
            <w:r w:rsidRPr="00E673EB">
              <w:t xml:space="preserve">Eadsforth </w:t>
            </w:r>
            <w:r w:rsidR="00B7183A" w:rsidRPr="00B7183A">
              <w:rPr>
                <w:i/>
                <w:iCs/>
              </w:rPr>
              <w:t>et al</w:t>
            </w:r>
            <w:r w:rsidRPr="00E673EB">
              <w:t>. 1996</w:t>
            </w:r>
          </w:p>
        </w:tc>
      </w:tr>
      <w:tr w:rsidR="00A12A97" w:rsidRPr="003B5A86" w14:paraId="68DC71DD" w14:textId="77777777" w:rsidTr="00623F42">
        <w:trPr>
          <w:cantSplit/>
          <w:trHeight w:val="13"/>
        </w:trPr>
        <w:tc>
          <w:tcPr>
            <w:tcW w:w="0" w:type="auto"/>
            <w:tcBorders>
              <w:top w:val="nil"/>
              <w:left w:val="nil"/>
              <w:bottom w:val="single" w:sz="4" w:space="0" w:color="auto"/>
              <w:right w:val="nil"/>
            </w:tcBorders>
          </w:tcPr>
          <w:p w14:paraId="6DEEEE39" w14:textId="77777777" w:rsidR="00A12A97" w:rsidRPr="00E673EB" w:rsidRDefault="00A12A97" w:rsidP="00377F3A">
            <w:pPr>
              <w:pStyle w:val="TableText"/>
              <w:rPr>
                <w:lang w:eastAsia="en-AU"/>
              </w:rPr>
            </w:pPr>
          </w:p>
        </w:tc>
        <w:tc>
          <w:tcPr>
            <w:tcW w:w="0" w:type="auto"/>
            <w:tcBorders>
              <w:top w:val="nil"/>
              <w:left w:val="nil"/>
              <w:bottom w:val="single" w:sz="4" w:space="0" w:color="auto"/>
              <w:right w:val="nil"/>
            </w:tcBorders>
          </w:tcPr>
          <w:p w14:paraId="023601E3" w14:textId="77777777" w:rsidR="00A12A97" w:rsidRPr="00E673EB" w:rsidRDefault="00A12A97" w:rsidP="00377F3A">
            <w:pPr>
              <w:pStyle w:val="TableText"/>
            </w:pPr>
          </w:p>
        </w:tc>
        <w:tc>
          <w:tcPr>
            <w:tcW w:w="0" w:type="auto"/>
            <w:tcBorders>
              <w:top w:val="nil"/>
              <w:left w:val="nil"/>
              <w:bottom w:val="single" w:sz="4" w:space="0" w:color="auto"/>
              <w:right w:val="nil"/>
            </w:tcBorders>
          </w:tcPr>
          <w:p w14:paraId="6CF31AA2" w14:textId="77777777" w:rsidR="00A12A97" w:rsidRPr="00E673EB" w:rsidRDefault="00A12A97" w:rsidP="00377F3A">
            <w:pPr>
              <w:pStyle w:val="TableText"/>
            </w:pPr>
            <w:r w:rsidRPr="00E673EB">
              <w:t>Detected in 6/449 barn owls in Britain between 1988 and 1994</w:t>
            </w:r>
          </w:p>
        </w:tc>
        <w:tc>
          <w:tcPr>
            <w:tcW w:w="0" w:type="auto"/>
            <w:tcBorders>
              <w:top w:val="nil"/>
              <w:left w:val="nil"/>
              <w:bottom w:val="single" w:sz="4" w:space="0" w:color="auto"/>
              <w:right w:val="nil"/>
            </w:tcBorders>
          </w:tcPr>
          <w:p w14:paraId="4551A965" w14:textId="0C34176F" w:rsidR="00A12A97" w:rsidRPr="00E673EB" w:rsidRDefault="00A12A97" w:rsidP="00377F3A">
            <w:pPr>
              <w:pStyle w:val="TableText"/>
            </w:pPr>
            <w:r w:rsidRPr="00E673EB">
              <w:t xml:space="preserve">Newton </w:t>
            </w:r>
            <w:r w:rsidR="00B7183A" w:rsidRPr="00B7183A">
              <w:rPr>
                <w:i/>
                <w:iCs/>
              </w:rPr>
              <w:t>et al</w:t>
            </w:r>
            <w:r w:rsidRPr="00E673EB">
              <w:t>. 1997</w:t>
            </w:r>
          </w:p>
        </w:tc>
      </w:tr>
      <w:tr w:rsidR="00A12A97" w:rsidRPr="003B5A86" w14:paraId="57370066" w14:textId="77777777" w:rsidTr="00623F42">
        <w:trPr>
          <w:cantSplit/>
          <w:trHeight w:val="13"/>
        </w:trPr>
        <w:tc>
          <w:tcPr>
            <w:tcW w:w="0" w:type="auto"/>
            <w:tcBorders>
              <w:top w:val="single" w:sz="4" w:space="0" w:color="auto"/>
              <w:left w:val="nil"/>
              <w:bottom w:val="nil"/>
              <w:right w:val="nil"/>
            </w:tcBorders>
          </w:tcPr>
          <w:p w14:paraId="334CB4D2" w14:textId="77777777" w:rsidR="00A12A97" w:rsidRPr="00E673EB" w:rsidRDefault="00A12A97" w:rsidP="00377F3A">
            <w:pPr>
              <w:pStyle w:val="TableText"/>
              <w:rPr>
                <w:lang w:eastAsia="en-AU"/>
              </w:rPr>
            </w:pPr>
            <w:r w:rsidRPr="00E673EB">
              <w:rPr>
                <w:lang w:eastAsia="en-AU"/>
              </w:rPr>
              <w:t>Reptiles</w:t>
            </w:r>
          </w:p>
        </w:tc>
        <w:tc>
          <w:tcPr>
            <w:tcW w:w="0" w:type="auto"/>
            <w:tcBorders>
              <w:top w:val="single" w:sz="4" w:space="0" w:color="auto"/>
              <w:left w:val="nil"/>
              <w:bottom w:val="nil"/>
              <w:right w:val="nil"/>
            </w:tcBorders>
          </w:tcPr>
          <w:p w14:paraId="20C1AF89" w14:textId="77777777" w:rsidR="00A12A97" w:rsidRPr="00E673EB" w:rsidRDefault="00A12A97" w:rsidP="00377F3A">
            <w:pPr>
              <w:pStyle w:val="TableText"/>
            </w:pPr>
            <w:r w:rsidRPr="00E673EB">
              <w:t>Australia</w:t>
            </w:r>
          </w:p>
        </w:tc>
        <w:tc>
          <w:tcPr>
            <w:tcW w:w="0" w:type="auto"/>
            <w:tcBorders>
              <w:top w:val="single" w:sz="4" w:space="0" w:color="auto"/>
              <w:left w:val="nil"/>
              <w:bottom w:val="nil"/>
              <w:right w:val="nil"/>
            </w:tcBorders>
          </w:tcPr>
          <w:p w14:paraId="4177ED0B" w14:textId="77777777" w:rsidR="00A12A97" w:rsidRPr="00E673EB" w:rsidRDefault="00A12A97" w:rsidP="00377F3A">
            <w:pPr>
              <w:pStyle w:val="TableText"/>
            </w:pPr>
            <w:r w:rsidRPr="00E673EB">
              <w:t>Max liver residues 4 µg/kg in 1/10 bobtails from 2014-18, not detected in 11 dugites (2014-18) or 11 tiger snakes from 2018-19 in Greater Perth, WA</w:t>
            </w:r>
          </w:p>
        </w:tc>
        <w:tc>
          <w:tcPr>
            <w:tcW w:w="0" w:type="auto"/>
            <w:tcBorders>
              <w:top w:val="single" w:sz="4" w:space="0" w:color="auto"/>
              <w:left w:val="nil"/>
              <w:bottom w:val="nil"/>
              <w:right w:val="nil"/>
            </w:tcBorders>
          </w:tcPr>
          <w:p w14:paraId="30CD8368" w14:textId="4573C03C" w:rsidR="00A12A97" w:rsidRPr="00E673EB" w:rsidRDefault="00A12A97" w:rsidP="00377F3A">
            <w:pPr>
              <w:pStyle w:val="TableText"/>
            </w:pPr>
            <w:r w:rsidRPr="00E673EB">
              <w:t xml:space="preserve">Lettoof </w:t>
            </w:r>
            <w:r w:rsidR="00B7183A" w:rsidRPr="00B7183A">
              <w:rPr>
                <w:i/>
                <w:iCs/>
              </w:rPr>
              <w:t>et al</w:t>
            </w:r>
            <w:r w:rsidRPr="00E673EB">
              <w:t>. 2020</w:t>
            </w:r>
          </w:p>
        </w:tc>
      </w:tr>
      <w:tr w:rsidR="00A12A97" w14:paraId="290D315C" w14:textId="77777777" w:rsidTr="00623F42">
        <w:trPr>
          <w:cantSplit/>
          <w:trHeight w:val="13"/>
        </w:trPr>
        <w:tc>
          <w:tcPr>
            <w:tcW w:w="0" w:type="auto"/>
            <w:tcBorders>
              <w:top w:val="nil"/>
              <w:left w:val="nil"/>
              <w:bottom w:val="single" w:sz="4" w:space="0" w:color="auto"/>
              <w:right w:val="nil"/>
            </w:tcBorders>
          </w:tcPr>
          <w:p w14:paraId="3AB8CDCA" w14:textId="77777777" w:rsidR="00A12A97" w:rsidRPr="00E673EB" w:rsidRDefault="00A12A97" w:rsidP="00377F3A">
            <w:pPr>
              <w:pStyle w:val="TableText"/>
              <w:rPr>
                <w:lang w:eastAsia="en-AU"/>
              </w:rPr>
            </w:pPr>
          </w:p>
        </w:tc>
        <w:tc>
          <w:tcPr>
            <w:tcW w:w="0" w:type="auto"/>
            <w:tcBorders>
              <w:top w:val="nil"/>
              <w:left w:val="nil"/>
              <w:bottom w:val="single" w:sz="4" w:space="0" w:color="auto"/>
              <w:right w:val="nil"/>
            </w:tcBorders>
          </w:tcPr>
          <w:p w14:paraId="5EBB9406" w14:textId="77777777" w:rsidR="00A12A97" w:rsidRPr="00E673EB" w:rsidRDefault="00A12A97" w:rsidP="00377F3A">
            <w:pPr>
              <w:pStyle w:val="TableText"/>
            </w:pPr>
            <w:r>
              <w:t>Europe</w:t>
            </w:r>
          </w:p>
        </w:tc>
        <w:tc>
          <w:tcPr>
            <w:tcW w:w="0" w:type="auto"/>
            <w:tcBorders>
              <w:top w:val="nil"/>
              <w:left w:val="nil"/>
              <w:bottom w:val="single" w:sz="4" w:space="0" w:color="auto"/>
              <w:right w:val="nil"/>
            </w:tcBorders>
          </w:tcPr>
          <w:p w14:paraId="5D2A9B9F" w14:textId="77777777" w:rsidR="00A12A97" w:rsidRPr="00E673EB" w:rsidRDefault="00A12A97" w:rsidP="00377F3A">
            <w:pPr>
              <w:pStyle w:val="TableText"/>
            </w:pPr>
            <w:r w:rsidRPr="00E673EB">
              <w:t xml:space="preserve">Liver residues 540 µg/kg in 1/2 reptile species in Spain between 2005 and 2010 </w:t>
            </w:r>
          </w:p>
        </w:tc>
        <w:tc>
          <w:tcPr>
            <w:tcW w:w="0" w:type="auto"/>
            <w:tcBorders>
              <w:top w:val="nil"/>
              <w:left w:val="nil"/>
              <w:bottom w:val="single" w:sz="4" w:space="0" w:color="auto"/>
              <w:right w:val="nil"/>
            </w:tcBorders>
          </w:tcPr>
          <w:p w14:paraId="46A0FCC0" w14:textId="04A29F82" w:rsidR="00A12A97" w:rsidRPr="00E673EB" w:rsidRDefault="00A12A97" w:rsidP="00377F3A">
            <w:pPr>
              <w:pStyle w:val="TableText"/>
            </w:pPr>
            <w:r w:rsidRPr="00E673EB">
              <w:t xml:space="preserve">Sánchez-Barbudo </w:t>
            </w:r>
            <w:r w:rsidR="00B7183A" w:rsidRPr="00B7183A">
              <w:rPr>
                <w:i/>
                <w:iCs/>
              </w:rPr>
              <w:t>et al</w:t>
            </w:r>
            <w:r w:rsidRPr="00E673EB">
              <w:t>. 2012</w:t>
            </w:r>
          </w:p>
        </w:tc>
      </w:tr>
      <w:tr w:rsidR="00A12A97" w14:paraId="5519B00D" w14:textId="77777777" w:rsidTr="00623F42">
        <w:trPr>
          <w:cantSplit/>
          <w:trHeight w:val="13"/>
        </w:trPr>
        <w:tc>
          <w:tcPr>
            <w:tcW w:w="0" w:type="auto"/>
            <w:tcBorders>
              <w:top w:val="single" w:sz="4" w:space="0" w:color="auto"/>
              <w:left w:val="nil"/>
              <w:bottom w:val="nil"/>
              <w:right w:val="nil"/>
            </w:tcBorders>
          </w:tcPr>
          <w:p w14:paraId="6E311B03" w14:textId="77777777" w:rsidR="00A12A97" w:rsidRPr="00E673EB" w:rsidRDefault="00A12A97" w:rsidP="00377F3A">
            <w:pPr>
              <w:pStyle w:val="TableText"/>
              <w:rPr>
                <w:lang w:eastAsia="en-AU"/>
              </w:rPr>
            </w:pPr>
            <w:r w:rsidRPr="00E673EB">
              <w:rPr>
                <w:lang w:eastAsia="en-AU"/>
              </w:rPr>
              <w:lastRenderedPageBreak/>
              <w:t>Fish</w:t>
            </w:r>
          </w:p>
        </w:tc>
        <w:tc>
          <w:tcPr>
            <w:tcW w:w="0" w:type="auto"/>
            <w:tcBorders>
              <w:top w:val="single" w:sz="4" w:space="0" w:color="auto"/>
              <w:left w:val="nil"/>
              <w:bottom w:val="nil"/>
              <w:right w:val="nil"/>
            </w:tcBorders>
          </w:tcPr>
          <w:p w14:paraId="6CE62D4F" w14:textId="77777777" w:rsidR="00A12A97" w:rsidRPr="00E673EB" w:rsidDel="00F524CF" w:rsidRDefault="00A12A97" w:rsidP="00377F3A">
            <w:pPr>
              <w:pStyle w:val="TableText"/>
            </w:pPr>
            <w:r>
              <w:t>Europe</w:t>
            </w:r>
          </w:p>
        </w:tc>
        <w:tc>
          <w:tcPr>
            <w:tcW w:w="0" w:type="auto"/>
            <w:tcBorders>
              <w:top w:val="single" w:sz="4" w:space="0" w:color="auto"/>
              <w:left w:val="nil"/>
              <w:bottom w:val="nil"/>
              <w:right w:val="nil"/>
            </w:tcBorders>
          </w:tcPr>
          <w:p w14:paraId="55652D34" w14:textId="37B8A692" w:rsidR="00A12A97" w:rsidRPr="00E673EB" w:rsidRDefault="00A12A97" w:rsidP="00377F3A">
            <w:pPr>
              <w:pStyle w:val="TableText"/>
            </w:pPr>
            <w:r w:rsidRPr="00E673EB">
              <w:t>Max liver residues</w:t>
            </w:r>
            <w:r w:rsidRPr="00E673EB" w:rsidDel="00F524CF">
              <w:t xml:space="preserve"> </w:t>
            </w:r>
            <w:r w:rsidRPr="00E673EB">
              <w:t>0.3 µg/kg in bream from two German rivers between 1992 and 2015</w:t>
            </w:r>
          </w:p>
        </w:tc>
        <w:tc>
          <w:tcPr>
            <w:tcW w:w="0" w:type="auto"/>
            <w:tcBorders>
              <w:top w:val="single" w:sz="4" w:space="0" w:color="auto"/>
              <w:left w:val="nil"/>
              <w:bottom w:val="nil"/>
              <w:right w:val="nil"/>
            </w:tcBorders>
          </w:tcPr>
          <w:p w14:paraId="25840753" w14:textId="6DCDEC4E" w:rsidR="00A12A97" w:rsidRPr="00E673EB" w:rsidRDefault="00A12A97" w:rsidP="00377F3A">
            <w:pPr>
              <w:pStyle w:val="TableText"/>
            </w:pPr>
            <w:r w:rsidRPr="00E673EB">
              <w:t xml:space="preserve">Kotthoff </w:t>
            </w:r>
            <w:r w:rsidR="00B7183A" w:rsidRPr="00B7183A">
              <w:rPr>
                <w:i/>
                <w:iCs/>
              </w:rPr>
              <w:t>et al</w:t>
            </w:r>
            <w:r w:rsidRPr="00E673EB">
              <w:t>. 2019</w:t>
            </w:r>
          </w:p>
        </w:tc>
      </w:tr>
      <w:tr w:rsidR="00A12A97" w14:paraId="016728E8" w14:textId="77777777" w:rsidTr="00623F42">
        <w:trPr>
          <w:cantSplit/>
          <w:trHeight w:val="13"/>
        </w:trPr>
        <w:tc>
          <w:tcPr>
            <w:tcW w:w="0" w:type="auto"/>
            <w:tcBorders>
              <w:top w:val="nil"/>
              <w:left w:val="nil"/>
              <w:bottom w:val="nil"/>
              <w:right w:val="nil"/>
            </w:tcBorders>
          </w:tcPr>
          <w:p w14:paraId="3B446235" w14:textId="77777777" w:rsidR="00A12A97" w:rsidRPr="00E673EB" w:rsidRDefault="00A12A97" w:rsidP="00377F3A">
            <w:pPr>
              <w:pStyle w:val="TableText"/>
              <w:rPr>
                <w:lang w:eastAsia="en-AU"/>
              </w:rPr>
            </w:pPr>
          </w:p>
        </w:tc>
        <w:tc>
          <w:tcPr>
            <w:tcW w:w="0" w:type="auto"/>
            <w:tcBorders>
              <w:top w:val="nil"/>
              <w:left w:val="nil"/>
              <w:bottom w:val="nil"/>
              <w:right w:val="nil"/>
            </w:tcBorders>
          </w:tcPr>
          <w:p w14:paraId="49786099" w14:textId="77777777" w:rsidR="00A12A97" w:rsidRPr="00E673EB" w:rsidRDefault="00A12A97" w:rsidP="00377F3A">
            <w:pPr>
              <w:pStyle w:val="TableText"/>
            </w:pPr>
          </w:p>
        </w:tc>
        <w:tc>
          <w:tcPr>
            <w:tcW w:w="0" w:type="auto"/>
            <w:tcBorders>
              <w:top w:val="nil"/>
              <w:left w:val="nil"/>
              <w:bottom w:val="nil"/>
              <w:right w:val="nil"/>
            </w:tcBorders>
          </w:tcPr>
          <w:p w14:paraId="2A1EA327" w14:textId="77777777" w:rsidR="00A12A97" w:rsidRPr="00E673EB" w:rsidRDefault="00A12A97" w:rsidP="00377F3A">
            <w:pPr>
              <w:pStyle w:val="TableText"/>
            </w:pPr>
            <w:r w:rsidRPr="00E673EB">
              <w:t>Max liver residues 1.0 µg/kg in 3/12 fish in receiving streams; not detected in 32 fish in bioaccumulation ponds of municipal wastewater treatment plants in Germany between 2013 and 2016</w:t>
            </w:r>
          </w:p>
        </w:tc>
        <w:tc>
          <w:tcPr>
            <w:tcW w:w="0" w:type="auto"/>
            <w:tcBorders>
              <w:top w:val="nil"/>
              <w:left w:val="nil"/>
              <w:bottom w:val="nil"/>
              <w:right w:val="nil"/>
            </w:tcBorders>
          </w:tcPr>
          <w:p w14:paraId="7465D346" w14:textId="0FEF6161" w:rsidR="00A12A97" w:rsidRPr="00E673EB" w:rsidRDefault="00A12A97" w:rsidP="00377F3A">
            <w:pPr>
              <w:pStyle w:val="TableText"/>
            </w:pPr>
            <w:r w:rsidRPr="00E673EB">
              <w:t xml:space="preserve">Regnery </w:t>
            </w:r>
            <w:r w:rsidR="00B7183A" w:rsidRPr="00B7183A">
              <w:rPr>
                <w:i/>
                <w:iCs/>
              </w:rPr>
              <w:t>et al</w:t>
            </w:r>
            <w:r w:rsidRPr="00E673EB">
              <w:t>. 2019</w:t>
            </w:r>
          </w:p>
        </w:tc>
      </w:tr>
      <w:tr w:rsidR="00A12A97" w14:paraId="206003D7" w14:textId="77777777" w:rsidTr="00623F42">
        <w:trPr>
          <w:cantSplit/>
          <w:trHeight w:val="13"/>
        </w:trPr>
        <w:tc>
          <w:tcPr>
            <w:tcW w:w="0" w:type="auto"/>
            <w:tcBorders>
              <w:top w:val="nil"/>
              <w:left w:val="nil"/>
              <w:bottom w:val="single" w:sz="4" w:space="0" w:color="auto"/>
              <w:right w:val="nil"/>
            </w:tcBorders>
          </w:tcPr>
          <w:p w14:paraId="22677DD7" w14:textId="77777777" w:rsidR="00A12A97" w:rsidRPr="00E673EB" w:rsidRDefault="00A12A97" w:rsidP="00377F3A">
            <w:pPr>
              <w:pStyle w:val="TableText"/>
              <w:rPr>
                <w:lang w:eastAsia="en-AU"/>
              </w:rPr>
            </w:pPr>
          </w:p>
        </w:tc>
        <w:tc>
          <w:tcPr>
            <w:tcW w:w="0" w:type="auto"/>
            <w:tcBorders>
              <w:top w:val="nil"/>
              <w:left w:val="nil"/>
              <w:bottom w:val="single" w:sz="4" w:space="0" w:color="auto"/>
              <w:right w:val="nil"/>
            </w:tcBorders>
          </w:tcPr>
          <w:p w14:paraId="775369DC" w14:textId="77777777" w:rsidR="00A12A97" w:rsidRPr="00E673EB" w:rsidRDefault="00A12A97" w:rsidP="00377F3A">
            <w:pPr>
              <w:pStyle w:val="TableText"/>
            </w:pPr>
          </w:p>
        </w:tc>
        <w:tc>
          <w:tcPr>
            <w:tcW w:w="0" w:type="auto"/>
            <w:tcBorders>
              <w:top w:val="nil"/>
              <w:left w:val="nil"/>
              <w:bottom w:val="single" w:sz="4" w:space="0" w:color="auto"/>
              <w:right w:val="nil"/>
            </w:tcBorders>
          </w:tcPr>
          <w:p w14:paraId="56110512" w14:textId="77777777" w:rsidR="00A12A97" w:rsidRPr="00E673EB" w:rsidRDefault="00A12A97" w:rsidP="00377F3A">
            <w:pPr>
              <w:pStyle w:val="TableText"/>
            </w:pPr>
            <w:r w:rsidRPr="00E673EB">
              <w:t>Max liver residues 1.7 µg/kg in 17/46 fish in receiving streams of municipal wastewater treatment plants in Germany in 2019</w:t>
            </w:r>
          </w:p>
        </w:tc>
        <w:tc>
          <w:tcPr>
            <w:tcW w:w="0" w:type="auto"/>
            <w:tcBorders>
              <w:top w:val="nil"/>
              <w:left w:val="nil"/>
              <w:bottom w:val="single" w:sz="4" w:space="0" w:color="auto"/>
              <w:right w:val="nil"/>
            </w:tcBorders>
          </w:tcPr>
          <w:p w14:paraId="65FC6FF5" w14:textId="6D776F39" w:rsidR="00A12A97" w:rsidRPr="00E673EB" w:rsidRDefault="00A12A97" w:rsidP="00377F3A">
            <w:pPr>
              <w:pStyle w:val="TableText"/>
            </w:pPr>
            <w:r w:rsidRPr="00E673EB">
              <w:t xml:space="preserve">Regnery </w:t>
            </w:r>
            <w:r w:rsidR="00B7183A" w:rsidRPr="00B7183A">
              <w:rPr>
                <w:i/>
                <w:iCs/>
              </w:rPr>
              <w:t>et al</w:t>
            </w:r>
            <w:r w:rsidRPr="00E673EB">
              <w:t>. 2020</w:t>
            </w:r>
          </w:p>
        </w:tc>
      </w:tr>
    </w:tbl>
    <w:p w14:paraId="7773912C" w14:textId="77777777" w:rsidR="00EE24E4" w:rsidRDefault="00EE24E4" w:rsidP="00377F3A">
      <w:pPr>
        <w:pStyle w:val="APVMAAppendixH3"/>
      </w:pPr>
      <w:bookmarkStart w:id="2141" w:name="_Toc214025629"/>
      <w:bookmarkStart w:id="2142" w:name="_Toc216695651"/>
      <w:r>
        <w:t>Effects on non-target species</w:t>
      </w:r>
      <w:bookmarkEnd w:id="2141"/>
      <w:bookmarkEnd w:id="2142"/>
    </w:p>
    <w:p w14:paraId="2C844F5B" w14:textId="670C20A1" w:rsidR="00980B2F" w:rsidRPr="00861CA0" w:rsidRDefault="00D560AB" w:rsidP="00377F3A">
      <w:pPr>
        <w:pStyle w:val="Caption"/>
      </w:pPr>
      <w:bookmarkStart w:id="2143" w:name="_Toc213946116"/>
      <w:bookmarkStart w:id="2144" w:name="_Toc216695807"/>
      <w:r>
        <w:t xml:space="preserve">Table </w:t>
      </w:r>
      <w:r>
        <w:fldChar w:fldCharType="begin"/>
      </w:r>
      <w:r>
        <w:instrText xml:space="preserve"> SEQ Table \* ARABIC </w:instrText>
      </w:r>
      <w:r>
        <w:fldChar w:fldCharType="separate"/>
      </w:r>
      <w:r w:rsidR="003861AC">
        <w:rPr>
          <w:noProof/>
        </w:rPr>
        <w:t>145</w:t>
      </w:r>
      <w:r>
        <w:fldChar w:fldCharType="end"/>
      </w:r>
      <w:r>
        <w:t xml:space="preserve">: </w:t>
      </w:r>
      <w:r w:rsidR="000D594D">
        <w:t xml:space="preserve">Flocoumafen – </w:t>
      </w:r>
      <w:r w:rsidR="00980B2F">
        <w:t>Primary poisoning studies on terrestrial vertebrates</w:t>
      </w:r>
      <w:bookmarkEnd w:id="2143"/>
      <w:bookmarkEnd w:id="2144"/>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3"/>
        <w:gridCol w:w="1077"/>
        <w:gridCol w:w="2126"/>
        <w:gridCol w:w="2364"/>
        <w:gridCol w:w="2948"/>
      </w:tblGrid>
      <w:tr w:rsidR="000D594D" w:rsidRPr="000B2FA7" w14:paraId="16A8B274" w14:textId="77777777" w:rsidTr="0017134F">
        <w:trPr>
          <w:tblHeader/>
        </w:trPr>
        <w:tc>
          <w:tcPr>
            <w:tcW w:w="0" w:type="auto"/>
            <w:tcBorders>
              <w:bottom w:val="single" w:sz="4" w:space="0" w:color="auto"/>
            </w:tcBorders>
            <w:shd w:val="clear" w:color="auto" w:fill="53284F"/>
          </w:tcPr>
          <w:p w14:paraId="759F19E5" w14:textId="77777777" w:rsidR="000D594D" w:rsidRDefault="000D594D" w:rsidP="00377F3A">
            <w:pPr>
              <w:pStyle w:val="TableHead"/>
            </w:pPr>
            <w:r>
              <w:t>Group</w:t>
            </w:r>
          </w:p>
        </w:tc>
        <w:tc>
          <w:tcPr>
            <w:tcW w:w="0" w:type="auto"/>
            <w:tcBorders>
              <w:bottom w:val="single" w:sz="4" w:space="0" w:color="auto"/>
            </w:tcBorders>
            <w:shd w:val="clear" w:color="auto" w:fill="53284F"/>
          </w:tcPr>
          <w:p w14:paraId="73B1687D" w14:textId="77777777" w:rsidR="000D594D" w:rsidRDefault="000D594D" w:rsidP="00377F3A">
            <w:pPr>
              <w:pStyle w:val="TableHead"/>
            </w:pPr>
            <w:r>
              <w:t>Exposure</w:t>
            </w:r>
          </w:p>
        </w:tc>
        <w:tc>
          <w:tcPr>
            <w:tcW w:w="0" w:type="auto"/>
            <w:tcBorders>
              <w:bottom w:val="single" w:sz="4" w:space="0" w:color="auto"/>
            </w:tcBorders>
            <w:shd w:val="clear" w:color="auto" w:fill="53284F"/>
          </w:tcPr>
          <w:p w14:paraId="78027ED0"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12C7F810" w14:textId="77777777" w:rsidR="000D594D" w:rsidRPr="00CA558C" w:rsidRDefault="000D594D" w:rsidP="00377F3A">
            <w:pPr>
              <w:pStyle w:val="TableHead"/>
            </w:pPr>
            <w:r>
              <w:t>Toxicity v</w:t>
            </w:r>
            <w:r w:rsidRPr="00CA558C">
              <w:t>alue</w:t>
            </w:r>
            <w:r>
              <w:rPr>
                <w:rStyle w:val="FootnoteReference"/>
                <w:rFonts w:ascii="Arial" w:hAnsi="Arial"/>
                <w:b/>
                <w:sz w:val="17"/>
                <w:szCs w:val="17"/>
              </w:rPr>
              <w:footnoteReference w:id="33"/>
            </w:r>
          </w:p>
        </w:tc>
        <w:tc>
          <w:tcPr>
            <w:tcW w:w="0" w:type="auto"/>
            <w:tcBorders>
              <w:bottom w:val="single" w:sz="4" w:space="0" w:color="auto"/>
            </w:tcBorders>
            <w:shd w:val="clear" w:color="auto" w:fill="53284F"/>
          </w:tcPr>
          <w:p w14:paraId="1C843317" w14:textId="77777777" w:rsidR="000D594D" w:rsidRPr="00CA558C" w:rsidRDefault="000D594D" w:rsidP="00377F3A">
            <w:pPr>
              <w:pStyle w:val="TableHead"/>
            </w:pPr>
            <w:r>
              <w:t>Reference</w:t>
            </w:r>
          </w:p>
        </w:tc>
      </w:tr>
      <w:tr w:rsidR="000D594D" w:rsidRPr="000B2FA7" w14:paraId="6A7C7FB7" w14:textId="77777777" w:rsidTr="000D594D">
        <w:tc>
          <w:tcPr>
            <w:tcW w:w="0" w:type="auto"/>
            <w:tcBorders>
              <w:top w:val="single" w:sz="4" w:space="0" w:color="auto"/>
              <w:left w:val="nil"/>
              <w:bottom w:val="single" w:sz="4" w:space="0" w:color="auto"/>
              <w:right w:val="nil"/>
            </w:tcBorders>
          </w:tcPr>
          <w:p w14:paraId="38F0788C" w14:textId="77777777" w:rsidR="000D594D" w:rsidRDefault="000D594D" w:rsidP="00377F3A">
            <w:pPr>
              <w:pStyle w:val="TableText"/>
            </w:pPr>
            <w:r>
              <w:t>Mammals</w:t>
            </w:r>
          </w:p>
        </w:tc>
        <w:tc>
          <w:tcPr>
            <w:tcW w:w="0" w:type="auto"/>
            <w:tcBorders>
              <w:top w:val="single" w:sz="4" w:space="0" w:color="auto"/>
              <w:left w:val="nil"/>
              <w:bottom w:val="single" w:sz="4" w:space="0" w:color="auto"/>
              <w:right w:val="nil"/>
            </w:tcBorders>
          </w:tcPr>
          <w:p w14:paraId="7C4D6B45" w14:textId="77777777" w:rsidR="000D594D" w:rsidRDefault="000D594D" w:rsidP="00377F3A">
            <w:pPr>
              <w:pStyle w:val="TableText"/>
            </w:pPr>
            <w:r>
              <w:t>Acute</w:t>
            </w:r>
          </w:p>
        </w:tc>
        <w:tc>
          <w:tcPr>
            <w:tcW w:w="0" w:type="auto"/>
            <w:tcBorders>
              <w:top w:val="single" w:sz="4" w:space="0" w:color="auto"/>
              <w:left w:val="nil"/>
              <w:bottom w:val="single" w:sz="4" w:space="0" w:color="auto"/>
              <w:right w:val="nil"/>
            </w:tcBorders>
          </w:tcPr>
          <w:p w14:paraId="41194328" w14:textId="77777777" w:rsidR="000D594D" w:rsidRDefault="000D594D" w:rsidP="00377F3A">
            <w:pPr>
              <w:pStyle w:val="TableText"/>
            </w:pPr>
            <w:r>
              <w:t>Rattus norvegicus</w:t>
            </w:r>
          </w:p>
        </w:tc>
        <w:tc>
          <w:tcPr>
            <w:tcW w:w="0" w:type="auto"/>
            <w:tcBorders>
              <w:top w:val="single" w:sz="4" w:space="0" w:color="auto"/>
              <w:left w:val="nil"/>
              <w:bottom w:val="single" w:sz="4" w:space="0" w:color="auto"/>
              <w:right w:val="nil"/>
            </w:tcBorders>
          </w:tcPr>
          <w:p w14:paraId="01323093" w14:textId="77777777" w:rsidR="000D594D" w:rsidRDefault="000D594D" w:rsidP="00377F3A">
            <w:pPr>
              <w:pStyle w:val="TableText"/>
            </w:pPr>
            <w:r>
              <w:t>LD</w:t>
            </w:r>
            <w:r w:rsidRPr="008F0F00">
              <w:rPr>
                <w:vertAlign w:val="subscript"/>
              </w:rPr>
              <w:t>50</w:t>
            </w:r>
            <w:r>
              <w:t xml:space="preserve"> 0.13 mg/kg bw</w:t>
            </w:r>
          </w:p>
        </w:tc>
        <w:tc>
          <w:tcPr>
            <w:tcW w:w="0" w:type="auto"/>
            <w:tcBorders>
              <w:top w:val="single" w:sz="4" w:space="0" w:color="auto"/>
              <w:left w:val="nil"/>
              <w:bottom w:val="single" w:sz="4" w:space="0" w:color="auto"/>
              <w:right w:val="nil"/>
            </w:tcBorders>
          </w:tcPr>
          <w:p w14:paraId="7D7E1F1C" w14:textId="77777777" w:rsidR="000D594D" w:rsidRDefault="000D594D" w:rsidP="00377F3A">
            <w:pPr>
              <w:pStyle w:val="TableText"/>
            </w:pPr>
            <w:r>
              <w:t>Price 1984</w:t>
            </w:r>
          </w:p>
        </w:tc>
      </w:tr>
      <w:tr w:rsidR="000D594D" w:rsidRPr="000B2FA7" w14:paraId="0A61FD9D" w14:textId="77777777" w:rsidTr="000D594D">
        <w:tc>
          <w:tcPr>
            <w:tcW w:w="0" w:type="auto"/>
            <w:tcBorders>
              <w:top w:val="single" w:sz="4" w:space="0" w:color="auto"/>
              <w:left w:val="nil"/>
              <w:bottom w:val="nil"/>
              <w:right w:val="nil"/>
            </w:tcBorders>
          </w:tcPr>
          <w:p w14:paraId="3A87361E" w14:textId="77777777" w:rsidR="000D594D" w:rsidRDefault="000D594D" w:rsidP="00377F3A">
            <w:pPr>
              <w:pStyle w:val="TableText"/>
            </w:pPr>
            <w:r>
              <w:t>Birds</w:t>
            </w:r>
          </w:p>
        </w:tc>
        <w:tc>
          <w:tcPr>
            <w:tcW w:w="0" w:type="auto"/>
            <w:tcBorders>
              <w:top w:val="single" w:sz="4" w:space="0" w:color="auto"/>
              <w:left w:val="nil"/>
              <w:bottom w:val="nil"/>
              <w:right w:val="nil"/>
            </w:tcBorders>
          </w:tcPr>
          <w:p w14:paraId="7033DF82" w14:textId="77777777" w:rsidR="000D594D" w:rsidRDefault="000D594D" w:rsidP="00377F3A">
            <w:pPr>
              <w:pStyle w:val="TableText"/>
            </w:pPr>
            <w:r>
              <w:t>Acute</w:t>
            </w:r>
          </w:p>
        </w:tc>
        <w:tc>
          <w:tcPr>
            <w:tcW w:w="0" w:type="auto"/>
            <w:tcBorders>
              <w:top w:val="single" w:sz="4" w:space="0" w:color="auto"/>
              <w:left w:val="nil"/>
              <w:bottom w:val="nil"/>
              <w:right w:val="nil"/>
            </w:tcBorders>
          </w:tcPr>
          <w:p w14:paraId="11126A6D" w14:textId="77777777" w:rsidR="000D594D" w:rsidRDefault="000D594D" w:rsidP="00377F3A">
            <w:pPr>
              <w:pStyle w:val="TableText"/>
            </w:pPr>
            <w:r>
              <w:t>Anas platyrhynchos</w:t>
            </w:r>
          </w:p>
        </w:tc>
        <w:tc>
          <w:tcPr>
            <w:tcW w:w="0" w:type="auto"/>
            <w:tcBorders>
              <w:top w:val="single" w:sz="4" w:space="0" w:color="auto"/>
              <w:left w:val="nil"/>
              <w:bottom w:val="nil"/>
              <w:right w:val="nil"/>
            </w:tcBorders>
          </w:tcPr>
          <w:p w14:paraId="0A89962B" w14:textId="77777777" w:rsidR="000D594D" w:rsidRDefault="000D594D" w:rsidP="00377F3A">
            <w:pPr>
              <w:pStyle w:val="TableText"/>
            </w:pPr>
            <w:r>
              <w:t>LD</w:t>
            </w:r>
            <w:r w:rsidRPr="008F0F00">
              <w:rPr>
                <w:vertAlign w:val="subscript"/>
              </w:rPr>
              <w:t>50</w:t>
            </w:r>
            <w:r>
              <w:t xml:space="preserve"> 24 mg/kg bw</w:t>
            </w:r>
          </w:p>
        </w:tc>
        <w:tc>
          <w:tcPr>
            <w:tcW w:w="0" w:type="auto"/>
            <w:tcBorders>
              <w:top w:val="single" w:sz="4" w:space="0" w:color="auto"/>
              <w:left w:val="nil"/>
              <w:bottom w:val="nil"/>
              <w:right w:val="nil"/>
            </w:tcBorders>
          </w:tcPr>
          <w:p w14:paraId="5B52966F" w14:textId="77777777" w:rsidR="000D594D" w:rsidRDefault="000D594D" w:rsidP="00377F3A">
            <w:pPr>
              <w:pStyle w:val="TableText"/>
            </w:pPr>
            <w:r>
              <w:t>Roberts 1985a, 1985b</w:t>
            </w:r>
          </w:p>
        </w:tc>
      </w:tr>
      <w:tr w:rsidR="000D594D" w:rsidRPr="000B2FA7" w14:paraId="429E9E2F" w14:textId="77777777" w:rsidTr="000D594D">
        <w:tc>
          <w:tcPr>
            <w:tcW w:w="0" w:type="auto"/>
            <w:tcBorders>
              <w:top w:val="nil"/>
              <w:left w:val="nil"/>
              <w:bottom w:val="nil"/>
              <w:right w:val="nil"/>
            </w:tcBorders>
          </w:tcPr>
          <w:p w14:paraId="1A7000D3" w14:textId="77777777" w:rsidR="000D594D" w:rsidRDefault="000D594D" w:rsidP="00377F3A">
            <w:pPr>
              <w:pStyle w:val="TableText"/>
            </w:pPr>
          </w:p>
        </w:tc>
        <w:tc>
          <w:tcPr>
            <w:tcW w:w="0" w:type="auto"/>
            <w:tcBorders>
              <w:top w:val="nil"/>
              <w:left w:val="nil"/>
              <w:bottom w:val="nil"/>
              <w:right w:val="nil"/>
            </w:tcBorders>
          </w:tcPr>
          <w:p w14:paraId="55DC57D2" w14:textId="77777777" w:rsidR="000D594D" w:rsidRDefault="000D594D" w:rsidP="00377F3A">
            <w:pPr>
              <w:pStyle w:val="TableText"/>
            </w:pPr>
            <w:r>
              <w:t>Dietary</w:t>
            </w:r>
          </w:p>
        </w:tc>
        <w:tc>
          <w:tcPr>
            <w:tcW w:w="0" w:type="auto"/>
            <w:tcBorders>
              <w:top w:val="nil"/>
              <w:left w:val="nil"/>
              <w:bottom w:val="nil"/>
              <w:right w:val="nil"/>
            </w:tcBorders>
          </w:tcPr>
          <w:p w14:paraId="012203D6" w14:textId="77777777" w:rsidR="000D594D" w:rsidRDefault="000D594D" w:rsidP="00377F3A">
            <w:pPr>
              <w:pStyle w:val="TableText"/>
            </w:pPr>
            <w:r>
              <w:t>Anas platyrhynchos</w:t>
            </w:r>
          </w:p>
        </w:tc>
        <w:tc>
          <w:tcPr>
            <w:tcW w:w="0" w:type="auto"/>
            <w:tcBorders>
              <w:top w:val="nil"/>
              <w:left w:val="nil"/>
              <w:bottom w:val="nil"/>
              <w:right w:val="nil"/>
            </w:tcBorders>
          </w:tcPr>
          <w:p w14:paraId="10F9D57A"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5.6 mg/kg bw/d</w:t>
            </w:r>
          </w:p>
        </w:tc>
        <w:tc>
          <w:tcPr>
            <w:tcW w:w="0" w:type="auto"/>
            <w:tcBorders>
              <w:top w:val="nil"/>
              <w:left w:val="nil"/>
              <w:bottom w:val="nil"/>
              <w:right w:val="nil"/>
            </w:tcBorders>
          </w:tcPr>
          <w:p w14:paraId="5B7F6DA8" w14:textId="19F2C543" w:rsidR="000D594D" w:rsidRDefault="000D594D" w:rsidP="00377F3A">
            <w:pPr>
              <w:pStyle w:val="TableText"/>
            </w:pPr>
            <w:r>
              <w:t xml:space="preserve">Gallagher </w:t>
            </w:r>
            <w:r w:rsidR="00B7183A" w:rsidRPr="00B7183A">
              <w:rPr>
                <w:i/>
                <w:iCs/>
              </w:rPr>
              <w:t>et al</w:t>
            </w:r>
            <w:r>
              <w:t>. 2002a</w:t>
            </w:r>
          </w:p>
        </w:tc>
      </w:tr>
      <w:tr w:rsidR="000D594D" w:rsidRPr="000B2FA7" w14:paraId="3DB9330C" w14:textId="77777777" w:rsidTr="000D594D">
        <w:tc>
          <w:tcPr>
            <w:tcW w:w="0" w:type="auto"/>
            <w:tcBorders>
              <w:top w:val="nil"/>
              <w:left w:val="nil"/>
              <w:bottom w:val="nil"/>
              <w:right w:val="nil"/>
            </w:tcBorders>
          </w:tcPr>
          <w:p w14:paraId="3199D75C" w14:textId="77777777" w:rsidR="000D594D" w:rsidRDefault="000D594D" w:rsidP="00377F3A">
            <w:pPr>
              <w:pStyle w:val="TableText"/>
            </w:pPr>
          </w:p>
        </w:tc>
        <w:tc>
          <w:tcPr>
            <w:tcW w:w="0" w:type="auto"/>
            <w:tcBorders>
              <w:top w:val="nil"/>
              <w:left w:val="nil"/>
              <w:bottom w:val="nil"/>
              <w:right w:val="nil"/>
            </w:tcBorders>
          </w:tcPr>
          <w:p w14:paraId="75E7BB56" w14:textId="77777777" w:rsidR="000D594D" w:rsidRDefault="000D594D" w:rsidP="00377F3A">
            <w:pPr>
              <w:pStyle w:val="TableText"/>
            </w:pPr>
          </w:p>
        </w:tc>
        <w:tc>
          <w:tcPr>
            <w:tcW w:w="0" w:type="auto"/>
            <w:tcBorders>
              <w:top w:val="nil"/>
              <w:left w:val="nil"/>
              <w:bottom w:val="nil"/>
              <w:right w:val="nil"/>
            </w:tcBorders>
          </w:tcPr>
          <w:p w14:paraId="560AC70E" w14:textId="77777777" w:rsidR="000D594D" w:rsidRDefault="000D594D" w:rsidP="00377F3A">
            <w:pPr>
              <w:pStyle w:val="TableText"/>
            </w:pPr>
          </w:p>
        </w:tc>
        <w:tc>
          <w:tcPr>
            <w:tcW w:w="0" w:type="auto"/>
            <w:tcBorders>
              <w:top w:val="nil"/>
              <w:left w:val="nil"/>
              <w:bottom w:val="nil"/>
              <w:right w:val="nil"/>
            </w:tcBorders>
          </w:tcPr>
          <w:p w14:paraId="768344D1"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2.7 mg/kg bw/d</w:t>
            </w:r>
          </w:p>
        </w:tc>
        <w:tc>
          <w:tcPr>
            <w:tcW w:w="0" w:type="auto"/>
            <w:tcBorders>
              <w:top w:val="nil"/>
              <w:left w:val="nil"/>
              <w:bottom w:val="nil"/>
              <w:right w:val="nil"/>
            </w:tcBorders>
          </w:tcPr>
          <w:p w14:paraId="24F3F2E0" w14:textId="11865005" w:rsidR="000D594D" w:rsidRDefault="000D594D" w:rsidP="00377F3A">
            <w:pPr>
              <w:pStyle w:val="TableText"/>
            </w:pPr>
            <w:r>
              <w:t xml:space="preserve">Roberts </w:t>
            </w:r>
            <w:r w:rsidR="00B7183A" w:rsidRPr="00B7183A">
              <w:rPr>
                <w:i/>
                <w:iCs/>
              </w:rPr>
              <w:t>et al</w:t>
            </w:r>
            <w:r>
              <w:t>. 1985c, 1985d</w:t>
            </w:r>
          </w:p>
        </w:tc>
      </w:tr>
      <w:tr w:rsidR="000D594D" w:rsidRPr="000B2FA7" w14:paraId="52041EFB" w14:textId="77777777" w:rsidTr="000D594D">
        <w:tc>
          <w:tcPr>
            <w:tcW w:w="0" w:type="auto"/>
            <w:tcBorders>
              <w:top w:val="nil"/>
              <w:left w:val="nil"/>
              <w:bottom w:val="nil"/>
              <w:right w:val="nil"/>
            </w:tcBorders>
          </w:tcPr>
          <w:p w14:paraId="59DE71EA" w14:textId="77777777" w:rsidR="000D594D" w:rsidRDefault="000D594D" w:rsidP="00377F3A">
            <w:pPr>
              <w:pStyle w:val="TableText"/>
            </w:pPr>
          </w:p>
        </w:tc>
        <w:tc>
          <w:tcPr>
            <w:tcW w:w="0" w:type="auto"/>
            <w:tcBorders>
              <w:top w:val="nil"/>
              <w:left w:val="nil"/>
              <w:bottom w:val="nil"/>
              <w:right w:val="nil"/>
            </w:tcBorders>
          </w:tcPr>
          <w:p w14:paraId="45C50136" w14:textId="77777777" w:rsidR="000D594D" w:rsidRDefault="000D594D" w:rsidP="00377F3A">
            <w:pPr>
              <w:pStyle w:val="TableText"/>
            </w:pPr>
          </w:p>
        </w:tc>
        <w:tc>
          <w:tcPr>
            <w:tcW w:w="0" w:type="auto"/>
            <w:tcBorders>
              <w:top w:val="nil"/>
              <w:left w:val="nil"/>
              <w:bottom w:val="nil"/>
              <w:right w:val="nil"/>
            </w:tcBorders>
          </w:tcPr>
          <w:p w14:paraId="31CC6157" w14:textId="77777777" w:rsidR="000D594D" w:rsidRDefault="000D594D" w:rsidP="00377F3A">
            <w:pPr>
              <w:pStyle w:val="TableText"/>
            </w:pPr>
            <w:r>
              <w:t>Colinus virginianus</w:t>
            </w:r>
          </w:p>
        </w:tc>
        <w:tc>
          <w:tcPr>
            <w:tcW w:w="0" w:type="auto"/>
            <w:tcBorders>
              <w:top w:val="nil"/>
              <w:left w:val="nil"/>
              <w:bottom w:val="nil"/>
              <w:right w:val="nil"/>
            </w:tcBorders>
          </w:tcPr>
          <w:p w14:paraId="08BF0F97"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14 mg/kg bw/d</w:t>
            </w:r>
          </w:p>
        </w:tc>
        <w:tc>
          <w:tcPr>
            <w:tcW w:w="0" w:type="auto"/>
            <w:tcBorders>
              <w:top w:val="nil"/>
              <w:left w:val="nil"/>
              <w:bottom w:val="nil"/>
              <w:right w:val="nil"/>
            </w:tcBorders>
          </w:tcPr>
          <w:p w14:paraId="24C5C430" w14:textId="68B87787" w:rsidR="000D594D" w:rsidRDefault="000D594D" w:rsidP="00377F3A">
            <w:pPr>
              <w:pStyle w:val="TableText"/>
            </w:pPr>
            <w:r>
              <w:t xml:space="preserve">Gallagher </w:t>
            </w:r>
            <w:r w:rsidR="00B7183A" w:rsidRPr="00B7183A">
              <w:rPr>
                <w:i/>
                <w:iCs/>
              </w:rPr>
              <w:t>et al</w:t>
            </w:r>
            <w:r>
              <w:t>. 2002b</w:t>
            </w:r>
          </w:p>
        </w:tc>
      </w:tr>
      <w:tr w:rsidR="000D594D" w:rsidRPr="00136C92" w14:paraId="7B70539E" w14:textId="77777777" w:rsidTr="000D594D">
        <w:tc>
          <w:tcPr>
            <w:tcW w:w="0" w:type="auto"/>
            <w:tcBorders>
              <w:top w:val="nil"/>
              <w:left w:val="nil"/>
              <w:bottom w:val="nil"/>
              <w:right w:val="nil"/>
            </w:tcBorders>
          </w:tcPr>
          <w:p w14:paraId="4E4E5FBE" w14:textId="77777777" w:rsidR="000D594D" w:rsidRDefault="000D594D" w:rsidP="00377F3A">
            <w:pPr>
              <w:pStyle w:val="TableText"/>
            </w:pPr>
          </w:p>
        </w:tc>
        <w:tc>
          <w:tcPr>
            <w:tcW w:w="0" w:type="auto"/>
            <w:tcBorders>
              <w:top w:val="nil"/>
              <w:left w:val="nil"/>
              <w:bottom w:val="nil"/>
              <w:right w:val="nil"/>
            </w:tcBorders>
          </w:tcPr>
          <w:p w14:paraId="2FBBE899" w14:textId="77777777" w:rsidR="000D594D" w:rsidRDefault="000D594D" w:rsidP="00377F3A">
            <w:pPr>
              <w:pStyle w:val="TableText"/>
            </w:pPr>
          </w:p>
        </w:tc>
        <w:tc>
          <w:tcPr>
            <w:tcW w:w="0" w:type="auto"/>
            <w:tcBorders>
              <w:top w:val="nil"/>
              <w:left w:val="nil"/>
              <w:bottom w:val="nil"/>
              <w:right w:val="nil"/>
            </w:tcBorders>
          </w:tcPr>
          <w:p w14:paraId="56D707A1" w14:textId="77777777" w:rsidR="000D594D" w:rsidRDefault="000D594D" w:rsidP="00377F3A">
            <w:pPr>
              <w:pStyle w:val="TableText"/>
            </w:pPr>
            <w:r>
              <w:t>Coturnix japonica</w:t>
            </w:r>
          </w:p>
        </w:tc>
        <w:tc>
          <w:tcPr>
            <w:tcW w:w="0" w:type="auto"/>
            <w:tcBorders>
              <w:top w:val="nil"/>
              <w:left w:val="nil"/>
              <w:bottom w:val="nil"/>
              <w:right w:val="nil"/>
            </w:tcBorders>
          </w:tcPr>
          <w:p w14:paraId="124C815C" w14:textId="77777777" w:rsidR="000D594D" w:rsidRPr="006F78D3" w:rsidRDefault="000D594D" w:rsidP="00377F3A">
            <w:pPr>
              <w:pStyle w:val="TableText"/>
              <w:rPr>
                <w:lang w:val="de-CH"/>
              </w:rPr>
            </w:pPr>
            <w:r w:rsidRPr="006F78D3">
              <w:rPr>
                <w:lang w:val="de-CH"/>
              </w:rPr>
              <w:t>LDD</w:t>
            </w:r>
            <w:r w:rsidRPr="00F85D43">
              <w:rPr>
                <w:vertAlign w:val="subscript"/>
                <w:lang w:val="de-CH"/>
              </w:rPr>
              <w:t>50</w:t>
            </w:r>
            <w:r w:rsidRPr="006F78D3">
              <w:rPr>
                <w:lang w:val="de-CH"/>
              </w:rPr>
              <w:t xml:space="preserve"> 14 mg/kg bw/d</w:t>
            </w:r>
          </w:p>
        </w:tc>
        <w:tc>
          <w:tcPr>
            <w:tcW w:w="0" w:type="auto"/>
            <w:tcBorders>
              <w:top w:val="nil"/>
              <w:left w:val="nil"/>
              <w:bottom w:val="nil"/>
              <w:right w:val="nil"/>
            </w:tcBorders>
          </w:tcPr>
          <w:p w14:paraId="1C0B600B" w14:textId="07CE5A3A" w:rsidR="000D594D" w:rsidRPr="006F78D3" w:rsidRDefault="000D594D" w:rsidP="00377F3A">
            <w:pPr>
              <w:pStyle w:val="TableText"/>
              <w:rPr>
                <w:lang w:val="de-CH"/>
              </w:rPr>
            </w:pPr>
            <w:r w:rsidRPr="006F78D3">
              <w:rPr>
                <w:lang w:val="de-CH"/>
              </w:rPr>
              <w:t xml:space="preserve">Roberts </w:t>
            </w:r>
            <w:r w:rsidR="00B7183A" w:rsidRPr="00B7183A">
              <w:rPr>
                <w:i/>
                <w:iCs/>
                <w:lang w:val="de-CH"/>
              </w:rPr>
              <w:t>et al</w:t>
            </w:r>
            <w:r w:rsidRPr="006F78D3">
              <w:rPr>
                <w:lang w:val="de-CH"/>
              </w:rPr>
              <w:t>. 1985e, 1985f</w:t>
            </w:r>
          </w:p>
        </w:tc>
      </w:tr>
      <w:tr w:rsidR="000D594D" w:rsidRPr="000B2FA7" w14:paraId="446CA64B" w14:textId="77777777" w:rsidTr="000D594D">
        <w:tc>
          <w:tcPr>
            <w:tcW w:w="0" w:type="auto"/>
            <w:tcBorders>
              <w:top w:val="nil"/>
              <w:left w:val="nil"/>
              <w:bottom w:val="single" w:sz="4" w:space="0" w:color="auto"/>
              <w:right w:val="nil"/>
            </w:tcBorders>
          </w:tcPr>
          <w:p w14:paraId="2FA55DCC" w14:textId="77777777" w:rsidR="000D594D" w:rsidRPr="006F78D3" w:rsidRDefault="000D594D" w:rsidP="00377F3A">
            <w:pPr>
              <w:pStyle w:val="TableText"/>
              <w:rPr>
                <w:lang w:val="de-CH"/>
              </w:rPr>
            </w:pPr>
          </w:p>
        </w:tc>
        <w:tc>
          <w:tcPr>
            <w:tcW w:w="0" w:type="auto"/>
            <w:tcBorders>
              <w:top w:val="nil"/>
              <w:left w:val="nil"/>
              <w:bottom w:val="single" w:sz="4" w:space="0" w:color="auto"/>
              <w:right w:val="nil"/>
            </w:tcBorders>
          </w:tcPr>
          <w:p w14:paraId="760C1999" w14:textId="77777777" w:rsidR="000D594D" w:rsidRPr="006F78D3" w:rsidRDefault="000D594D" w:rsidP="00377F3A">
            <w:pPr>
              <w:pStyle w:val="TableText"/>
              <w:rPr>
                <w:lang w:val="de-CH"/>
              </w:rPr>
            </w:pPr>
          </w:p>
        </w:tc>
        <w:tc>
          <w:tcPr>
            <w:tcW w:w="0" w:type="auto"/>
            <w:tcBorders>
              <w:top w:val="nil"/>
              <w:left w:val="nil"/>
              <w:bottom w:val="single" w:sz="4" w:space="0" w:color="auto"/>
              <w:right w:val="nil"/>
            </w:tcBorders>
          </w:tcPr>
          <w:p w14:paraId="493EEF27" w14:textId="77777777" w:rsidR="000D594D" w:rsidRDefault="000D594D" w:rsidP="00377F3A">
            <w:pPr>
              <w:pStyle w:val="TableText"/>
            </w:pPr>
            <w:r>
              <w:t>Gallus domesticus</w:t>
            </w:r>
          </w:p>
        </w:tc>
        <w:tc>
          <w:tcPr>
            <w:tcW w:w="0" w:type="auto"/>
            <w:tcBorders>
              <w:top w:val="nil"/>
              <w:left w:val="nil"/>
              <w:bottom w:val="single" w:sz="4" w:space="0" w:color="auto"/>
              <w:right w:val="nil"/>
            </w:tcBorders>
          </w:tcPr>
          <w:p w14:paraId="0E698CA7" w14:textId="77777777" w:rsidR="000D594D" w:rsidRDefault="000D594D" w:rsidP="00377F3A">
            <w:pPr>
              <w:pStyle w:val="TableText"/>
            </w:pPr>
            <w:r>
              <w:t>LC</w:t>
            </w:r>
            <w:r w:rsidRPr="00834296">
              <w:rPr>
                <w:vertAlign w:val="subscript"/>
              </w:rPr>
              <w:t>50</w:t>
            </w:r>
            <w:r>
              <w:t xml:space="preserve"> 16 mg/kg food</w:t>
            </w:r>
          </w:p>
        </w:tc>
        <w:tc>
          <w:tcPr>
            <w:tcW w:w="0" w:type="auto"/>
            <w:tcBorders>
              <w:top w:val="nil"/>
              <w:left w:val="nil"/>
              <w:bottom w:val="single" w:sz="4" w:space="0" w:color="auto"/>
              <w:right w:val="nil"/>
            </w:tcBorders>
          </w:tcPr>
          <w:p w14:paraId="0245A236" w14:textId="126810EE" w:rsidR="000D594D" w:rsidRDefault="000D594D" w:rsidP="00377F3A">
            <w:pPr>
              <w:pStyle w:val="TableText"/>
            </w:pPr>
            <w:r>
              <w:t xml:space="preserve">Eadsforth </w:t>
            </w:r>
            <w:r w:rsidR="00B7183A" w:rsidRPr="00B7183A">
              <w:rPr>
                <w:i/>
                <w:iCs/>
              </w:rPr>
              <w:t>et al</w:t>
            </w:r>
            <w:r>
              <w:t>. 1993</w:t>
            </w:r>
          </w:p>
        </w:tc>
      </w:tr>
    </w:tbl>
    <w:p w14:paraId="17345954" w14:textId="77777777" w:rsidR="00980B2F" w:rsidRPr="004249C4" w:rsidRDefault="00980B2F" w:rsidP="00980B2F">
      <w:pPr>
        <w:rPr>
          <w:rStyle w:val="APVMASuperscript"/>
          <w:sz w:val="15"/>
          <w:szCs w:val="15"/>
          <w:vertAlign w:val="baseline"/>
        </w:rPr>
      </w:pPr>
      <w:r w:rsidRPr="004249C4">
        <w:rPr>
          <w:rStyle w:val="APVMASuperscript"/>
          <w:sz w:val="15"/>
          <w:szCs w:val="15"/>
          <w:vertAlign w:val="baseline"/>
        </w:rPr>
        <w:t>AV: avoidance factor (1.0 =no avoidance, 0= 100% avoidance); PD: proportion of diet (1.0 = 100% food consumed, 0= no food consumed)</w:t>
      </w:r>
    </w:p>
    <w:p w14:paraId="4E5399F8" w14:textId="18ACDF51" w:rsidR="00980B2F" w:rsidRPr="00861CA0" w:rsidRDefault="00D560AB" w:rsidP="00377F3A">
      <w:pPr>
        <w:pStyle w:val="Caption"/>
      </w:pPr>
      <w:bookmarkStart w:id="2145" w:name="_Toc213946117"/>
      <w:bookmarkStart w:id="2146" w:name="_Toc216695808"/>
      <w:r>
        <w:t xml:space="preserve">Table </w:t>
      </w:r>
      <w:r>
        <w:fldChar w:fldCharType="begin"/>
      </w:r>
      <w:r>
        <w:instrText xml:space="preserve"> SEQ Table \* ARABIC </w:instrText>
      </w:r>
      <w:r>
        <w:fldChar w:fldCharType="separate"/>
      </w:r>
      <w:r w:rsidR="003861AC">
        <w:rPr>
          <w:noProof/>
        </w:rPr>
        <w:t>146</w:t>
      </w:r>
      <w:r>
        <w:fldChar w:fldCharType="end"/>
      </w:r>
      <w:r>
        <w:t xml:space="preserve">: </w:t>
      </w:r>
      <w:r w:rsidR="000D594D">
        <w:t xml:space="preserve">Flocoumafen – </w:t>
      </w:r>
      <w:r w:rsidR="00980B2F">
        <w:t>Secondary poisoning studies on terrestrial vertebrates</w:t>
      </w:r>
      <w:bookmarkEnd w:id="2145"/>
      <w:bookmarkEnd w:id="2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9"/>
        <w:gridCol w:w="792"/>
        <w:gridCol w:w="1472"/>
        <w:gridCol w:w="4824"/>
        <w:gridCol w:w="1931"/>
      </w:tblGrid>
      <w:tr w:rsidR="000D594D" w:rsidRPr="000B2FA7" w14:paraId="2A040722" w14:textId="77777777" w:rsidTr="0017134F">
        <w:trPr>
          <w:tblHeader/>
        </w:trPr>
        <w:tc>
          <w:tcPr>
            <w:tcW w:w="0" w:type="auto"/>
            <w:tcBorders>
              <w:bottom w:val="single" w:sz="4" w:space="0" w:color="auto"/>
            </w:tcBorders>
            <w:shd w:val="clear" w:color="auto" w:fill="53284F"/>
          </w:tcPr>
          <w:p w14:paraId="4AF231A1" w14:textId="77777777" w:rsidR="000D594D" w:rsidRDefault="000D594D" w:rsidP="00377F3A">
            <w:pPr>
              <w:pStyle w:val="TableHead"/>
            </w:pPr>
            <w:r>
              <w:t>Group</w:t>
            </w:r>
          </w:p>
        </w:tc>
        <w:tc>
          <w:tcPr>
            <w:tcW w:w="0" w:type="auto"/>
            <w:tcBorders>
              <w:bottom w:val="single" w:sz="4" w:space="0" w:color="auto"/>
            </w:tcBorders>
            <w:shd w:val="clear" w:color="auto" w:fill="53284F"/>
          </w:tcPr>
          <w:p w14:paraId="4866C920" w14:textId="77777777" w:rsidR="000D594D" w:rsidRDefault="000D594D" w:rsidP="00377F3A">
            <w:pPr>
              <w:pStyle w:val="TableHead"/>
            </w:pPr>
            <w:r>
              <w:t>Species</w:t>
            </w:r>
          </w:p>
        </w:tc>
        <w:tc>
          <w:tcPr>
            <w:tcW w:w="0" w:type="auto"/>
            <w:tcBorders>
              <w:bottom w:val="single" w:sz="4" w:space="0" w:color="auto"/>
            </w:tcBorders>
            <w:shd w:val="clear" w:color="auto" w:fill="53284F"/>
          </w:tcPr>
          <w:p w14:paraId="2A3EB016" w14:textId="77777777" w:rsidR="000D594D" w:rsidRPr="00CA558C" w:rsidRDefault="000D594D" w:rsidP="00377F3A">
            <w:pPr>
              <w:pStyle w:val="TableHead"/>
            </w:pPr>
            <w:r>
              <w:t>Poisoned food</w:t>
            </w:r>
          </w:p>
        </w:tc>
        <w:tc>
          <w:tcPr>
            <w:tcW w:w="0" w:type="auto"/>
            <w:tcBorders>
              <w:bottom w:val="single" w:sz="4" w:space="0" w:color="auto"/>
            </w:tcBorders>
            <w:shd w:val="clear" w:color="auto" w:fill="53284F"/>
          </w:tcPr>
          <w:p w14:paraId="41F5FF34" w14:textId="77777777" w:rsidR="000D594D" w:rsidRPr="00CA558C" w:rsidRDefault="000D594D" w:rsidP="00377F3A">
            <w:pPr>
              <w:pStyle w:val="TableHead"/>
            </w:pPr>
            <w:r>
              <w:t>Study details &amp; result</w:t>
            </w:r>
          </w:p>
        </w:tc>
        <w:tc>
          <w:tcPr>
            <w:tcW w:w="0" w:type="auto"/>
            <w:tcBorders>
              <w:bottom w:val="single" w:sz="4" w:space="0" w:color="auto"/>
            </w:tcBorders>
            <w:shd w:val="clear" w:color="auto" w:fill="53284F"/>
          </w:tcPr>
          <w:p w14:paraId="154C451C" w14:textId="77777777" w:rsidR="000D594D" w:rsidRPr="00CA558C" w:rsidRDefault="000D594D" w:rsidP="00377F3A">
            <w:pPr>
              <w:pStyle w:val="TableHead"/>
            </w:pPr>
            <w:r>
              <w:t>Reference</w:t>
            </w:r>
          </w:p>
        </w:tc>
      </w:tr>
      <w:tr w:rsidR="000D594D" w:rsidRPr="000B2FA7" w14:paraId="3489E271" w14:textId="77777777" w:rsidTr="000D594D">
        <w:tc>
          <w:tcPr>
            <w:tcW w:w="0" w:type="auto"/>
            <w:tcBorders>
              <w:top w:val="nil"/>
              <w:left w:val="nil"/>
              <w:bottom w:val="nil"/>
              <w:right w:val="nil"/>
            </w:tcBorders>
          </w:tcPr>
          <w:p w14:paraId="5EA9D557" w14:textId="77777777" w:rsidR="000D594D" w:rsidRPr="00F85B76" w:rsidRDefault="000D594D" w:rsidP="00377F3A">
            <w:pPr>
              <w:pStyle w:val="TableText"/>
            </w:pPr>
            <w:r w:rsidRPr="00F85B76">
              <w:t>Birds</w:t>
            </w:r>
          </w:p>
        </w:tc>
        <w:tc>
          <w:tcPr>
            <w:tcW w:w="0" w:type="auto"/>
            <w:tcBorders>
              <w:top w:val="nil"/>
              <w:left w:val="nil"/>
              <w:bottom w:val="nil"/>
              <w:right w:val="nil"/>
            </w:tcBorders>
          </w:tcPr>
          <w:p w14:paraId="346A5036" w14:textId="77777777" w:rsidR="000D594D" w:rsidRPr="00F85B76" w:rsidRDefault="000D594D" w:rsidP="00377F3A">
            <w:pPr>
              <w:pStyle w:val="TableText"/>
            </w:pPr>
            <w:r w:rsidRPr="00F85B76">
              <w:t>Tyto alba</w:t>
            </w:r>
          </w:p>
        </w:tc>
        <w:tc>
          <w:tcPr>
            <w:tcW w:w="0" w:type="auto"/>
            <w:tcBorders>
              <w:top w:val="nil"/>
              <w:left w:val="nil"/>
              <w:bottom w:val="nil"/>
              <w:right w:val="nil"/>
            </w:tcBorders>
          </w:tcPr>
          <w:p w14:paraId="6D93E6C7" w14:textId="77777777" w:rsidR="000D594D" w:rsidRPr="00F85B76" w:rsidRDefault="000D594D" w:rsidP="00377F3A">
            <w:pPr>
              <w:pStyle w:val="TableText"/>
            </w:pPr>
            <w:r w:rsidRPr="00F85B76">
              <w:t>1.0-4.3 mg/kg mice for 15d</w:t>
            </w:r>
          </w:p>
        </w:tc>
        <w:tc>
          <w:tcPr>
            <w:tcW w:w="0" w:type="auto"/>
            <w:tcBorders>
              <w:top w:val="nil"/>
              <w:left w:val="nil"/>
              <w:bottom w:val="nil"/>
              <w:right w:val="nil"/>
            </w:tcBorders>
          </w:tcPr>
          <w:p w14:paraId="5E096537" w14:textId="77777777" w:rsidR="000D594D" w:rsidRPr="00F85B76" w:rsidRDefault="000D594D" w:rsidP="00377F3A">
            <w:pPr>
              <w:pStyle w:val="TableText"/>
            </w:pPr>
            <w:r w:rsidRPr="00F85B76">
              <w:t>2/4 owls died after 16d (0.15-0.19 mg/kg/d), 2/4 owls survived to 30d (0.12-0.13 mg/kg/d), minor haemorrhaging in 1 surviving owl</w:t>
            </w:r>
          </w:p>
        </w:tc>
        <w:tc>
          <w:tcPr>
            <w:tcW w:w="0" w:type="auto"/>
            <w:tcBorders>
              <w:top w:val="nil"/>
              <w:left w:val="nil"/>
              <w:bottom w:val="nil"/>
              <w:right w:val="nil"/>
            </w:tcBorders>
          </w:tcPr>
          <w:p w14:paraId="297CD1D0" w14:textId="3D5E343B" w:rsidR="000D594D" w:rsidRPr="00F85B76" w:rsidRDefault="000D594D" w:rsidP="00377F3A">
            <w:pPr>
              <w:pStyle w:val="TableText"/>
            </w:pPr>
            <w:r w:rsidRPr="00F85B76">
              <w:t xml:space="preserve">Gray &amp; Dutton 1992, Gray </w:t>
            </w:r>
            <w:r w:rsidR="00B7183A" w:rsidRPr="00B7183A">
              <w:rPr>
                <w:i/>
                <w:iCs/>
              </w:rPr>
              <w:t>et al</w:t>
            </w:r>
            <w:r w:rsidRPr="00F85B76">
              <w:t>. 1994, 1994b</w:t>
            </w:r>
          </w:p>
        </w:tc>
      </w:tr>
      <w:tr w:rsidR="000D594D" w:rsidRPr="000B2FA7" w14:paraId="154AC8A5" w14:textId="77777777" w:rsidTr="000D594D">
        <w:tc>
          <w:tcPr>
            <w:tcW w:w="0" w:type="auto"/>
            <w:tcBorders>
              <w:top w:val="nil"/>
              <w:left w:val="nil"/>
              <w:bottom w:val="nil"/>
              <w:right w:val="nil"/>
            </w:tcBorders>
          </w:tcPr>
          <w:p w14:paraId="0B5CD00A" w14:textId="77777777" w:rsidR="000D594D" w:rsidRPr="00F85B76" w:rsidRDefault="000D594D" w:rsidP="00377F3A">
            <w:pPr>
              <w:pStyle w:val="TableText"/>
            </w:pPr>
          </w:p>
        </w:tc>
        <w:tc>
          <w:tcPr>
            <w:tcW w:w="0" w:type="auto"/>
            <w:tcBorders>
              <w:top w:val="nil"/>
              <w:left w:val="nil"/>
              <w:bottom w:val="nil"/>
              <w:right w:val="nil"/>
            </w:tcBorders>
          </w:tcPr>
          <w:p w14:paraId="02A5B46D" w14:textId="77777777" w:rsidR="000D594D" w:rsidRPr="00F85B76" w:rsidRDefault="000D594D" w:rsidP="00377F3A">
            <w:pPr>
              <w:pStyle w:val="TableText"/>
            </w:pPr>
          </w:p>
        </w:tc>
        <w:tc>
          <w:tcPr>
            <w:tcW w:w="0" w:type="auto"/>
            <w:tcBorders>
              <w:top w:val="nil"/>
              <w:left w:val="nil"/>
              <w:bottom w:val="nil"/>
              <w:right w:val="nil"/>
            </w:tcBorders>
          </w:tcPr>
          <w:p w14:paraId="2A077431" w14:textId="77777777" w:rsidR="000D594D" w:rsidRPr="00F85B76" w:rsidRDefault="000D594D" w:rsidP="00377F3A">
            <w:pPr>
              <w:pStyle w:val="TableText"/>
            </w:pPr>
            <w:r w:rsidRPr="00F85B76">
              <w:t>0.58 mg/kg mice for 1, 3 or 6d</w:t>
            </w:r>
          </w:p>
        </w:tc>
        <w:tc>
          <w:tcPr>
            <w:tcW w:w="0" w:type="auto"/>
            <w:tcBorders>
              <w:top w:val="nil"/>
              <w:left w:val="nil"/>
              <w:bottom w:val="nil"/>
              <w:right w:val="nil"/>
            </w:tcBorders>
          </w:tcPr>
          <w:p w14:paraId="7B01574A" w14:textId="77777777" w:rsidR="000D594D" w:rsidRPr="00F85B76" w:rsidRDefault="000D594D" w:rsidP="00377F3A">
            <w:pPr>
              <w:pStyle w:val="TableText"/>
            </w:pPr>
            <w:r w:rsidRPr="00F85B76">
              <w:t>Mortality was 0/5 in 1d group (0.15 mg/kg/d), 0/5 in 3d group (0.11 mg/kg/d), and 1/5 in 6d (0.15 mg/kg/d).</w:t>
            </w:r>
          </w:p>
          <w:p w14:paraId="7D7E9A68" w14:textId="77777777" w:rsidR="000D594D" w:rsidRPr="00F85B76" w:rsidRDefault="000D594D" w:rsidP="00377F3A">
            <w:pPr>
              <w:pStyle w:val="TableText"/>
            </w:pPr>
            <w:r w:rsidRPr="00F85B76">
              <w:lastRenderedPageBreak/>
              <w:t>Haemorrhaging observed in 6d exposure group only. Increased blood coagulation time in survivors, returning to normal within 16d.</w:t>
            </w:r>
          </w:p>
        </w:tc>
        <w:tc>
          <w:tcPr>
            <w:tcW w:w="0" w:type="auto"/>
            <w:tcBorders>
              <w:top w:val="nil"/>
              <w:left w:val="nil"/>
              <w:bottom w:val="nil"/>
              <w:right w:val="nil"/>
            </w:tcBorders>
          </w:tcPr>
          <w:p w14:paraId="7CF6709A" w14:textId="77777777" w:rsidR="000D594D" w:rsidRPr="00F85B76" w:rsidRDefault="000D594D" w:rsidP="00377F3A">
            <w:pPr>
              <w:pStyle w:val="TableText"/>
            </w:pPr>
            <w:r w:rsidRPr="00F85B76">
              <w:lastRenderedPageBreak/>
              <w:t>Wyllie 1995</w:t>
            </w:r>
          </w:p>
        </w:tc>
      </w:tr>
      <w:tr w:rsidR="000D594D" w:rsidRPr="000B2FA7" w14:paraId="749CF4CC" w14:textId="77777777" w:rsidTr="000D594D">
        <w:tc>
          <w:tcPr>
            <w:tcW w:w="0" w:type="auto"/>
            <w:tcBorders>
              <w:top w:val="nil"/>
              <w:left w:val="nil"/>
              <w:bottom w:val="nil"/>
              <w:right w:val="nil"/>
            </w:tcBorders>
          </w:tcPr>
          <w:p w14:paraId="2F364E06" w14:textId="77777777" w:rsidR="000D594D" w:rsidRPr="00F85B76" w:rsidRDefault="000D594D" w:rsidP="00377F3A">
            <w:pPr>
              <w:pStyle w:val="TableText"/>
            </w:pPr>
          </w:p>
        </w:tc>
        <w:tc>
          <w:tcPr>
            <w:tcW w:w="0" w:type="auto"/>
            <w:tcBorders>
              <w:top w:val="nil"/>
              <w:left w:val="nil"/>
              <w:bottom w:val="nil"/>
              <w:right w:val="nil"/>
            </w:tcBorders>
          </w:tcPr>
          <w:p w14:paraId="515BF68C" w14:textId="77777777" w:rsidR="000D594D" w:rsidRPr="00F85B76" w:rsidRDefault="000D594D" w:rsidP="00377F3A">
            <w:pPr>
              <w:pStyle w:val="TableText"/>
            </w:pPr>
          </w:p>
        </w:tc>
        <w:tc>
          <w:tcPr>
            <w:tcW w:w="0" w:type="auto"/>
            <w:tcBorders>
              <w:top w:val="nil"/>
              <w:left w:val="nil"/>
              <w:bottom w:val="nil"/>
              <w:right w:val="nil"/>
            </w:tcBorders>
          </w:tcPr>
          <w:p w14:paraId="500E45CE" w14:textId="77777777" w:rsidR="000D594D" w:rsidRPr="00F85B76" w:rsidRDefault="000D594D" w:rsidP="00377F3A">
            <w:pPr>
              <w:pStyle w:val="TableText"/>
            </w:pPr>
            <w:r w:rsidRPr="00F85B76">
              <w:t>6.3-7.9 mg/kg mice for 1d</w:t>
            </w:r>
          </w:p>
        </w:tc>
        <w:tc>
          <w:tcPr>
            <w:tcW w:w="0" w:type="auto"/>
            <w:tcBorders>
              <w:top w:val="nil"/>
              <w:left w:val="nil"/>
              <w:bottom w:val="nil"/>
              <w:right w:val="nil"/>
            </w:tcBorders>
          </w:tcPr>
          <w:p w14:paraId="4E98CDB8" w14:textId="77777777" w:rsidR="000D594D" w:rsidRPr="00F85B76" w:rsidRDefault="000D594D" w:rsidP="00377F3A">
            <w:pPr>
              <w:pStyle w:val="TableText"/>
            </w:pPr>
            <w:r w:rsidRPr="00F85B76">
              <w:t>4/4 owls survived to 8d (0.11-0.23 mg/kg bw)</w:t>
            </w:r>
          </w:p>
        </w:tc>
        <w:tc>
          <w:tcPr>
            <w:tcW w:w="0" w:type="auto"/>
            <w:tcBorders>
              <w:top w:val="nil"/>
              <w:left w:val="nil"/>
              <w:bottom w:val="nil"/>
              <w:right w:val="nil"/>
            </w:tcBorders>
          </w:tcPr>
          <w:p w14:paraId="5718FC89" w14:textId="620696FF" w:rsidR="000D594D" w:rsidRPr="00F85B76" w:rsidRDefault="000D594D" w:rsidP="00377F3A">
            <w:pPr>
              <w:pStyle w:val="TableText"/>
            </w:pPr>
            <w:r w:rsidRPr="00F85B76">
              <w:t xml:space="preserve">Dutton &amp; Eadsforth 1990, Eadsforth </w:t>
            </w:r>
            <w:r w:rsidR="00B7183A" w:rsidRPr="00B7183A">
              <w:rPr>
                <w:i/>
                <w:iCs/>
              </w:rPr>
              <w:t>et al</w:t>
            </w:r>
            <w:r w:rsidRPr="00F85B76">
              <w:t>. 1991</w:t>
            </w:r>
          </w:p>
        </w:tc>
      </w:tr>
      <w:tr w:rsidR="000D594D" w:rsidRPr="000B2FA7" w14:paraId="5F6E8DC7" w14:textId="77777777" w:rsidTr="000D594D">
        <w:tc>
          <w:tcPr>
            <w:tcW w:w="0" w:type="auto"/>
            <w:tcBorders>
              <w:top w:val="nil"/>
              <w:left w:val="nil"/>
              <w:bottom w:val="single" w:sz="4" w:space="0" w:color="auto"/>
              <w:right w:val="nil"/>
            </w:tcBorders>
          </w:tcPr>
          <w:p w14:paraId="6E42FE02" w14:textId="77777777" w:rsidR="000D594D" w:rsidRPr="00F85B76" w:rsidRDefault="000D594D" w:rsidP="00377F3A">
            <w:pPr>
              <w:pStyle w:val="TableText"/>
            </w:pPr>
          </w:p>
        </w:tc>
        <w:tc>
          <w:tcPr>
            <w:tcW w:w="0" w:type="auto"/>
            <w:tcBorders>
              <w:top w:val="nil"/>
              <w:left w:val="nil"/>
              <w:bottom w:val="single" w:sz="4" w:space="0" w:color="auto"/>
              <w:right w:val="nil"/>
            </w:tcBorders>
          </w:tcPr>
          <w:p w14:paraId="1B1792DB" w14:textId="77777777" w:rsidR="000D594D" w:rsidRPr="00F85B76" w:rsidRDefault="000D594D" w:rsidP="00377F3A">
            <w:pPr>
              <w:pStyle w:val="TableText"/>
            </w:pPr>
          </w:p>
        </w:tc>
        <w:tc>
          <w:tcPr>
            <w:tcW w:w="0" w:type="auto"/>
            <w:tcBorders>
              <w:top w:val="nil"/>
              <w:left w:val="nil"/>
              <w:bottom w:val="single" w:sz="4" w:space="0" w:color="auto"/>
              <w:right w:val="nil"/>
            </w:tcBorders>
          </w:tcPr>
          <w:p w14:paraId="7269A669" w14:textId="77777777" w:rsidR="000D594D" w:rsidRPr="00F85B76" w:rsidRDefault="000D594D" w:rsidP="00377F3A">
            <w:pPr>
              <w:pStyle w:val="TableText"/>
            </w:pPr>
            <w:r w:rsidRPr="00F85B76">
              <w:t>0.65 mg/kg mice for 1, 3 and 6d</w:t>
            </w:r>
          </w:p>
        </w:tc>
        <w:tc>
          <w:tcPr>
            <w:tcW w:w="0" w:type="auto"/>
            <w:tcBorders>
              <w:top w:val="nil"/>
              <w:left w:val="nil"/>
              <w:bottom w:val="single" w:sz="4" w:space="0" w:color="auto"/>
              <w:right w:val="nil"/>
            </w:tcBorders>
          </w:tcPr>
          <w:p w14:paraId="5A21F597" w14:textId="77777777" w:rsidR="000D594D" w:rsidRPr="00F85B76" w:rsidRDefault="000D594D" w:rsidP="00377F3A">
            <w:pPr>
              <w:pStyle w:val="TableText"/>
            </w:pPr>
            <w:r w:rsidRPr="00F85B76">
              <w:t xml:space="preserve">4/5 owls survived all treatments (0.13-0.21 mg/kg/d); 1 moulting owl died from haemorrhaging at 4d post-dosing after 6d treatment (0.16 mg/kg/d) </w:t>
            </w:r>
          </w:p>
        </w:tc>
        <w:tc>
          <w:tcPr>
            <w:tcW w:w="0" w:type="auto"/>
            <w:tcBorders>
              <w:top w:val="nil"/>
              <w:left w:val="nil"/>
              <w:bottom w:val="single" w:sz="4" w:space="0" w:color="auto"/>
              <w:right w:val="nil"/>
            </w:tcBorders>
          </w:tcPr>
          <w:p w14:paraId="63D78DFA" w14:textId="31DB8D21" w:rsidR="000D594D" w:rsidRPr="00F85B76" w:rsidRDefault="000D594D" w:rsidP="00377F3A">
            <w:pPr>
              <w:pStyle w:val="TableText"/>
            </w:pPr>
            <w:r w:rsidRPr="00F85B76">
              <w:t xml:space="preserve">Gray 1991, Newton </w:t>
            </w:r>
            <w:r w:rsidR="00B7183A" w:rsidRPr="00B7183A">
              <w:rPr>
                <w:i/>
                <w:iCs/>
              </w:rPr>
              <w:t>et al</w:t>
            </w:r>
            <w:r w:rsidRPr="00F85B76">
              <w:t xml:space="preserve">. 1994 </w:t>
            </w:r>
          </w:p>
        </w:tc>
      </w:tr>
    </w:tbl>
    <w:p w14:paraId="2F4202F4" w14:textId="51AD444E" w:rsidR="00980B2F" w:rsidRPr="00861CA0" w:rsidRDefault="00D560AB" w:rsidP="00377F3A">
      <w:pPr>
        <w:pStyle w:val="Caption"/>
      </w:pPr>
      <w:bookmarkStart w:id="2147" w:name="_Ref214822820"/>
      <w:bookmarkStart w:id="2148" w:name="_Toc213946118"/>
      <w:bookmarkStart w:id="2149" w:name="_Toc216695809"/>
      <w:r>
        <w:t xml:space="preserve">Table </w:t>
      </w:r>
      <w:r>
        <w:fldChar w:fldCharType="begin"/>
      </w:r>
      <w:r>
        <w:instrText xml:space="preserve"> SEQ Table \* ARABIC </w:instrText>
      </w:r>
      <w:r>
        <w:fldChar w:fldCharType="separate"/>
      </w:r>
      <w:r w:rsidR="003861AC">
        <w:rPr>
          <w:noProof/>
        </w:rPr>
        <w:t>147</w:t>
      </w:r>
      <w:r>
        <w:fldChar w:fldCharType="end"/>
      </w:r>
      <w:bookmarkEnd w:id="2147"/>
      <w:r>
        <w:t xml:space="preserve">: </w:t>
      </w:r>
      <w:r w:rsidR="000D594D">
        <w:t xml:space="preserve">Flocoumafen – </w:t>
      </w:r>
      <w:r w:rsidR="00980B2F" w:rsidRPr="003B601F">
        <w:t>Field studies and adverse incidents</w:t>
      </w:r>
      <w:r w:rsidR="00980B2F">
        <w:t xml:space="preserve"> involving terrestrial vertebrates from approved or unspecified use</w:t>
      </w:r>
      <w:bookmarkEnd w:id="2148"/>
      <w:bookmarkEnd w:id="2149"/>
    </w:p>
    <w:tbl>
      <w:tblPr>
        <w:tblW w:w="0" w:type="auto"/>
        <w:tblInd w:w="-62" w:type="dxa"/>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458"/>
        <w:gridCol w:w="1069"/>
        <w:gridCol w:w="4270"/>
        <w:gridCol w:w="2898"/>
      </w:tblGrid>
      <w:tr w:rsidR="000D594D" w:rsidRPr="000B2FA7" w14:paraId="505AC60A" w14:textId="77777777" w:rsidTr="0017134F">
        <w:trPr>
          <w:cantSplit/>
          <w:tblHeader/>
        </w:trPr>
        <w:tc>
          <w:tcPr>
            <w:tcW w:w="0" w:type="auto"/>
            <w:tcBorders>
              <w:bottom w:val="single" w:sz="4" w:space="0" w:color="auto"/>
            </w:tcBorders>
            <w:shd w:val="clear" w:color="auto" w:fill="53284F"/>
          </w:tcPr>
          <w:p w14:paraId="26922F0E" w14:textId="77777777" w:rsidR="000D594D" w:rsidRPr="00CA558C" w:rsidRDefault="000D594D" w:rsidP="00377F3A">
            <w:pPr>
              <w:pStyle w:val="TableHead"/>
            </w:pPr>
            <w:r>
              <w:t>Use area</w:t>
            </w:r>
          </w:p>
        </w:tc>
        <w:tc>
          <w:tcPr>
            <w:tcW w:w="0" w:type="auto"/>
            <w:tcBorders>
              <w:bottom w:val="single" w:sz="4" w:space="0" w:color="auto"/>
            </w:tcBorders>
            <w:shd w:val="clear" w:color="auto" w:fill="53284F"/>
          </w:tcPr>
          <w:p w14:paraId="5123F5F7" w14:textId="77777777" w:rsidR="000D594D" w:rsidRDefault="000D594D" w:rsidP="00377F3A">
            <w:pPr>
              <w:pStyle w:val="TableHead"/>
            </w:pPr>
            <w:r>
              <w:t>Exposure</w:t>
            </w:r>
          </w:p>
        </w:tc>
        <w:tc>
          <w:tcPr>
            <w:tcW w:w="0" w:type="auto"/>
            <w:tcBorders>
              <w:bottom w:val="single" w:sz="4" w:space="0" w:color="auto"/>
            </w:tcBorders>
            <w:shd w:val="clear" w:color="auto" w:fill="53284F"/>
          </w:tcPr>
          <w:p w14:paraId="6B9FE250" w14:textId="77777777" w:rsidR="000D594D" w:rsidRDefault="000D594D" w:rsidP="00377F3A">
            <w:pPr>
              <w:pStyle w:val="TableHead"/>
            </w:pPr>
            <w:r>
              <w:t>Effect</w:t>
            </w:r>
          </w:p>
        </w:tc>
        <w:tc>
          <w:tcPr>
            <w:tcW w:w="0" w:type="auto"/>
            <w:tcBorders>
              <w:bottom w:val="single" w:sz="4" w:space="0" w:color="auto"/>
            </w:tcBorders>
            <w:shd w:val="clear" w:color="auto" w:fill="53284F"/>
          </w:tcPr>
          <w:p w14:paraId="6FBA123E" w14:textId="77777777" w:rsidR="000D594D" w:rsidRPr="00CA558C" w:rsidRDefault="000D594D" w:rsidP="00377F3A">
            <w:pPr>
              <w:pStyle w:val="TableHead"/>
            </w:pPr>
            <w:r>
              <w:t>Reference</w:t>
            </w:r>
          </w:p>
        </w:tc>
      </w:tr>
      <w:tr w:rsidR="000D594D" w:rsidRPr="003B601F" w14:paraId="072ED172" w14:textId="77777777" w:rsidTr="000D594D">
        <w:trPr>
          <w:cantSplit/>
        </w:trPr>
        <w:tc>
          <w:tcPr>
            <w:tcW w:w="0" w:type="auto"/>
            <w:vMerge w:val="restart"/>
            <w:tcBorders>
              <w:top w:val="single" w:sz="4" w:space="0" w:color="auto"/>
              <w:left w:val="nil"/>
              <w:bottom w:val="nil"/>
            </w:tcBorders>
          </w:tcPr>
          <w:p w14:paraId="7A3F5B2E" w14:textId="77777777" w:rsidR="000D594D" w:rsidRPr="003B601F" w:rsidRDefault="000D594D" w:rsidP="00377F3A">
            <w:pPr>
              <w:pStyle w:val="TableText"/>
            </w:pPr>
            <w:r w:rsidRPr="003B601F">
              <w:t>Various counties across UK</w:t>
            </w:r>
          </w:p>
        </w:tc>
        <w:tc>
          <w:tcPr>
            <w:tcW w:w="0" w:type="auto"/>
            <w:tcBorders>
              <w:top w:val="single" w:sz="4" w:space="0" w:color="auto"/>
              <w:bottom w:val="nil"/>
            </w:tcBorders>
          </w:tcPr>
          <w:p w14:paraId="6B99FF3A" w14:textId="77777777" w:rsidR="000D594D" w:rsidRPr="003B601F" w:rsidRDefault="000D594D" w:rsidP="00377F3A">
            <w:pPr>
              <w:pStyle w:val="TableText"/>
            </w:pPr>
            <w:r w:rsidRPr="003B601F">
              <w:t>Unspecified</w:t>
            </w:r>
          </w:p>
        </w:tc>
        <w:tc>
          <w:tcPr>
            <w:tcW w:w="0" w:type="auto"/>
            <w:tcBorders>
              <w:top w:val="single" w:sz="4" w:space="0" w:color="auto"/>
              <w:bottom w:val="nil"/>
            </w:tcBorders>
          </w:tcPr>
          <w:p w14:paraId="0DE1364E" w14:textId="77777777" w:rsidR="000D594D" w:rsidRPr="003B601F" w:rsidRDefault="000D594D" w:rsidP="00377F3A">
            <w:pPr>
              <w:pStyle w:val="TableText"/>
            </w:pPr>
            <w:r w:rsidRPr="003B601F">
              <w:t>1 tawny owl poisoning in 1998</w:t>
            </w:r>
          </w:p>
        </w:tc>
        <w:tc>
          <w:tcPr>
            <w:tcW w:w="0" w:type="auto"/>
            <w:tcBorders>
              <w:top w:val="single" w:sz="4" w:space="0" w:color="auto"/>
              <w:bottom w:val="nil"/>
            </w:tcBorders>
          </w:tcPr>
          <w:p w14:paraId="13ED06E9" w14:textId="4EC1F252" w:rsidR="000D594D" w:rsidRPr="003B601F" w:rsidRDefault="000D594D" w:rsidP="00377F3A">
            <w:pPr>
              <w:pStyle w:val="TableText"/>
            </w:pPr>
            <w:r w:rsidRPr="003B601F">
              <w:t xml:space="preserve">Fletcher </w:t>
            </w:r>
            <w:r w:rsidR="00B7183A" w:rsidRPr="00B7183A">
              <w:rPr>
                <w:i/>
                <w:iCs/>
              </w:rPr>
              <w:t>et al</w:t>
            </w:r>
            <w:r w:rsidRPr="003B601F">
              <w:t>. 1999</w:t>
            </w:r>
          </w:p>
        </w:tc>
      </w:tr>
      <w:tr w:rsidR="000D594D" w:rsidRPr="003B601F" w14:paraId="4B8CEA89" w14:textId="77777777" w:rsidTr="000D594D">
        <w:trPr>
          <w:cantSplit/>
        </w:trPr>
        <w:tc>
          <w:tcPr>
            <w:tcW w:w="0" w:type="auto"/>
            <w:vMerge/>
            <w:tcBorders>
              <w:top w:val="nil"/>
              <w:left w:val="nil"/>
              <w:bottom w:val="nil"/>
            </w:tcBorders>
          </w:tcPr>
          <w:p w14:paraId="01EE1274" w14:textId="77777777" w:rsidR="000D594D" w:rsidRPr="003B601F" w:rsidRDefault="000D594D" w:rsidP="00377F3A">
            <w:pPr>
              <w:pStyle w:val="TableText"/>
            </w:pPr>
          </w:p>
        </w:tc>
        <w:tc>
          <w:tcPr>
            <w:tcW w:w="0" w:type="auto"/>
            <w:tcBorders>
              <w:top w:val="nil"/>
              <w:bottom w:val="nil"/>
            </w:tcBorders>
          </w:tcPr>
          <w:p w14:paraId="2546AE9B" w14:textId="77777777" w:rsidR="000D594D" w:rsidRPr="003B601F" w:rsidRDefault="000D594D" w:rsidP="00377F3A">
            <w:pPr>
              <w:pStyle w:val="TableText"/>
            </w:pPr>
          </w:p>
        </w:tc>
        <w:tc>
          <w:tcPr>
            <w:tcW w:w="0" w:type="auto"/>
            <w:tcBorders>
              <w:top w:val="nil"/>
              <w:bottom w:val="nil"/>
            </w:tcBorders>
          </w:tcPr>
          <w:p w14:paraId="23A52836" w14:textId="77777777" w:rsidR="000D594D" w:rsidRPr="003B601F" w:rsidRDefault="000D594D" w:rsidP="00377F3A">
            <w:pPr>
              <w:pStyle w:val="TableText"/>
            </w:pPr>
            <w:r w:rsidRPr="003B601F">
              <w:t>No wildlife incidents that involved approved uses or unspecified exposure in 1999-2001, 2003, 2005-2006</w:t>
            </w:r>
          </w:p>
        </w:tc>
        <w:tc>
          <w:tcPr>
            <w:tcW w:w="0" w:type="auto"/>
            <w:tcBorders>
              <w:top w:val="nil"/>
              <w:bottom w:val="nil"/>
            </w:tcBorders>
          </w:tcPr>
          <w:p w14:paraId="12045711" w14:textId="41F6B055" w:rsidR="000D594D" w:rsidRPr="003B601F" w:rsidRDefault="000D594D" w:rsidP="00377F3A">
            <w:pPr>
              <w:pStyle w:val="TableText"/>
            </w:pPr>
            <w:r w:rsidRPr="003B601F">
              <w:t xml:space="preserve">Barnett </w:t>
            </w:r>
            <w:r w:rsidR="00B7183A" w:rsidRPr="00B7183A">
              <w:rPr>
                <w:i/>
                <w:iCs/>
              </w:rPr>
              <w:t>et al</w:t>
            </w:r>
            <w:r w:rsidRPr="003B601F">
              <w:t xml:space="preserve">. 2002a, 2002b, 2004, 2006, 2007, Fletcher </w:t>
            </w:r>
            <w:r w:rsidR="00B7183A" w:rsidRPr="00B7183A">
              <w:rPr>
                <w:i/>
                <w:iCs/>
              </w:rPr>
              <w:t>et al</w:t>
            </w:r>
            <w:r w:rsidRPr="003B601F">
              <w:t>. 2000</w:t>
            </w:r>
          </w:p>
        </w:tc>
      </w:tr>
      <w:tr w:rsidR="000D594D" w:rsidRPr="003B601F" w14:paraId="63ECAEF4" w14:textId="77777777" w:rsidTr="000D594D">
        <w:trPr>
          <w:cantSplit/>
        </w:trPr>
        <w:tc>
          <w:tcPr>
            <w:tcW w:w="0" w:type="auto"/>
            <w:tcBorders>
              <w:top w:val="nil"/>
              <w:left w:val="nil"/>
              <w:bottom w:val="single" w:sz="4" w:space="0" w:color="auto"/>
            </w:tcBorders>
          </w:tcPr>
          <w:p w14:paraId="5A9F0BB5" w14:textId="77777777" w:rsidR="000D594D" w:rsidRPr="003B601F" w:rsidRDefault="000D594D" w:rsidP="00377F3A">
            <w:pPr>
              <w:pStyle w:val="TableText"/>
            </w:pPr>
          </w:p>
        </w:tc>
        <w:tc>
          <w:tcPr>
            <w:tcW w:w="0" w:type="auto"/>
            <w:tcBorders>
              <w:top w:val="nil"/>
              <w:bottom w:val="single" w:sz="4" w:space="0" w:color="auto"/>
            </w:tcBorders>
          </w:tcPr>
          <w:p w14:paraId="22911358" w14:textId="77777777" w:rsidR="000D594D" w:rsidRPr="003B601F" w:rsidRDefault="000D594D" w:rsidP="00377F3A">
            <w:pPr>
              <w:pStyle w:val="TableText"/>
            </w:pPr>
          </w:p>
        </w:tc>
        <w:tc>
          <w:tcPr>
            <w:tcW w:w="0" w:type="auto"/>
            <w:tcBorders>
              <w:top w:val="nil"/>
              <w:bottom w:val="single" w:sz="4" w:space="0" w:color="auto"/>
            </w:tcBorders>
          </w:tcPr>
          <w:p w14:paraId="329FE2B9" w14:textId="5A8242CE" w:rsidR="000D594D" w:rsidRPr="003B601F" w:rsidRDefault="000D594D" w:rsidP="00377F3A">
            <w:pPr>
              <w:pStyle w:val="TableText"/>
            </w:pPr>
            <w:r w:rsidRPr="003B601F">
              <w:t>4 crows poisoned (accessed protected bait points) in 2004</w:t>
            </w:r>
          </w:p>
        </w:tc>
        <w:tc>
          <w:tcPr>
            <w:tcW w:w="0" w:type="auto"/>
            <w:tcBorders>
              <w:top w:val="nil"/>
              <w:bottom w:val="single" w:sz="4" w:space="0" w:color="auto"/>
            </w:tcBorders>
          </w:tcPr>
          <w:p w14:paraId="3AC99F2F" w14:textId="2FD791A9" w:rsidR="000D594D" w:rsidRPr="003B601F" w:rsidRDefault="000D594D" w:rsidP="00377F3A">
            <w:pPr>
              <w:pStyle w:val="TableText"/>
            </w:pPr>
            <w:r w:rsidRPr="003B601F">
              <w:t xml:space="preserve">Barnett </w:t>
            </w:r>
            <w:r w:rsidR="00B7183A" w:rsidRPr="00B7183A">
              <w:rPr>
                <w:i/>
                <w:iCs/>
              </w:rPr>
              <w:t>et al</w:t>
            </w:r>
            <w:r w:rsidRPr="003B601F">
              <w:t>. 2005</w:t>
            </w:r>
          </w:p>
        </w:tc>
      </w:tr>
    </w:tbl>
    <w:p w14:paraId="1C09BFF4" w14:textId="4898A518" w:rsidR="000D594D" w:rsidRPr="00861CA0" w:rsidRDefault="00D560AB" w:rsidP="00377F3A">
      <w:pPr>
        <w:pStyle w:val="Caption"/>
      </w:pPr>
      <w:bookmarkStart w:id="2150" w:name="_Ref213315693"/>
      <w:bookmarkStart w:id="2151" w:name="_Toc213946119"/>
      <w:bookmarkStart w:id="2152" w:name="_Toc216695810"/>
      <w:r>
        <w:t xml:space="preserve">Table </w:t>
      </w:r>
      <w:r>
        <w:fldChar w:fldCharType="begin"/>
      </w:r>
      <w:r>
        <w:instrText xml:space="preserve"> SEQ Table \* ARABIC </w:instrText>
      </w:r>
      <w:r>
        <w:fldChar w:fldCharType="separate"/>
      </w:r>
      <w:r w:rsidR="003861AC">
        <w:rPr>
          <w:noProof/>
        </w:rPr>
        <w:t>148</w:t>
      </w:r>
      <w:r>
        <w:fldChar w:fldCharType="end"/>
      </w:r>
      <w:bookmarkEnd w:id="2150"/>
      <w:r>
        <w:t xml:space="preserve">: </w:t>
      </w:r>
      <w:r w:rsidR="000D594D">
        <w:t>Flocoumafen – Effects on aquatic species</w:t>
      </w:r>
      <w:bookmarkEnd w:id="2151"/>
      <w:bookmarkEnd w:id="2152"/>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68"/>
        <w:gridCol w:w="1217"/>
        <w:gridCol w:w="3026"/>
        <w:gridCol w:w="2030"/>
        <w:gridCol w:w="1687"/>
      </w:tblGrid>
      <w:tr w:rsidR="000D594D" w:rsidRPr="000B2FA7" w14:paraId="515EB9C6" w14:textId="77777777" w:rsidTr="0017134F">
        <w:trPr>
          <w:tblHeader/>
        </w:trPr>
        <w:tc>
          <w:tcPr>
            <w:tcW w:w="0" w:type="auto"/>
            <w:tcBorders>
              <w:bottom w:val="single" w:sz="4" w:space="0" w:color="auto"/>
            </w:tcBorders>
            <w:shd w:val="clear" w:color="auto" w:fill="53284F"/>
          </w:tcPr>
          <w:p w14:paraId="02F278FD" w14:textId="77777777" w:rsidR="000D594D" w:rsidRDefault="000D594D" w:rsidP="00377F3A">
            <w:pPr>
              <w:pStyle w:val="TableHead"/>
            </w:pPr>
            <w:r>
              <w:t>Group</w:t>
            </w:r>
          </w:p>
        </w:tc>
        <w:tc>
          <w:tcPr>
            <w:tcW w:w="0" w:type="auto"/>
            <w:tcBorders>
              <w:bottom w:val="single" w:sz="4" w:space="0" w:color="auto"/>
            </w:tcBorders>
            <w:shd w:val="clear" w:color="auto" w:fill="53284F"/>
          </w:tcPr>
          <w:p w14:paraId="2B182F3E" w14:textId="77777777" w:rsidR="000D594D" w:rsidRDefault="000D594D" w:rsidP="00377F3A">
            <w:pPr>
              <w:pStyle w:val="TableHead"/>
            </w:pPr>
            <w:r>
              <w:t>Exposure</w:t>
            </w:r>
          </w:p>
        </w:tc>
        <w:tc>
          <w:tcPr>
            <w:tcW w:w="0" w:type="auto"/>
            <w:tcBorders>
              <w:bottom w:val="single" w:sz="4" w:space="0" w:color="auto"/>
            </w:tcBorders>
            <w:shd w:val="clear" w:color="auto" w:fill="53284F"/>
          </w:tcPr>
          <w:p w14:paraId="59D9333E" w14:textId="77777777" w:rsidR="000D594D" w:rsidRPr="00CA558C" w:rsidRDefault="000D594D" w:rsidP="00377F3A">
            <w:pPr>
              <w:pStyle w:val="TableHead"/>
            </w:pPr>
            <w:r>
              <w:t>Species</w:t>
            </w:r>
          </w:p>
        </w:tc>
        <w:tc>
          <w:tcPr>
            <w:tcW w:w="0" w:type="auto"/>
            <w:tcBorders>
              <w:bottom w:val="single" w:sz="4" w:space="0" w:color="auto"/>
            </w:tcBorders>
            <w:shd w:val="clear" w:color="auto" w:fill="53284F"/>
          </w:tcPr>
          <w:p w14:paraId="7C8FBA92" w14:textId="77777777" w:rsidR="000D594D" w:rsidRPr="00CA558C" w:rsidRDefault="000D594D" w:rsidP="00377F3A">
            <w:pPr>
              <w:pStyle w:val="TableHead"/>
            </w:pPr>
            <w:r>
              <w:t>Toxicity v</w:t>
            </w:r>
            <w:r w:rsidRPr="00CA558C">
              <w:t>alue</w:t>
            </w:r>
          </w:p>
        </w:tc>
        <w:tc>
          <w:tcPr>
            <w:tcW w:w="0" w:type="auto"/>
            <w:tcBorders>
              <w:bottom w:val="single" w:sz="4" w:space="0" w:color="auto"/>
            </w:tcBorders>
            <w:shd w:val="clear" w:color="auto" w:fill="53284F"/>
          </w:tcPr>
          <w:p w14:paraId="30F56635" w14:textId="77777777" w:rsidR="000D594D" w:rsidRPr="00CA558C" w:rsidRDefault="000D594D" w:rsidP="00377F3A">
            <w:pPr>
              <w:pStyle w:val="TableHead"/>
            </w:pPr>
            <w:r>
              <w:t>Reference</w:t>
            </w:r>
          </w:p>
        </w:tc>
      </w:tr>
      <w:tr w:rsidR="000D594D" w14:paraId="126CF261" w14:textId="77777777" w:rsidTr="00C75073">
        <w:tc>
          <w:tcPr>
            <w:tcW w:w="0" w:type="auto"/>
            <w:tcBorders>
              <w:top w:val="single" w:sz="4" w:space="0" w:color="auto"/>
              <w:left w:val="nil"/>
              <w:bottom w:val="nil"/>
              <w:right w:val="nil"/>
            </w:tcBorders>
          </w:tcPr>
          <w:p w14:paraId="00328570" w14:textId="77777777" w:rsidR="000D594D" w:rsidRDefault="000D594D" w:rsidP="00377F3A">
            <w:pPr>
              <w:pStyle w:val="TableText"/>
            </w:pPr>
            <w:r>
              <w:t>Fish</w:t>
            </w:r>
          </w:p>
        </w:tc>
        <w:tc>
          <w:tcPr>
            <w:tcW w:w="0" w:type="auto"/>
            <w:tcBorders>
              <w:top w:val="single" w:sz="4" w:space="0" w:color="auto"/>
              <w:left w:val="nil"/>
              <w:bottom w:val="nil"/>
              <w:right w:val="nil"/>
            </w:tcBorders>
          </w:tcPr>
          <w:p w14:paraId="2D35CEAA" w14:textId="77777777" w:rsidR="000D594D" w:rsidRDefault="000D594D" w:rsidP="00377F3A">
            <w:pPr>
              <w:pStyle w:val="TableText"/>
            </w:pPr>
            <w:r>
              <w:t>Acute</w:t>
            </w:r>
          </w:p>
        </w:tc>
        <w:tc>
          <w:tcPr>
            <w:tcW w:w="0" w:type="auto"/>
            <w:tcBorders>
              <w:top w:val="single" w:sz="4" w:space="0" w:color="auto"/>
              <w:left w:val="nil"/>
              <w:bottom w:val="nil"/>
              <w:right w:val="nil"/>
            </w:tcBorders>
          </w:tcPr>
          <w:p w14:paraId="04461359" w14:textId="77777777" w:rsidR="000D594D" w:rsidRPr="007528B2" w:rsidRDefault="000D594D" w:rsidP="00377F3A">
            <w:pPr>
              <w:pStyle w:val="TableText"/>
            </w:pPr>
            <w:r>
              <w:t>Oncorhynchus mykiss</w:t>
            </w:r>
          </w:p>
        </w:tc>
        <w:tc>
          <w:tcPr>
            <w:tcW w:w="0" w:type="auto"/>
            <w:tcBorders>
              <w:top w:val="single" w:sz="4" w:space="0" w:color="auto"/>
              <w:left w:val="nil"/>
              <w:bottom w:val="nil"/>
              <w:right w:val="nil"/>
            </w:tcBorders>
          </w:tcPr>
          <w:p w14:paraId="0F60F90E" w14:textId="77777777" w:rsidR="000D594D" w:rsidRPr="007528B2" w:rsidRDefault="000D594D" w:rsidP="00377F3A">
            <w:pPr>
              <w:pStyle w:val="TableText"/>
            </w:pPr>
            <w:r>
              <w:t>LC</w:t>
            </w:r>
            <w:r w:rsidRPr="009E1D83">
              <w:rPr>
                <w:vertAlign w:val="subscript"/>
              </w:rPr>
              <w:t>50</w:t>
            </w:r>
            <w:r>
              <w:t xml:space="preserve"> 0.070 mg/L</w:t>
            </w:r>
          </w:p>
        </w:tc>
        <w:tc>
          <w:tcPr>
            <w:tcW w:w="0" w:type="auto"/>
            <w:tcBorders>
              <w:top w:val="single" w:sz="4" w:space="0" w:color="auto"/>
              <w:left w:val="nil"/>
              <w:bottom w:val="nil"/>
              <w:right w:val="nil"/>
            </w:tcBorders>
          </w:tcPr>
          <w:p w14:paraId="163F38A6" w14:textId="77777777" w:rsidR="000D594D" w:rsidRPr="007528B2" w:rsidRDefault="000D594D" w:rsidP="00377F3A">
            <w:pPr>
              <w:pStyle w:val="TableText"/>
            </w:pPr>
            <w:r>
              <w:t>Zok 2002a</w:t>
            </w:r>
          </w:p>
        </w:tc>
      </w:tr>
      <w:tr w:rsidR="000D594D" w14:paraId="3CF2D59E" w14:textId="77777777" w:rsidTr="00C75073">
        <w:tc>
          <w:tcPr>
            <w:tcW w:w="0" w:type="auto"/>
            <w:tcBorders>
              <w:top w:val="nil"/>
              <w:left w:val="nil"/>
              <w:bottom w:val="single" w:sz="4" w:space="0" w:color="auto"/>
              <w:right w:val="nil"/>
            </w:tcBorders>
          </w:tcPr>
          <w:p w14:paraId="71D8BB48" w14:textId="77777777" w:rsidR="000D594D" w:rsidRDefault="000D594D" w:rsidP="00377F3A">
            <w:pPr>
              <w:pStyle w:val="TableText"/>
            </w:pPr>
          </w:p>
        </w:tc>
        <w:tc>
          <w:tcPr>
            <w:tcW w:w="0" w:type="auto"/>
            <w:tcBorders>
              <w:top w:val="nil"/>
              <w:left w:val="nil"/>
              <w:bottom w:val="single" w:sz="4" w:space="0" w:color="auto"/>
              <w:right w:val="nil"/>
            </w:tcBorders>
          </w:tcPr>
          <w:p w14:paraId="2295A86D" w14:textId="77777777" w:rsidR="000D594D" w:rsidRDefault="000D594D" w:rsidP="00377F3A">
            <w:pPr>
              <w:pStyle w:val="TableText"/>
            </w:pPr>
          </w:p>
        </w:tc>
        <w:tc>
          <w:tcPr>
            <w:tcW w:w="0" w:type="auto"/>
            <w:tcBorders>
              <w:top w:val="nil"/>
              <w:left w:val="nil"/>
              <w:bottom w:val="single" w:sz="4" w:space="0" w:color="auto"/>
              <w:right w:val="nil"/>
            </w:tcBorders>
          </w:tcPr>
          <w:p w14:paraId="626B2D65" w14:textId="77777777" w:rsidR="000D594D" w:rsidRDefault="000D594D" w:rsidP="00377F3A">
            <w:pPr>
              <w:pStyle w:val="TableText"/>
            </w:pPr>
            <w:r>
              <w:t>Lepomis macrochirus</w:t>
            </w:r>
          </w:p>
        </w:tc>
        <w:tc>
          <w:tcPr>
            <w:tcW w:w="0" w:type="auto"/>
            <w:tcBorders>
              <w:top w:val="nil"/>
              <w:left w:val="nil"/>
              <w:bottom w:val="single" w:sz="4" w:space="0" w:color="auto"/>
              <w:right w:val="nil"/>
            </w:tcBorders>
          </w:tcPr>
          <w:p w14:paraId="44B966B0" w14:textId="77777777" w:rsidR="000D594D" w:rsidRDefault="000D594D" w:rsidP="00377F3A">
            <w:pPr>
              <w:pStyle w:val="TableText"/>
            </w:pPr>
            <w:r>
              <w:t>LC</w:t>
            </w:r>
            <w:r w:rsidRPr="009E1D83">
              <w:rPr>
                <w:vertAlign w:val="subscript"/>
              </w:rPr>
              <w:t>50</w:t>
            </w:r>
            <w:r>
              <w:t xml:space="preserve"> 0.11 mg/L</w:t>
            </w:r>
          </w:p>
        </w:tc>
        <w:tc>
          <w:tcPr>
            <w:tcW w:w="0" w:type="auto"/>
            <w:tcBorders>
              <w:top w:val="nil"/>
              <w:left w:val="nil"/>
              <w:bottom w:val="single" w:sz="4" w:space="0" w:color="auto"/>
              <w:right w:val="nil"/>
            </w:tcBorders>
          </w:tcPr>
          <w:p w14:paraId="17A55677" w14:textId="77777777" w:rsidR="000D594D" w:rsidRDefault="000D594D" w:rsidP="00377F3A">
            <w:pPr>
              <w:pStyle w:val="TableText"/>
            </w:pPr>
            <w:r>
              <w:t>Zok 2002b</w:t>
            </w:r>
          </w:p>
        </w:tc>
      </w:tr>
      <w:tr w:rsidR="000D594D" w14:paraId="79281127" w14:textId="77777777" w:rsidTr="00C75073">
        <w:tc>
          <w:tcPr>
            <w:tcW w:w="0" w:type="auto"/>
            <w:tcBorders>
              <w:top w:val="single" w:sz="4" w:space="0" w:color="auto"/>
              <w:left w:val="nil"/>
              <w:bottom w:val="single" w:sz="4" w:space="0" w:color="auto"/>
              <w:right w:val="nil"/>
            </w:tcBorders>
          </w:tcPr>
          <w:p w14:paraId="6FED823A" w14:textId="77777777" w:rsidR="000D594D" w:rsidRDefault="000D594D" w:rsidP="00377F3A">
            <w:pPr>
              <w:pStyle w:val="TableText"/>
            </w:pPr>
            <w:r>
              <w:t>Invertebrates</w:t>
            </w:r>
          </w:p>
        </w:tc>
        <w:tc>
          <w:tcPr>
            <w:tcW w:w="0" w:type="auto"/>
            <w:tcBorders>
              <w:top w:val="single" w:sz="4" w:space="0" w:color="auto"/>
              <w:left w:val="nil"/>
              <w:bottom w:val="single" w:sz="4" w:space="0" w:color="auto"/>
              <w:right w:val="nil"/>
            </w:tcBorders>
          </w:tcPr>
          <w:p w14:paraId="05A9DD7D" w14:textId="77777777" w:rsidR="000D594D" w:rsidRDefault="000D594D" w:rsidP="00377F3A">
            <w:pPr>
              <w:pStyle w:val="TableText"/>
            </w:pPr>
            <w:r>
              <w:t>Acute</w:t>
            </w:r>
          </w:p>
        </w:tc>
        <w:tc>
          <w:tcPr>
            <w:tcW w:w="0" w:type="auto"/>
            <w:tcBorders>
              <w:top w:val="single" w:sz="4" w:space="0" w:color="auto"/>
              <w:left w:val="nil"/>
              <w:bottom w:val="single" w:sz="4" w:space="0" w:color="auto"/>
              <w:right w:val="nil"/>
            </w:tcBorders>
          </w:tcPr>
          <w:p w14:paraId="60A2C5F9" w14:textId="77777777" w:rsidR="000D594D" w:rsidRDefault="000D594D" w:rsidP="00377F3A">
            <w:pPr>
              <w:pStyle w:val="TableText"/>
            </w:pPr>
            <w:r>
              <w:t>Daphnia magna</w:t>
            </w:r>
          </w:p>
        </w:tc>
        <w:tc>
          <w:tcPr>
            <w:tcW w:w="0" w:type="auto"/>
            <w:tcBorders>
              <w:top w:val="single" w:sz="4" w:space="0" w:color="auto"/>
              <w:left w:val="nil"/>
              <w:bottom w:val="single" w:sz="4" w:space="0" w:color="auto"/>
              <w:right w:val="nil"/>
            </w:tcBorders>
          </w:tcPr>
          <w:p w14:paraId="5F91B8D2" w14:textId="77777777" w:rsidR="000D594D" w:rsidRDefault="000D594D" w:rsidP="00377F3A">
            <w:pPr>
              <w:pStyle w:val="TableText"/>
            </w:pPr>
            <w:r>
              <w:t>EC</w:t>
            </w:r>
            <w:r w:rsidRPr="009E1D83">
              <w:rPr>
                <w:vertAlign w:val="subscript"/>
              </w:rPr>
              <w:t>50</w:t>
            </w:r>
            <w:r>
              <w:t xml:space="preserve"> 0.18 mg/L</w:t>
            </w:r>
          </w:p>
        </w:tc>
        <w:tc>
          <w:tcPr>
            <w:tcW w:w="0" w:type="auto"/>
            <w:tcBorders>
              <w:top w:val="single" w:sz="4" w:space="0" w:color="auto"/>
              <w:left w:val="nil"/>
              <w:bottom w:val="single" w:sz="4" w:space="0" w:color="auto"/>
              <w:right w:val="nil"/>
            </w:tcBorders>
          </w:tcPr>
          <w:p w14:paraId="746C488C" w14:textId="77777777" w:rsidR="000D594D" w:rsidRDefault="000D594D" w:rsidP="00377F3A">
            <w:pPr>
              <w:pStyle w:val="TableText"/>
            </w:pPr>
            <w:r>
              <w:t>Jatzek 2002a</w:t>
            </w:r>
          </w:p>
        </w:tc>
      </w:tr>
      <w:tr w:rsidR="000D594D" w14:paraId="79D0D000" w14:textId="77777777" w:rsidTr="00C75073">
        <w:tc>
          <w:tcPr>
            <w:tcW w:w="0" w:type="auto"/>
            <w:tcBorders>
              <w:top w:val="single" w:sz="4" w:space="0" w:color="auto"/>
              <w:left w:val="nil"/>
              <w:bottom w:val="single" w:sz="4" w:space="0" w:color="auto"/>
              <w:right w:val="nil"/>
            </w:tcBorders>
          </w:tcPr>
          <w:p w14:paraId="1D6E08A5" w14:textId="77777777" w:rsidR="000D594D" w:rsidRDefault="000D594D" w:rsidP="00377F3A">
            <w:pPr>
              <w:pStyle w:val="TableText"/>
            </w:pPr>
            <w:r>
              <w:t>Algae</w:t>
            </w:r>
          </w:p>
        </w:tc>
        <w:tc>
          <w:tcPr>
            <w:tcW w:w="0" w:type="auto"/>
            <w:tcBorders>
              <w:top w:val="single" w:sz="4" w:space="0" w:color="auto"/>
              <w:left w:val="nil"/>
              <w:bottom w:val="single" w:sz="4" w:space="0" w:color="auto"/>
              <w:right w:val="nil"/>
            </w:tcBorders>
          </w:tcPr>
          <w:p w14:paraId="214E6A53" w14:textId="77777777" w:rsidR="000D594D" w:rsidRDefault="000D594D" w:rsidP="00377F3A">
            <w:pPr>
              <w:pStyle w:val="TableText"/>
            </w:pPr>
            <w:r>
              <w:t>Chronic</w:t>
            </w:r>
          </w:p>
        </w:tc>
        <w:tc>
          <w:tcPr>
            <w:tcW w:w="0" w:type="auto"/>
            <w:tcBorders>
              <w:top w:val="single" w:sz="4" w:space="0" w:color="auto"/>
              <w:left w:val="nil"/>
              <w:bottom w:val="single" w:sz="4" w:space="0" w:color="auto"/>
              <w:right w:val="nil"/>
            </w:tcBorders>
          </w:tcPr>
          <w:p w14:paraId="5851B776" w14:textId="77777777" w:rsidR="000D594D" w:rsidRDefault="000D594D" w:rsidP="00377F3A">
            <w:pPr>
              <w:pStyle w:val="TableText"/>
            </w:pPr>
            <w:r>
              <w:t>Raphidocelis subcapitata</w:t>
            </w:r>
          </w:p>
        </w:tc>
        <w:tc>
          <w:tcPr>
            <w:tcW w:w="0" w:type="auto"/>
            <w:tcBorders>
              <w:top w:val="single" w:sz="4" w:space="0" w:color="auto"/>
              <w:left w:val="nil"/>
              <w:bottom w:val="single" w:sz="4" w:space="0" w:color="auto"/>
              <w:right w:val="nil"/>
            </w:tcBorders>
          </w:tcPr>
          <w:p w14:paraId="51F80461" w14:textId="77777777" w:rsidR="000D594D" w:rsidRDefault="000D594D" w:rsidP="00377F3A">
            <w:pPr>
              <w:pStyle w:val="TableText"/>
            </w:pPr>
            <w:r>
              <w:t>E</w:t>
            </w:r>
            <w:r w:rsidRPr="00707E8F">
              <w:rPr>
                <w:vertAlign w:val="subscript"/>
              </w:rPr>
              <w:t>r</w:t>
            </w:r>
            <w:r>
              <w:t>C</w:t>
            </w:r>
            <w:r w:rsidRPr="00707E8F">
              <w:rPr>
                <w:vertAlign w:val="subscript"/>
              </w:rPr>
              <w:t>50</w:t>
            </w:r>
            <w:r>
              <w:t xml:space="preserve"> &gt;18 mg/L</w:t>
            </w:r>
          </w:p>
        </w:tc>
        <w:tc>
          <w:tcPr>
            <w:tcW w:w="0" w:type="auto"/>
            <w:tcBorders>
              <w:top w:val="single" w:sz="4" w:space="0" w:color="auto"/>
              <w:left w:val="nil"/>
              <w:bottom w:val="single" w:sz="4" w:space="0" w:color="auto"/>
              <w:right w:val="nil"/>
            </w:tcBorders>
          </w:tcPr>
          <w:p w14:paraId="32CCE743" w14:textId="77777777" w:rsidR="000D594D" w:rsidRDefault="000D594D" w:rsidP="00377F3A">
            <w:pPr>
              <w:pStyle w:val="TableText"/>
            </w:pPr>
            <w:r>
              <w:t>Jatzek 2002b</w:t>
            </w:r>
          </w:p>
        </w:tc>
      </w:tr>
    </w:tbl>
    <w:p w14:paraId="02F5597E" w14:textId="69926FA1" w:rsidR="007F0040" w:rsidRPr="00861CA0" w:rsidRDefault="00D560AB" w:rsidP="00377F3A">
      <w:pPr>
        <w:pStyle w:val="Caption"/>
      </w:pPr>
      <w:bookmarkStart w:id="2153" w:name="_Ref213315950"/>
      <w:bookmarkStart w:id="2154" w:name="_Toc213946120"/>
      <w:bookmarkStart w:id="2155" w:name="_Toc216695811"/>
      <w:r>
        <w:t xml:space="preserve">Table </w:t>
      </w:r>
      <w:r>
        <w:fldChar w:fldCharType="begin"/>
      </w:r>
      <w:r>
        <w:instrText xml:space="preserve"> SEQ Table \* ARABIC </w:instrText>
      </w:r>
      <w:r>
        <w:fldChar w:fldCharType="separate"/>
      </w:r>
      <w:r w:rsidR="003861AC">
        <w:rPr>
          <w:noProof/>
        </w:rPr>
        <w:t>149</w:t>
      </w:r>
      <w:r>
        <w:fldChar w:fldCharType="end"/>
      </w:r>
      <w:bookmarkEnd w:id="2153"/>
      <w:r>
        <w:t xml:space="preserve">: </w:t>
      </w:r>
      <w:r w:rsidR="007F0040">
        <w:t>Flocoumafen – Effects on soil organisms</w:t>
      </w:r>
      <w:bookmarkEnd w:id="2154"/>
      <w:bookmarkEnd w:id="2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4"/>
        <w:gridCol w:w="1163"/>
        <w:gridCol w:w="1996"/>
        <w:gridCol w:w="2968"/>
        <w:gridCol w:w="1457"/>
      </w:tblGrid>
      <w:tr w:rsidR="007F0040" w:rsidRPr="000B2FA7" w14:paraId="19EC0980" w14:textId="77777777" w:rsidTr="0017134F">
        <w:trPr>
          <w:tblHeader/>
        </w:trPr>
        <w:tc>
          <w:tcPr>
            <w:tcW w:w="0" w:type="auto"/>
            <w:tcBorders>
              <w:bottom w:val="single" w:sz="4" w:space="0" w:color="auto"/>
            </w:tcBorders>
            <w:shd w:val="clear" w:color="auto" w:fill="53284F"/>
          </w:tcPr>
          <w:p w14:paraId="03F6B48E" w14:textId="77777777" w:rsidR="007F0040" w:rsidRDefault="007F0040" w:rsidP="00377F3A">
            <w:pPr>
              <w:pStyle w:val="TableHead"/>
            </w:pPr>
            <w:r>
              <w:t>Group</w:t>
            </w:r>
          </w:p>
        </w:tc>
        <w:tc>
          <w:tcPr>
            <w:tcW w:w="0" w:type="auto"/>
            <w:tcBorders>
              <w:bottom w:val="single" w:sz="4" w:space="0" w:color="auto"/>
            </w:tcBorders>
            <w:shd w:val="clear" w:color="auto" w:fill="53284F"/>
          </w:tcPr>
          <w:p w14:paraId="2A795F37" w14:textId="77777777" w:rsidR="007F0040" w:rsidRDefault="007F0040" w:rsidP="00377F3A">
            <w:pPr>
              <w:pStyle w:val="TableHead"/>
            </w:pPr>
            <w:r>
              <w:t>Exposure</w:t>
            </w:r>
          </w:p>
        </w:tc>
        <w:tc>
          <w:tcPr>
            <w:tcW w:w="0" w:type="auto"/>
            <w:tcBorders>
              <w:bottom w:val="single" w:sz="4" w:space="0" w:color="auto"/>
            </w:tcBorders>
            <w:shd w:val="clear" w:color="auto" w:fill="53284F"/>
          </w:tcPr>
          <w:p w14:paraId="0D467A3B" w14:textId="77777777" w:rsidR="007F0040" w:rsidRPr="00CA558C" w:rsidRDefault="007F0040" w:rsidP="00377F3A">
            <w:pPr>
              <w:pStyle w:val="TableHead"/>
            </w:pPr>
            <w:r>
              <w:t>Species/process</w:t>
            </w:r>
          </w:p>
        </w:tc>
        <w:tc>
          <w:tcPr>
            <w:tcW w:w="0" w:type="auto"/>
            <w:tcBorders>
              <w:bottom w:val="single" w:sz="4" w:space="0" w:color="auto"/>
            </w:tcBorders>
            <w:shd w:val="clear" w:color="auto" w:fill="53284F"/>
          </w:tcPr>
          <w:p w14:paraId="63CBD437" w14:textId="77777777" w:rsidR="007F0040" w:rsidRPr="00CA558C" w:rsidRDefault="007F0040" w:rsidP="00377F3A">
            <w:pPr>
              <w:pStyle w:val="TableHead"/>
            </w:pPr>
            <w:r>
              <w:t>Toxicity v</w:t>
            </w:r>
            <w:r w:rsidRPr="00CA558C">
              <w:t>alue</w:t>
            </w:r>
          </w:p>
        </w:tc>
        <w:tc>
          <w:tcPr>
            <w:tcW w:w="0" w:type="auto"/>
            <w:tcBorders>
              <w:bottom w:val="single" w:sz="4" w:space="0" w:color="auto"/>
            </w:tcBorders>
            <w:shd w:val="clear" w:color="auto" w:fill="53284F"/>
          </w:tcPr>
          <w:p w14:paraId="1D993752" w14:textId="77777777" w:rsidR="007F0040" w:rsidRPr="00CA558C" w:rsidRDefault="007F0040" w:rsidP="00377F3A">
            <w:pPr>
              <w:pStyle w:val="TableHead"/>
            </w:pPr>
            <w:r>
              <w:t>Reference</w:t>
            </w:r>
          </w:p>
        </w:tc>
      </w:tr>
      <w:tr w:rsidR="007F0040" w:rsidRPr="000B2FA7" w14:paraId="0D252D02" w14:textId="77777777" w:rsidTr="007F0040">
        <w:tc>
          <w:tcPr>
            <w:tcW w:w="0" w:type="auto"/>
            <w:tcBorders>
              <w:top w:val="nil"/>
              <w:left w:val="nil"/>
              <w:bottom w:val="single" w:sz="4" w:space="0" w:color="auto"/>
              <w:right w:val="nil"/>
            </w:tcBorders>
          </w:tcPr>
          <w:p w14:paraId="45D23C70" w14:textId="77777777" w:rsidR="007F0040" w:rsidRDefault="007F0040" w:rsidP="00377F3A">
            <w:pPr>
              <w:pStyle w:val="TableText"/>
            </w:pPr>
            <w:r>
              <w:t>Macro-organisms</w:t>
            </w:r>
          </w:p>
        </w:tc>
        <w:tc>
          <w:tcPr>
            <w:tcW w:w="0" w:type="auto"/>
            <w:tcBorders>
              <w:top w:val="nil"/>
              <w:left w:val="nil"/>
              <w:bottom w:val="single" w:sz="4" w:space="0" w:color="auto"/>
              <w:right w:val="nil"/>
            </w:tcBorders>
          </w:tcPr>
          <w:p w14:paraId="2D6569A8" w14:textId="77777777" w:rsidR="007F0040" w:rsidRDefault="007F0040" w:rsidP="00377F3A">
            <w:pPr>
              <w:pStyle w:val="TableText"/>
            </w:pPr>
            <w:r>
              <w:t>Chronic</w:t>
            </w:r>
          </w:p>
        </w:tc>
        <w:tc>
          <w:tcPr>
            <w:tcW w:w="0" w:type="auto"/>
            <w:tcBorders>
              <w:top w:val="nil"/>
              <w:left w:val="nil"/>
              <w:bottom w:val="single" w:sz="4" w:space="0" w:color="auto"/>
              <w:right w:val="nil"/>
            </w:tcBorders>
          </w:tcPr>
          <w:p w14:paraId="26932B1F" w14:textId="77777777" w:rsidR="007F0040" w:rsidRPr="00663589" w:rsidRDefault="007F0040" w:rsidP="00377F3A">
            <w:pPr>
              <w:pStyle w:val="TableText"/>
            </w:pPr>
            <w:r w:rsidRPr="00663589">
              <w:t>Eisenia fetida</w:t>
            </w:r>
          </w:p>
        </w:tc>
        <w:tc>
          <w:tcPr>
            <w:tcW w:w="0" w:type="auto"/>
            <w:tcBorders>
              <w:top w:val="nil"/>
              <w:left w:val="nil"/>
              <w:bottom w:val="single" w:sz="4" w:space="0" w:color="auto"/>
              <w:right w:val="nil"/>
            </w:tcBorders>
          </w:tcPr>
          <w:p w14:paraId="76EA1CF9" w14:textId="77777777" w:rsidR="007F0040" w:rsidRDefault="007F0040" w:rsidP="00377F3A">
            <w:pPr>
              <w:pStyle w:val="TableText"/>
            </w:pPr>
            <w:r>
              <w:t>EC</w:t>
            </w:r>
            <w:r w:rsidRPr="00F364D4">
              <w:rPr>
                <w:vertAlign w:val="subscript"/>
              </w:rPr>
              <w:t>10corr</w:t>
            </w:r>
            <w:r>
              <w:t xml:space="preserve"> 2.8 mg/kg dry soil</w:t>
            </w:r>
          </w:p>
        </w:tc>
        <w:tc>
          <w:tcPr>
            <w:tcW w:w="0" w:type="auto"/>
            <w:tcBorders>
              <w:top w:val="nil"/>
              <w:left w:val="nil"/>
              <w:bottom w:val="single" w:sz="4" w:space="0" w:color="auto"/>
              <w:right w:val="nil"/>
            </w:tcBorders>
          </w:tcPr>
          <w:p w14:paraId="0E667F0F" w14:textId="77777777" w:rsidR="007F0040" w:rsidRDefault="007F0040" w:rsidP="00377F3A">
            <w:pPr>
              <w:pStyle w:val="TableText"/>
            </w:pPr>
            <w:r>
              <w:t>Simon 2011</w:t>
            </w:r>
          </w:p>
        </w:tc>
      </w:tr>
    </w:tbl>
    <w:p w14:paraId="05C44869" w14:textId="31F1FC8E" w:rsidR="007F0040" w:rsidRPr="007F0040" w:rsidRDefault="00D560AB" w:rsidP="00377F3A">
      <w:pPr>
        <w:pStyle w:val="Caption"/>
      </w:pPr>
      <w:bookmarkStart w:id="2156" w:name="_Ref213316079"/>
      <w:bookmarkStart w:id="2157" w:name="_Toc213946121"/>
      <w:bookmarkStart w:id="2158" w:name="_Toc216695812"/>
      <w:r>
        <w:lastRenderedPageBreak/>
        <w:t xml:space="preserve">Table </w:t>
      </w:r>
      <w:r>
        <w:fldChar w:fldCharType="begin"/>
      </w:r>
      <w:r>
        <w:instrText xml:space="preserve"> SEQ Table \* ARABIC </w:instrText>
      </w:r>
      <w:r>
        <w:fldChar w:fldCharType="separate"/>
      </w:r>
      <w:r w:rsidR="003861AC">
        <w:rPr>
          <w:noProof/>
        </w:rPr>
        <w:t>150</w:t>
      </w:r>
      <w:r>
        <w:fldChar w:fldCharType="end"/>
      </w:r>
      <w:bookmarkEnd w:id="2156"/>
      <w:r>
        <w:t xml:space="preserve">: </w:t>
      </w:r>
      <w:r w:rsidR="007F0040">
        <w:t xml:space="preserve">Flocoumafen – </w:t>
      </w:r>
      <w:r w:rsidR="007F0040" w:rsidRPr="007F0040">
        <w:t>Effects on biological methods of sewage treatment</w:t>
      </w:r>
      <w:bookmarkEnd w:id="2157"/>
      <w:bookmarkEnd w:id="2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23"/>
        <w:gridCol w:w="2924"/>
        <w:gridCol w:w="3581"/>
      </w:tblGrid>
      <w:tr w:rsidR="007F0040" w:rsidRPr="007F0040" w14:paraId="6B426EF8" w14:textId="77777777" w:rsidTr="0017134F">
        <w:trPr>
          <w:cantSplit/>
          <w:tblHeader/>
        </w:trPr>
        <w:tc>
          <w:tcPr>
            <w:tcW w:w="0" w:type="auto"/>
            <w:tcBorders>
              <w:bottom w:val="single" w:sz="4" w:space="0" w:color="auto"/>
            </w:tcBorders>
            <w:shd w:val="clear" w:color="auto" w:fill="53284F"/>
          </w:tcPr>
          <w:p w14:paraId="58175F53" w14:textId="77777777" w:rsidR="007F0040" w:rsidRPr="007F0040" w:rsidRDefault="007F0040" w:rsidP="00377F3A">
            <w:pPr>
              <w:pStyle w:val="TableHead"/>
              <w:rPr>
                <w:lang w:eastAsia="en-AU"/>
              </w:rPr>
            </w:pPr>
            <w:r w:rsidRPr="007F0040">
              <w:rPr>
                <w:lang w:eastAsia="en-AU"/>
              </w:rPr>
              <w:t>Test</w:t>
            </w:r>
          </w:p>
        </w:tc>
        <w:tc>
          <w:tcPr>
            <w:tcW w:w="0" w:type="auto"/>
            <w:tcBorders>
              <w:bottom w:val="single" w:sz="4" w:space="0" w:color="auto"/>
            </w:tcBorders>
            <w:shd w:val="clear" w:color="auto" w:fill="53284F"/>
          </w:tcPr>
          <w:p w14:paraId="13B0DFBA" w14:textId="77777777" w:rsidR="007F0040" w:rsidRPr="007F0040" w:rsidRDefault="007F0040" w:rsidP="00377F3A">
            <w:pPr>
              <w:pStyle w:val="TableHead"/>
              <w:rPr>
                <w:lang w:eastAsia="en-AU"/>
              </w:rPr>
            </w:pPr>
            <w:r w:rsidRPr="007F0040">
              <w:rPr>
                <w:lang w:eastAsia="en-AU"/>
              </w:rPr>
              <w:t>Endpoint</w:t>
            </w:r>
          </w:p>
        </w:tc>
        <w:tc>
          <w:tcPr>
            <w:tcW w:w="0" w:type="auto"/>
            <w:tcBorders>
              <w:bottom w:val="single" w:sz="4" w:space="0" w:color="auto"/>
            </w:tcBorders>
            <w:shd w:val="clear" w:color="auto" w:fill="53284F"/>
          </w:tcPr>
          <w:p w14:paraId="03839D9E" w14:textId="77777777" w:rsidR="007F0040" w:rsidRPr="007F0040" w:rsidRDefault="007F0040" w:rsidP="00377F3A">
            <w:pPr>
              <w:pStyle w:val="TableHead"/>
              <w:rPr>
                <w:lang w:eastAsia="en-AU"/>
              </w:rPr>
            </w:pPr>
            <w:r w:rsidRPr="007F0040">
              <w:rPr>
                <w:lang w:eastAsia="en-AU"/>
              </w:rPr>
              <w:t>Reference</w:t>
            </w:r>
          </w:p>
        </w:tc>
      </w:tr>
      <w:tr w:rsidR="007F0040" w:rsidRPr="007F0040" w14:paraId="56DF472C" w14:textId="77777777" w:rsidTr="007F0040">
        <w:trPr>
          <w:cantSplit/>
        </w:trPr>
        <w:tc>
          <w:tcPr>
            <w:tcW w:w="0" w:type="auto"/>
            <w:tcBorders>
              <w:top w:val="nil"/>
              <w:left w:val="nil"/>
              <w:right w:val="nil"/>
            </w:tcBorders>
          </w:tcPr>
          <w:p w14:paraId="1140D76F" w14:textId="77777777" w:rsidR="007F0040" w:rsidRPr="007F0040" w:rsidRDefault="007F0040" w:rsidP="00377F3A">
            <w:pPr>
              <w:pStyle w:val="TableText"/>
            </w:pPr>
            <w:r w:rsidRPr="007F0040">
              <w:rPr>
                <w:lang w:eastAsia="en-AU"/>
              </w:rPr>
              <w:t>Activated sludge</w:t>
            </w:r>
          </w:p>
        </w:tc>
        <w:tc>
          <w:tcPr>
            <w:tcW w:w="0" w:type="auto"/>
            <w:tcBorders>
              <w:top w:val="nil"/>
              <w:left w:val="nil"/>
              <w:bottom w:val="single" w:sz="4" w:space="0" w:color="auto"/>
              <w:right w:val="nil"/>
            </w:tcBorders>
          </w:tcPr>
          <w:p w14:paraId="7F957777" w14:textId="77777777" w:rsidR="007F0040" w:rsidRPr="007F0040" w:rsidRDefault="007F0040" w:rsidP="00377F3A">
            <w:pPr>
              <w:pStyle w:val="TableText"/>
            </w:pPr>
            <w:r w:rsidRPr="007F0040">
              <w:t>EC</w:t>
            </w:r>
            <w:r w:rsidRPr="007F0040">
              <w:rPr>
                <w:vertAlign w:val="subscript"/>
              </w:rPr>
              <w:t>50</w:t>
            </w:r>
            <w:r w:rsidRPr="007F0040">
              <w:t xml:space="preserve"> &gt;4.0 mg/L</w:t>
            </w:r>
          </w:p>
        </w:tc>
        <w:tc>
          <w:tcPr>
            <w:tcW w:w="0" w:type="auto"/>
            <w:tcBorders>
              <w:top w:val="nil"/>
              <w:left w:val="nil"/>
              <w:bottom w:val="single" w:sz="4" w:space="0" w:color="auto"/>
              <w:right w:val="nil"/>
            </w:tcBorders>
          </w:tcPr>
          <w:p w14:paraId="24150EA3" w14:textId="77777777" w:rsidR="007F0040" w:rsidRPr="007F0040" w:rsidRDefault="007F0040" w:rsidP="00377F3A">
            <w:pPr>
              <w:pStyle w:val="TableText"/>
            </w:pPr>
            <w:r w:rsidRPr="007F0040">
              <w:t>Hick &amp; Canez 2002</w:t>
            </w:r>
          </w:p>
        </w:tc>
      </w:tr>
    </w:tbl>
    <w:p w14:paraId="2C5E965E" w14:textId="77777777" w:rsidR="00EE5679" w:rsidRDefault="00EE5679">
      <w:pPr>
        <w:spacing w:after="0" w:line="240" w:lineRule="auto"/>
        <w:sectPr w:rsidR="00EE5679">
          <w:headerReference w:type="even" r:id="rId39"/>
          <w:pgSz w:w="11906" w:h="16838" w:code="9"/>
          <w:pgMar w:top="2835" w:right="1134" w:bottom="1134" w:left="1134" w:header="1701" w:footer="680" w:gutter="0"/>
          <w:cols w:space="708"/>
          <w:docGrid w:linePitch="360"/>
        </w:sectPr>
      </w:pPr>
    </w:p>
    <w:p w14:paraId="243D697F" w14:textId="5CFD01AA" w:rsidR="00C93E95" w:rsidRPr="00574A5E" w:rsidRDefault="00C93E95" w:rsidP="00574A5E">
      <w:pPr>
        <w:pStyle w:val="APVMAAppendixH1"/>
      </w:pPr>
      <w:bookmarkStart w:id="2159" w:name="_Toc214025630"/>
      <w:bookmarkStart w:id="2160" w:name="_Toc216695652"/>
      <w:r w:rsidRPr="00574A5E">
        <w:lastRenderedPageBreak/>
        <w:t>A</w:t>
      </w:r>
      <w:r w:rsidR="005720AA" w:rsidRPr="00574A5E">
        <w:rPr>
          <w:caps w:val="0"/>
        </w:rPr>
        <w:t>ppendix</w:t>
      </w:r>
      <w:r w:rsidRPr="00574A5E">
        <w:t xml:space="preserve"> </w:t>
      </w:r>
      <w:r w:rsidR="00FA4E31">
        <w:t>B</w:t>
      </w:r>
      <w:r w:rsidRPr="00574A5E">
        <w:t xml:space="preserve"> – </w:t>
      </w:r>
      <w:r w:rsidR="00A3791C">
        <w:t>L</w:t>
      </w:r>
      <w:r w:rsidR="005720AA" w:rsidRPr="00574A5E">
        <w:rPr>
          <w:caps w:val="0"/>
        </w:rPr>
        <w:t>isting of toxicological endpoints</w:t>
      </w:r>
      <w:bookmarkEnd w:id="2159"/>
      <w:bookmarkEnd w:id="2160"/>
    </w:p>
    <w:p w14:paraId="4DD45A42" w14:textId="44E638F4" w:rsidR="00C93E95" w:rsidRDefault="00C93E95" w:rsidP="00C93E95">
      <w:pPr>
        <w:pStyle w:val="APVMAAppendixH2"/>
      </w:pPr>
      <w:bookmarkStart w:id="2161" w:name="_Toc214025631"/>
      <w:bookmarkStart w:id="2162" w:name="_Toc216695653"/>
      <w:r>
        <w:t>Coum</w:t>
      </w:r>
      <w:r w:rsidR="00FC3F77">
        <w:t>a</w:t>
      </w:r>
      <w:r>
        <w:t>tetralyl</w:t>
      </w:r>
      <w:bookmarkEnd w:id="2161"/>
      <w:bookmarkEnd w:id="2162"/>
    </w:p>
    <w:p w14:paraId="6B013B81" w14:textId="6C3235FF" w:rsidR="00175C8F" w:rsidRPr="008635F4" w:rsidRDefault="00175C8F" w:rsidP="00377F3A">
      <w:pPr>
        <w:pStyle w:val="Caption"/>
      </w:pPr>
      <w:bookmarkStart w:id="2163" w:name="_Toc213946122"/>
      <w:bookmarkStart w:id="2164" w:name="_Toc216695813"/>
      <w:r>
        <w:t xml:space="preserve">Table </w:t>
      </w:r>
      <w:r>
        <w:fldChar w:fldCharType="begin"/>
      </w:r>
      <w:r>
        <w:instrText xml:space="preserve"> SEQ Table \* ARABIC </w:instrText>
      </w:r>
      <w:r>
        <w:fldChar w:fldCharType="separate"/>
      </w:r>
      <w:r w:rsidR="003861AC">
        <w:rPr>
          <w:noProof/>
        </w:rPr>
        <w:t>151</w:t>
      </w:r>
      <w:r>
        <w:fldChar w:fldCharType="end"/>
      </w:r>
      <w:r>
        <w:t>: Toxicological endpoints for coumatetralyl active constituent and formulated products</w:t>
      </w:r>
      <w:bookmarkEnd w:id="2163"/>
      <w:bookmarkEnd w:id="2164"/>
    </w:p>
    <w:tbl>
      <w:tblPr>
        <w:tblStyle w:val="TableGrid"/>
        <w:tblW w:w="0" w:type="auto"/>
        <w:tblLook w:val="04A0" w:firstRow="1" w:lastRow="0" w:firstColumn="1" w:lastColumn="0" w:noHBand="0" w:noVBand="1"/>
      </w:tblPr>
      <w:tblGrid>
        <w:gridCol w:w="1413"/>
        <w:gridCol w:w="6379"/>
        <w:gridCol w:w="1836"/>
      </w:tblGrid>
      <w:tr w:rsidR="00E51476" w:rsidRPr="00E51476" w14:paraId="2E92BB44" w14:textId="77777777" w:rsidTr="00377F3A">
        <w:trPr>
          <w:trHeight w:val="288"/>
          <w:tblHeader/>
        </w:trPr>
        <w:tc>
          <w:tcPr>
            <w:tcW w:w="1413" w:type="dxa"/>
            <w:shd w:val="clear" w:color="auto" w:fill="53284F"/>
            <w:noWrap/>
            <w:hideMark/>
          </w:tcPr>
          <w:p w14:paraId="1140B681" w14:textId="77777777" w:rsidR="00E51476" w:rsidRPr="00E51476" w:rsidRDefault="00E51476" w:rsidP="00377F3A">
            <w:pPr>
              <w:pStyle w:val="TableHead"/>
            </w:pPr>
            <w:r w:rsidRPr="00E51476">
              <w:t>Study type</w:t>
            </w:r>
          </w:p>
        </w:tc>
        <w:tc>
          <w:tcPr>
            <w:tcW w:w="6379" w:type="dxa"/>
            <w:shd w:val="clear" w:color="auto" w:fill="53284F"/>
            <w:noWrap/>
            <w:hideMark/>
          </w:tcPr>
          <w:p w14:paraId="7AA61B06" w14:textId="77777777" w:rsidR="00E51476" w:rsidRPr="00E51476" w:rsidRDefault="00E51476" w:rsidP="00377F3A">
            <w:pPr>
              <w:pStyle w:val="TableHead"/>
            </w:pPr>
            <w:r w:rsidRPr="00E51476">
              <w:t>Endpoint</w:t>
            </w:r>
          </w:p>
        </w:tc>
        <w:tc>
          <w:tcPr>
            <w:tcW w:w="1836" w:type="dxa"/>
            <w:shd w:val="clear" w:color="auto" w:fill="53284F"/>
            <w:noWrap/>
            <w:hideMark/>
          </w:tcPr>
          <w:p w14:paraId="51679CCE" w14:textId="77777777" w:rsidR="00E51476" w:rsidRPr="00E51476" w:rsidRDefault="00E51476" w:rsidP="00377F3A">
            <w:pPr>
              <w:pStyle w:val="TableHead"/>
            </w:pPr>
            <w:r w:rsidRPr="00E51476">
              <w:t>Reference</w:t>
            </w:r>
          </w:p>
        </w:tc>
      </w:tr>
      <w:tr w:rsidR="00E51476" w:rsidRPr="00E51476" w14:paraId="0B10DD58" w14:textId="77777777" w:rsidTr="00377F3A">
        <w:trPr>
          <w:trHeight w:val="288"/>
        </w:trPr>
        <w:tc>
          <w:tcPr>
            <w:tcW w:w="1413" w:type="dxa"/>
            <w:hideMark/>
          </w:tcPr>
          <w:p w14:paraId="4514848D" w14:textId="0F2C79D5" w:rsidR="00E51476" w:rsidRPr="00E51476" w:rsidRDefault="00E51476" w:rsidP="00377F3A">
            <w:pPr>
              <w:pStyle w:val="TableText"/>
            </w:pPr>
            <w:r w:rsidRPr="00E51476">
              <w:t xml:space="preserve">Acute oral studies </w:t>
            </w:r>
            <w:r>
              <w:t>(</w:t>
            </w:r>
            <w:r w:rsidRPr="00E51476">
              <w:t>Active</w:t>
            </w:r>
            <w:r>
              <w:t>)</w:t>
            </w:r>
          </w:p>
        </w:tc>
        <w:tc>
          <w:tcPr>
            <w:tcW w:w="6379" w:type="dxa"/>
            <w:noWrap/>
            <w:hideMark/>
          </w:tcPr>
          <w:p w14:paraId="3F2DFDE6" w14:textId="77777777" w:rsidR="00E51476" w:rsidRPr="00E51476" w:rsidRDefault="00E51476" w:rsidP="00377F3A">
            <w:pPr>
              <w:pStyle w:val="TableText"/>
            </w:pPr>
            <w:r w:rsidRPr="00E51476">
              <w:t>The acute oral LD50 for coumatetralyl is 30 mg/kg bw in male and is approximately 15 mg/kg bw in female rats.</w:t>
            </w:r>
          </w:p>
        </w:tc>
        <w:tc>
          <w:tcPr>
            <w:tcW w:w="1836" w:type="dxa"/>
            <w:noWrap/>
            <w:hideMark/>
          </w:tcPr>
          <w:p w14:paraId="627230E0" w14:textId="77777777" w:rsidR="00E51476" w:rsidRPr="00E51476" w:rsidRDefault="00E51476" w:rsidP="00377F3A">
            <w:pPr>
              <w:pStyle w:val="TableText"/>
            </w:pPr>
            <w:r w:rsidRPr="00E51476">
              <w:t>Bomann, W., 1992</w:t>
            </w:r>
          </w:p>
        </w:tc>
      </w:tr>
      <w:tr w:rsidR="00E51476" w:rsidRPr="00E51476" w14:paraId="00AE236B" w14:textId="77777777" w:rsidTr="00377F3A">
        <w:trPr>
          <w:trHeight w:val="456"/>
        </w:trPr>
        <w:tc>
          <w:tcPr>
            <w:tcW w:w="1413" w:type="dxa"/>
            <w:hideMark/>
          </w:tcPr>
          <w:p w14:paraId="4C0D6F0F" w14:textId="63ABE635" w:rsidR="00E51476" w:rsidRPr="00E51476" w:rsidRDefault="00E51476" w:rsidP="00377F3A">
            <w:pPr>
              <w:pStyle w:val="TableText"/>
            </w:pPr>
            <w:r w:rsidRPr="00E51476">
              <w:t>Sub-chronic studies</w:t>
            </w:r>
            <w:r>
              <w:t xml:space="preserve"> (Product)</w:t>
            </w:r>
          </w:p>
        </w:tc>
        <w:tc>
          <w:tcPr>
            <w:tcW w:w="6379" w:type="dxa"/>
            <w:hideMark/>
          </w:tcPr>
          <w:p w14:paraId="3A6A7DD2" w14:textId="38847149" w:rsidR="00E51476" w:rsidRPr="00E51476" w:rsidRDefault="00E51476" w:rsidP="00377F3A">
            <w:pPr>
              <w:pStyle w:val="TableText"/>
            </w:pPr>
            <w:r w:rsidRPr="00E51476">
              <w:t>NOEL 0.0068 mg/kg bw/day of</w:t>
            </w:r>
            <w:r>
              <w:t xml:space="preserve"> </w:t>
            </w:r>
            <w:r w:rsidRPr="00E51476">
              <w:t>coumatetralyl in males and 0.0083 mg/kg bw/day of coumatetralyl in female rats.</w:t>
            </w:r>
          </w:p>
        </w:tc>
        <w:tc>
          <w:tcPr>
            <w:tcW w:w="1836" w:type="dxa"/>
            <w:noWrap/>
            <w:hideMark/>
          </w:tcPr>
          <w:p w14:paraId="2269C64B" w14:textId="77777777" w:rsidR="00E51476" w:rsidRPr="00E51476" w:rsidRDefault="00E51476" w:rsidP="00377F3A">
            <w:pPr>
              <w:pStyle w:val="TableText"/>
            </w:pPr>
            <w:r w:rsidRPr="00E51476">
              <w:t>Andrews, P.; Romeike, A., 1997</w:t>
            </w:r>
          </w:p>
        </w:tc>
      </w:tr>
      <w:tr w:rsidR="00E51476" w:rsidRPr="00E51476" w14:paraId="5770132E" w14:textId="77777777" w:rsidTr="00377F3A">
        <w:trPr>
          <w:trHeight w:val="288"/>
        </w:trPr>
        <w:tc>
          <w:tcPr>
            <w:tcW w:w="1413" w:type="dxa"/>
            <w:hideMark/>
          </w:tcPr>
          <w:p w14:paraId="5B9A787E" w14:textId="77777777" w:rsidR="00E51476" w:rsidRPr="00E51476" w:rsidRDefault="00E51476" w:rsidP="00377F3A">
            <w:pPr>
              <w:pStyle w:val="TableText"/>
            </w:pPr>
            <w:r w:rsidRPr="00E51476">
              <w:t>Acute oral studies, Active</w:t>
            </w:r>
          </w:p>
        </w:tc>
        <w:tc>
          <w:tcPr>
            <w:tcW w:w="6379" w:type="dxa"/>
            <w:noWrap/>
            <w:hideMark/>
          </w:tcPr>
          <w:p w14:paraId="500D5975" w14:textId="77777777" w:rsidR="00E51476" w:rsidRPr="00E51476" w:rsidRDefault="00E51476" w:rsidP="00377F3A">
            <w:pPr>
              <w:pStyle w:val="TableText"/>
            </w:pPr>
            <w:r w:rsidRPr="00E51476">
              <w:t>The acute oral LD50 for coumatetralyl is &gt;500 mg/kg bw in males and &gt;750 mg/kg bw in female rabbits.</w:t>
            </w:r>
          </w:p>
        </w:tc>
        <w:tc>
          <w:tcPr>
            <w:tcW w:w="1836" w:type="dxa"/>
            <w:noWrap/>
            <w:hideMark/>
          </w:tcPr>
          <w:p w14:paraId="2B2DB59F" w14:textId="77777777" w:rsidR="00E51476" w:rsidRPr="00E51476" w:rsidRDefault="00E51476" w:rsidP="00377F3A">
            <w:pPr>
              <w:pStyle w:val="TableText"/>
            </w:pPr>
            <w:r w:rsidRPr="00E51476">
              <w:t>Bomann, W., 1992</w:t>
            </w:r>
          </w:p>
        </w:tc>
      </w:tr>
      <w:tr w:rsidR="00E51476" w:rsidRPr="00E51476" w14:paraId="2A8238AA" w14:textId="77777777" w:rsidTr="00377F3A">
        <w:trPr>
          <w:trHeight w:val="456"/>
        </w:trPr>
        <w:tc>
          <w:tcPr>
            <w:tcW w:w="1413" w:type="dxa"/>
            <w:hideMark/>
          </w:tcPr>
          <w:p w14:paraId="1769F57C" w14:textId="77777777" w:rsidR="00E51476" w:rsidRPr="00E51476" w:rsidRDefault="00E51476" w:rsidP="00377F3A">
            <w:pPr>
              <w:pStyle w:val="TableText"/>
            </w:pPr>
            <w:r w:rsidRPr="00E51476">
              <w:t>Genotoxicity (Mutagenicity) studies</w:t>
            </w:r>
          </w:p>
        </w:tc>
        <w:tc>
          <w:tcPr>
            <w:tcW w:w="6379" w:type="dxa"/>
            <w:noWrap/>
            <w:hideMark/>
          </w:tcPr>
          <w:p w14:paraId="56FB5BA7" w14:textId="7C8ACA8C" w:rsidR="00E51476" w:rsidRPr="00E51476" w:rsidRDefault="00E51476" w:rsidP="00377F3A">
            <w:pPr>
              <w:pStyle w:val="TableText"/>
            </w:pPr>
            <w:r w:rsidRPr="00E51476">
              <w:t>Not mutagenic</w:t>
            </w:r>
          </w:p>
        </w:tc>
        <w:tc>
          <w:tcPr>
            <w:tcW w:w="1836" w:type="dxa"/>
            <w:noWrap/>
            <w:hideMark/>
          </w:tcPr>
          <w:p w14:paraId="03F80C0F" w14:textId="66832D1D" w:rsidR="00E51476" w:rsidRPr="00E51476" w:rsidRDefault="00E51476" w:rsidP="00377F3A">
            <w:pPr>
              <w:pStyle w:val="TableText"/>
            </w:pPr>
            <w:r w:rsidRPr="00E51476">
              <w:t>Herbold, B., 1986</w:t>
            </w:r>
            <w:r>
              <w:t>a</w:t>
            </w:r>
          </w:p>
        </w:tc>
      </w:tr>
      <w:tr w:rsidR="00E51476" w:rsidRPr="00E51476" w14:paraId="717565A4" w14:textId="77777777" w:rsidTr="00377F3A">
        <w:trPr>
          <w:trHeight w:val="288"/>
        </w:trPr>
        <w:tc>
          <w:tcPr>
            <w:tcW w:w="1413" w:type="dxa"/>
            <w:hideMark/>
          </w:tcPr>
          <w:p w14:paraId="5A1C2C49" w14:textId="19455242" w:rsidR="00E51476" w:rsidRPr="00E51476" w:rsidRDefault="00E51476" w:rsidP="00377F3A">
            <w:pPr>
              <w:pStyle w:val="TableText"/>
            </w:pPr>
            <w:r w:rsidRPr="00E51476">
              <w:t xml:space="preserve">Acute dermal studies </w:t>
            </w:r>
            <w:r>
              <w:t>(</w:t>
            </w:r>
            <w:r w:rsidRPr="00E51476">
              <w:t>Active</w:t>
            </w:r>
            <w:r>
              <w:t>)</w:t>
            </w:r>
          </w:p>
        </w:tc>
        <w:tc>
          <w:tcPr>
            <w:tcW w:w="6379" w:type="dxa"/>
            <w:noWrap/>
            <w:hideMark/>
          </w:tcPr>
          <w:p w14:paraId="05DBD666" w14:textId="77777777" w:rsidR="00E51476" w:rsidRPr="00E51476" w:rsidRDefault="00E51476" w:rsidP="00377F3A">
            <w:pPr>
              <w:pStyle w:val="TableText"/>
            </w:pPr>
            <w:r w:rsidRPr="00E51476">
              <w:t>The acute dermal LD50 for coumatetralyl is between 100 and 500 mg/kg bw in male and is 258 mg/kg bw in female rats.</w:t>
            </w:r>
          </w:p>
        </w:tc>
        <w:tc>
          <w:tcPr>
            <w:tcW w:w="1836" w:type="dxa"/>
            <w:noWrap/>
            <w:hideMark/>
          </w:tcPr>
          <w:p w14:paraId="5DBCAD6B" w14:textId="77777777" w:rsidR="00E51476" w:rsidRPr="00E51476" w:rsidRDefault="00E51476" w:rsidP="00377F3A">
            <w:pPr>
              <w:pStyle w:val="TableText"/>
            </w:pPr>
            <w:r w:rsidRPr="00E51476">
              <w:t>Bomann, W., 1992</w:t>
            </w:r>
          </w:p>
        </w:tc>
      </w:tr>
      <w:tr w:rsidR="00E51476" w:rsidRPr="00E51476" w14:paraId="620339E3" w14:textId="77777777" w:rsidTr="00377F3A">
        <w:trPr>
          <w:trHeight w:val="456"/>
        </w:trPr>
        <w:tc>
          <w:tcPr>
            <w:tcW w:w="1413" w:type="dxa"/>
            <w:hideMark/>
          </w:tcPr>
          <w:p w14:paraId="360F06CA" w14:textId="19540D76" w:rsidR="00E51476" w:rsidRPr="00E51476" w:rsidRDefault="00E51476" w:rsidP="00377F3A">
            <w:pPr>
              <w:pStyle w:val="TableText"/>
            </w:pPr>
            <w:r w:rsidRPr="00E51476">
              <w:t xml:space="preserve">Acute inhalation studies </w:t>
            </w:r>
            <w:r>
              <w:t>(</w:t>
            </w:r>
            <w:r w:rsidRPr="00E51476">
              <w:t>Active</w:t>
            </w:r>
            <w:r>
              <w:t>)</w:t>
            </w:r>
          </w:p>
        </w:tc>
        <w:tc>
          <w:tcPr>
            <w:tcW w:w="6379" w:type="dxa"/>
            <w:noWrap/>
            <w:hideMark/>
          </w:tcPr>
          <w:p w14:paraId="79844CC5" w14:textId="41DAFB8B" w:rsidR="00E51476" w:rsidRPr="00E51476" w:rsidRDefault="00E51476" w:rsidP="00377F3A">
            <w:pPr>
              <w:pStyle w:val="TableText"/>
            </w:pPr>
            <w:r w:rsidRPr="00E51476">
              <w:t>LC50 in rats is 39 mg/m3 (0.039 mg/L)in rats</w:t>
            </w:r>
          </w:p>
        </w:tc>
        <w:tc>
          <w:tcPr>
            <w:tcW w:w="1836" w:type="dxa"/>
            <w:noWrap/>
            <w:hideMark/>
          </w:tcPr>
          <w:p w14:paraId="63821627" w14:textId="77777777" w:rsidR="00E51476" w:rsidRPr="00E51476" w:rsidRDefault="00E51476" w:rsidP="00377F3A">
            <w:pPr>
              <w:pStyle w:val="TableText"/>
            </w:pPr>
            <w:r w:rsidRPr="00E51476">
              <w:t>Pauluhn, J., 1982</w:t>
            </w:r>
          </w:p>
        </w:tc>
      </w:tr>
      <w:tr w:rsidR="00E51476" w:rsidRPr="00E51476" w14:paraId="4B577F44" w14:textId="77777777" w:rsidTr="00377F3A">
        <w:trPr>
          <w:trHeight w:val="456"/>
        </w:trPr>
        <w:tc>
          <w:tcPr>
            <w:tcW w:w="1413" w:type="dxa"/>
            <w:hideMark/>
          </w:tcPr>
          <w:p w14:paraId="20C10C8C" w14:textId="409C2F9E" w:rsidR="00E51476" w:rsidRPr="00E51476" w:rsidRDefault="00E51476" w:rsidP="00377F3A">
            <w:pPr>
              <w:pStyle w:val="TableText"/>
            </w:pPr>
            <w:r w:rsidRPr="00E51476">
              <w:t>Genotoxicity (Mutagenicity) studies</w:t>
            </w:r>
            <w:r>
              <w:t xml:space="preserve"> (</w:t>
            </w:r>
            <w:r w:rsidRPr="00E51476">
              <w:t>Active</w:t>
            </w:r>
            <w:r>
              <w:t>)</w:t>
            </w:r>
          </w:p>
        </w:tc>
        <w:tc>
          <w:tcPr>
            <w:tcW w:w="6379" w:type="dxa"/>
            <w:noWrap/>
            <w:hideMark/>
          </w:tcPr>
          <w:p w14:paraId="290B0A7D" w14:textId="77777777" w:rsidR="00E51476" w:rsidRPr="00E51476" w:rsidRDefault="00E51476" w:rsidP="00377F3A">
            <w:pPr>
              <w:pStyle w:val="TableText"/>
            </w:pPr>
            <w:r w:rsidRPr="00E51476">
              <w:t xml:space="preserve"> Not mutagenic</w:t>
            </w:r>
          </w:p>
        </w:tc>
        <w:tc>
          <w:tcPr>
            <w:tcW w:w="1836" w:type="dxa"/>
            <w:noWrap/>
            <w:hideMark/>
          </w:tcPr>
          <w:p w14:paraId="279E16A8" w14:textId="41DE20FF" w:rsidR="00E51476" w:rsidRPr="00E51476" w:rsidRDefault="00E51476" w:rsidP="00377F3A">
            <w:pPr>
              <w:pStyle w:val="TableText"/>
            </w:pPr>
            <w:r w:rsidRPr="00E51476">
              <w:t>Herbold, B., 1986</w:t>
            </w:r>
            <w:r>
              <w:t>b</w:t>
            </w:r>
          </w:p>
        </w:tc>
      </w:tr>
      <w:tr w:rsidR="00E51476" w:rsidRPr="00E51476" w14:paraId="1E708ECD" w14:textId="77777777" w:rsidTr="00377F3A">
        <w:trPr>
          <w:trHeight w:val="456"/>
        </w:trPr>
        <w:tc>
          <w:tcPr>
            <w:tcW w:w="1413" w:type="dxa"/>
            <w:hideMark/>
          </w:tcPr>
          <w:p w14:paraId="56F23FAF" w14:textId="64591ED6" w:rsidR="00E51476" w:rsidRPr="00E51476" w:rsidRDefault="00E51476" w:rsidP="00377F3A">
            <w:pPr>
              <w:pStyle w:val="TableText"/>
            </w:pPr>
            <w:r w:rsidRPr="00E51476">
              <w:t>Genotoxicity (Mutagenicity) studies</w:t>
            </w:r>
            <w:r>
              <w:t xml:space="preserve"> (</w:t>
            </w:r>
            <w:r w:rsidRPr="00E51476">
              <w:t>Active</w:t>
            </w:r>
            <w:r>
              <w:t>)</w:t>
            </w:r>
          </w:p>
        </w:tc>
        <w:tc>
          <w:tcPr>
            <w:tcW w:w="6379" w:type="dxa"/>
            <w:noWrap/>
            <w:hideMark/>
          </w:tcPr>
          <w:p w14:paraId="268207CC" w14:textId="77777777" w:rsidR="00E51476" w:rsidRPr="00E51476" w:rsidRDefault="00E51476" w:rsidP="00377F3A">
            <w:pPr>
              <w:pStyle w:val="TableText"/>
            </w:pPr>
            <w:r w:rsidRPr="00E51476">
              <w:t xml:space="preserve"> Not mutagenic</w:t>
            </w:r>
          </w:p>
        </w:tc>
        <w:tc>
          <w:tcPr>
            <w:tcW w:w="1836" w:type="dxa"/>
            <w:noWrap/>
            <w:hideMark/>
          </w:tcPr>
          <w:p w14:paraId="6571F42D" w14:textId="77777777" w:rsidR="00E51476" w:rsidRPr="00E51476" w:rsidRDefault="00E51476" w:rsidP="00377F3A">
            <w:pPr>
              <w:pStyle w:val="TableText"/>
            </w:pPr>
            <w:r w:rsidRPr="00E51476">
              <w:t>Herbold, B., 1987</w:t>
            </w:r>
          </w:p>
        </w:tc>
      </w:tr>
      <w:tr w:rsidR="00E51476" w:rsidRPr="00E51476" w14:paraId="4331700A" w14:textId="77777777" w:rsidTr="00377F3A">
        <w:trPr>
          <w:trHeight w:val="456"/>
        </w:trPr>
        <w:tc>
          <w:tcPr>
            <w:tcW w:w="1413" w:type="dxa"/>
            <w:hideMark/>
          </w:tcPr>
          <w:p w14:paraId="2DC08AB7" w14:textId="61AC3678" w:rsidR="00E51476" w:rsidRPr="00E51476" w:rsidRDefault="00E51476" w:rsidP="00377F3A">
            <w:pPr>
              <w:pStyle w:val="TableText"/>
            </w:pPr>
            <w:r w:rsidRPr="00E51476">
              <w:t>Development (Teratology) Studies</w:t>
            </w:r>
            <w:r>
              <w:t xml:space="preserve"> (</w:t>
            </w:r>
            <w:r w:rsidRPr="00E51476">
              <w:t>Active</w:t>
            </w:r>
            <w:r>
              <w:t>)</w:t>
            </w:r>
          </w:p>
        </w:tc>
        <w:tc>
          <w:tcPr>
            <w:tcW w:w="6379" w:type="dxa"/>
            <w:noWrap/>
            <w:hideMark/>
          </w:tcPr>
          <w:p w14:paraId="4E964ED8" w14:textId="77777777" w:rsidR="00E51476" w:rsidRPr="00E51476" w:rsidRDefault="00E51476" w:rsidP="00377F3A">
            <w:pPr>
              <w:pStyle w:val="TableText"/>
            </w:pPr>
            <w:r w:rsidRPr="00E51476">
              <w:t>NOEL was 0.0125 mg/kg bw/day for maternal effects and 0.05 mg/kg bw/day for developmental effects.</w:t>
            </w:r>
          </w:p>
        </w:tc>
        <w:tc>
          <w:tcPr>
            <w:tcW w:w="1836" w:type="dxa"/>
            <w:noWrap/>
            <w:hideMark/>
          </w:tcPr>
          <w:p w14:paraId="775B8F6E" w14:textId="77777777" w:rsidR="00E51476" w:rsidRPr="00E51476" w:rsidRDefault="00E51476" w:rsidP="00377F3A">
            <w:pPr>
              <w:pStyle w:val="TableText"/>
            </w:pPr>
            <w:r w:rsidRPr="00E51476">
              <w:t>Becker, H.; Biedermann, K., 1996</w:t>
            </w:r>
          </w:p>
        </w:tc>
      </w:tr>
      <w:tr w:rsidR="00E51476" w:rsidRPr="00E51476" w14:paraId="2738321E" w14:textId="77777777" w:rsidTr="00377F3A">
        <w:trPr>
          <w:trHeight w:val="456"/>
        </w:trPr>
        <w:tc>
          <w:tcPr>
            <w:tcW w:w="1413" w:type="dxa"/>
            <w:hideMark/>
          </w:tcPr>
          <w:p w14:paraId="52D8D056" w14:textId="51A9E289" w:rsidR="00E51476" w:rsidRPr="00E51476" w:rsidRDefault="00E51476" w:rsidP="00377F3A">
            <w:pPr>
              <w:pStyle w:val="TableText"/>
            </w:pPr>
            <w:r w:rsidRPr="00E51476">
              <w:t>Development (Teratology) Studies</w:t>
            </w:r>
            <w:r>
              <w:t xml:space="preserve"> (</w:t>
            </w:r>
            <w:r w:rsidRPr="00E51476">
              <w:t>Active</w:t>
            </w:r>
            <w:r>
              <w:t>)</w:t>
            </w:r>
          </w:p>
        </w:tc>
        <w:tc>
          <w:tcPr>
            <w:tcW w:w="6379" w:type="dxa"/>
            <w:noWrap/>
            <w:hideMark/>
          </w:tcPr>
          <w:p w14:paraId="62BD4E0E" w14:textId="77777777" w:rsidR="00E51476" w:rsidRPr="00E51476" w:rsidRDefault="00E51476" w:rsidP="00377F3A">
            <w:pPr>
              <w:pStyle w:val="TableText"/>
            </w:pPr>
            <w:r w:rsidRPr="00E51476">
              <w:t>NOEL was 0.035 mg/kg bw/day for maternal effects and 0.14 mg/kg bw/day for developmental effects.</w:t>
            </w:r>
          </w:p>
        </w:tc>
        <w:tc>
          <w:tcPr>
            <w:tcW w:w="1836" w:type="dxa"/>
            <w:noWrap/>
            <w:hideMark/>
          </w:tcPr>
          <w:p w14:paraId="13684E9F" w14:textId="77777777" w:rsidR="00E51476" w:rsidRPr="00E51476" w:rsidRDefault="00E51476" w:rsidP="00377F3A">
            <w:pPr>
              <w:pStyle w:val="TableText"/>
            </w:pPr>
            <w:r w:rsidRPr="00E51476">
              <w:t>Becker, H.; Biedermann, K., 1996</w:t>
            </w:r>
          </w:p>
        </w:tc>
      </w:tr>
      <w:tr w:rsidR="00E51476" w:rsidRPr="00E51476" w14:paraId="05E5DDCB" w14:textId="77777777" w:rsidTr="00377F3A">
        <w:trPr>
          <w:trHeight w:val="456"/>
        </w:trPr>
        <w:tc>
          <w:tcPr>
            <w:tcW w:w="1413" w:type="dxa"/>
            <w:hideMark/>
          </w:tcPr>
          <w:p w14:paraId="574737A5" w14:textId="40F3E720" w:rsidR="00E51476" w:rsidRPr="00E51476" w:rsidRDefault="00E51476" w:rsidP="00377F3A">
            <w:pPr>
              <w:pStyle w:val="TableText"/>
            </w:pPr>
            <w:r w:rsidRPr="00E51476">
              <w:t xml:space="preserve">Acute skin irritation studies, </w:t>
            </w:r>
            <w:r>
              <w:t>(</w:t>
            </w:r>
            <w:r w:rsidRPr="00E51476">
              <w:t>Active</w:t>
            </w:r>
            <w:r>
              <w:t>)</w:t>
            </w:r>
          </w:p>
        </w:tc>
        <w:tc>
          <w:tcPr>
            <w:tcW w:w="6379" w:type="dxa"/>
            <w:noWrap/>
            <w:hideMark/>
          </w:tcPr>
          <w:p w14:paraId="622E9FA3" w14:textId="77777777" w:rsidR="00E51476" w:rsidRPr="00E51476" w:rsidRDefault="00E51476" w:rsidP="00377F3A">
            <w:pPr>
              <w:pStyle w:val="TableText"/>
            </w:pPr>
            <w:r w:rsidRPr="00E51476">
              <w:t xml:space="preserve">Not a skin irritant in rabbits. </w:t>
            </w:r>
          </w:p>
        </w:tc>
        <w:tc>
          <w:tcPr>
            <w:tcW w:w="1836" w:type="dxa"/>
            <w:noWrap/>
            <w:hideMark/>
          </w:tcPr>
          <w:p w14:paraId="31AF233B" w14:textId="77777777" w:rsidR="00E51476" w:rsidRPr="00E51476" w:rsidRDefault="00E51476" w:rsidP="00377F3A">
            <w:pPr>
              <w:pStyle w:val="TableText"/>
            </w:pPr>
            <w:r w:rsidRPr="00E51476">
              <w:t>Bhide, M. B., 1984</w:t>
            </w:r>
          </w:p>
        </w:tc>
      </w:tr>
      <w:tr w:rsidR="00E51476" w:rsidRPr="00E51476" w14:paraId="0D38A772" w14:textId="77777777" w:rsidTr="00377F3A">
        <w:trPr>
          <w:trHeight w:val="456"/>
        </w:trPr>
        <w:tc>
          <w:tcPr>
            <w:tcW w:w="1413" w:type="dxa"/>
            <w:hideMark/>
          </w:tcPr>
          <w:p w14:paraId="158CC322" w14:textId="4BF492AF" w:rsidR="00E51476" w:rsidRPr="00E51476" w:rsidRDefault="00E51476" w:rsidP="00377F3A">
            <w:pPr>
              <w:pStyle w:val="TableText"/>
            </w:pPr>
            <w:r w:rsidRPr="00E51476">
              <w:lastRenderedPageBreak/>
              <w:t xml:space="preserve">Acute eye irritation studies, </w:t>
            </w:r>
            <w:r>
              <w:t>(</w:t>
            </w:r>
            <w:r w:rsidRPr="00E51476">
              <w:t>Active</w:t>
            </w:r>
            <w:r>
              <w:t>)</w:t>
            </w:r>
          </w:p>
        </w:tc>
        <w:tc>
          <w:tcPr>
            <w:tcW w:w="6379" w:type="dxa"/>
            <w:noWrap/>
            <w:hideMark/>
          </w:tcPr>
          <w:p w14:paraId="5426A201" w14:textId="77777777" w:rsidR="00E51476" w:rsidRPr="00E51476" w:rsidRDefault="00E51476" w:rsidP="00377F3A">
            <w:pPr>
              <w:pStyle w:val="TableText"/>
            </w:pPr>
            <w:r w:rsidRPr="00E51476">
              <w:t>Not an eye irritant</w:t>
            </w:r>
          </w:p>
        </w:tc>
        <w:tc>
          <w:tcPr>
            <w:tcW w:w="1836" w:type="dxa"/>
            <w:noWrap/>
            <w:hideMark/>
          </w:tcPr>
          <w:p w14:paraId="6921D21C" w14:textId="77777777" w:rsidR="00E51476" w:rsidRPr="00E51476" w:rsidRDefault="00E51476" w:rsidP="00377F3A">
            <w:pPr>
              <w:pStyle w:val="TableText"/>
            </w:pPr>
            <w:r w:rsidRPr="00E51476">
              <w:t>Bhide, M. B., 1984</w:t>
            </w:r>
          </w:p>
        </w:tc>
      </w:tr>
      <w:tr w:rsidR="00E51476" w:rsidRPr="00E51476" w14:paraId="7E0CC114" w14:textId="77777777" w:rsidTr="00377F3A">
        <w:trPr>
          <w:trHeight w:val="288"/>
        </w:trPr>
        <w:tc>
          <w:tcPr>
            <w:tcW w:w="1413" w:type="dxa"/>
            <w:hideMark/>
          </w:tcPr>
          <w:p w14:paraId="2A989783" w14:textId="7814BEEB" w:rsidR="00E51476" w:rsidRPr="00E51476" w:rsidRDefault="00E51476" w:rsidP="00377F3A">
            <w:pPr>
              <w:pStyle w:val="TableText"/>
            </w:pPr>
            <w:r w:rsidRPr="00E51476">
              <w:t xml:space="preserve">Acute oral toxicity, </w:t>
            </w:r>
            <w:r>
              <w:t>(</w:t>
            </w:r>
            <w:r w:rsidRPr="00E51476">
              <w:t>Product</w:t>
            </w:r>
            <w:r>
              <w:t>)</w:t>
            </w:r>
          </w:p>
        </w:tc>
        <w:tc>
          <w:tcPr>
            <w:tcW w:w="6379" w:type="dxa"/>
            <w:noWrap/>
            <w:hideMark/>
          </w:tcPr>
          <w:p w14:paraId="3AF948B8" w14:textId="77777777" w:rsidR="00E51476" w:rsidRPr="00E51476" w:rsidRDefault="00E51476" w:rsidP="00377F3A">
            <w:pPr>
              <w:pStyle w:val="TableText"/>
            </w:pPr>
            <w:r w:rsidRPr="00E51476">
              <w:br/>
              <w:t>Oral LD50 cut-off of Coumatetralyl 0.0375% paste bait is 1000 mg/kg body weight</w:t>
            </w:r>
          </w:p>
        </w:tc>
        <w:tc>
          <w:tcPr>
            <w:tcW w:w="1836" w:type="dxa"/>
            <w:noWrap/>
            <w:hideMark/>
          </w:tcPr>
          <w:p w14:paraId="0867834E" w14:textId="77777777" w:rsidR="00E51476" w:rsidRPr="00E51476" w:rsidRDefault="00E51476" w:rsidP="00377F3A">
            <w:pPr>
              <w:pStyle w:val="TableText"/>
            </w:pPr>
            <w:r w:rsidRPr="00E51476">
              <w:t>Schuengel, M., 2003</w:t>
            </w:r>
          </w:p>
        </w:tc>
      </w:tr>
      <w:tr w:rsidR="00E51476" w:rsidRPr="00E51476" w14:paraId="4A64D6A3" w14:textId="77777777" w:rsidTr="00377F3A">
        <w:trPr>
          <w:trHeight w:val="288"/>
        </w:trPr>
        <w:tc>
          <w:tcPr>
            <w:tcW w:w="1413" w:type="dxa"/>
            <w:hideMark/>
          </w:tcPr>
          <w:p w14:paraId="51AE86A4" w14:textId="6D4EF91E" w:rsidR="00E51476" w:rsidRPr="00E51476" w:rsidRDefault="00E51476" w:rsidP="00377F3A">
            <w:pPr>
              <w:pStyle w:val="TableText"/>
            </w:pPr>
            <w:r w:rsidRPr="00E51476">
              <w:t xml:space="preserve">Acute dermal toxicity </w:t>
            </w:r>
            <w:r>
              <w:t>(</w:t>
            </w:r>
            <w:r w:rsidRPr="00E51476">
              <w:t>Product</w:t>
            </w:r>
            <w:r>
              <w:t>)</w:t>
            </w:r>
          </w:p>
        </w:tc>
        <w:tc>
          <w:tcPr>
            <w:tcW w:w="6379" w:type="dxa"/>
            <w:noWrap/>
            <w:hideMark/>
          </w:tcPr>
          <w:p w14:paraId="2F702BFA" w14:textId="77777777" w:rsidR="00E51476" w:rsidRPr="00E51476" w:rsidRDefault="00E51476" w:rsidP="00377F3A">
            <w:pPr>
              <w:pStyle w:val="TableText"/>
            </w:pPr>
            <w:r w:rsidRPr="00E51476">
              <w:t>Dermal LD50, rat male/female : &gt; 4000 mg/kg body weight</w:t>
            </w:r>
          </w:p>
        </w:tc>
        <w:tc>
          <w:tcPr>
            <w:tcW w:w="1836" w:type="dxa"/>
            <w:noWrap/>
            <w:hideMark/>
          </w:tcPr>
          <w:p w14:paraId="7D53ECF5" w14:textId="77777777" w:rsidR="00E51476" w:rsidRPr="00E51476" w:rsidRDefault="00E51476" w:rsidP="00377F3A">
            <w:pPr>
              <w:pStyle w:val="TableText"/>
            </w:pPr>
            <w:r w:rsidRPr="00E51476">
              <w:t>Schuengel, M., 2003</w:t>
            </w:r>
          </w:p>
        </w:tc>
      </w:tr>
      <w:tr w:rsidR="00E51476" w:rsidRPr="00E51476" w14:paraId="5A37067A" w14:textId="77777777" w:rsidTr="00377F3A">
        <w:trPr>
          <w:trHeight w:val="456"/>
        </w:trPr>
        <w:tc>
          <w:tcPr>
            <w:tcW w:w="1413" w:type="dxa"/>
            <w:hideMark/>
          </w:tcPr>
          <w:p w14:paraId="4EDB99A7" w14:textId="4DA796DD" w:rsidR="00E51476" w:rsidRPr="00E51476" w:rsidRDefault="00E51476" w:rsidP="00377F3A">
            <w:pPr>
              <w:pStyle w:val="TableText"/>
            </w:pPr>
            <w:r w:rsidRPr="00E51476">
              <w:t xml:space="preserve">Acute skin irritation studies, </w:t>
            </w:r>
            <w:r>
              <w:t>(</w:t>
            </w:r>
            <w:r w:rsidRPr="00E51476">
              <w:t>Active</w:t>
            </w:r>
            <w:r>
              <w:t>)</w:t>
            </w:r>
          </w:p>
        </w:tc>
        <w:tc>
          <w:tcPr>
            <w:tcW w:w="6379" w:type="dxa"/>
            <w:noWrap/>
            <w:hideMark/>
          </w:tcPr>
          <w:p w14:paraId="59A26A57" w14:textId="77777777" w:rsidR="00E51476" w:rsidRPr="00E51476" w:rsidRDefault="00E51476" w:rsidP="00377F3A">
            <w:pPr>
              <w:pStyle w:val="TableText"/>
            </w:pPr>
            <w:r w:rsidRPr="00E51476">
              <w:t>Not irritating to the skin (exposure period: 4 hours, observation period: 72 hours).</w:t>
            </w:r>
          </w:p>
        </w:tc>
        <w:tc>
          <w:tcPr>
            <w:tcW w:w="1836" w:type="dxa"/>
            <w:noWrap/>
            <w:hideMark/>
          </w:tcPr>
          <w:p w14:paraId="46D6812B" w14:textId="77777777" w:rsidR="00E51476" w:rsidRPr="00E51476" w:rsidRDefault="00E51476" w:rsidP="00377F3A">
            <w:pPr>
              <w:pStyle w:val="TableText"/>
            </w:pPr>
            <w:r w:rsidRPr="00E51476">
              <w:t>Renhof, M., 2003</w:t>
            </w:r>
          </w:p>
        </w:tc>
      </w:tr>
      <w:tr w:rsidR="00E51476" w:rsidRPr="00E51476" w14:paraId="4FDA4437" w14:textId="77777777" w:rsidTr="00377F3A">
        <w:trPr>
          <w:trHeight w:val="288"/>
        </w:trPr>
        <w:tc>
          <w:tcPr>
            <w:tcW w:w="1413" w:type="dxa"/>
            <w:hideMark/>
          </w:tcPr>
          <w:p w14:paraId="08E268EE" w14:textId="77777777" w:rsidR="00E51476" w:rsidRPr="00E51476" w:rsidRDefault="00E51476" w:rsidP="00377F3A">
            <w:pPr>
              <w:pStyle w:val="TableText"/>
            </w:pPr>
            <w:r w:rsidRPr="00E51476">
              <w:t>Other information</w:t>
            </w:r>
          </w:p>
        </w:tc>
        <w:tc>
          <w:tcPr>
            <w:tcW w:w="6379" w:type="dxa"/>
            <w:noWrap/>
            <w:hideMark/>
          </w:tcPr>
          <w:p w14:paraId="70E031D9" w14:textId="174E9111" w:rsidR="00E51476" w:rsidRPr="00E51476" w:rsidRDefault="001669FE" w:rsidP="00377F3A">
            <w:pPr>
              <w:pStyle w:val="TableText"/>
            </w:pPr>
            <w:r>
              <w:t>Waiver for neurotoxicity - D</w:t>
            </w:r>
            <w:r w:rsidR="00E51476" w:rsidRPr="00E51476">
              <w:t xml:space="preserve">ata available for anticoagulant rodenticides shows that no neurotoxicity has been evidenced for this class of compounds. </w:t>
            </w:r>
          </w:p>
        </w:tc>
        <w:tc>
          <w:tcPr>
            <w:tcW w:w="1836" w:type="dxa"/>
            <w:noWrap/>
            <w:hideMark/>
          </w:tcPr>
          <w:p w14:paraId="63E5454B" w14:textId="77777777" w:rsidR="00E51476" w:rsidRPr="00E51476" w:rsidRDefault="00E51476" w:rsidP="00377F3A">
            <w:pPr>
              <w:pStyle w:val="TableText"/>
            </w:pPr>
            <w:r w:rsidRPr="00E51476">
              <w:t>Lautraite, S., 2004</w:t>
            </w:r>
          </w:p>
        </w:tc>
      </w:tr>
      <w:tr w:rsidR="00E51476" w:rsidRPr="00E51476" w14:paraId="72FA17C5" w14:textId="77777777" w:rsidTr="00377F3A">
        <w:trPr>
          <w:trHeight w:val="456"/>
        </w:trPr>
        <w:tc>
          <w:tcPr>
            <w:tcW w:w="1413" w:type="dxa"/>
            <w:hideMark/>
          </w:tcPr>
          <w:p w14:paraId="396A2966" w14:textId="228569D9" w:rsidR="00E51476" w:rsidRPr="00E51476" w:rsidRDefault="00E51476" w:rsidP="00377F3A">
            <w:pPr>
              <w:pStyle w:val="TableText"/>
            </w:pPr>
            <w:r w:rsidRPr="00E51476">
              <w:t>Acute skin sen</w:t>
            </w:r>
            <w:r w:rsidR="001669FE">
              <w:t>si</w:t>
            </w:r>
            <w:r w:rsidRPr="00E51476">
              <w:t>tisation studies</w:t>
            </w:r>
            <w:r>
              <w:t xml:space="preserve"> (</w:t>
            </w:r>
            <w:r w:rsidRPr="00E51476">
              <w:t>Active</w:t>
            </w:r>
            <w:r>
              <w:t>)</w:t>
            </w:r>
          </w:p>
        </w:tc>
        <w:tc>
          <w:tcPr>
            <w:tcW w:w="6379" w:type="dxa"/>
            <w:noWrap/>
            <w:hideMark/>
          </w:tcPr>
          <w:p w14:paraId="38C30532" w14:textId="4F7D9BAA" w:rsidR="00E51476" w:rsidRPr="00E51476" w:rsidRDefault="001669FE" w:rsidP="00377F3A">
            <w:pPr>
              <w:pStyle w:val="TableText"/>
            </w:pPr>
            <w:r>
              <w:t>N</w:t>
            </w:r>
            <w:r w:rsidRPr="00E51476">
              <w:t>on</w:t>
            </w:r>
            <w:r>
              <w:t>-</w:t>
            </w:r>
            <w:r w:rsidRPr="00E51476">
              <w:t>sensiti</w:t>
            </w:r>
            <w:r>
              <w:t>s</w:t>
            </w:r>
            <w:r w:rsidRPr="00E51476">
              <w:t>er</w:t>
            </w:r>
          </w:p>
        </w:tc>
        <w:tc>
          <w:tcPr>
            <w:tcW w:w="1836" w:type="dxa"/>
            <w:noWrap/>
            <w:hideMark/>
          </w:tcPr>
          <w:p w14:paraId="2CAB3285" w14:textId="77777777" w:rsidR="00E51476" w:rsidRPr="00E51476" w:rsidRDefault="00E51476" w:rsidP="00377F3A">
            <w:pPr>
              <w:pStyle w:val="TableText"/>
            </w:pPr>
            <w:r w:rsidRPr="00E51476">
              <w:t>Lautraite, S., 2004</w:t>
            </w:r>
          </w:p>
        </w:tc>
      </w:tr>
      <w:tr w:rsidR="00E51476" w:rsidRPr="00E51476" w14:paraId="08C474CA" w14:textId="77777777" w:rsidTr="00377F3A">
        <w:trPr>
          <w:trHeight w:val="456"/>
        </w:trPr>
        <w:tc>
          <w:tcPr>
            <w:tcW w:w="1413" w:type="dxa"/>
            <w:hideMark/>
          </w:tcPr>
          <w:p w14:paraId="172B03C7" w14:textId="77777777" w:rsidR="00E51476" w:rsidRPr="00E51476" w:rsidRDefault="00E51476" w:rsidP="00377F3A">
            <w:pPr>
              <w:pStyle w:val="TableText"/>
            </w:pPr>
            <w:r w:rsidRPr="00E51476">
              <w:t>Genotoxicity (Mutagenicity) studies</w:t>
            </w:r>
          </w:p>
        </w:tc>
        <w:tc>
          <w:tcPr>
            <w:tcW w:w="6379" w:type="dxa"/>
            <w:noWrap/>
            <w:hideMark/>
          </w:tcPr>
          <w:p w14:paraId="683C9A5E" w14:textId="77777777" w:rsidR="00E51476" w:rsidRPr="00E51476" w:rsidRDefault="00E51476" w:rsidP="00377F3A">
            <w:pPr>
              <w:pStyle w:val="TableText"/>
            </w:pPr>
            <w:r w:rsidRPr="00E51476">
              <w:t xml:space="preserve">Non mutagenic </w:t>
            </w:r>
          </w:p>
        </w:tc>
        <w:tc>
          <w:tcPr>
            <w:tcW w:w="1836" w:type="dxa"/>
            <w:noWrap/>
            <w:hideMark/>
          </w:tcPr>
          <w:p w14:paraId="77FB0760" w14:textId="77777777" w:rsidR="00E51476" w:rsidRPr="00E51476" w:rsidRDefault="00E51476" w:rsidP="00377F3A">
            <w:pPr>
              <w:pStyle w:val="TableText"/>
            </w:pPr>
            <w:r w:rsidRPr="00E51476">
              <w:t>Herbold, B., 2004</w:t>
            </w:r>
          </w:p>
        </w:tc>
      </w:tr>
      <w:tr w:rsidR="00E51476" w:rsidRPr="00E51476" w14:paraId="0C50384F" w14:textId="77777777" w:rsidTr="00377F3A">
        <w:trPr>
          <w:trHeight w:val="456"/>
        </w:trPr>
        <w:tc>
          <w:tcPr>
            <w:tcW w:w="1413" w:type="dxa"/>
            <w:hideMark/>
          </w:tcPr>
          <w:p w14:paraId="42AB2D09" w14:textId="68E516CA" w:rsidR="00E51476" w:rsidRPr="00E51476" w:rsidRDefault="00E51476" w:rsidP="00377F3A">
            <w:pPr>
              <w:pStyle w:val="TableText"/>
            </w:pPr>
            <w:r w:rsidRPr="00E51476">
              <w:t>Acute skin sensitisation studies</w:t>
            </w:r>
            <w:r>
              <w:t xml:space="preserve"> (</w:t>
            </w:r>
            <w:r w:rsidRPr="00E51476">
              <w:t>Product</w:t>
            </w:r>
            <w:r>
              <w:t>)</w:t>
            </w:r>
          </w:p>
        </w:tc>
        <w:tc>
          <w:tcPr>
            <w:tcW w:w="6379" w:type="dxa"/>
            <w:noWrap/>
            <w:hideMark/>
          </w:tcPr>
          <w:p w14:paraId="3BEB82AB" w14:textId="7424D12C" w:rsidR="00E51476" w:rsidRPr="00E51476" w:rsidRDefault="001669FE" w:rsidP="00377F3A">
            <w:pPr>
              <w:pStyle w:val="TableText"/>
            </w:pPr>
            <w:r>
              <w:t>N</w:t>
            </w:r>
            <w:r w:rsidR="00E51476" w:rsidRPr="00E51476">
              <w:t>on</w:t>
            </w:r>
            <w:r>
              <w:t>-</w:t>
            </w:r>
            <w:r w:rsidRPr="00E51476">
              <w:t>sensiti</w:t>
            </w:r>
            <w:r>
              <w:t>s</w:t>
            </w:r>
            <w:r w:rsidRPr="00E51476">
              <w:t>er</w:t>
            </w:r>
            <w:r w:rsidR="00E51476" w:rsidRPr="00E51476">
              <w:t xml:space="preserve"> </w:t>
            </w:r>
          </w:p>
        </w:tc>
        <w:tc>
          <w:tcPr>
            <w:tcW w:w="1836" w:type="dxa"/>
            <w:noWrap/>
            <w:hideMark/>
          </w:tcPr>
          <w:p w14:paraId="5500B023" w14:textId="77777777" w:rsidR="00E51476" w:rsidRPr="00E51476" w:rsidRDefault="00E51476" w:rsidP="00377F3A">
            <w:pPr>
              <w:pStyle w:val="TableText"/>
            </w:pPr>
            <w:r w:rsidRPr="00E51476">
              <w:t>Repetto-Larsay, M., 2006</w:t>
            </w:r>
          </w:p>
        </w:tc>
      </w:tr>
      <w:tr w:rsidR="00E51476" w:rsidRPr="00136C92" w14:paraId="103C61E9" w14:textId="77777777" w:rsidTr="00377F3A">
        <w:trPr>
          <w:trHeight w:val="456"/>
        </w:trPr>
        <w:tc>
          <w:tcPr>
            <w:tcW w:w="1413" w:type="dxa"/>
            <w:hideMark/>
          </w:tcPr>
          <w:p w14:paraId="32C15E99" w14:textId="27B52EA2" w:rsidR="00E51476" w:rsidRPr="00E51476" w:rsidRDefault="00E51476" w:rsidP="00377F3A">
            <w:pPr>
              <w:pStyle w:val="TableText"/>
            </w:pPr>
            <w:r w:rsidRPr="00E51476">
              <w:t>Acute Skin Irritation Studies</w:t>
            </w:r>
            <w:r>
              <w:t xml:space="preserve"> (</w:t>
            </w:r>
            <w:r w:rsidRPr="00E51476">
              <w:t>Product</w:t>
            </w:r>
            <w:r>
              <w:t>)</w:t>
            </w:r>
          </w:p>
        </w:tc>
        <w:tc>
          <w:tcPr>
            <w:tcW w:w="6379" w:type="dxa"/>
            <w:noWrap/>
            <w:hideMark/>
          </w:tcPr>
          <w:p w14:paraId="3F56F510" w14:textId="77777777" w:rsidR="00E51476" w:rsidRPr="00E51476" w:rsidRDefault="00E51476" w:rsidP="00377F3A">
            <w:pPr>
              <w:pStyle w:val="TableText"/>
            </w:pPr>
            <w:r w:rsidRPr="00E51476">
              <w:t xml:space="preserve">Non-irritant </w:t>
            </w:r>
          </w:p>
        </w:tc>
        <w:tc>
          <w:tcPr>
            <w:tcW w:w="1836" w:type="dxa"/>
            <w:noWrap/>
            <w:hideMark/>
          </w:tcPr>
          <w:p w14:paraId="06044CB8" w14:textId="77777777" w:rsidR="00E51476" w:rsidRPr="006F78D3" w:rsidRDefault="00E51476" w:rsidP="00377F3A">
            <w:pPr>
              <w:pStyle w:val="TableText"/>
              <w:rPr>
                <w:lang w:val="de-CH"/>
              </w:rPr>
            </w:pPr>
            <w:r w:rsidRPr="006F78D3">
              <w:rPr>
                <w:lang w:val="de-CH"/>
              </w:rPr>
              <w:t>Bhide, M. B.; Naik, P. Y., 1989</w:t>
            </w:r>
          </w:p>
        </w:tc>
      </w:tr>
      <w:tr w:rsidR="00E51476" w:rsidRPr="00136C92" w14:paraId="28FEBCDE" w14:textId="77777777" w:rsidTr="00377F3A">
        <w:trPr>
          <w:trHeight w:val="456"/>
        </w:trPr>
        <w:tc>
          <w:tcPr>
            <w:tcW w:w="1413" w:type="dxa"/>
            <w:hideMark/>
          </w:tcPr>
          <w:p w14:paraId="0CC83365" w14:textId="662FDC05" w:rsidR="00E51476" w:rsidRPr="00E51476" w:rsidRDefault="00E51476" w:rsidP="00377F3A">
            <w:pPr>
              <w:pStyle w:val="TableText"/>
            </w:pPr>
            <w:r w:rsidRPr="00E51476">
              <w:t xml:space="preserve">Acute Eye Irritation Studies </w:t>
            </w:r>
            <w:r>
              <w:t>(</w:t>
            </w:r>
            <w:r w:rsidRPr="00E51476">
              <w:t>Product</w:t>
            </w:r>
            <w:r>
              <w:t>)</w:t>
            </w:r>
          </w:p>
        </w:tc>
        <w:tc>
          <w:tcPr>
            <w:tcW w:w="6379" w:type="dxa"/>
            <w:noWrap/>
            <w:hideMark/>
          </w:tcPr>
          <w:p w14:paraId="776867A7" w14:textId="77777777" w:rsidR="00E51476" w:rsidRPr="00E51476" w:rsidRDefault="00E51476" w:rsidP="00377F3A">
            <w:pPr>
              <w:pStyle w:val="TableText"/>
            </w:pPr>
            <w:r w:rsidRPr="00E51476">
              <w:t xml:space="preserve">Non-irritant </w:t>
            </w:r>
          </w:p>
        </w:tc>
        <w:tc>
          <w:tcPr>
            <w:tcW w:w="1836" w:type="dxa"/>
            <w:noWrap/>
            <w:hideMark/>
          </w:tcPr>
          <w:p w14:paraId="7B5D7A2F" w14:textId="77777777" w:rsidR="00E51476" w:rsidRPr="006F78D3" w:rsidRDefault="00E51476" w:rsidP="00377F3A">
            <w:pPr>
              <w:pStyle w:val="TableText"/>
              <w:rPr>
                <w:lang w:val="de-CH"/>
              </w:rPr>
            </w:pPr>
            <w:r w:rsidRPr="006F78D3">
              <w:rPr>
                <w:lang w:val="de-CH"/>
              </w:rPr>
              <w:t>Bhide, M. B.; Naik, P. Y., 1989</w:t>
            </w:r>
          </w:p>
        </w:tc>
      </w:tr>
      <w:tr w:rsidR="00E51476" w:rsidRPr="00E51476" w14:paraId="5A1ED92F" w14:textId="77777777" w:rsidTr="00377F3A">
        <w:trPr>
          <w:trHeight w:val="456"/>
        </w:trPr>
        <w:tc>
          <w:tcPr>
            <w:tcW w:w="1413" w:type="dxa"/>
            <w:hideMark/>
          </w:tcPr>
          <w:p w14:paraId="503341A5" w14:textId="3B64C8B4" w:rsidR="00E51476" w:rsidRPr="00E51476" w:rsidRDefault="00E51476" w:rsidP="00377F3A">
            <w:pPr>
              <w:pStyle w:val="TableText"/>
            </w:pPr>
            <w:r w:rsidRPr="00E51476">
              <w:t>Acute Inhalation Studies</w:t>
            </w:r>
            <w:r>
              <w:t xml:space="preserve"> (</w:t>
            </w:r>
            <w:r w:rsidRPr="00E51476">
              <w:t>Active</w:t>
            </w:r>
            <w:r>
              <w:t>)</w:t>
            </w:r>
          </w:p>
        </w:tc>
        <w:tc>
          <w:tcPr>
            <w:tcW w:w="6379" w:type="dxa"/>
            <w:noWrap/>
            <w:hideMark/>
          </w:tcPr>
          <w:p w14:paraId="596A271D" w14:textId="08F0C86F" w:rsidR="00E51476" w:rsidRPr="00E51476" w:rsidRDefault="00E51476" w:rsidP="00377F3A">
            <w:pPr>
              <w:pStyle w:val="TableText"/>
            </w:pPr>
            <w:r w:rsidRPr="00E51476">
              <w:t>LC50 in rats is 80 mg/m3 (0.080 mg/L)in rats</w:t>
            </w:r>
          </w:p>
        </w:tc>
        <w:tc>
          <w:tcPr>
            <w:tcW w:w="1836" w:type="dxa"/>
            <w:noWrap/>
            <w:hideMark/>
          </w:tcPr>
          <w:p w14:paraId="586B6B03" w14:textId="77777777" w:rsidR="00E51476" w:rsidRPr="00E51476" w:rsidRDefault="00E51476" w:rsidP="00377F3A">
            <w:pPr>
              <w:pStyle w:val="TableText"/>
            </w:pPr>
            <w:r w:rsidRPr="00E51476">
              <w:t>Bhide, M. B., 1989</w:t>
            </w:r>
          </w:p>
        </w:tc>
      </w:tr>
      <w:tr w:rsidR="00E51476" w:rsidRPr="00E51476" w14:paraId="417A167F" w14:textId="77777777" w:rsidTr="00377F3A">
        <w:trPr>
          <w:trHeight w:val="288"/>
        </w:trPr>
        <w:tc>
          <w:tcPr>
            <w:tcW w:w="1413" w:type="dxa"/>
            <w:hideMark/>
          </w:tcPr>
          <w:p w14:paraId="76C00559" w14:textId="29A7F5EA" w:rsidR="00E51476" w:rsidRPr="00E51476" w:rsidRDefault="00E51476" w:rsidP="00377F3A">
            <w:pPr>
              <w:pStyle w:val="TableText"/>
            </w:pPr>
            <w:r w:rsidRPr="00E51476">
              <w:t xml:space="preserve">Acute oral studies </w:t>
            </w:r>
            <w:r>
              <w:t>(</w:t>
            </w:r>
            <w:r w:rsidRPr="00E51476">
              <w:t>Product</w:t>
            </w:r>
            <w:r>
              <w:t>)</w:t>
            </w:r>
          </w:p>
        </w:tc>
        <w:tc>
          <w:tcPr>
            <w:tcW w:w="6379" w:type="dxa"/>
            <w:noWrap/>
            <w:hideMark/>
          </w:tcPr>
          <w:p w14:paraId="3F9A1361" w14:textId="77777777" w:rsidR="00E51476" w:rsidRPr="00E51476" w:rsidRDefault="00E51476" w:rsidP="00377F3A">
            <w:pPr>
              <w:pStyle w:val="TableText"/>
            </w:pPr>
            <w:r w:rsidRPr="00E51476">
              <w:t>The median lethal oral dose (LDso) for rats was considered bigger than 5000 mg/kg bw</w:t>
            </w:r>
          </w:p>
        </w:tc>
        <w:tc>
          <w:tcPr>
            <w:tcW w:w="1836" w:type="dxa"/>
            <w:noWrap/>
            <w:hideMark/>
          </w:tcPr>
          <w:p w14:paraId="14E64762" w14:textId="77777777" w:rsidR="00E51476" w:rsidRPr="00E51476" w:rsidRDefault="00E51476" w:rsidP="00377F3A">
            <w:pPr>
              <w:pStyle w:val="TableText"/>
            </w:pPr>
            <w:r w:rsidRPr="00E51476">
              <w:t>Aparecido de Souza, R., 2016</w:t>
            </w:r>
          </w:p>
        </w:tc>
      </w:tr>
      <w:tr w:rsidR="00E51476" w:rsidRPr="00E51476" w14:paraId="4785B610" w14:textId="77777777" w:rsidTr="00377F3A">
        <w:trPr>
          <w:trHeight w:val="456"/>
        </w:trPr>
        <w:tc>
          <w:tcPr>
            <w:tcW w:w="1413" w:type="dxa"/>
            <w:hideMark/>
          </w:tcPr>
          <w:p w14:paraId="6A5A9683" w14:textId="77777777" w:rsidR="00E51476" w:rsidRPr="00E51476" w:rsidRDefault="00E51476" w:rsidP="00377F3A">
            <w:pPr>
              <w:pStyle w:val="TableText"/>
            </w:pPr>
            <w:r w:rsidRPr="00E51476">
              <w:lastRenderedPageBreak/>
              <w:t>Genotoxicity (Mutagenicity) studies</w:t>
            </w:r>
          </w:p>
        </w:tc>
        <w:tc>
          <w:tcPr>
            <w:tcW w:w="6379" w:type="dxa"/>
            <w:noWrap/>
            <w:hideMark/>
          </w:tcPr>
          <w:p w14:paraId="304D06B1" w14:textId="77777777" w:rsidR="00E51476" w:rsidRPr="00E51476" w:rsidRDefault="00E51476" w:rsidP="00377F3A">
            <w:pPr>
              <w:pStyle w:val="TableText"/>
            </w:pPr>
            <w:r w:rsidRPr="00E51476">
              <w:t xml:space="preserve">Non mutagenic </w:t>
            </w:r>
          </w:p>
        </w:tc>
        <w:tc>
          <w:tcPr>
            <w:tcW w:w="1836" w:type="dxa"/>
            <w:noWrap/>
            <w:hideMark/>
          </w:tcPr>
          <w:p w14:paraId="16068BBF" w14:textId="77777777" w:rsidR="00E51476" w:rsidRPr="00E51476" w:rsidRDefault="00E51476" w:rsidP="00377F3A">
            <w:pPr>
              <w:pStyle w:val="TableText"/>
            </w:pPr>
            <w:r w:rsidRPr="00E51476">
              <w:t>Chang, S., 2021</w:t>
            </w:r>
          </w:p>
        </w:tc>
      </w:tr>
      <w:tr w:rsidR="00E51476" w:rsidRPr="00E51476" w14:paraId="5A7D8CC4" w14:textId="77777777" w:rsidTr="00377F3A">
        <w:trPr>
          <w:trHeight w:val="288"/>
        </w:trPr>
        <w:tc>
          <w:tcPr>
            <w:tcW w:w="1413" w:type="dxa"/>
            <w:hideMark/>
          </w:tcPr>
          <w:p w14:paraId="6FF97EA3" w14:textId="38A78956" w:rsidR="00E51476" w:rsidRPr="00E51476" w:rsidRDefault="00E51476" w:rsidP="00377F3A">
            <w:pPr>
              <w:pStyle w:val="TableText"/>
            </w:pPr>
            <w:r w:rsidRPr="00E51476">
              <w:t xml:space="preserve">Acute oral studies, </w:t>
            </w:r>
            <w:r w:rsidR="001669FE">
              <w:t>(</w:t>
            </w:r>
            <w:r w:rsidRPr="00E51476">
              <w:t>Product</w:t>
            </w:r>
            <w:r w:rsidR="001669FE">
              <w:t>)</w:t>
            </w:r>
          </w:p>
        </w:tc>
        <w:tc>
          <w:tcPr>
            <w:tcW w:w="6379" w:type="dxa"/>
            <w:noWrap/>
            <w:hideMark/>
          </w:tcPr>
          <w:p w14:paraId="517C1BD0" w14:textId="7302E434" w:rsidR="00E51476" w:rsidRPr="00E51476" w:rsidRDefault="001669FE" w:rsidP="00377F3A">
            <w:pPr>
              <w:pStyle w:val="TableText"/>
            </w:pPr>
            <w:r>
              <w:t>T</w:t>
            </w:r>
            <w:r w:rsidR="00E51476" w:rsidRPr="00E51476">
              <w:t>he median lethal oral dose (LD50) for rats was considered higher than 2000 mg/kg bw.</w:t>
            </w:r>
          </w:p>
        </w:tc>
        <w:tc>
          <w:tcPr>
            <w:tcW w:w="1836" w:type="dxa"/>
            <w:noWrap/>
            <w:hideMark/>
          </w:tcPr>
          <w:p w14:paraId="2143EA48" w14:textId="77777777" w:rsidR="00E51476" w:rsidRPr="00E51476" w:rsidRDefault="00E51476" w:rsidP="00377F3A">
            <w:pPr>
              <w:pStyle w:val="TableText"/>
            </w:pPr>
            <w:r w:rsidRPr="00E51476">
              <w:t>de Souza, R. A., 2021</w:t>
            </w:r>
          </w:p>
        </w:tc>
      </w:tr>
      <w:tr w:rsidR="00E51476" w:rsidRPr="00E51476" w14:paraId="4921552F" w14:textId="77777777" w:rsidTr="00377F3A">
        <w:trPr>
          <w:trHeight w:val="288"/>
        </w:trPr>
        <w:tc>
          <w:tcPr>
            <w:tcW w:w="1413" w:type="dxa"/>
            <w:hideMark/>
          </w:tcPr>
          <w:p w14:paraId="4C1024D1" w14:textId="708071B4" w:rsidR="00E51476" w:rsidRPr="00E51476" w:rsidRDefault="00E51476" w:rsidP="00377F3A">
            <w:pPr>
              <w:pStyle w:val="TableText"/>
            </w:pPr>
            <w:r w:rsidRPr="00E51476">
              <w:t>Acute dermal studies</w:t>
            </w:r>
            <w:r w:rsidR="001669FE">
              <w:t xml:space="preserve"> (</w:t>
            </w:r>
            <w:r w:rsidRPr="00E51476">
              <w:t>Product</w:t>
            </w:r>
            <w:r w:rsidR="001669FE">
              <w:t>)</w:t>
            </w:r>
          </w:p>
        </w:tc>
        <w:tc>
          <w:tcPr>
            <w:tcW w:w="6379" w:type="dxa"/>
            <w:noWrap/>
            <w:hideMark/>
          </w:tcPr>
          <w:p w14:paraId="226154D2" w14:textId="1EF20627" w:rsidR="00E51476" w:rsidRPr="00E51476" w:rsidRDefault="001669FE" w:rsidP="00377F3A">
            <w:pPr>
              <w:pStyle w:val="TableText"/>
            </w:pPr>
            <w:r>
              <w:t>T</w:t>
            </w:r>
            <w:r w:rsidR="00E51476" w:rsidRPr="00E51476">
              <w:t>he dermal median lethal dose (LD50) of Racumin Polvo (Coumatetralyl 0.75 CP) was found to be greater than 2000 mg/kg bw in rats</w:t>
            </w:r>
          </w:p>
        </w:tc>
        <w:tc>
          <w:tcPr>
            <w:tcW w:w="1836" w:type="dxa"/>
            <w:noWrap/>
            <w:hideMark/>
          </w:tcPr>
          <w:p w14:paraId="0AFFCF8A" w14:textId="77777777" w:rsidR="00E51476" w:rsidRPr="00E51476" w:rsidRDefault="00E51476" w:rsidP="00377F3A">
            <w:pPr>
              <w:pStyle w:val="TableText"/>
            </w:pPr>
            <w:r w:rsidRPr="00E51476">
              <w:t>de Souza, R. A., 2021</w:t>
            </w:r>
          </w:p>
        </w:tc>
      </w:tr>
      <w:tr w:rsidR="00E51476" w:rsidRPr="00E51476" w14:paraId="4D2FC8CD" w14:textId="77777777" w:rsidTr="00377F3A">
        <w:trPr>
          <w:trHeight w:val="456"/>
        </w:trPr>
        <w:tc>
          <w:tcPr>
            <w:tcW w:w="1413" w:type="dxa"/>
            <w:hideMark/>
          </w:tcPr>
          <w:p w14:paraId="5934A368" w14:textId="1CC28C2D" w:rsidR="00E51476" w:rsidRPr="00E51476" w:rsidRDefault="00E51476" w:rsidP="00377F3A">
            <w:pPr>
              <w:pStyle w:val="TableText"/>
            </w:pPr>
            <w:r w:rsidRPr="00E51476">
              <w:t>Acute inhalation studies</w:t>
            </w:r>
            <w:r w:rsidR="001669FE">
              <w:t xml:space="preserve"> (</w:t>
            </w:r>
            <w:r w:rsidRPr="00E51476">
              <w:t>Product</w:t>
            </w:r>
            <w:r w:rsidR="001669FE">
              <w:t>)</w:t>
            </w:r>
          </w:p>
        </w:tc>
        <w:tc>
          <w:tcPr>
            <w:tcW w:w="6379" w:type="dxa"/>
            <w:noWrap/>
            <w:hideMark/>
          </w:tcPr>
          <w:p w14:paraId="536DA066" w14:textId="77777777" w:rsidR="00E51476" w:rsidRPr="00E51476" w:rsidRDefault="00E51476" w:rsidP="00377F3A">
            <w:pPr>
              <w:pStyle w:val="TableText"/>
            </w:pPr>
            <w:r w:rsidRPr="00E51476">
              <w:t>The median lethal concentration (LC50) of the test item after 4 hours of inhalation exposure was estimated to be greater than 1.115 mg/L.</w:t>
            </w:r>
          </w:p>
        </w:tc>
        <w:tc>
          <w:tcPr>
            <w:tcW w:w="1836" w:type="dxa"/>
            <w:noWrap/>
            <w:hideMark/>
          </w:tcPr>
          <w:p w14:paraId="2FAF5E2B" w14:textId="77777777" w:rsidR="00E51476" w:rsidRPr="00E51476" w:rsidRDefault="00E51476" w:rsidP="00377F3A">
            <w:pPr>
              <w:pStyle w:val="TableText"/>
            </w:pPr>
            <w:r w:rsidRPr="00E51476">
              <w:t>de Souza, R. A., 2021</w:t>
            </w:r>
          </w:p>
        </w:tc>
      </w:tr>
      <w:tr w:rsidR="00E51476" w:rsidRPr="00E51476" w14:paraId="0D71FF9C" w14:textId="77777777" w:rsidTr="00377F3A">
        <w:trPr>
          <w:trHeight w:val="456"/>
        </w:trPr>
        <w:tc>
          <w:tcPr>
            <w:tcW w:w="1413" w:type="dxa"/>
            <w:hideMark/>
          </w:tcPr>
          <w:p w14:paraId="58CCB3E0" w14:textId="57F3742F" w:rsidR="00E51476" w:rsidRPr="00E51476" w:rsidRDefault="00E51476" w:rsidP="00377F3A">
            <w:pPr>
              <w:pStyle w:val="TableText"/>
            </w:pPr>
            <w:r w:rsidRPr="00E51476">
              <w:t>Acute skin sensitisation studies</w:t>
            </w:r>
            <w:r w:rsidR="001669FE">
              <w:t xml:space="preserve"> (</w:t>
            </w:r>
            <w:r w:rsidRPr="00E51476">
              <w:t>Product</w:t>
            </w:r>
            <w:r w:rsidR="001669FE">
              <w:t>)</w:t>
            </w:r>
          </w:p>
        </w:tc>
        <w:tc>
          <w:tcPr>
            <w:tcW w:w="6379" w:type="dxa"/>
            <w:noWrap/>
            <w:hideMark/>
          </w:tcPr>
          <w:p w14:paraId="401D7BF4" w14:textId="533E06B2" w:rsidR="00E51476" w:rsidRPr="00E51476" w:rsidRDefault="001669FE" w:rsidP="00377F3A">
            <w:pPr>
              <w:pStyle w:val="TableText"/>
            </w:pPr>
            <w:r w:rsidRPr="00E51476">
              <w:t>N</w:t>
            </w:r>
            <w:r w:rsidR="00E51476" w:rsidRPr="00E51476">
              <w:t>o</w:t>
            </w:r>
            <w:r>
              <w:t>n-</w:t>
            </w:r>
            <w:r w:rsidR="00E51476" w:rsidRPr="00E51476">
              <w:t xml:space="preserve"> sensitizer.</w:t>
            </w:r>
          </w:p>
        </w:tc>
        <w:tc>
          <w:tcPr>
            <w:tcW w:w="1836" w:type="dxa"/>
            <w:noWrap/>
            <w:hideMark/>
          </w:tcPr>
          <w:p w14:paraId="462928D7" w14:textId="77777777" w:rsidR="00E51476" w:rsidRPr="00E51476" w:rsidRDefault="00E51476" w:rsidP="00377F3A">
            <w:pPr>
              <w:pStyle w:val="TableText"/>
            </w:pPr>
            <w:r w:rsidRPr="00E51476">
              <w:t>Castro, L. M., 2021</w:t>
            </w:r>
          </w:p>
        </w:tc>
      </w:tr>
      <w:tr w:rsidR="00E51476" w:rsidRPr="00E51476" w14:paraId="4C42B9AA" w14:textId="77777777" w:rsidTr="00377F3A">
        <w:trPr>
          <w:trHeight w:val="456"/>
        </w:trPr>
        <w:tc>
          <w:tcPr>
            <w:tcW w:w="1413" w:type="dxa"/>
            <w:hideMark/>
          </w:tcPr>
          <w:p w14:paraId="7C112908" w14:textId="25D1A466" w:rsidR="00E51476" w:rsidRPr="00E51476" w:rsidRDefault="00E51476" w:rsidP="00377F3A">
            <w:pPr>
              <w:pStyle w:val="TableText"/>
            </w:pPr>
            <w:r w:rsidRPr="00E51476">
              <w:t>Acute skin irritation studies</w:t>
            </w:r>
            <w:r w:rsidR="001669FE">
              <w:t xml:space="preserve"> (</w:t>
            </w:r>
            <w:r w:rsidRPr="00E51476">
              <w:t>Product</w:t>
            </w:r>
            <w:r w:rsidR="001669FE">
              <w:t>)</w:t>
            </w:r>
          </w:p>
        </w:tc>
        <w:tc>
          <w:tcPr>
            <w:tcW w:w="6379" w:type="dxa"/>
            <w:noWrap/>
            <w:hideMark/>
          </w:tcPr>
          <w:p w14:paraId="39600C92" w14:textId="6E2D99B9" w:rsidR="00E51476" w:rsidRPr="00E51476" w:rsidRDefault="001669FE" w:rsidP="00377F3A">
            <w:pPr>
              <w:pStyle w:val="TableText"/>
            </w:pPr>
            <w:r>
              <w:t>Non-irritant</w:t>
            </w:r>
            <w:r w:rsidR="00E51476" w:rsidRPr="00E51476">
              <w:t xml:space="preserve"> </w:t>
            </w:r>
          </w:p>
        </w:tc>
        <w:tc>
          <w:tcPr>
            <w:tcW w:w="1836" w:type="dxa"/>
            <w:noWrap/>
            <w:hideMark/>
          </w:tcPr>
          <w:p w14:paraId="34CF0FD6" w14:textId="77777777" w:rsidR="00E51476" w:rsidRPr="00E51476" w:rsidRDefault="00E51476" w:rsidP="00377F3A">
            <w:pPr>
              <w:pStyle w:val="TableText"/>
            </w:pPr>
            <w:r w:rsidRPr="00E51476">
              <w:t>Rocha, A. C. R., 2021</w:t>
            </w:r>
          </w:p>
        </w:tc>
      </w:tr>
      <w:tr w:rsidR="00E51476" w:rsidRPr="00E51476" w14:paraId="744003AC" w14:textId="77777777" w:rsidTr="00377F3A">
        <w:trPr>
          <w:trHeight w:val="456"/>
        </w:trPr>
        <w:tc>
          <w:tcPr>
            <w:tcW w:w="1413" w:type="dxa"/>
            <w:hideMark/>
          </w:tcPr>
          <w:p w14:paraId="2955BED0" w14:textId="35070AC4" w:rsidR="00E51476" w:rsidRPr="00E51476" w:rsidRDefault="00E51476" w:rsidP="00377F3A">
            <w:pPr>
              <w:pStyle w:val="TableText"/>
            </w:pPr>
            <w:r w:rsidRPr="00E51476">
              <w:t>Acute eye irritation studies</w:t>
            </w:r>
            <w:r w:rsidR="001669FE">
              <w:t xml:space="preserve"> (P</w:t>
            </w:r>
            <w:r w:rsidRPr="00E51476">
              <w:t>roduct</w:t>
            </w:r>
            <w:r w:rsidR="001669FE">
              <w:t>)</w:t>
            </w:r>
          </w:p>
        </w:tc>
        <w:tc>
          <w:tcPr>
            <w:tcW w:w="6379" w:type="dxa"/>
            <w:noWrap/>
            <w:hideMark/>
          </w:tcPr>
          <w:p w14:paraId="598602EF" w14:textId="59E4206B" w:rsidR="00E51476" w:rsidRPr="00E51476" w:rsidRDefault="001669FE" w:rsidP="00377F3A">
            <w:pPr>
              <w:pStyle w:val="TableText"/>
            </w:pPr>
            <w:r>
              <w:t>Non-irritant</w:t>
            </w:r>
          </w:p>
        </w:tc>
        <w:tc>
          <w:tcPr>
            <w:tcW w:w="1836" w:type="dxa"/>
            <w:noWrap/>
            <w:hideMark/>
          </w:tcPr>
          <w:p w14:paraId="052B6EB5" w14:textId="77777777" w:rsidR="00E51476" w:rsidRPr="00E51476" w:rsidRDefault="00E51476" w:rsidP="00377F3A">
            <w:pPr>
              <w:pStyle w:val="TableText"/>
            </w:pPr>
            <w:r w:rsidRPr="00E51476">
              <w:t>Rocha, A. C. R., 2021</w:t>
            </w:r>
          </w:p>
        </w:tc>
      </w:tr>
    </w:tbl>
    <w:p w14:paraId="6400A627" w14:textId="62DC705C" w:rsidR="00C93E95" w:rsidRDefault="005E2E21" w:rsidP="00377F3A">
      <w:pPr>
        <w:pStyle w:val="APVMAAppendixH2"/>
      </w:pPr>
      <w:bookmarkStart w:id="2165" w:name="_Toc214025632"/>
      <w:bookmarkStart w:id="2166" w:name="_Toc216695654"/>
      <w:r>
        <w:t>Diphacinone</w:t>
      </w:r>
      <w:bookmarkEnd w:id="2165"/>
      <w:bookmarkEnd w:id="2166"/>
    </w:p>
    <w:p w14:paraId="037BAAB7" w14:textId="5989E7A3" w:rsidR="005E2E21" w:rsidRPr="008635F4" w:rsidRDefault="005E2E21" w:rsidP="00377F3A">
      <w:pPr>
        <w:pStyle w:val="Caption"/>
      </w:pPr>
      <w:bookmarkStart w:id="2167" w:name="_Toc213946123"/>
      <w:bookmarkStart w:id="2168" w:name="_Toc216695814"/>
      <w:r>
        <w:t xml:space="preserve">Table </w:t>
      </w:r>
      <w:r>
        <w:fldChar w:fldCharType="begin"/>
      </w:r>
      <w:r>
        <w:instrText xml:space="preserve"> SEQ Table \* ARABIC </w:instrText>
      </w:r>
      <w:r>
        <w:fldChar w:fldCharType="separate"/>
      </w:r>
      <w:r w:rsidR="003861AC">
        <w:rPr>
          <w:noProof/>
        </w:rPr>
        <w:t>152</w:t>
      </w:r>
      <w:r>
        <w:fldChar w:fldCharType="end"/>
      </w:r>
      <w:r>
        <w:t>: Toxicological endpoints for diphacinone active constituent and formulated products</w:t>
      </w:r>
      <w:bookmarkEnd w:id="2167"/>
      <w:bookmarkEnd w:id="2168"/>
    </w:p>
    <w:tbl>
      <w:tblPr>
        <w:tblW w:w="5000" w:type="pct"/>
        <w:tblLook w:val="04A0" w:firstRow="1" w:lastRow="0" w:firstColumn="1" w:lastColumn="0" w:noHBand="0" w:noVBand="1"/>
      </w:tblPr>
      <w:tblGrid>
        <w:gridCol w:w="3208"/>
        <w:gridCol w:w="3208"/>
        <w:gridCol w:w="3212"/>
      </w:tblGrid>
      <w:tr w:rsidR="005E2E21" w:rsidRPr="008635F4" w14:paraId="45A2D600" w14:textId="77777777" w:rsidTr="00377F3A">
        <w:trPr>
          <w:trHeight w:val="20"/>
          <w:tblHeader/>
        </w:trPr>
        <w:tc>
          <w:tcPr>
            <w:tcW w:w="1666" w:type="pct"/>
            <w:tcBorders>
              <w:top w:val="single" w:sz="4" w:space="0" w:color="auto"/>
              <w:left w:val="single" w:sz="4" w:space="0" w:color="auto"/>
              <w:bottom w:val="nil"/>
              <w:right w:val="single" w:sz="4" w:space="0" w:color="auto"/>
            </w:tcBorders>
            <w:shd w:val="clear" w:color="auto" w:fill="53284F"/>
            <w:hideMark/>
          </w:tcPr>
          <w:p w14:paraId="5DDB1F20" w14:textId="63307617" w:rsidR="005E2E21" w:rsidRPr="00377F3A" w:rsidRDefault="005E2E21" w:rsidP="00377F3A">
            <w:pPr>
              <w:pStyle w:val="TableHead"/>
              <w:rPr>
                <w:bCs w:val="0"/>
              </w:rPr>
            </w:pPr>
            <w:r w:rsidRPr="008635F4">
              <w:t>Study type</w:t>
            </w:r>
          </w:p>
        </w:tc>
        <w:tc>
          <w:tcPr>
            <w:tcW w:w="1666" w:type="pct"/>
            <w:tcBorders>
              <w:top w:val="single" w:sz="4" w:space="0" w:color="auto"/>
              <w:left w:val="nil"/>
              <w:bottom w:val="single" w:sz="4" w:space="0" w:color="auto"/>
              <w:right w:val="single" w:sz="4" w:space="0" w:color="auto"/>
            </w:tcBorders>
            <w:shd w:val="clear" w:color="auto" w:fill="53284F"/>
            <w:hideMark/>
          </w:tcPr>
          <w:p w14:paraId="3A45F2F4" w14:textId="10BCCBF2" w:rsidR="005E2E21" w:rsidRPr="00377F3A" w:rsidRDefault="005E2E21" w:rsidP="00377F3A">
            <w:pPr>
              <w:pStyle w:val="TableHead"/>
              <w:rPr>
                <w:bCs w:val="0"/>
              </w:rPr>
            </w:pPr>
            <w:r w:rsidRPr="008635F4">
              <w:t>Endpoint</w:t>
            </w:r>
          </w:p>
        </w:tc>
        <w:tc>
          <w:tcPr>
            <w:tcW w:w="1668" w:type="pct"/>
            <w:tcBorders>
              <w:top w:val="single" w:sz="4" w:space="0" w:color="auto"/>
              <w:left w:val="nil"/>
              <w:bottom w:val="nil"/>
              <w:right w:val="single" w:sz="4" w:space="0" w:color="auto"/>
            </w:tcBorders>
            <w:shd w:val="clear" w:color="auto" w:fill="53284F"/>
            <w:hideMark/>
          </w:tcPr>
          <w:p w14:paraId="28865CCC" w14:textId="3E9DE9FD" w:rsidR="005E2E21" w:rsidRPr="00377F3A" w:rsidRDefault="005E2E21" w:rsidP="00377F3A">
            <w:pPr>
              <w:pStyle w:val="TableHead"/>
              <w:rPr>
                <w:bCs w:val="0"/>
              </w:rPr>
            </w:pPr>
            <w:r w:rsidRPr="008635F4">
              <w:t>Reference</w:t>
            </w:r>
          </w:p>
        </w:tc>
      </w:tr>
    </w:tbl>
    <w:tbl>
      <w:tblPr>
        <w:tblW w:w="5000" w:type="pct"/>
        <w:tblLayout w:type="fixed"/>
        <w:tblLook w:val="04A0" w:firstRow="1" w:lastRow="0" w:firstColumn="1" w:lastColumn="0" w:noHBand="0" w:noVBand="1"/>
      </w:tblPr>
      <w:tblGrid>
        <w:gridCol w:w="3208"/>
        <w:gridCol w:w="3208"/>
        <w:gridCol w:w="3212"/>
      </w:tblGrid>
      <w:tr w:rsidR="005E2E21" w:rsidRPr="008635F4" w14:paraId="12B3817E" w14:textId="77777777" w:rsidTr="00377F3A">
        <w:trPr>
          <w:trHeight w:val="20"/>
        </w:trPr>
        <w:tc>
          <w:tcPr>
            <w:tcW w:w="1666" w:type="pct"/>
            <w:tcBorders>
              <w:top w:val="single" w:sz="4" w:space="0" w:color="auto"/>
              <w:left w:val="single" w:sz="4" w:space="0" w:color="auto"/>
              <w:bottom w:val="single" w:sz="4" w:space="0" w:color="auto"/>
              <w:right w:val="single" w:sz="4" w:space="0" w:color="auto"/>
            </w:tcBorders>
            <w:hideMark/>
          </w:tcPr>
          <w:p w14:paraId="12F89A51"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6644C082" w14:textId="60C44EC1" w:rsidR="005E2E21" w:rsidRPr="00377F3A" w:rsidRDefault="005E2E21" w:rsidP="00377F3A">
            <w:pPr>
              <w:pStyle w:val="TableText"/>
              <w:rPr>
                <w:rFonts w:asciiTheme="minorHAnsi" w:hAnsiTheme="minorHAnsi"/>
              </w:rPr>
            </w:pPr>
            <w:r w:rsidRPr="00377F3A">
              <w:rPr>
                <w:rFonts w:asciiTheme="minorHAnsi" w:hAnsiTheme="minorHAnsi"/>
              </w:rPr>
              <w:t xml:space="preserve">Oral </w:t>
            </w:r>
            <w:r>
              <w:t xml:space="preserve">LD50 </w:t>
            </w:r>
            <w:r w:rsidRPr="00377F3A">
              <w:rPr>
                <w:rFonts w:asciiTheme="minorHAnsi" w:hAnsiTheme="minorHAnsi"/>
              </w:rPr>
              <w:t xml:space="preserve">6.8 </w:t>
            </w:r>
            <w:r w:rsidRPr="00E078CC">
              <w:t>mg/kg bw</w:t>
            </w:r>
            <w:r w:rsidRPr="008635F4">
              <w:t xml:space="preserve"> </w:t>
            </w:r>
            <w:r w:rsidRPr="00377F3A">
              <w:rPr>
                <w:rFonts w:asciiTheme="minorHAnsi" w:hAnsiTheme="minorHAnsi"/>
              </w:rPr>
              <w:t>(M)</w:t>
            </w:r>
            <w:r>
              <w:t xml:space="preserve"> </w:t>
            </w:r>
            <w:r w:rsidRPr="00377F3A">
              <w:rPr>
                <w:rFonts w:asciiTheme="minorHAnsi" w:hAnsiTheme="minorHAnsi"/>
              </w:rPr>
              <w:t>8.0</w:t>
            </w:r>
            <w:r>
              <w:t xml:space="preserve"> </w:t>
            </w:r>
            <w:r w:rsidRPr="00E078CC">
              <w:t>mg/kg bw</w:t>
            </w:r>
            <w:r w:rsidRPr="00377F3A">
              <w:rPr>
                <w:rFonts w:asciiTheme="minorHAnsi" w:hAnsiTheme="minorHAnsi"/>
              </w:rPr>
              <w:t xml:space="preserve"> (F)</w:t>
            </w:r>
          </w:p>
        </w:tc>
        <w:tc>
          <w:tcPr>
            <w:tcW w:w="1668" w:type="pct"/>
            <w:tcBorders>
              <w:top w:val="single" w:sz="4" w:space="0" w:color="auto"/>
              <w:left w:val="nil"/>
              <w:bottom w:val="single" w:sz="4" w:space="0" w:color="auto"/>
              <w:right w:val="single" w:sz="4" w:space="0" w:color="auto"/>
            </w:tcBorders>
            <w:hideMark/>
          </w:tcPr>
          <w:p w14:paraId="769A2612" w14:textId="77777777" w:rsidR="005E2E21" w:rsidRPr="00377F3A" w:rsidRDefault="005E2E21" w:rsidP="00377F3A">
            <w:pPr>
              <w:pStyle w:val="TableText"/>
              <w:rPr>
                <w:rFonts w:asciiTheme="minorHAnsi" w:hAnsiTheme="minorHAnsi"/>
              </w:rPr>
            </w:pPr>
            <w:r w:rsidRPr="00377F3A">
              <w:rPr>
                <w:rFonts w:asciiTheme="minorHAnsi" w:hAnsiTheme="minorHAnsi"/>
              </w:rPr>
              <w:t>Shapiro, R., 1990a</w:t>
            </w:r>
          </w:p>
        </w:tc>
      </w:tr>
      <w:tr w:rsidR="005E2E21" w:rsidRPr="00136C92" w14:paraId="2A0195B6" w14:textId="77777777" w:rsidTr="00377F3A">
        <w:trPr>
          <w:trHeight w:val="20"/>
        </w:trPr>
        <w:tc>
          <w:tcPr>
            <w:tcW w:w="1666" w:type="pct"/>
            <w:tcBorders>
              <w:top w:val="nil"/>
              <w:left w:val="single" w:sz="4" w:space="0" w:color="auto"/>
              <w:bottom w:val="single" w:sz="4" w:space="0" w:color="auto"/>
              <w:right w:val="single" w:sz="4" w:space="0" w:color="auto"/>
            </w:tcBorders>
            <w:hideMark/>
          </w:tcPr>
          <w:p w14:paraId="0B7B897B"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1D55EAD5" w14:textId="186C1D42" w:rsidR="005E2E21" w:rsidRPr="00377F3A" w:rsidRDefault="005E2E21" w:rsidP="00377F3A">
            <w:pPr>
              <w:pStyle w:val="TableText"/>
              <w:rPr>
                <w:rFonts w:asciiTheme="minorHAnsi" w:hAnsiTheme="minorHAnsi"/>
              </w:rPr>
            </w:pPr>
            <w:r w:rsidRPr="00377F3A">
              <w:rPr>
                <w:rFonts w:asciiTheme="minorHAnsi" w:hAnsiTheme="minorHAnsi"/>
              </w:rPr>
              <w:t>Oral LD50 (mg/kg bw)</w:t>
            </w:r>
            <w:r>
              <w:t xml:space="preserve"> (mice)</w:t>
            </w:r>
            <w:r w:rsidRPr="00377F3A">
              <w:rPr>
                <w:rFonts w:asciiTheme="minorHAnsi" w:hAnsiTheme="minorHAnsi"/>
              </w:rPr>
              <w:br/>
              <w:t xml:space="preserve">147 </w:t>
            </w:r>
            <w:r w:rsidRPr="00E078CC">
              <w:t>mg/kg bw</w:t>
            </w:r>
            <w:r>
              <w:t xml:space="preserve"> </w:t>
            </w:r>
            <w:r w:rsidRPr="00377F3A">
              <w:rPr>
                <w:rFonts w:asciiTheme="minorHAnsi" w:hAnsiTheme="minorHAnsi"/>
              </w:rPr>
              <w:t>(M)</w:t>
            </w:r>
            <w:r w:rsidRPr="00377F3A">
              <w:rPr>
                <w:rFonts w:asciiTheme="minorHAnsi" w:hAnsiTheme="minorHAnsi"/>
              </w:rPr>
              <w:br/>
              <w:t>133</w:t>
            </w:r>
            <w:r>
              <w:t xml:space="preserve"> </w:t>
            </w:r>
            <w:r w:rsidRPr="00E078CC">
              <w:t>mg/kg bw</w:t>
            </w:r>
            <w:r>
              <w:t xml:space="preserve"> </w:t>
            </w:r>
            <w:r w:rsidRPr="00377F3A">
              <w:rPr>
                <w:rFonts w:asciiTheme="minorHAnsi" w:hAnsiTheme="minorHAnsi"/>
              </w:rPr>
              <w:t>(F)</w:t>
            </w:r>
          </w:p>
        </w:tc>
        <w:tc>
          <w:tcPr>
            <w:tcW w:w="1668" w:type="pct"/>
            <w:tcBorders>
              <w:top w:val="nil"/>
              <w:left w:val="nil"/>
              <w:bottom w:val="single" w:sz="4" w:space="0" w:color="auto"/>
              <w:right w:val="single" w:sz="4" w:space="0" w:color="auto"/>
            </w:tcBorders>
            <w:hideMark/>
          </w:tcPr>
          <w:p w14:paraId="041EBB3C" w14:textId="77777777" w:rsidR="005E2E21" w:rsidRPr="006F78D3" w:rsidRDefault="005E2E21" w:rsidP="00377F3A">
            <w:pPr>
              <w:pStyle w:val="TableText"/>
              <w:rPr>
                <w:rFonts w:asciiTheme="minorHAnsi" w:hAnsiTheme="minorHAnsi"/>
                <w:lang w:val="de-CH"/>
              </w:rPr>
            </w:pPr>
            <w:r w:rsidRPr="006F78D3">
              <w:rPr>
                <w:rFonts w:asciiTheme="minorHAnsi" w:hAnsiTheme="minorHAnsi"/>
                <w:lang w:val="de-CH"/>
              </w:rPr>
              <w:t>Wazeter FX&amp; Goldenthal EI., 1975a</w:t>
            </w:r>
          </w:p>
        </w:tc>
      </w:tr>
      <w:tr w:rsidR="005E2E21" w:rsidRPr="00136C92" w14:paraId="284DB2D2" w14:textId="77777777" w:rsidTr="00377F3A">
        <w:trPr>
          <w:trHeight w:val="20"/>
        </w:trPr>
        <w:tc>
          <w:tcPr>
            <w:tcW w:w="1666" w:type="pct"/>
            <w:tcBorders>
              <w:top w:val="nil"/>
              <w:left w:val="single" w:sz="4" w:space="0" w:color="auto"/>
              <w:bottom w:val="single" w:sz="4" w:space="0" w:color="auto"/>
              <w:right w:val="single" w:sz="4" w:space="0" w:color="auto"/>
            </w:tcBorders>
            <w:hideMark/>
          </w:tcPr>
          <w:p w14:paraId="19D92157"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39E0BF41" w14:textId="1D35EF07" w:rsidR="005E2E21" w:rsidRPr="00377F3A" w:rsidRDefault="005E2E21" w:rsidP="00377F3A">
            <w:pPr>
              <w:pStyle w:val="TableText"/>
              <w:rPr>
                <w:rFonts w:asciiTheme="minorHAnsi" w:hAnsiTheme="minorHAnsi"/>
              </w:rPr>
            </w:pPr>
            <w:r w:rsidRPr="00377F3A">
              <w:rPr>
                <w:rFonts w:asciiTheme="minorHAnsi" w:hAnsiTheme="minorHAnsi"/>
              </w:rPr>
              <w:t>Oral LD50 (mg/kg bw)</w:t>
            </w:r>
            <w:r>
              <w:t xml:space="preserve"> (Rats and Rabbits)</w:t>
            </w:r>
            <w:r w:rsidRPr="00377F3A">
              <w:rPr>
                <w:rFonts w:asciiTheme="minorHAnsi" w:hAnsiTheme="minorHAnsi"/>
              </w:rPr>
              <w:br/>
              <w:t>2.5</w:t>
            </w:r>
            <w:r>
              <w:t xml:space="preserve"> </w:t>
            </w:r>
            <w:r w:rsidRPr="00E078CC">
              <w:t>mg/kg bw</w:t>
            </w:r>
            <w:r>
              <w:t xml:space="preserve"> </w:t>
            </w:r>
            <w:r w:rsidRPr="00377F3A">
              <w:rPr>
                <w:rFonts w:asciiTheme="minorHAnsi" w:hAnsiTheme="minorHAnsi"/>
              </w:rPr>
              <w:t>(M)</w:t>
            </w:r>
            <w:r w:rsidRPr="00377F3A">
              <w:rPr>
                <w:rFonts w:asciiTheme="minorHAnsi" w:hAnsiTheme="minorHAnsi"/>
              </w:rPr>
              <w:br/>
              <w:t>2.1</w:t>
            </w:r>
            <w:r>
              <w:t xml:space="preserve"> </w:t>
            </w:r>
            <w:r w:rsidRPr="00E078CC">
              <w:t>mg/kg bw</w:t>
            </w:r>
            <w:r w:rsidRPr="00377F3A">
              <w:rPr>
                <w:rFonts w:asciiTheme="minorHAnsi" w:hAnsiTheme="minorHAnsi"/>
              </w:rPr>
              <w:t xml:space="preserve"> (F)</w:t>
            </w:r>
          </w:p>
        </w:tc>
        <w:tc>
          <w:tcPr>
            <w:tcW w:w="1668" w:type="pct"/>
            <w:tcBorders>
              <w:top w:val="nil"/>
              <w:left w:val="nil"/>
              <w:bottom w:val="single" w:sz="4" w:space="0" w:color="auto"/>
              <w:right w:val="single" w:sz="4" w:space="0" w:color="auto"/>
            </w:tcBorders>
            <w:hideMark/>
          </w:tcPr>
          <w:p w14:paraId="7E15E060" w14:textId="77777777" w:rsidR="005E2E21" w:rsidRPr="006F78D3" w:rsidRDefault="005E2E21" w:rsidP="00377F3A">
            <w:pPr>
              <w:pStyle w:val="TableText"/>
              <w:rPr>
                <w:rFonts w:asciiTheme="minorHAnsi" w:hAnsiTheme="minorHAnsi"/>
                <w:lang w:val="de-CH"/>
              </w:rPr>
            </w:pPr>
            <w:r w:rsidRPr="006F78D3">
              <w:rPr>
                <w:rFonts w:asciiTheme="minorHAnsi" w:hAnsiTheme="minorHAnsi"/>
                <w:lang w:val="de-CH"/>
              </w:rPr>
              <w:t>Wazeter FX&amp; Goldenthal EI., 1975b</w:t>
            </w:r>
          </w:p>
        </w:tc>
      </w:tr>
      <w:tr w:rsidR="005E2E21" w:rsidRPr="008635F4" w14:paraId="060FAF5D"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47D1E427"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5A2A790B" w14:textId="77777777" w:rsidR="005E2E21" w:rsidRPr="006F78D3" w:rsidRDefault="005E2E21" w:rsidP="00377F3A">
            <w:pPr>
              <w:pStyle w:val="TableText"/>
              <w:rPr>
                <w:rFonts w:asciiTheme="minorHAnsi" w:hAnsiTheme="minorHAnsi"/>
                <w:lang w:val="de-CH"/>
              </w:rPr>
            </w:pPr>
            <w:r w:rsidRPr="006F78D3">
              <w:rPr>
                <w:rFonts w:asciiTheme="minorHAnsi" w:hAnsiTheme="minorHAnsi"/>
                <w:lang w:val="de-CH"/>
              </w:rPr>
              <w:t>Dermal LD50 (mg/kg bw)</w:t>
            </w:r>
            <w:r w:rsidRPr="006F78D3">
              <w:rPr>
                <w:rFonts w:asciiTheme="minorHAnsi" w:hAnsiTheme="minorHAnsi"/>
                <w:lang w:val="de-CH"/>
              </w:rPr>
              <w:br/>
              <w:t>3.6 (M)</w:t>
            </w:r>
          </w:p>
        </w:tc>
        <w:tc>
          <w:tcPr>
            <w:tcW w:w="1668" w:type="pct"/>
            <w:tcBorders>
              <w:top w:val="nil"/>
              <w:left w:val="nil"/>
              <w:bottom w:val="single" w:sz="4" w:space="0" w:color="auto"/>
              <w:right w:val="single" w:sz="4" w:space="0" w:color="auto"/>
            </w:tcBorders>
            <w:noWrap/>
            <w:hideMark/>
          </w:tcPr>
          <w:p w14:paraId="2A7282C6" w14:textId="77777777" w:rsidR="005E2E21" w:rsidRPr="00377F3A" w:rsidRDefault="005E2E21" w:rsidP="00377F3A">
            <w:pPr>
              <w:pStyle w:val="TableText"/>
              <w:rPr>
                <w:rFonts w:asciiTheme="minorHAnsi" w:hAnsiTheme="minorHAnsi"/>
              </w:rPr>
            </w:pPr>
            <w:r w:rsidRPr="00377F3A">
              <w:rPr>
                <w:rFonts w:asciiTheme="minorHAnsi" w:hAnsiTheme="minorHAnsi"/>
              </w:rPr>
              <w:t>FitzGerald G B., 1992</w:t>
            </w:r>
          </w:p>
        </w:tc>
      </w:tr>
      <w:tr w:rsidR="005E2E21" w:rsidRPr="008635F4" w14:paraId="10DFE3B9"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22C73690" w14:textId="77777777" w:rsidR="005E2E21" w:rsidRPr="00377F3A" w:rsidRDefault="005E2E21" w:rsidP="00377F3A">
            <w:pPr>
              <w:pStyle w:val="TableText"/>
              <w:rPr>
                <w:rFonts w:asciiTheme="minorHAnsi" w:hAnsiTheme="minorHAnsi"/>
              </w:rPr>
            </w:pPr>
            <w:r w:rsidRPr="00377F3A">
              <w:rPr>
                <w:rFonts w:asciiTheme="minorHAnsi" w:hAnsiTheme="minorHAnsi"/>
              </w:rPr>
              <w:lastRenderedPageBreak/>
              <w:t>Acute Toxicity Studies</w:t>
            </w:r>
          </w:p>
        </w:tc>
        <w:tc>
          <w:tcPr>
            <w:tcW w:w="1666" w:type="pct"/>
            <w:tcBorders>
              <w:top w:val="nil"/>
              <w:left w:val="nil"/>
              <w:bottom w:val="single" w:sz="4" w:space="0" w:color="auto"/>
              <w:right w:val="single" w:sz="4" w:space="0" w:color="auto"/>
            </w:tcBorders>
            <w:hideMark/>
          </w:tcPr>
          <w:p w14:paraId="4F84F97E" w14:textId="77777777" w:rsidR="005E2E21" w:rsidRPr="00377F3A" w:rsidRDefault="005E2E21" w:rsidP="00377F3A">
            <w:pPr>
              <w:pStyle w:val="TableText"/>
              <w:rPr>
                <w:rFonts w:asciiTheme="minorHAnsi" w:hAnsiTheme="minorHAnsi"/>
              </w:rPr>
            </w:pPr>
            <w:r w:rsidRPr="00377F3A">
              <w:rPr>
                <w:rFonts w:asciiTheme="minorHAnsi" w:hAnsiTheme="minorHAnsi"/>
              </w:rPr>
              <w:t>Diphacinone was classified as a slight eye irritant</w:t>
            </w:r>
          </w:p>
        </w:tc>
        <w:tc>
          <w:tcPr>
            <w:tcW w:w="1668" w:type="pct"/>
            <w:tcBorders>
              <w:top w:val="nil"/>
              <w:left w:val="nil"/>
              <w:bottom w:val="single" w:sz="4" w:space="0" w:color="auto"/>
              <w:right w:val="single" w:sz="4" w:space="0" w:color="auto"/>
            </w:tcBorders>
            <w:noWrap/>
            <w:hideMark/>
          </w:tcPr>
          <w:p w14:paraId="3B64460B" w14:textId="77777777" w:rsidR="005E2E21" w:rsidRPr="00377F3A" w:rsidRDefault="005E2E21" w:rsidP="00377F3A">
            <w:pPr>
              <w:pStyle w:val="TableText"/>
              <w:rPr>
                <w:rFonts w:asciiTheme="minorHAnsi" w:hAnsiTheme="minorHAnsi"/>
              </w:rPr>
            </w:pPr>
            <w:r w:rsidRPr="00377F3A">
              <w:rPr>
                <w:rFonts w:asciiTheme="minorHAnsi" w:hAnsiTheme="minorHAnsi"/>
              </w:rPr>
              <w:t>Shapiro R., 1990b</w:t>
            </w:r>
          </w:p>
        </w:tc>
      </w:tr>
      <w:tr w:rsidR="005E2E21" w:rsidRPr="008635F4" w14:paraId="36CAC156"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782FEDDF"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61C570A8" w14:textId="0C0D1058" w:rsidR="005E2E21" w:rsidRPr="00377F3A" w:rsidRDefault="005E2E21" w:rsidP="00377F3A">
            <w:pPr>
              <w:pStyle w:val="TableText"/>
              <w:rPr>
                <w:rFonts w:asciiTheme="minorHAnsi" w:hAnsiTheme="minorHAnsi"/>
              </w:rPr>
            </w:pPr>
            <w:r w:rsidRPr="00377F3A">
              <w:rPr>
                <w:rFonts w:asciiTheme="minorHAnsi" w:hAnsiTheme="minorHAnsi"/>
              </w:rPr>
              <w:t>Classified as a slight skin irritant.</w:t>
            </w:r>
          </w:p>
        </w:tc>
        <w:tc>
          <w:tcPr>
            <w:tcW w:w="1668" w:type="pct"/>
            <w:tcBorders>
              <w:top w:val="nil"/>
              <w:left w:val="nil"/>
              <w:bottom w:val="single" w:sz="4" w:space="0" w:color="auto"/>
              <w:right w:val="single" w:sz="4" w:space="0" w:color="auto"/>
            </w:tcBorders>
            <w:noWrap/>
            <w:hideMark/>
          </w:tcPr>
          <w:p w14:paraId="6E7FC58E" w14:textId="77777777" w:rsidR="005E2E21" w:rsidRPr="00377F3A" w:rsidRDefault="005E2E21" w:rsidP="00377F3A">
            <w:pPr>
              <w:pStyle w:val="TableText"/>
              <w:rPr>
                <w:rFonts w:asciiTheme="minorHAnsi" w:hAnsiTheme="minorHAnsi"/>
              </w:rPr>
            </w:pPr>
            <w:r w:rsidRPr="00377F3A">
              <w:rPr>
                <w:rFonts w:asciiTheme="minorHAnsi" w:hAnsiTheme="minorHAnsi"/>
              </w:rPr>
              <w:t>Shapiro R., 1990c</w:t>
            </w:r>
          </w:p>
        </w:tc>
      </w:tr>
      <w:tr w:rsidR="005E2E21" w:rsidRPr="008635F4" w14:paraId="5359DF99"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1B67D7B0" w14:textId="77777777" w:rsidR="005E2E21" w:rsidRPr="00377F3A" w:rsidRDefault="005E2E21" w:rsidP="00377F3A">
            <w:pPr>
              <w:pStyle w:val="TableText"/>
              <w:rPr>
                <w:rFonts w:asciiTheme="minorHAnsi" w:hAnsiTheme="minorHAnsi"/>
              </w:rPr>
            </w:pPr>
            <w:r w:rsidRPr="00377F3A">
              <w:rPr>
                <w:rFonts w:asciiTheme="minorHAnsi" w:hAnsiTheme="minorHAnsi"/>
              </w:rPr>
              <w:t>Acute Toxicity Studies</w:t>
            </w:r>
          </w:p>
        </w:tc>
        <w:tc>
          <w:tcPr>
            <w:tcW w:w="1666" w:type="pct"/>
            <w:tcBorders>
              <w:top w:val="nil"/>
              <w:left w:val="nil"/>
              <w:bottom w:val="single" w:sz="4" w:space="0" w:color="auto"/>
              <w:right w:val="single" w:sz="4" w:space="0" w:color="auto"/>
            </w:tcBorders>
            <w:hideMark/>
          </w:tcPr>
          <w:p w14:paraId="79CA2D70" w14:textId="77777777" w:rsidR="005E2E21" w:rsidRPr="00377F3A" w:rsidRDefault="005E2E21" w:rsidP="00377F3A">
            <w:pPr>
              <w:pStyle w:val="TableText"/>
              <w:rPr>
                <w:rFonts w:asciiTheme="minorHAnsi" w:hAnsiTheme="minorHAnsi"/>
              </w:rPr>
            </w:pPr>
            <w:r w:rsidRPr="00377F3A">
              <w:rPr>
                <w:rFonts w:asciiTheme="minorHAnsi" w:hAnsiTheme="minorHAnsi"/>
              </w:rPr>
              <w:t>Data showed it was not a sensitizer post-topical application in guinea pigs</w:t>
            </w:r>
          </w:p>
        </w:tc>
        <w:tc>
          <w:tcPr>
            <w:tcW w:w="1668" w:type="pct"/>
            <w:tcBorders>
              <w:top w:val="nil"/>
              <w:left w:val="nil"/>
              <w:bottom w:val="single" w:sz="4" w:space="0" w:color="auto"/>
              <w:right w:val="single" w:sz="4" w:space="0" w:color="auto"/>
            </w:tcBorders>
            <w:noWrap/>
            <w:hideMark/>
          </w:tcPr>
          <w:p w14:paraId="5C3E0BDC" w14:textId="77777777" w:rsidR="005E2E21" w:rsidRPr="00377F3A" w:rsidRDefault="005E2E21" w:rsidP="00377F3A">
            <w:pPr>
              <w:pStyle w:val="TableText"/>
              <w:rPr>
                <w:rFonts w:asciiTheme="minorHAnsi" w:hAnsiTheme="minorHAnsi"/>
              </w:rPr>
            </w:pPr>
            <w:r w:rsidRPr="00377F3A">
              <w:rPr>
                <w:rFonts w:asciiTheme="minorHAnsi" w:hAnsiTheme="minorHAnsi"/>
              </w:rPr>
              <w:t>Bier C B &amp; Oliveira P H., 1979</w:t>
            </w:r>
          </w:p>
        </w:tc>
      </w:tr>
      <w:tr w:rsidR="005E2E21" w:rsidRPr="008635F4" w14:paraId="31ECC61C"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39E3C0E8"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716C5354" w14:textId="77777777" w:rsidR="005E2E21" w:rsidRPr="00377F3A" w:rsidRDefault="005E2E21" w:rsidP="00377F3A">
            <w:pPr>
              <w:pStyle w:val="TableText"/>
              <w:rPr>
                <w:rFonts w:asciiTheme="minorHAnsi" w:hAnsiTheme="minorHAnsi"/>
              </w:rPr>
            </w:pPr>
            <w:r w:rsidRPr="00377F3A">
              <w:rPr>
                <w:rFonts w:asciiTheme="minorHAnsi" w:hAnsiTheme="minorHAnsi"/>
              </w:rPr>
              <w:t>Oral LD50 (mg/kg bw)</w:t>
            </w:r>
            <w:r w:rsidRPr="00377F3A">
              <w:rPr>
                <w:rFonts w:asciiTheme="minorHAnsi" w:hAnsiTheme="minorHAnsi"/>
              </w:rPr>
              <w:br/>
              <w:t>&gt;5126.0 (M/F)</w:t>
            </w:r>
          </w:p>
        </w:tc>
        <w:tc>
          <w:tcPr>
            <w:tcW w:w="1668" w:type="pct"/>
            <w:tcBorders>
              <w:top w:val="nil"/>
              <w:left w:val="nil"/>
              <w:bottom w:val="single" w:sz="4" w:space="0" w:color="auto"/>
              <w:right w:val="single" w:sz="4" w:space="0" w:color="auto"/>
            </w:tcBorders>
            <w:noWrap/>
            <w:hideMark/>
          </w:tcPr>
          <w:p w14:paraId="63C5AF8E" w14:textId="77777777" w:rsidR="005E2E21" w:rsidRPr="00377F3A" w:rsidRDefault="005E2E21" w:rsidP="00377F3A">
            <w:pPr>
              <w:pStyle w:val="TableText"/>
              <w:rPr>
                <w:rFonts w:asciiTheme="minorHAnsi" w:hAnsiTheme="minorHAnsi"/>
              </w:rPr>
            </w:pPr>
            <w:r w:rsidRPr="00377F3A">
              <w:rPr>
                <w:rFonts w:asciiTheme="minorHAnsi" w:hAnsiTheme="minorHAnsi"/>
              </w:rPr>
              <w:t>Dean, W P &amp; Jessup, C., 1976</w:t>
            </w:r>
          </w:p>
        </w:tc>
      </w:tr>
      <w:tr w:rsidR="005E2E21" w:rsidRPr="008635F4" w14:paraId="379201C5"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6378ECBF"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311F4DA7" w14:textId="77777777" w:rsidR="005E2E21" w:rsidRPr="00377F3A" w:rsidRDefault="005E2E21" w:rsidP="00377F3A">
            <w:pPr>
              <w:pStyle w:val="TableText"/>
              <w:rPr>
                <w:rFonts w:asciiTheme="minorHAnsi" w:hAnsiTheme="minorHAnsi"/>
              </w:rPr>
            </w:pPr>
            <w:r w:rsidRPr="00377F3A">
              <w:rPr>
                <w:rFonts w:asciiTheme="minorHAnsi" w:hAnsiTheme="minorHAnsi"/>
              </w:rPr>
              <w:t>Oral LD50 (mg/kg bw)</w:t>
            </w:r>
            <w:r w:rsidRPr="00377F3A">
              <w:rPr>
                <w:rFonts w:asciiTheme="minorHAnsi" w:hAnsiTheme="minorHAnsi"/>
              </w:rPr>
              <w:br/>
              <w:t>&gt;17678 (M/F)</w:t>
            </w:r>
          </w:p>
        </w:tc>
        <w:tc>
          <w:tcPr>
            <w:tcW w:w="1668" w:type="pct"/>
            <w:tcBorders>
              <w:top w:val="nil"/>
              <w:left w:val="nil"/>
              <w:bottom w:val="single" w:sz="4" w:space="0" w:color="auto"/>
              <w:right w:val="single" w:sz="4" w:space="0" w:color="auto"/>
            </w:tcBorders>
            <w:noWrap/>
            <w:hideMark/>
          </w:tcPr>
          <w:p w14:paraId="18F2D996" w14:textId="77777777" w:rsidR="005E2E21" w:rsidRPr="00377F3A" w:rsidRDefault="005E2E21" w:rsidP="00377F3A">
            <w:pPr>
              <w:pStyle w:val="TableText"/>
              <w:rPr>
                <w:rFonts w:asciiTheme="minorHAnsi" w:hAnsiTheme="minorHAnsi"/>
              </w:rPr>
            </w:pPr>
            <w:r w:rsidRPr="00377F3A">
              <w:rPr>
                <w:rFonts w:asciiTheme="minorHAnsi" w:hAnsiTheme="minorHAnsi"/>
              </w:rPr>
              <w:t>Wazeter FX&amp; Goldenthal EI., 1974</w:t>
            </w:r>
          </w:p>
        </w:tc>
      </w:tr>
      <w:tr w:rsidR="005E2E21" w:rsidRPr="008635F4" w14:paraId="6EAFED35"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775AB7D5"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6E4B5B57" w14:textId="6C38BBE9" w:rsidR="005E2E21" w:rsidRPr="006F78D3" w:rsidRDefault="005E2E21" w:rsidP="00377F3A">
            <w:pPr>
              <w:pStyle w:val="TableText"/>
              <w:rPr>
                <w:rFonts w:asciiTheme="minorHAnsi" w:hAnsiTheme="minorHAnsi"/>
                <w:lang w:val="de-CH"/>
              </w:rPr>
            </w:pPr>
            <w:r w:rsidRPr="006F78D3">
              <w:rPr>
                <w:rFonts w:asciiTheme="minorHAnsi" w:hAnsiTheme="minorHAnsi"/>
                <w:lang w:val="de-CH"/>
              </w:rPr>
              <w:t>Dermal LD50 (mg/kg bw)</w:t>
            </w:r>
            <w:r w:rsidRPr="006F78D3">
              <w:rPr>
                <w:rFonts w:asciiTheme="minorHAnsi" w:hAnsiTheme="minorHAnsi"/>
                <w:lang w:val="de-CH"/>
              </w:rPr>
              <w:br/>
              <w:t>&gt;20000 (M/F)</w:t>
            </w:r>
          </w:p>
        </w:tc>
        <w:tc>
          <w:tcPr>
            <w:tcW w:w="1668" w:type="pct"/>
            <w:tcBorders>
              <w:top w:val="nil"/>
              <w:left w:val="nil"/>
              <w:bottom w:val="single" w:sz="4" w:space="0" w:color="auto"/>
              <w:right w:val="single" w:sz="4" w:space="0" w:color="auto"/>
            </w:tcBorders>
            <w:noWrap/>
            <w:hideMark/>
          </w:tcPr>
          <w:p w14:paraId="5BFC0746" w14:textId="77777777" w:rsidR="005E2E21" w:rsidRPr="00377F3A" w:rsidRDefault="005E2E21" w:rsidP="00377F3A">
            <w:pPr>
              <w:pStyle w:val="TableText"/>
              <w:rPr>
                <w:rFonts w:asciiTheme="minorHAnsi" w:hAnsiTheme="minorHAnsi"/>
              </w:rPr>
            </w:pPr>
            <w:r w:rsidRPr="00377F3A">
              <w:rPr>
                <w:rFonts w:asciiTheme="minorHAnsi" w:hAnsiTheme="minorHAnsi"/>
              </w:rPr>
              <w:t>Dean, W P &amp; Jessup, C., 1978</w:t>
            </w:r>
          </w:p>
        </w:tc>
      </w:tr>
      <w:tr w:rsidR="005E2E21" w:rsidRPr="008635F4" w14:paraId="6CD37FC5"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6E2BEFDB" w14:textId="77777777" w:rsidR="005E2E21" w:rsidRPr="00377F3A" w:rsidRDefault="005E2E21" w:rsidP="00377F3A">
            <w:pPr>
              <w:pStyle w:val="TableText"/>
              <w:rPr>
                <w:rFonts w:asciiTheme="minorHAnsi" w:hAnsiTheme="minorHAnsi"/>
              </w:rPr>
            </w:pPr>
            <w:r w:rsidRPr="00377F3A">
              <w:rPr>
                <w:rFonts w:asciiTheme="minorHAnsi" w:hAnsiTheme="minorHAnsi"/>
              </w:rPr>
              <w:t>Short-term Repeat dose studies</w:t>
            </w:r>
          </w:p>
        </w:tc>
        <w:tc>
          <w:tcPr>
            <w:tcW w:w="1666" w:type="pct"/>
            <w:tcBorders>
              <w:top w:val="nil"/>
              <w:left w:val="nil"/>
              <w:bottom w:val="single" w:sz="4" w:space="0" w:color="auto"/>
              <w:right w:val="single" w:sz="4" w:space="0" w:color="auto"/>
            </w:tcBorders>
            <w:hideMark/>
          </w:tcPr>
          <w:p w14:paraId="269D8A17" w14:textId="77777777" w:rsidR="005E2E21" w:rsidRPr="00377F3A" w:rsidRDefault="005E2E21" w:rsidP="00377F3A">
            <w:pPr>
              <w:pStyle w:val="TableText"/>
              <w:rPr>
                <w:rFonts w:asciiTheme="minorHAnsi" w:hAnsiTheme="minorHAnsi"/>
              </w:rPr>
            </w:pPr>
            <w:r w:rsidRPr="00377F3A">
              <w:rPr>
                <w:rFonts w:asciiTheme="minorHAnsi" w:hAnsiTheme="minorHAnsi"/>
              </w:rPr>
              <w:t>NOEL after repeat dosing for 14 days was 0.04 mg/kg bw/d based on increased PT and APTT at 0.085 mg/kg bw/d</w:t>
            </w:r>
          </w:p>
        </w:tc>
        <w:tc>
          <w:tcPr>
            <w:tcW w:w="1668" w:type="pct"/>
            <w:tcBorders>
              <w:top w:val="nil"/>
              <w:left w:val="nil"/>
              <w:bottom w:val="single" w:sz="4" w:space="0" w:color="auto"/>
              <w:right w:val="single" w:sz="4" w:space="0" w:color="auto"/>
            </w:tcBorders>
            <w:noWrap/>
            <w:hideMark/>
          </w:tcPr>
          <w:p w14:paraId="04C74CA1" w14:textId="77777777" w:rsidR="005E2E21" w:rsidRPr="00377F3A" w:rsidRDefault="005E2E21" w:rsidP="00377F3A">
            <w:pPr>
              <w:pStyle w:val="TableText"/>
              <w:rPr>
                <w:rFonts w:asciiTheme="minorHAnsi" w:hAnsiTheme="minorHAnsi"/>
              </w:rPr>
            </w:pPr>
            <w:r w:rsidRPr="00377F3A">
              <w:rPr>
                <w:rFonts w:asciiTheme="minorHAnsi" w:hAnsiTheme="minorHAnsi"/>
              </w:rPr>
              <w:t>Rogers A J., 1994</w:t>
            </w:r>
          </w:p>
        </w:tc>
      </w:tr>
      <w:tr w:rsidR="005E2E21" w:rsidRPr="008635F4" w14:paraId="1237051A"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08D9AD1E" w14:textId="77777777" w:rsidR="005E2E21" w:rsidRPr="00377F3A" w:rsidRDefault="005E2E21" w:rsidP="00377F3A">
            <w:pPr>
              <w:pStyle w:val="TableText"/>
              <w:rPr>
                <w:rFonts w:asciiTheme="minorHAnsi" w:hAnsiTheme="minorHAnsi"/>
              </w:rPr>
            </w:pPr>
            <w:r w:rsidRPr="00377F3A">
              <w:rPr>
                <w:rFonts w:asciiTheme="minorHAnsi" w:hAnsiTheme="minorHAnsi"/>
              </w:rPr>
              <w:t>Short-term Repeat dose studies</w:t>
            </w:r>
          </w:p>
        </w:tc>
        <w:tc>
          <w:tcPr>
            <w:tcW w:w="1666" w:type="pct"/>
            <w:tcBorders>
              <w:top w:val="nil"/>
              <w:left w:val="nil"/>
              <w:bottom w:val="single" w:sz="4" w:space="0" w:color="auto"/>
              <w:right w:val="single" w:sz="4" w:space="0" w:color="auto"/>
            </w:tcBorders>
            <w:hideMark/>
          </w:tcPr>
          <w:p w14:paraId="21D317D0" w14:textId="77777777" w:rsidR="005E2E21" w:rsidRPr="00377F3A" w:rsidRDefault="005E2E21" w:rsidP="00377F3A">
            <w:pPr>
              <w:pStyle w:val="TableText"/>
              <w:rPr>
                <w:rFonts w:asciiTheme="minorHAnsi" w:hAnsiTheme="minorHAnsi"/>
              </w:rPr>
            </w:pPr>
            <w:r w:rsidRPr="00377F3A">
              <w:rPr>
                <w:rFonts w:asciiTheme="minorHAnsi" w:hAnsiTheme="minorHAnsi"/>
              </w:rPr>
              <w:t>The NOEL in this study was 0.1 mg/kg bw/d. based on mortality, clinical signs, and gross pathological abnormalities seen at necropsy of animals at and above 1.0 mg/kg bw/d</w:t>
            </w:r>
          </w:p>
        </w:tc>
        <w:tc>
          <w:tcPr>
            <w:tcW w:w="1668" w:type="pct"/>
            <w:tcBorders>
              <w:top w:val="nil"/>
              <w:left w:val="nil"/>
              <w:bottom w:val="single" w:sz="4" w:space="0" w:color="auto"/>
              <w:right w:val="single" w:sz="4" w:space="0" w:color="auto"/>
            </w:tcBorders>
            <w:noWrap/>
            <w:hideMark/>
          </w:tcPr>
          <w:p w14:paraId="3A455E14" w14:textId="77777777" w:rsidR="005E2E21" w:rsidRPr="00377F3A" w:rsidRDefault="005E2E21" w:rsidP="00377F3A">
            <w:pPr>
              <w:pStyle w:val="TableText"/>
              <w:rPr>
                <w:rFonts w:asciiTheme="minorHAnsi" w:hAnsiTheme="minorHAnsi"/>
              </w:rPr>
            </w:pPr>
            <w:r w:rsidRPr="00377F3A">
              <w:rPr>
                <w:rFonts w:asciiTheme="minorHAnsi" w:hAnsiTheme="minorHAnsi"/>
              </w:rPr>
              <w:t>Laveglia J., 1981</w:t>
            </w:r>
          </w:p>
        </w:tc>
      </w:tr>
      <w:tr w:rsidR="005E2E21" w:rsidRPr="008635F4" w14:paraId="5C4DAC1A"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7CECDD83" w14:textId="77777777" w:rsidR="005E2E21" w:rsidRPr="00377F3A" w:rsidRDefault="005E2E21" w:rsidP="00377F3A">
            <w:pPr>
              <w:pStyle w:val="TableText"/>
              <w:rPr>
                <w:rFonts w:asciiTheme="minorHAnsi" w:hAnsiTheme="minorHAnsi"/>
              </w:rPr>
            </w:pPr>
            <w:r w:rsidRPr="00377F3A">
              <w:rPr>
                <w:rFonts w:asciiTheme="minorHAnsi" w:hAnsiTheme="minorHAnsi"/>
              </w:rPr>
              <w:t>Developmental Studies</w:t>
            </w:r>
          </w:p>
        </w:tc>
        <w:tc>
          <w:tcPr>
            <w:tcW w:w="1666" w:type="pct"/>
            <w:tcBorders>
              <w:top w:val="nil"/>
              <w:left w:val="nil"/>
              <w:bottom w:val="single" w:sz="4" w:space="0" w:color="auto"/>
              <w:right w:val="single" w:sz="4" w:space="0" w:color="auto"/>
            </w:tcBorders>
            <w:hideMark/>
          </w:tcPr>
          <w:p w14:paraId="25FAEE3E" w14:textId="77777777" w:rsidR="005E2E21" w:rsidRPr="00377F3A" w:rsidRDefault="005E2E21" w:rsidP="00377F3A">
            <w:pPr>
              <w:pStyle w:val="TableText"/>
              <w:rPr>
                <w:rFonts w:asciiTheme="minorHAnsi" w:hAnsiTheme="minorHAnsi"/>
              </w:rPr>
            </w:pPr>
            <w:r w:rsidRPr="00377F3A">
              <w:rPr>
                <w:rFonts w:asciiTheme="minorHAnsi" w:hAnsiTheme="minorHAnsi"/>
              </w:rPr>
              <w:t>NOEL for maternal developmental toxicity was 0.025 mg/kg bw/d</w:t>
            </w:r>
          </w:p>
        </w:tc>
        <w:tc>
          <w:tcPr>
            <w:tcW w:w="1668" w:type="pct"/>
            <w:tcBorders>
              <w:top w:val="nil"/>
              <w:left w:val="nil"/>
              <w:bottom w:val="single" w:sz="4" w:space="0" w:color="auto"/>
              <w:right w:val="single" w:sz="4" w:space="0" w:color="auto"/>
            </w:tcBorders>
            <w:noWrap/>
            <w:hideMark/>
          </w:tcPr>
          <w:p w14:paraId="2692798C" w14:textId="77777777" w:rsidR="005E2E21" w:rsidRPr="00377F3A" w:rsidRDefault="005E2E21" w:rsidP="00377F3A">
            <w:pPr>
              <w:pStyle w:val="TableText"/>
              <w:rPr>
                <w:rFonts w:asciiTheme="minorHAnsi" w:hAnsiTheme="minorHAnsi"/>
              </w:rPr>
            </w:pPr>
            <w:r w:rsidRPr="00377F3A">
              <w:rPr>
                <w:rFonts w:asciiTheme="minorHAnsi" w:hAnsiTheme="minorHAnsi"/>
              </w:rPr>
              <w:t>Daniel E M., 1993</w:t>
            </w:r>
          </w:p>
        </w:tc>
      </w:tr>
      <w:tr w:rsidR="005E2E21" w:rsidRPr="008635F4" w14:paraId="65B0B014"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2AD03CC9" w14:textId="77777777" w:rsidR="005E2E21" w:rsidRPr="00377F3A" w:rsidRDefault="005E2E21" w:rsidP="00377F3A">
            <w:pPr>
              <w:pStyle w:val="TableText"/>
              <w:rPr>
                <w:rFonts w:asciiTheme="minorHAnsi" w:hAnsiTheme="minorHAnsi"/>
              </w:rPr>
            </w:pPr>
            <w:r w:rsidRPr="00377F3A">
              <w:rPr>
                <w:rFonts w:asciiTheme="minorHAnsi" w:hAnsiTheme="minorHAnsi"/>
              </w:rPr>
              <w:t>Genotoxicity studies</w:t>
            </w:r>
          </w:p>
        </w:tc>
        <w:tc>
          <w:tcPr>
            <w:tcW w:w="1666" w:type="pct"/>
            <w:tcBorders>
              <w:top w:val="nil"/>
              <w:left w:val="nil"/>
              <w:bottom w:val="single" w:sz="4" w:space="0" w:color="auto"/>
              <w:right w:val="single" w:sz="4" w:space="0" w:color="auto"/>
            </w:tcBorders>
            <w:hideMark/>
          </w:tcPr>
          <w:p w14:paraId="11B8AE9C" w14:textId="77777777" w:rsidR="005E2E21" w:rsidRPr="00377F3A" w:rsidRDefault="005E2E21" w:rsidP="00377F3A">
            <w:pPr>
              <w:pStyle w:val="TableText"/>
              <w:rPr>
                <w:rFonts w:asciiTheme="minorHAnsi" w:hAnsiTheme="minorHAnsi"/>
              </w:rPr>
            </w:pPr>
            <w:r w:rsidRPr="00377F3A">
              <w:rPr>
                <w:rFonts w:asciiTheme="minorHAnsi" w:hAnsiTheme="minorHAnsi"/>
              </w:rPr>
              <w:t>Not mutagenic</w:t>
            </w:r>
          </w:p>
        </w:tc>
        <w:tc>
          <w:tcPr>
            <w:tcW w:w="1668" w:type="pct"/>
            <w:tcBorders>
              <w:top w:val="nil"/>
              <w:left w:val="nil"/>
              <w:bottom w:val="single" w:sz="4" w:space="0" w:color="auto"/>
              <w:right w:val="single" w:sz="4" w:space="0" w:color="auto"/>
            </w:tcBorders>
            <w:noWrap/>
            <w:hideMark/>
          </w:tcPr>
          <w:p w14:paraId="750F4400" w14:textId="77777777" w:rsidR="005E2E21" w:rsidRPr="00377F3A" w:rsidRDefault="005E2E21" w:rsidP="00377F3A">
            <w:pPr>
              <w:pStyle w:val="TableText"/>
              <w:rPr>
                <w:rFonts w:asciiTheme="minorHAnsi" w:hAnsiTheme="minorHAnsi"/>
              </w:rPr>
            </w:pPr>
            <w:r w:rsidRPr="00377F3A">
              <w:rPr>
                <w:rFonts w:asciiTheme="minorHAnsi" w:hAnsiTheme="minorHAnsi"/>
              </w:rPr>
              <w:t>Stankowski L F., 1992a</w:t>
            </w:r>
          </w:p>
        </w:tc>
      </w:tr>
      <w:tr w:rsidR="005E2E21" w:rsidRPr="008635F4" w14:paraId="520A13DB"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465FE7AD" w14:textId="77777777" w:rsidR="005E2E21" w:rsidRPr="00377F3A" w:rsidRDefault="005E2E21" w:rsidP="00377F3A">
            <w:pPr>
              <w:pStyle w:val="TableText"/>
              <w:rPr>
                <w:rFonts w:asciiTheme="minorHAnsi" w:hAnsiTheme="minorHAnsi"/>
              </w:rPr>
            </w:pPr>
            <w:r w:rsidRPr="00377F3A">
              <w:rPr>
                <w:rFonts w:asciiTheme="minorHAnsi" w:hAnsiTheme="minorHAnsi"/>
              </w:rPr>
              <w:t>Genotoxicity studies</w:t>
            </w:r>
          </w:p>
        </w:tc>
        <w:tc>
          <w:tcPr>
            <w:tcW w:w="1666" w:type="pct"/>
            <w:tcBorders>
              <w:top w:val="nil"/>
              <w:left w:val="nil"/>
              <w:bottom w:val="single" w:sz="4" w:space="0" w:color="auto"/>
              <w:right w:val="single" w:sz="4" w:space="0" w:color="auto"/>
            </w:tcBorders>
            <w:hideMark/>
          </w:tcPr>
          <w:p w14:paraId="6847ADB7" w14:textId="77777777" w:rsidR="005E2E21" w:rsidRPr="00377F3A" w:rsidRDefault="005E2E21" w:rsidP="00377F3A">
            <w:pPr>
              <w:pStyle w:val="TableText"/>
              <w:rPr>
                <w:rFonts w:asciiTheme="minorHAnsi" w:hAnsiTheme="minorHAnsi"/>
              </w:rPr>
            </w:pPr>
            <w:r w:rsidRPr="00377F3A">
              <w:rPr>
                <w:rFonts w:asciiTheme="minorHAnsi" w:hAnsiTheme="minorHAnsi"/>
              </w:rPr>
              <w:t>Not mutagenic</w:t>
            </w:r>
          </w:p>
        </w:tc>
        <w:tc>
          <w:tcPr>
            <w:tcW w:w="1668" w:type="pct"/>
            <w:tcBorders>
              <w:top w:val="nil"/>
              <w:left w:val="nil"/>
              <w:bottom w:val="single" w:sz="4" w:space="0" w:color="auto"/>
              <w:right w:val="single" w:sz="4" w:space="0" w:color="auto"/>
            </w:tcBorders>
            <w:noWrap/>
            <w:hideMark/>
          </w:tcPr>
          <w:p w14:paraId="20E02577" w14:textId="77777777" w:rsidR="005E2E21" w:rsidRPr="00377F3A" w:rsidRDefault="005E2E21" w:rsidP="00377F3A">
            <w:pPr>
              <w:pStyle w:val="TableText"/>
              <w:rPr>
                <w:rFonts w:asciiTheme="minorHAnsi" w:hAnsiTheme="minorHAnsi"/>
              </w:rPr>
            </w:pPr>
            <w:r w:rsidRPr="00377F3A">
              <w:rPr>
                <w:rFonts w:asciiTheme="minorHAnsi" w:hAnsiTheme="minorHAnsi"/>
              </w:rPr>
              <w:t>Jagannath D R&amp; Brusick D J., 1978</w:t>
            </w:r>
          </w:p>
        </w:tc>
      </w:tr>
      <w:tr w:rsidR="005E2E21" w:rsidRPr="008635F4" w14:paraId="30569A40"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67A8994A" w14:textId="77777777" w:rsidR="005E2E21" w:rsidRPr="00377F3A" w:rsidRDefault="005E2E21" w:rsidP="00377F3A">
            <w:pPr>
              <w:pStyle w:val="TableText"/>
              <w:rPr>
                <w:rFonts w:asciiTheme="minorHAnsi" w:hAnsiTheme="minorHAnsi"/>
              </w:rPr>
            </w:pPr>
            <w:r w:rsidRPr="00377F3A">
              <w:rPr>
                <w:rFonts w:asciiTheme="minorHAnsi" w:hAnsiTheme="minorHAnsi"/>
              </w:rPr>
              <w:t>Genotoxicity studies</w:t>
            </w:r>
          </w:p>
        </w:tc>
        <w:tc>
          <w:tcPr>
            <w:tcW w:w="1666" w:type="pct"/>
            <w:tcBorders>
              <w:top w:val="nil"/>
              <w:left w:val="nil"/>
              <w:bottom w:val="single" w:sz="4" w:space="0" w:color="auto"/>
              <w:right w:val="single" w:sz="4" w:space="0" w:color="auto"/>
            </w:tcBorders>
            <w:hideMark/>
          </w:tcPr>
          <w:p w14:paraId="4A0D98D4" w14:textId="77777777" w:rsidR="005E2E21" w:rsidRPr="00377F3A" w:rsidRDefault="005E2E21" w:rsidP="00377F3A">
            <w:pPr>
              <w:pStyle w:val="TableText"/>
              <w:rPr>
                <w:rFonts w:asciiTheme="minorHAnsi" w:hAnsiTheme="minorHAnsi"/>
              </w:rPr>
            </w:pPr>
            <w:r w:rsidRPr="00377F3A">
              <w:rPr>
                <w:rFonts w:asciiTheme="minorHAnsi" w:hAnsiTheme="minorHAnsi"/>
              </w:rPr>
              <w:t>Not mutagenic</w:t>
            </w:r>
          </w:p>
        </w:tc>
        <w:tc>
          <w:tcPr>
            <w:tcW w:w="1668" w:type="pct"/>
            <w:tcBorders>
              <w:top w:val="nil"/>
              <w:left w:val="nil"/>
              <w:bottom w:val="single" w:sz="4" w:space="0" w:color="auto"/>
              <w:right w:val="single" w:sz="4" w:space="0" w:color="auto"/>
            </w:tcBorders>
            <w:noWrap/>
            <w:hideMark/>
          </w:tcPr>
          <w:p w14:paraId="06ACDAE8" w14:textId="77777777" w:rsidR="005E2E21" w:rsidRPr="00377F3A" w:rsidRDefault="005E2E21" w:rsidP="00377F3A">
            <w:pPr>
              <w:pStyle w:val="TableText"/>
              <w:rPr>
                <w:rFonts w:asciiTheme="minorHAnsi" w:hAnsiTheme="minorHAnsi"/>
              </w:rPr>
            </w:pPr>
            <w:r w:rsidRPr="00377F3A">
              <w:rPr>
                <w:rFonts w:asciiTheme="minorHAnsi" w:hAnsiTheme="minorHAnsi"/>
              </w:rPr>
              <w:t>Stankowski L F., 1992b</w:t>
            </w:r>
          </w:p>
        </w:tc>
      </w:tr>
      <w:tr w:rsidR="005E2E21" w:rsidRPr="008635F4" w14:paraId="6293CEB2"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056843EC" w14:textId="77777777" w:rsidR="005E2E21" w:rsidRPr="00377F3A" w:rsidRDefault="005E2E21" w:rsidP="00377F3A">
            <w:pPr>
              <w:pStyle w:val="TableText"/>
              <w:rPr>
                <w:rFonts w:asciiTheme="minorHAnsi" w:hAnsiTheme="minorHAnsi"/>
              </w:rPr>
            </w:pPr>
            <w:r w:rsidRPr="00377F3A">
              <w:rPr>
                <w:rFonts w:asciiTheme="minorHAnsi" w:hAnsiTheme="minorHAnsi"/>
              </w:rPr>
              <w:t>Genotoxicity studies</w:t>
            </w:r>
          </w:p>
        </w:tc>
        <w:tc>
          <w:tcPr>
            <w:tcW w:w="1666" w:type="pct"/>
            <w:tcBorders>
              <w:top w:val="nil"/>
              <w:left w:val="nil"/>
              <w:bottom w:val="single" w:sz="4" w:space="0" w:color="auto"/>
              <w:right w:val="single" w:sz="4" w:space="0" w:color="auto"/>
            </w:tcBorders>
            <w:hideMark/>
          </w:tcPr>
          <w:p w14:paraId="0C0270D5" w14:textId="77777777" w:rsidR="005E2E21" w:rsidRPr="00377F3A" w:rsidRDefault="005E2E21" w:rsidP="00377F3A">
            <w:pPr>
              <w:pStyle w:val="TableText"/>
              <w:rPr>
                <w:rFonts w:asciiTheme="minorHAnsi" w:hAnsiTheme="minorHAnsi"/>
              </w:rPr>
            </w:pPr>
            <w:r w:rsidRPr="00377F3A">
              <w:rPr>
                <w:rFonts w:asciiTheme="minorHAnsi" w:hAnsiTheme="minorHAnsi"/>
              </w:rPr>
              <w:t>Not mutagenic</w:t>
            </w:r>
          </w:p>
        </w:tc>
        <w:tc>
          <w:tcPr>
            <w:tcW w:w="1668" w:type="pct"/>
            <w:tcBorders>
              <w:top w:val="nil"/>
              <w:left w:val="nil"/>
              <w:bottom w:val="single" w:sz="4" w:space="0" w:color="auto"/>
              <w:right w:val="single" w:sz="4" w:space="0" w:color="auto"/>
            </w:tcBorders>
            <w:noWrap/>
            <w:hideMark/>
          </w:tcPr>
          <w:p w14:paraId="54AF426A" w14:textId="77777777" w:rsidR="005E2E21" w:rsidRPr="00377F3A" w:rsidRDefault="005E2E21" w:rsidP="00377F3A">
            <w:pPr>
              <w:pStyle w:val="TableText"/>
              <w:rPr>
                <w:rFonts w:asciiTheme="minorHAnsi" w:hAnsiTheme="minorHAnsi"/>
              </w:rPr>
            </w:pPr>
            <w:r w:rsidRPr="00377F3A">
              <w:rPr>
                <w:rFonts w:asciiTheme="minorHAnsi" w:hAnsiTheme="minorHAnsi"/>
              </w:rPr>
              <w:t>SanSebastian J R., 1992</w:t>
            </w:r>
          </w:p>
        </w:tc>
      </w:tr>
      <w:tr w:rsidR="005E2E21" w:rsidRPr="008635F4" w14:paraId="431B6748"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5B6D7BF9"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1239DC39" w14:textId="77777777" w:rsidR="005E2E21" w:rsidRPr="00377F3A" w:rsidRDefault="005E2E21" w:rsidP="00377F3A">
            <w:pPr>
              <w:pStyle w:val="TableText"/>
              <w:rPr>
                <w:rFonts w:asciiTheme="minorHAnsi" w:hAnsiTheme="minorHAnsi"/>
              </w:rPr>
            </w:pPr>
            <w:r w:rsidRPr="00377F3A">
              <w:rPr>
                <w:rFonts w:asciiTheme="minorHAnsi" w:hAnsiTheme="minorHAnsi"/>
              </w:rPr>
              <w:t>Oral LD50 (mg/kg bw)</w:t>
            </w:r>
            <w:r w:rsidRPr="00377F3A">
              <w:rPr>
                <w:rFonts w:asciiTheme="minorHAnsi" w:hAnsiTheme="minorHAnsi"/>
              </w:rPr>
              <w:br/>
              <w:t>&gt;5000 (M/F)</w:t>
            </w:r>
          </w:p>
        </w:tc>
        <w:tc>
          <w:tcPr>
            <w:tcW w:w="1668" w:type="pct"/>
            <w:tcBorders>
              <w:top w:val="nil"/>
              <w:left w:val="nil"/>
              <w:bottom w:val="single" w:sz="4" w:space="0" w:color="auto"/>
              <w:right w:val="single" w:sz="4" w:space="0" w:color="auto"/>
            </w:tcBorders>
            <w:noWrap/>
            <w:hideMark/>
          </w:tcPr>
          <w:p w14:paraId="50C2253D" w14:textId="77777777" w:rsidR="005E2E21" w:rsidRPr="00377F3A" w:rsidRDefault="005E2E21" w:rsidP="00377F3A">
            <w:pPr>
              <w:pStyle w:val="TableText"/>
              <w:rPr>
                <w:rFonts w:asciiTheme="minorHAnsi" w:hAnsiTheme="minorHAnsi"/>
              </w:rPr>
            </w:pPr>
            <w:r w:rsidRPr="00377F3A">
              <w:rPr>
                <w:rFonts w:asciiTheme="minorHAnsi" w:hAnsiTheme="minorHAnsi"/>
              </w:rPr>
              <w:t>Merriman, TN., 1994a</w:t>
            </w:r>
          </w:p>
        </w:tc>
      </w:tr>
      <w:tr w:rsidR="005E2E21" w:rsidRPr="008635F4" w14:paraId="28AC46B1"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0D5611FF"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39FD1923" w14:textId="5C971720" w:rsidR="005E2E21" w:rsidRPr="006F78D3" w:rsidRDefault="005E2E21" w:rsidP="00377F3A">
            <w:pPr>
              <w:pStyle w:val="TableText"/>
              <w:rPr>
                <w:rFonts w:asciiTheme="minorHAnsi" w:hAnsiTheme="minorHAnsi"/>
                <w:lang w:val="de-CH"/>
              </w:rPr>
            </w:pPr>
            <w:r w:rsidRPr="006F78D3">
              <w:rPr>
                <w:rFonts w:asciiTheme="minorHAnsi" w:hAnsiTheme="minorHAnsi"/>
                <w:lang w:val="de-CH"/>
              </w:rPr>
              <w:t>Dermal LD50 (mg/kg bw)</w:t>
            </w:r>
            <w:r w:rsidRPr="006F78D3">
              <w:rPr>
                <w:rFonts w:asciiTheme="minorHAnsi" w:hAnsiTheme="minorHAnsi"/>
                <w:lang w:val="de-CH"/>
              </w:rPr>
              <w:br/>
              <w:t>&gt;2000 (M/F)</w:t>
            </w:r>
          </w:p>
        </w:tc>
        <w:tc>
          <w:tcPr>
            <w:tcW w:w="1668" w:type="pct"/>
            <w:tcBorders>
              <w:top w:val="nil"/>
              <w:left w:val="nil"/>
              <w:bottom w:val="single" w:sz="4" w:space="0" w:color="auto"/>
              <w:right w:val="single" w:sz="4" w:space="0" w:color="auto"/>
            </w:tcBorders>
            <w:noWrap/>
            <w:hideMark/>
          </w:tcPr>
          <w:p w14:paraId="3DBA21B7" w14:textId="77777777" w:rsidR="005E2E21" w:rsidRPr="00377F3A" w:rsidRDefault="005E2E21" w:rsidP="00377F3A">
            <w:pPr>
              <w:pStyle w:val="TableText"/>
              <w:rPr>
                <w:rFonts w:asciiTheme="minorHAnsi" w:hAnsiTheme="minorHAnsi"/>
              </w:rPr>
            </w:pPr>
            <w:r w:rsidRPr="00377F3A">
              <w:rPr>
                <w:rFonts w:asciiTheme="minorHAnsi" w:hAnsiTheme="minorHAnsi"/>
              </w:rPr>
              <w:t>Merriman, TN., 1994b</w:t>
            </w:r>
          </w:p>
        </w:tc>
      </w:tr>
      <w:tr w:rsidR="005E2E21" w:rsidRPr="008635F4" w14:paraId="1198DDFE"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7420CCA3"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29578F57" w14:textId="77777777" w:rsidR="005E2E21" w:rsidRPr="00377F3A" w:rsidRDefault="005E2E21" w:rsidP="00377F3A">
            <w:pPr>
              <w:pStyle w:val="TableText"/>
              <w:rPr>
                <w:rFonts w:asciiTheme="minorHAnsi" w:hAnsiTheme="minorHAnsi"/>
              </w:rPr>
            </w:pPr>
            <w:r w:rsidRPr="00377F3A">
              <w:rPr>
                <w:rFonts w:asciiTheme="minorHAnsi" w:hAnsiTheme="minorHAnsi"/>
              </w:rPr>
              <w:t>The product was classified as a slight eye irritant.</w:t>
            </w:r>
          </w:p>
        </w:tc>
        <w:tc>
          <w:tcPr>
            <w:tcW w:w="1668" w:type="pct"/>
            <w:tcBorders>
              <w:top w:val="nil"/>
              <w:left w:val="nil"/>
              <w:bottom w:val="single" w:sz="4" w:space="0" w:color="auto"/>
              <w:right w:val="single" w:sz="4" w:space="0" w:color="auto"/>
            </w:tcBorders>
            <w:noWrap/>
            <w:hideMark/>
          </w:tcPr>
          <w:p w14:paraId="1F22B57A" w14:textId="77777777" w:rsidR="005E2E21" w:rsidRPr="00377F3A" w:rsidRDefault="005E2E21" w:rsidP="00377F3A">
            <w:pPr>
              <w:pStyle w:val="TableText"/>
              <w:rPr>
                <w:rFonts w:asciiTheme="minorHAnsi" w:hAnsiTheme="minorHAnsi"/>
              </w:rPr>
            </w:pPr>
            <w:r w:rsidRPr="00377F3A">
              <w:rPr>
                <w:rFonts w:asciiTheme="minorHAnsi" w:hAnsiTheme="minorHAnsi"/>
              </w:rPr>
              <w:t>Merriman, TN., 1994c</w:t>
            </w:r>
          </w:p>
        </w:tc>
      </w:tr>
      <w:tr w:rsidR="005E2E21" w:rsidRPr="008635F4" w14:paraId="09D135B7"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3089167E"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1630A29D" w14:textId="77777777" w:rsidR="005E2E21" w:rsidRPr="00377F3A" w:rsidRDefault="005E2E21" w:rsidP="00377F3A">
            <w:pPr>
              <w:pStyle w:val="TableText"/>
              <w:rPr>
                <w:rFonts w:asciiTheme="minorHAnsi" w:hAnsiTheme="minorHAnsi"/>
              </w:rPr>
            </w:pPr>
            <w:r w:rsidRPr="00377F3A">
              <w:rPr>
                <w:rFonts w:asciiTheme="minorHAnsi" w:hAnsiTheme="minorHAnsi"/>
              </w:rPr>
              <w:t>The product was classified as a slight skin irritant.</w:t>
            </w:r>
          </w:p>
        </w:tc>
        <w:tc>
          <w:tcPr>
            <w:tcW w:w="1668" w:type="pct"/>
            <w:tcBorders>
              <w:top w:val="nil"/>
              <w:left w:val="nil"/>
              <w:bottom w:val="single" w:sz="4" w:space="0" w:color="auto"/>
              <w:right w:val="single" w:sz="4" w:space="0" w:color="auto"/>
            </w:tcBorders>
            <w:noWrap/>
            <w:hideMark/>
          </w:tcPr>
          <w:p w14:paraId="62DB1569" w14:textId="77777777" w:rsidR="005E2E21" w:rsidRPr="00377F3A" w:rsidRDefault="005E2E21" w:rsidP="00377F3A">
            <w:pPr>
              <w:pStyle w:val="TableText"/>
              <w:rPr>
                <w:rFonts w:asciiTheme="minorHAnsi" w:hAnsiTheme="minorHAnsi"/>
              </w:rPr>
            </w:pPr>
            <w:r w:rsidRPr="00377F3A">
              <w:rPr>
                <w:rFonts w:asciiTheme="minorHAnsi" w:hAnsiTheme="minorHAnsi"/>
              </w:rPr>
              <w:t>Merriman, TN., 1994d</w:t>
            </w:r>
          </w:p>
        </w:tc>
      </w:tr>
      <w:tr w:rsidR="005E2E21" w:rsidRPr="008635F4" w14:paraId="5E134928" w14:textId="77777777" w:rsidTr="00377F3A">
        <w:trPr>
          <w:trHeight w:val="20"/>
        </w:trPr>
        <w:tc>
          <w:tcPr>
            <w:tcW w:w="1666" w:type="pct"/>
            <w:tcBorders>
              <w:top w:val="nil"/>
              <w:left w:val="single" w:sz="4" w:space="0" w:color="auto"/>
              <w:bottom w:val="single" w:sz="4" w:space="0" w:color="auto"/>
              <w:right w:val="single" w:sz="4" w:space="0" w:color="auto"/>
            </w:tcBorders>
            <w:noWrap/>
            <w:hideMark/>
          </w:tcPr>
          <w:p w14:paraId="3A06556B" w14:textId="77777777" w:rsidR="005E2E21" w:rsidRPr="00377F3A" w:rsidRDefault="005E2E21" w:rsidP="00377F3A">
            <w:pPr>
              <w:pStyle w:val="TableText"/>
              <w:rPr>
                <w:rFonts w:asciiTheme="minorHAnsi" w:hAnsiTheme="minorHAnsi"/>
              </w:rPr>
            </w:pPr>
            <w:r w:rsidRPr="00377F3A">
              <w:rPr>
                <w:rFonts w:asciiTheme="minorHAnsi" w:hAnsiTheme="minorHAnsi"/>
              </w:rPr>
              <w:t>Studies on End-use product</w:t>
            </w:r>
          </w:p>
        </w:tc>
        <w:tc>
          <w:tcPr>
            <w:tcW w:w="1666" w:type="pct"/>
            <w:tcBorders>
              <w:top w:val="nil"/>
              <w:left w:val="nil"/>
              <w:bottom w:val="single" w:sz="4" w:space="0" w:color="auto"/>
              <w:right w:val="single" w:sz="4" w:space="0" w:color="auto"/>
            </w:tcBorders>
            <w:hideMark/>
          </w:tcPr>
          <w:p w14:paraId="2007BC98" w14:textId="77777777" w:rsidR="005E2E21" w:rsidRPr="00377F3A" w:rsidRDefault="005E2E21" w:rsidP="00377F3A">
            <w:pPr>
              <w:pStyle w:val="TableText"/>
              <w:rPr>
                <w:rFonts w:asciiTheme="minorHAnsi" w:hAnsiTheme="minorHAnsi"/>
              </w:rPr>
            </w:pPr>
            <w:r w:rsidRPr="00377F3A">
              <w:rPr>
                <w:rFonts w:asciiTheme="minorHAnsi" w:hAnsiTheme="minorHAnsi"/>
              </w:rPr>
              <w:t>Based on the findings test substance was not a skin sensitiser in guinea pigs.</w:t>
            </w:r>
          </w:p>
        </w:tc>
        <w:tc>
          <w:tcPr>
            <w:tcW w:w="1668" w:type="pct"/>
            <w:tcBorders>
              <w:top w:val="nil"/>
              <w:left w:val="nil"/>
              <w:bottom w:val="single" w:sz="4" w:space="0" w:color="auto"/>
              <w:right w:val="single" w:sz="4" w:space="0" w:color="auto"/>
            </w:tcBorders>
            <w:noWrap/>
            <w:hideMark/>
          </w:tcPr>
          <w:p w14:paraId="63DADB13" w14:textId="77777777" w:rsidR="005E2E21" w:rsidRPr="00377F3A" w:rsidRDefault="005E2E21" w:rsidP="00377F3A">
            <w:pPr>
              <w:pStyle w:val="TableText"/>
              <w:rPr>
                <w:rFonts w:asciiTheme="minorHAnsi" w:hAnsiTheme="minorHAnsi"/>
              </w:rPr>
            </w:pPr>
            <w:r w:rsidRPr="00377F3A">
              <w:rPr>
                <w:rFonts w:asciiTheme="minorHAnsi" w:hAnsiTheme="minorHAnsi"/>
              </w:rPr>
              <w:t>Merriman, TN., 1994e</w:t>
            </w:r>
          </w:p>
        </w:tc>
      </w:tr>
    </w:tbl>
    <w:p w14:paraId="60E2C072" w14:textId="2D7F1451" w:rsidR="008635F4" w:rsidRDefault="008635F4" w:rsidP="008635F4">
      <w:pPr>
        <w:pStyle w:val="APVMAAppendixH2"/>
      </w:pPr>
      <w:bookmarkStart w:id="2169" w:name="_Toc214025633"/>
      <w:bookmarkStart w:id="2170" w:name="_Toc216695655"/>
      <w:r>
        <w:lastRenderedPageBreak/>
        <w:t>Brodifacoum</w:t>
      </w:r>
      <w:bookmarkEnd w:id="2169"/>
      <w:bookmarkEnd w:id="2170"/>
    </w:p>
    <w:p w14:paraId="2B14B7FC" w14:textId="25F7BCB3" w:rsidR="008635F4" w:rsidRPr="008635F4" w:rsidRDefault="008635F4" w:rsidP="00377F3A">
      <w:pPr>
        <w:pStyle w:val="Caption"/>
      </w:pPr>
      <w:bookmarkStart w:id="2171" w:name="_Toc213946124"/>
      <w:bookmarkStart w:id="2172" w:name="_Toc216695815"/>
      <w:r>
        <w:t xml:space="preserve">Table </w:t>
      </w:r>
      <w:r>
        <w:fldChar w:fldCharType="begin"/>
      </w:r>
      <w:r>
        <w:instrText xml:space="preserve"> SEQ Table \* ARABIC </w:instrText>
      </w:r>
      <w:r>
        <w:fldChar w:fldCharType="separate"/>
      </w:r>
      <w:r w:rsidR="003861AC">
        <w:rPr>
          <w:noProof/>
        </w:rPr>
        <w:t>153</w:t>
      </w:r>
      <w:r>
        <w:fldChar w:fldCharType="end"/>
      </w:r>
      <w:r>
        <w:t>: Toxicological endpoints for brodifacoum active constituent and formulated products</w:t>
      </w:r>
      <w:bookmarkEnd w:id="2171"/>
      <w:bookmarkEnd w:id="2172"/>
    </w:p>
    <w:tbl>
      <w:tblPr>
        <w:tblW w:w="5000" w:type="pct"/>
        <w:tblLook w:val="04A0" w:firstRow="1" w:lastRow="0" w:firstColumn="1" w:lastColumn="0" w:noHBand="0" w:noVBand="1"/>
      </w:tblPr>
      <w:tblGrid>
        <w:gridCol w:w="1931"/>
        <w:gridCol w:w="3150"/>
        <w:gridCol w:w="4547"/>
      </w:tblGrid>
      <w:tr w:rsidR="007C622F" w:rsidRPr="008635F4" w14:paraId="6C7185DC" w14:textId="77777777" w:rsidTr="008635F4">
        <w:trPr>
          <w:trHeight w:val="340"/>
          <w:tblHeader/>
        </w:trPr>
        <w:tc>
          <w:tcPr>
            <w:tcW w:w="975" w:type="pct"/>
            <w:tcBorders>
              <w:top w:val="single" w:sz="4" w:space="0" w:color="auto"/>
              <w:left w:val="single" w:sz="4" w:space="0" w:color="auto"/>
              <w:bottom w:val="nil"/>
              <w:right w:val="single" w:sz="4" w:space="0" w:color="auto"/>
            </w:tcBorders>
            <w:shd w:val="clear" w:color="auto" w:fill="53284F"/>
            <w:hideMark/>
          </w:tcPr>
          <w:p w14:paraId="5182D0DA" w14:textId="01FE9DB5" w:rsidR="008635F4" w:rsidRPr="00377F3A" w:rsidRDefault="00BA7F4F" w:rsidP="00377F3A">
            <w:pPr>
              <w:pStyle w:val="TableHead"/>
            </w:pPr>
            <w:r>
              <w:t>Study t</w:t>
            </w:r>
            <w:r w:rsidR="008635F4" w:rsidRPr="00377F3A">
              <w:t>ype</w:t>
            </w:r>
          </w:p>
        </w:tc>
        <w:tc>
          <w:tcPr>
            <w:tcW w:w="2188" w:type="pct"/>
            <w:tcBorders>
              <w:top w:val="single" w:sz="4" w:space="0" w:color="auto"/>
              <w:left w:val="nil"/>
              <w:bottom w:val="single" w:sz="4" w:space="0" w:color="auto"/>
              <w:right w:val="single" w:sz="4" w:space="0" w:color="auto"/>
            </w:tcBorders>
            <w:shd w:val="clear" w:color="auto" w:fill="53284F"/>
            <w:hideMark/>
          </w:tcPr>
          <w:p w14:paraId="22930F7E" w14:textId="51C06782" w:rsidR="008635F4" w:rsidRPr="00377F3A" w:rsidRDefault="008635F4" w:rsidP="00377F3A">
            <w:pPr>
              <w:pStyle w:val="TableHead"/>
            </w:pPr>
            <w:r w:rsidRPr="00377F3A">
              <w:t xml:space="preserve">Endpoint </w:t>
            </w:r>
          </w:p>
        </w:tc>
        <w:tc>
          <w:tcPr>
            <w:tcW w:w="1837" w:type="pct"/>
            <w:tcBorders>
              <w:top w:val="single" w:sz="4" w:space="0" w:color="auto"/>
              <w:left w:val="nil"/>
              <w:bottom w:val="nil"/>
              <w:right w:val="single" w:sz="4" w:space="0" w:color="auto"/>
            </w:tcBorders>
            <w:shd w:val="clear" w:color="auto" w:fill="53284F"/>
          </w:tcPr>
          <w:p w14:paraId="7EC61582" w14:textId="662A131E" w:rsidR="008635F4" w:rsidRPr="00377F3A" w:rsidRDefault="008635F4" w:rsidP="00377F3A">
            <w:pPr>
              <w:pStyle w:val="TableHead"/>
            </w:pPr>
            <w:r w:rsidRPr="00377F3A">
              <w:t>Reference</w:t>
            </w:r>
          </w:p>
        </w:tc>
      </w:tr>
      <w:tr w:rsidR="008635F4" w:rsidRPr="008635F4" w14:paraId="16412AE6" w14:textId="77777777" w:rsidTr="00377F3A">
        <w:trPr>
          <w:trHeight w:val="340"/>
        </w:trPr>
        <w:tc>
          <w:tcPr>
            <w:tcW w:w="975" w:type="pct"/>
            <w:tcBorders>
              <w:top w:val="single" w:sz="4" w:space="0" w:color="auto"/>
              <w:left w:val="single" w:sz="4" w:space="0" w:color="auto"/>
              <w:bottom w:val="single" w:sz="4" w:space="0" w:color="auto"/>
              <w:right w:val="single" w:sz="4" w:space="0" w:color="auto"/>
            </w:tcBorders>
            <w:noWrap/>
            <w:hideMark/>
          </w:tcPr>
          <w:p w14:paraId="39D77DD9"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1B03B89D" w14:textId="77777777" w:rsidR="008635F4" w:rsidRPr="006F78D3" w:rsidRDefault="008635F4" w:rsidP="00377F3A">
            <w:pPr>
              <w:pStyle w:val="TableText"/>
              <w:rPr>
                <w:rFonts w:asciiTheme="minorHAnsi" w:hAnsiTheme="minorHAnsi"/>
                <w:lang w:val="de-CH"/>
              </w:rPr>
            </w:pPr>
            <w:r w:rsidRPr="006F78D3">
              <w:rPr>
                <w:rFonts w:asciiTheme="minorHAnsi" w:hAnsiTheme="minorHAnsi"/>
                <w:lang w:val="de-CH"/>
              </w:rPr>
              <w:t>Dermal LD50 &gt;2000 mg/kg bw (rat)</w:t>
            </w:r>
          </w:p>
        </w:tc>
        <w:tc>
          <w:tcPr>
            <w:tcW w:w="1837" w:type="pct"/>
            <w:tcBorders>
              <w:top w:val="single" w:sz="4" w:space="0" w:color="auto"/>
              <w:left w:val="nil"/>
              <w:bottom w:val="nil"/>
              <w:right w:val="single" w:sz="4" w:space="0" w:color="auto"/>
            </w:tcBorders>
            <w:noWrap/>
            <w:hideMark/>
          </w:tcPr>
          <w:p w14:paraId="78CE1D26" w14:textId="73D05BB7" w:rsidR="008635F4" w:rsidRPr="00377F3A" w:rsidRDefault="008635F4" w:rsidP="00377F3A">
            <w:pPr>
              <w:pStyle w:val="TableText"/>
              <w:rPr>
                <w:rFonts w:asciiTheme="minorHAnsi" w:hAnsiTheme="minorHAnsi"/>
              </w:rPr>
            </w:pPr>
            <w:r w:rsidRPr="00377F3A">
              <w:t>Simone N. Jeans, -</w:t>
            </w:r>
          </w:p>
        </w:tc>
      </w:tr>
      <w:tr w:rsidR="008635F4" w:rsidRPr="008635F4" w14:paraId="0A7E691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D178934"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6AF76CF3" w14:textId="77777777" w:rsidR="008635F4" w:rsidRPr="00377F3A" w:rsidRDefault="008635F4" w:rsidP="00377F3A">
            <w:pPr>
              <w:pStyle w:val="TableText"/>
              <w:rPr>
                <w:rFonts w:asciiTheme="minorHAnsi" w:hAnsiTheme="minorHAnsi"/>
              </w:rPr>
            </w:pPr>
            <w:r w:rsidRPr="006F78D3">
              <w:rPr>
                <w:rFonts w:asciiTheme="minorHAnsi" w:hAnsiTheme="minorHAnsi"/>
                <w:lang w:val="de-CH"/>
              </w:rPr>
              <w:t xml:space="preserve"> Dermal LD50 &gt;2000 mg/kg bw. </w:t>
            </w:r>
            <w:r w:rsidRPr="00377F3A">
              <w:rPr>
                <w:rFonts w:asciiTheme="minorHAnsi" w:hAnsiTheme="minorHAnsi"/>
              </w:rPr>
              <w:t>(rat)</w:t>
            </w:r>
          </w:p>
        </w:tc>
        <w:tc>
          <w:tcPr>
            <w:tcW w:w="1837" w:type="pct"/>
            <w:tcBorders>
              <w:top w:val="single" w:sz="4" w:space="0" w:color="auto"/>
              <w:left w:val="nil"/>
              <w:bottom w:val="single" w:sz="4" w:space="0" w:color="auto"/>
              <w:right w:val="single" w:sz="4" w:space="0" w:color="auto"/>
            </w:tcBorders>
            <w:noWrap/>
            <w:hideMark/>
          </w:tcPr>
          <w:p w14:paraId="311B970C" w14:textId="1EA7C5B4"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49286985"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E91BCD8"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8067420" w14:textId="77777777" w:rsidR="008635F4" w:rsidRPr="00377F3A" w:rsidRDefault="008635F4" w:rsidP="00377F3A">
            <w:pPr>
              <w:pStyle w:val="TableText"/>
              <w:rPr>
                <w:rFonts w:asciiTheme="minorHAnsi" w:hAnsiTheme="minorHAnsi"/>
              </w:rPr>
            </w:pPr>
            <w:r w:rsidRPr="00377F3A">
              <w:rPr>
                <w:rFonts w:asciiTheme="minorHAnsi" w:hAnsiTheme="minorHAnsi"/>
              </w:rPr>
              <w:t>Oral LD50 is &gt;5000 mg/kg (rat)</w:t>
            </w:r>
          </w:p>
        </w:tc>
        <w:tc>
          <w:tcPr>
            <w:tcW w:w="1837" w:type="pct"/>
            <w:tcBorders>
              <w:top w:val="nil"/>
              <w:left w:val="nil"/>
              <w:bottom w:val="single" w:sz="4" w:space="0" w:color="auto"/>
              <w:right w:val="single" w:sz="4" w:space="0" w:color="auto"/>
            </w:tcBorders>
            <w:noWrap/>
            <w:hideMark/>
          </w:tcPr>
          <w:p w14:paraId="1AA1B84F" w14:textId="48DF3611"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377F02C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E64DD59"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6E8C647D" w14:textId="77777777" w:rsidR="008635F4" w:rsidRPr="00377F3A" w:rsidRDefault="008635F4" w:rsidP="00377F3A">
            <w:pPr>
              <w:pStyle w:val="TableText"/>
              <w:rPr>
                <w:rFonts w:asciiTheme="minorHAnsi" w:hAnsiTheme="minorHAnsi"/>
              </w:rPr>
            </w:pPr>
            <w:r w:rsidRPr="00377F3A">
              <w:rPr>
                <w:rFonts w:asciiTheme="minorHAnsi" w:hAnsiTheme="minorHAnsi"/>
              </w:rPr>
              <w:t>Oral LD50 is &gt;5000 mg/kg. (rat)</w:t>
            </w:r>
          </w:p>
        </w:tc>
        <w:tc>
          <w:tcPr>
            <w:tcW w:w="1837" w:type="pct"/>
            <w:tcBorders>
              <w:top w:val="nil"/>
              <w:left w:val="nil"/>
              <w:bottom w:val="single" w:sz="4" w:space="0" w:color="auto"/>
              <w:right w:val="single" w:sz="4" w:space="0" w:color="auto"/>
            </w:tcBorders>
            <w:noWrap/>
            <w:hideMark/>
          </w:tcPr>
          <w:p w14:paraId="1AF8025A" w14:textId="034DD19F"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78BD21A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E99413D" w14:textId="77777777" w:rsidR="008635F4" w:rsidRPr="00377F3A" w:rsidRDefault="008635F4" w:rsidP="00377F3A">
            <w:pPr>
              <w:pStyle w:val="TableText"/>
              <w:rPr>
                <w:rFonts w:asciiTheme="minorHAnsi" w:hAnsiTheme="minorHAnsi"/>
              </w:rPr>
            </w:pPr>
            <w:r w:rsidRPr="00377F3A">
              <w:rPr>
                <w:rFonts w:asciiTheme="minorHAnsi" w:hAnsiTheme="minorHAnsi"/>
              </w:rPr>
              <w:t>dermal sensitisation</w:t>
            </w:r>
          </w:p>
        </w:tc>
        <w:tc>
          <w:tcPr>
            <w:tcW w:w="2188" w:type="pct"/>
            <w:tcBorders>
              <w:top w:val="nil"/>
              <w:left w:val="nil"/>
              <w:bottom w:val="single" w:sz="4" w:space="0" w:color="auto"/>
              <w:right w:val="single" w:sz="4" w:space="0" w:color="auto"/>
            </w:tcBorders>
            <w:hideMark/>
          </w:tcPr>
          <w:p w14:paraId="7868918E" w14:textId="77777777" w:rsidR="008635F4" w:rsidRPr="00377F3A" w:rsidRDefault="008635F4" w:rsidP="00377F3A">
            <w:pPr>
              <w:pStyle w:val="TableText"/>
              <w:rPr>
                <w:rFonts w:asciiTheme="minorHAnsi" w:hAnsiTheme="minorHAnsi"/>
              </w:rPr>
            </w:pPr>
            <w:r w:rsidRPr="00377F3A">
              <w:rPr>
                <w:rFonts w:asciiTheme="minorHAnsi" w:hAnsiTheme="minorHAnsi"/>
              </w:rPr>
              <w:t>Brodifacoum block 0.005% is not considered to be a contact sensitiser. (guinea pig)</w:t>
            </w:r>
          </w:p>
        </w:tc>
        <w:tc>
          <w:tcPr>
            <w:tcW w:w="1837" w:type="pct"/>
            <w:tcBorders>
              <w:top w:val="nil"/>
              <w:left w:val="nil"/>
              <w:bottom w:val="single" w:sz="4" w:space="0" w:color="auto"/>
              <w:right w:val="single" w:sz="4" w:space="0" w:color="auto"/>
            </w:tcBorders>
            <w:noWrap/>
            <w:hideMark/>
          </w:tcPr>
          <w:p w14:paraId="5EA4F0F7" w14:textId="5FCDA2AF" w:rsidR="008635F4" w:rsidRPr="00377F3A" w:rsidRDefault="008635F4" w:rsidP="00377F3A">
            <w:pPr>
              <w:pStyle w:val="TableText"/>
              <w:rPr>
                <w:rFonts w:asciiTheme="minorHAnsi" w:hAnsiTheme="minorHAnsi"/>
              </w:rPr>
            </w:pPr>
            <w:r w:rsidRPr="00377F3A">
              <w:rPr>
                <w:rFonts w:asciiTheme="minorHAnsi" w:hAnsiTheme="minorHAnsi"/>
              </w:rPr>
              <w:t>Jennifer Durando, -</w:t>
            </w:r>
          </w:p>
        </w:tc>
      </w:tr>
      <w:tr w:rsidR="008635F4" w:rsidRPr="008635F4" w14:paraId="3B506B91"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AC0C90E" w14:textId="77777777" w:rsidR="008635F4" w:rsidRPr="00377F3A" w:rsidRDefault="008635F4" w:rsidP="00377F3A">
            <w:pPr>
              <w:pStyle w:val="TableText"/>
              <w:rPr>
                <w:rFonts w:asciiTheme="minorHAnsi" w:hAnsiTheme="minorHAnsi"/>
              </w:rPr>
            </w:pPr>
            <w:r w:rsidRPr="00377F3A">
              <w:rPr>
                <w:rFonts w:asciiTheme="minorHAnsi" w:hAnsiTheme="minorHAnsi"/>
              </w:rPr>
              <w:t>dermal irritation</w:t>
            </w:r>
          </w:p>
        </w:tc>
        <w:tc>
          <w:tcPr>
            <w:tcW w:w="2188" w:type="pct"/>
            <w:tcBorders>
              <w:top w:val="nil"/>
              <w:left w:val="nil"/>
              <w:bottom w:val="single" w:sz="4" w:space="0" w:color="auto"/>
              <w:right w:val="single" w:sz="4" w:space="0" w:color="auto"/>
            </w:tcBorders>
            <w:hideMark/>
          </w:tcPr>
          <w:p w14:paraId="20EDD95B" w14:textId="77777777" w:rsidR="008635F4" w:rsidRPr="00377F3A" w:rsidRDefault="008635F4" w:rsidP="00377F3A">
            <w:pPr>
              <w:pStyle w:val="TableText"/>
              <w:rPr>
                <w:rFonts w:asciiTheme="minorHAnsi" w:hAnsiTheme="minorHAnsi"/>
              </w:rPr>
            </w:pPr>
            <w:r w:rsidRPr="00377F3A">
              <w:rPr>
                <w:rFonts w:asciiTheme="minorHAnsi" w:hAnsiTheme="minorHAnsi"/>
              </w:rPr>
              <w:t>Non-irritant. (rabbit)</w:t>
            </w:r>
          </w:p>
        </w:tc>
        <w:tc>
          <w:tcPr>
            <w:tcW w:w="1837" w:type="pct"/>
            <w:tcBorders>
              <w:top w:val="nil"/>
              <w:left w:val="nil"/>
              <w:bottom w:val="single" w:sz="4" w:space="0" w:color="auto"/>
              <w:right w:val="single" w:sz="4" w:space="0" w:color="auto"/>
            </w:tcBorders>
            <w:noWrap/>
            <w:hideMark/>
          </w:tcPr>
          <w:p w14:paraId="5FB84588" w14:textId="2E3FB563"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3D8F8F5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73B6881" w14:textId="77777777" w:rsidR="008635F4" w:rsidRPr="00377F3A" w:rsidRDefault="008635F4" w:rsidP="00377F3A">
            <w:pPr>
              <w:pStyle w:val="TableText"/>
              <w:rPr>
                <w:rFonts w:asciiTheme="minorHAnsi" w:hAnsiTheme="minorHAnsi"/>
              </w:rPr>
            </w:pPr>
            <w:r w:rsidRPr="00377F3A">
              <w:rPr>
                <w:rFonts w:asciiTheme="minorHAnsi" w:hAnsiTheme="minorHAnsi"/>
              </w:rPr>
              <w:t>dermal irritation</w:t>
            </w:r>
          </w:p>
        </w:tc>
        <w:tc>
          <w:tcPr>
            <w:tcW w:w="2188" w:type="pct"/>
            <w:tcBorders>
              <w:top w:val="nil"/>
              <w:left w:val="nil"/>
              <w:bottom w:val="single" w:sz="4" w:space="0" w:color="auto"/>
              <w:right w:val="single" w:sz="4" w:space="0" w:color="auto"/>
            </w:tcBorders>
            <w:hideMark/>
          </w:tcPr>
          <w:p w14:paraId="5D24D3A2" w14:textId="77777777" w:rsidR="008635F4" w:rsidRPr="00377F3A" w:rsidRDefault="008635F4" w:rsidP="00377F3A">
            <w:pPr>
              <w:pStyle w:val="TableText"/>
              <w:rPr>
                <w:rFonts w:asciiTheme="minorHAnsi" w:hAnsiTheme="minorHAnsi"/>
              </w:rPr>
            </w:pPr>
            <w:r w:rsidRPr="00377F3A">
              <w:rPr>
                <w:rFonts w:asciiTheme="minorHAnsi" w:hAnsiTheme="minorHAnsi"/>
              </w:rPr>
              <w:t>Non-irritant.(rabbit)</w:t>
            </w:r>
          </w:p>
        </w:tc>
        <w:tc>
          <w:tcPr>
            <w:tcW w:w="1837" w:type="pct"/>
            <w:tcBorders>
              <w:top w:val="nil"/>
              <w:left w:val="nil"/>
              <w:bottom w:val="single" w:sz="4" w:space="0" w:color="auto"/>
              <w:right w:val="single" w:sz="4" w:space="0" w:color="auto"/>
            </w:tcBorders>
            <w:noWrap/>
            <w:hideMark/>
          </w:tcPr>
          <w:p w14:paraId="68D7E596" w14:textId="6F6813B8"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667617B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77C0E39"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7D3A6AF5" w14:textId="77777777" w:rsidR="008635F4" w:rsidRPr="00377F3A" w:rsidRDefault="008635F4" w:rsidP="00377F3A">
            <w:pPr>
              <w:pStyle w:val="TableText"/>
              <w:rPr>
                <w:rFonts w:asciiTheme="minorHAnsi" w:hAnsiTheme="minorHAnsi"/>
              </w:rPr>
            </w:pPr>
            <w:r w:rsidRPr="00377F3A">
              <w:rPr>
                <w:rFonts w:asciiTheme="minorHAnsi" w:hAnsiTheme="minorHAnsi"/>
              </w:rPr>
              <w:t>Not an irritant.(rabbit)</w:t>
            </w:r>
          </w:p>
        </w:tc>
        <w:tc>
          <w:tcPr>
            <w:tcW w:w="1837" w:type="pct"/>
            <w:tcBorders>
              <w:top w:val="nil"/>
              <w:left w:val="nil"/>
              <w:bottom w:val="single" w:sz="4" w:space="0" w:color="auto"/>
              <w:right w:val="single" w:sz="4" w:space="0" w:color="auto"/>
            </w:tcBorders>
            <w:noWrap/>
            <w:hideMark/>
          </w:tcPr>
          <w:p w14:paraId="4526396E" w14:textId="77A44F66"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313C4E8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B7795E6"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15BE8607" w14:textId="77777777" w:rsidR="008635F4" w:rsidRPr="00377F3A" w:rsidRDefault="008635F4" w:rsidP="00377F3A">
            <w:pPr>
              <w:pStyle w:val="TableText"/>
              <w:rPr>
                <w:rFonts w:asciiTheme="minorHAnsi" w:hAnsiTheme="minorHAnsi"/>
              </w:rPr>
            </w:pPr>
            <w:r w:rsidRPr="00377F3A">
              <w:rPr>
                <w:rFonts w:asciiTheme="minorHAnsi" w:hAnsiTheme="minorHAnsi"/>
              </w:rPr>
              <w:t>Not an irritant. (rabbit)</w:t>
            </w:r>
          </w:p>
        </w:tc>
        <w:tc>
          <w:tcPr>
            <w:tcW w:w="1837" w:type="pct"/>
            <w:tcBorders>
              <w:top w:val="nil"/>
              <w:left w:val="nil"/>
              <w:bottom w:val="single" w:sz="4" w:space="0" w:color="auto"/>
              <w:right w:val="single" w:sz="4" w:space="0" w:color="auto"/>
            </w:tcBorders>
            <w:noWrap/>
            <w:hideMark/>
          </w:tcPr>
          <w:p w14:paraId="49287C7B" w14:textId="577C96A8" w:rsidR="008635F4" w:rsidRPr="00377F3A" w:rsidRDefault="008635F4" w:rsidP="00377F3A">
            <w:pPr>
              <w:pStyle w:val="TableText"/>
              <w:rPr>
                <w:rFonts w:asciiTheme="minorHAnsi" w:hAnsiTheme="minorHAnsi"/>
              </w:rPr>
            </w:pPr>
            <w:r w:rsidRPr="00377F3A">
              <w:rPr>
                <w:rFonts w:asciiTheme="minorHAnsi" w:hAnsiTheme="minorHAnsi"/>
              </w:rPr>
              <w:t>Simone N. Jeans, -</w:t>
            </w:r>
          </w:p>
        </w:tc>
      </w:tr>
      <w:tr w:rsidR="008635F4" w:rsidRPr="008635F4" w14:paraId="6A16CC72"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19D74B2"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4092C0D5"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Oral LD50 of PP581 to the broiler chicken was 4.5 mg/kg. </w:t>
            </w:r>
          </w:p>
        </w:tc>
        <w:tc>
          <w:tcPr>
            <w:tcW w:w="1837" w:type="pct"/>
            <w:tcBorders>
              <w:top w:val="nil"/>
              <w:left w:val="nil"/>
              <w:bottom w:val="single" w:sz="4" w:space="0" w:color="auto"/>
              <w:right w:val="single" w:sz="4" w:space="0" w:color="auto"/>
            </w:tcBorders>
            <w:noWrap/>
            <w:hideMark/>
          </w:tcPr>
          <w:p w14:paraId="58FC8212" w14:textId="31A339FF" w:rsidR="008635F4" w:rsidRPr="00377F3A" w:rsidRDefault="008635F4" w:rsidP="00377F3A">
            <w:pPr>
              <w:pStyle w:val="TableText"/>
              <w:rPr>
                <w:rFonts w:asciiTheme="minorHAnsi" w:hAnsiTheme="minorHAnsi"/>
              </w:rPr>
            </w:pPr>
            <w:r w:rsidRPr="00377F3A">
              <w:rPr>
                <w:rFonts w:asciiTheme="minorHAnsi" w:hAnsiTheme="minorHAnsi"/>
              </w:rPr>
              <w:t>Ross D, Roberts N, Cameron D, 1977</w:t>
            </w:r>
          </w:p>
        </w:tc>
      </w:tr>
      <w:tr w:rsidR="008635F4" w:rsidRPr="008635F4" w14:paraId="14416FC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7AE1E70"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3DD26D2E"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Oral LD50 of PP581 to the broiler chicken was 4.5 mg/kg. </w:t>
            </w:r>
          </w:p>
        </w:tc>
        <w:tc>
          <w:tcPr>
            <w:tcW w:w="1837" w:type="pct"/>
            <w:tcBorders>
              <w:top w:val="nil"/>
              <w:left w:val="nil"/>
              <w:bottom w:val="single" w:sz="4" w:space="0" w:color="auto"/>
              <w:right w:val="single" w:sz="4" w:space="0" w:color="auto"/>
            </w:tcBorders>
            <w:noWrap/>
            <w:hideMark/>
          </w:tcPr>
          <w:p w14:paraId="4CB343EB" w14:textId="10B07D5C" w:rsidR="008635F4" w:rsidRPr="00377F3A" w:rsidRDefault="008635F4" w:rsidP="00377F3A">
            <w:pPr>
              <w:pStyle w:val="TableText"/>
              <w:rPr>
                <w:rFonts w:asciiTheme="minorHAnsi" w:hAnsiTheme="minorHAnsi"/>
              </w:rPr>
            </w:pPr>
            <w:r w:rsidRPr="00377F3A">
              <w:rPr>
                <w:rFonts w:asciiTheme="minorHAnsi" w:hAnsiTheme="minorHAnsi"/>
              </w:rPr>
              <w:t>Ross D, Roberts N, Cameron D, 1977</w:t>
            </w:r>
          </w:p>
        </w:tc>
      </w:tr>
      <w:tr w:rsidR="008635F4" w:rsidRPr="008635F4" w14:paraId="49DD150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D6A043B"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5731043A" w14:textId="77777777" w:rsidR="008635F4" w:rsidRPr="00377F3A" w:rsidRDefault="008635F4" w:rsidP="00377F3A">
            <w:pPr>
              <w:pStyle w:val="TableText"/>
              <w:rPr>
                <w:rFonts w:asciiTheme="minorHAnsi" w:hAnsiTheme="minorHAnsi"/>
              </w:rPr>
            </w:pPr>
            <w:r w:rsidRPr="00377F3A">
              <w:rPr>
                <w:rFonts w:asciiTheme="minorHAnsi" w:hAnsiTheme="minorHAnsi"/>
              </w:rPr>
              <w:t>LD50 can not be determined (chicken)</w:t>
            </w:r>
          </w:p>
        </w:tc>
        <w:tc>
          <w:tcPr>
            <w:tcW w:w="1837" w:type="pct"/>
            <w:tcBorders>
              <w:top w:val="nil"/>
              <w:left w:val="nil"/>
              <w:bottom w:val="single" w:sz="4" w:space="0" w:color="auto"/>
              <w:right w:val="single" w:sz="4" w:space="0" w:color="auto"/>
            </w:tcBorders>
            <w:noWrap/>
            <w:hideMark/>
          </w:tcPr>
          <w:p w14:paraId="0E7C1923" w14:textId="0D75EA32"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3C8787F7"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17D7C8C"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061FE51F" w14:textId="77777777" w:rsidR="008635F4" w:rsidRPr="00377F3A" w:rsidRDefault="008635F4" w:rsidP="00377F3A">
            <w:pPr>
              <w:pStyle w:val="TableText"/>
              <w:rPr>
                <w:rFonts w:asciiTheme="minorHAnsi" w:hAnsiTheme="minorHAnsi"/>
              </w:rPr>
            </w:pPr>
            <w:r w:rsidRPr="00377F3A">
              <w:rPr>
                <w:rFonts w:asciiTheme="minorHAnsi" w:hAnsiTheme="minorHAnsi"/>
              </w:rPr>
              <w:t>The LD50 was calculated to be 2.78 mg brodifacoum/kg (95% limits 1.25 – 6.19 mg brodifacoum/kg). (guinea pig)</w:t>
            </w:r>
          </w:p>
        </w:tc>
        <w:tc>
          <w:tcPr>
            <w:tcW w:w="1837" w:type="pct"/>
            <w:tcBorders>
              <w:top w:val="nil"/>
              <w:left w:val="nil"/>
              <w:bottom w:val="single" w:sz="4" w:space="0" w:color="auto"/>
              <w:right w:val="single" w:sz="4" w:space="0" w:color="auto"/>
            </w:tcBorders>
            <w:noWrap/>
            <w:hideMark/>
          </w:tcPr>
          <w:p w14:paraId="10A59D12" w14:textId="242F423D"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6A48B2D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677F30F"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32B4689B" w14:textId="77777777" w:rsidR="008635F4" w:rsidRPr="00377F3A" w:rsidRDefault="008635F4" w:rsidP="00377F3A">
            <w:pPr>
              <w:pStyle w:val="TableText"/>
              <w:rPr>
                <w:rFonts w:asciiTheme="minorHAnsi" w:hAnsiTheme="minorHAnsi"/>
              </w:rPr>
            </w:pPr>
            <w:r w:rsidRPr="00377F3A">
              <w:rPr>
                <w:rFonts w:asciiTheme="minorHAnsi" w:hAnsiTheme="minorHAnsi"/>
              </w:rPr>
              <w:t>Sub-acute oral LD50 by Horn method: 0.464 mg/kg X 5 (guinea pig)</w:t>
            </w:r>
          </w:p>
        </w:tc>
        <w:tc>
          <w:tcPr>
            <w:tcW w:w="1837" w:type="pct"/>
            <w:tcBorders>
              <w:top w:val="nil"/>
              <w:left w:val="nil"/>
              <w:bottom w:val="single" w:sz="4" w:space="0" w:color="auto"/>
              <w:right w:val="single" w:sz="4" w:space="0" w:color="auto"/>
            </w:tcBorders>
            <w:noWrap/>
            <w:hideMark/>
          </w:tcPr>
          <w:p w14:paraId="4E1DDA33" w14:textId="3C431B55"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0A1DF7A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201B38E"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16521313" w14:textId="77777777" w:rsidR="008635F4" w:rsidRPr="00377F3A" w:rsidRDefault="008635F4" w:rsidP="00377F3A">
            <w:pPr>
              <w:pStyle w:val="TableText"/>
              <w:rPr>
                <w:rFonts w:asciiTheme="minorHAnsi" w:hAnsiTheme="minorHAnsi"/>
              </w:rPr>
            </w:pPr>
            <w:r w:rsidRPr="00377F3A">
              <w:rPr>
                <w:rFonts w:asciiTheme="minorHAnsi" w:hAnsiTheme="minorHAnsi"/>
              </w:rPr>
              <w:t>Slight irritant. (rabbit)</w:t>
            </w:r>
          </w:p>
        </w:tc>
        <w:tc>
          <w:tcPr>
            <w:tcW w:w="1837" w:type="pct"/>
            <w:tcBorders>
              <w:top w:val="nil"/>
              <w:left w:val="nil"/>
              <w:bottom w:val="single" w:sz="4" w:space="0" w:color="auto"/>
              <w:right w:val="single" w:sz="4" w:space="0" w:color="auto"/>
            </w:tcBorders>
            <w:noWrap/>
            <w:hideMark/>
          </w:tcPr>
          <w:p w14:paraId="65B27421" w14:textId="41B5C5BD" w:rsidR="008635F4" w:rsidRPr="00377F3A" w:rsidRDefault="008635F4" w:rsidP="00377F3A">
            <w:pPr>
              <w:pStyle w:val="TableText"/>
              <w:rPr>
                <w:rFonts w:asciiTheme="minorHAnsi" w:hAnsiTheme="minorHAnsi"/>
              </w:rPr>
            </w:pPr>
            <w:r w:rsidRPr="00377F3A">
              <w:rPr>
                <w:rFonts w:asciiTheme="minorHAnsi" w:hAnsiTheme="minorHAnsi"/>
              </w:rPr>
              <w:t>Lees D, 1996</w:t>
            </w:r>
          </w:p>
        </w:tc>
      </w:tr>
      <w:tr w:rsidR="008635F4" w:rsidRPr="008635F4" w14:paraId="641AE52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AB15C3D"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412C62F5" w14:textId="77777777" w:rsidR="008635F4" w:rsidRPr="00377F3A" w:rsidRDefault="008635F4" w:rsidP="00377F3A">
            <w:pPr>
              <w:pStyle w:val="TableText"/>
              <w:rPr>
                <w:rFonts w:asciiTheme="minorHAnsi" w:hAnsiTheme="minorHAnsi"/>
              </w:rPr>
            </w:pPr>
            <w:r w:rsidRPr="00377F3A">
              <w:rPr>
                <w:rFonts w:asciiTheme="minorHAnsi" w:hAnsiTheme="minorHAnsi"/>
              </w:rPr>
              <w:t>Not an irritant. (rabbit)</w:t>
            </w:r>
          </w:p>
        </w:tc>
        <w:tc>
          <w:tcPr>
            <w:tcW w:w="1837" w:type="pct"/>
            <w:tcBorders>
              <w:top w:val="nil"/>
              <w:left w:val="nil"/>
              <w:bottom w:val="single" w:sz="4" w:space="0" w:color="auto"/>
              <w:right w:val="single" w:sz="4" w:space="0" w:color="auto"/>
            </w:tcBorders>
            <w:noWrap/>
            <w:hideMark/>
          </w:tcPr>
          <w:p w14:paraId="5EDD1FD4" w14:textId="5A1930EE"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7FADB39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6D5DA89"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052DC404" w14:textId="77777777" w:rsidR="008635F4" w:rsidRPr="00377F3A" w:rsidRDefault="008635F4" w:rsidP="00377F3A">
            <w:pPr>
              <w:pStyle w:val="TableText"/>
              <w:rPr>
                <w:rFonts w:asciiTheme="minorHAnsi" w:hAnsiTheme="minorHAnsi"/>
              </w:rPr>
            </w:pPr>
            <w:r w:rsidRPr="00377F3A">
              <w:rPr>
                <w:rFonts w:asciiTheme="minorHAnsi" w:hAnsiTheme="minorHAnsi"/>
              </w:rPr>
              <w:t>LD 50 : 0.287 mg/kg and its similar to male Wistar rats</w:t>
            </w:r>
          </w:p>
        </w:tc>
        <w:tc>
          <w:tcPr>
            <w:tcW w:w="1837" w:type="pct"/>
            <w:tcBorders>
              <w:top w:val="nil"/>
              <w:left w:val="nil"/>
              <w:bottom w:val="single" w:sz="4" w:space="0" w:color="auto"/>
              <w:right w:val="single" w:sz="4" w:space="0" w:color="auto"/>
            </w:tcBorders>
            <w:noWrap/>
            <w:hideMark/>
          </w:tcPr>
          <w:p w14:paraId="47C585E0" w14:textId="580AE2AD"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024AC30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5CFCA86" w14:textId="77777777" w:rsidR="008635F4" w:rsidRPr="00377F3A" w:rsidRDefault="008635F4" w:rsidP="00377F3A">
            <w:pPr>
              <w:pStyle w:val="TableText"/>
            </w:pPr>
            <w:r w:rsidRPr="00377F3A">
              <w:t>eye irritation</w:t>
            </w:r>
          </w:p>
        </w:tc>
        <w:tc>
          <w:tcPr>
            <w:tcW w:w="2188" w:type="pct"/>
            <w:tcBorders>
              <w:top w:val="nil"/>
              <w:left w:val="nil"/>
              <w:bottom w:val="single" w:sz="4" w:space="0" w:color="auto"/>
              <w:right w:val="single" w:sz="4" w:space="0" w:color="auto"/>
            </w:tcBorders>
            <w:hideMark/>
          </w:tcPr>
          <w:p w14:paraId="4F995DB5" w14:textId="77777777" w:rsidR="008635F4" w:rsidRPr="00377F3A" w:rsidRDefault="008635F4" w:rsidP="00377F3A">
            <w:pPr>
              <w:pStyle w:val="TableText"/>
              <w:rPr>
                <w:rFonts w:asciiTheme="minorHAnsi" w:hAnsiTheme="minorHAnsi"/>
              </w:rPr>
            </w:pPr>
            <w:r w:rsidRPr="00377F3A">
              <w:rPr>
                <w:rFonts w:asciiTheme="minorHAnsi" w:hAnsiTheme="minorHAnsi"/>
              </w:rPr>
              <w:t>Slight irritant. (rabbit)</w:t>
            </w:r>
          </w:p>
        </w:tc>
        <w:tc>
          <w:tcPr>
            <w:tcW w:w="1837" w:type="pct"/>
            <w:tcBorders>
              <w:top w:val="nil"/>
              <w:left w:val="nil"/>
              <w:bottom w:val="single" w:sz="4" w:space="0" w:color="auto"/>
              <w:right w:val="single" w:sz="4" w:space="0" w:color="auto"/>
            </w:tcBorders>
            <w:noWrap/>
            <w:hideMark/>
          </w:tcPr>
          <w:p w14:paraId="49ACB93A" w14:textId="00995687" w:rsidR="008635F4" w:rsidRPr="00377F3A" w:rsidRDefault="008635F4" w:rsidP="00377F3A">
            <w:pPr>
              <w:pStyle w:val="TableText"/>
            </w:pPr>
            <w:r w:rsidRPr="00377F3A">
              <w:rPr>
                <w:rFonts w:asciiTheme="minorHAnsi" w:hAnsiTheme="minorHAnsi"/>
              </w:rPr>
              <w:t>Parkinson G, 1978</w:t>
            </w:r>
          </w:p>
        </w:tc>
      </w:tr>
      <w:tr w:rsidR="008635F4" w:rsidRPr="008635F4" w14:paraId="76072CB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929D9E3"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25989F3A" w14:textId="77777777" w:rsidR="008635F4" w:rsidRPr="00377F3A" w:rsidRDefault="008635F4" w:rsidP="00377F3A">
            <w:pPr>
              <w:pStyle w:val="TableText"/>
              <w:rPr>
                <w:rFonts w:asciiTheme="minorHAnsi" w:hAnsiTheme="minorHAnsi"/>
              </w:rPr>
            </w:pPr>
            <w:r w:rsidRPr="00377F3A">
              <w:rPr>
                <w:rFonts w:asciiTheme="minorHAnsi" w:hAnsiTheme="minorHAnsi"/>
              </w:rPr>
              <w:t>Slight irritant. (rabbit)</w:t>
            </w:r>
          </w:p>
        </w:tc>
        <w:tc>
          <w:tcPr>
            <w:tcW w:w="1837" w:type="pct"/>
            <w:tcBorders>
              <w:top w:val="nil"/>
              <w:left w:val="nil"/>
              <w:bottom w:val="single" w:sz="4" w:space="0" w:color="auto"/>
              <w:right w:val="single" w:sz="4" w:space="0" w:color="auto"/>
            </w:tcBorders>
            <w:noWrap/>
            <w:hideMark/>
          </w:tcPr>
          <w:p w14:paraId="6B2142A9" w14:textId="30B53756" w:rsidR="008635F4" w:rsidRPr="00377F3A" w:rsidRDefault="008635F4" w:rsidP="00377F3A">
            <w:pPr>
              <w:pStyle w:val="TableText"/>
            </w:pPr>
            <w:r w:rsidRPr="00377F3A">
              <w:t>Parkinson G, 1978</w:t>
            </w:r>
          </w:p>
        </w:tc>
      </w:tr>
      <w:tr w:rsidR="008635F4" w:rsidRPr="008635F4" w14:paraId="1CDB328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C4C4114" w14:textId="77777777" w:rsidR="008635F4" w:rsidRPr="00377F3A" w:rsidRDefault="008635F4" w:rsidP="00377F3A">
            <w:pPr>
              <w:pStyle w:val="TableText"/>
              <w:rPr>
                <w:rFonts w:asciiTheme="minorHAnsi" w:hAnsiTheme="minorHAnsi"/>
              </w:rPr>
            </w:pPr>
            <w:r w:rsidRPr="00377F3A">
              <w:rPr>
                <w:rFonts w:asciiTheme="minorHAnsi" w:hAnsiTheme="minorHAnsi"/>
              </w:rPr>
              <w:t>eye irritation</w:t>
            </w:r>
          </w:p>
        </w:tc>
        <w:tc>
          <w:tcPr>
            <w:tcW w:w="2188" w:type="pct"/>
            <w:tcBorders>
              <w:top w:val="nil"/>
              <w:left w:val="nil"/>
              <w:bottom w:val="single" w:sz="4" w:space="0" w:color="auto"/>
              <w:right w:val="single" w:sz="4" w:space="0" w:color="auto"/>
            </w:tcBorders>
            <w:hideMark/>
          </w:tcPr>
          <w:p w14:paraId="64695DD3" w14:textId="77777777" w:rsidR="008635F4" w:rsidRPr="00377F3A" w:rsidRDefault="008635F4" w:rsidP="00377F3A">
            <w:pPr>
              <w:pStyle w:val="TableText"/>
              <w:rPr>
                <w:rFonts w:asciiTheme="minorHAnsi" w:hAnsiTheme="minorHAnsi"/>
              </w:rPr>
            </w:pPr>
            <w:r w:rsidRPr="00377F3A">
              <w:rPr>
                <w:rFonts w:asciiTheme="minorHAnsi" w:hAnsiTheme="minorHAnsi"/>
              </w:rPr>
              <w:t>Slight irritant. (rabbit)</w:t>
            </w:r>
          </w:p>
        </w:tc>
        <w:tc>
          <w:tcPr>
            <w:tcW w:w="1837" w:type="pct"/>
            <w:tcBorders>
              <w:top w:val="nil"/>
              <w:left w:val="nil"/>
              <w:bottom w:val="single" w:sz="4" w:space="0" w:color="auto"/>
              <w:right w:val="single" w:sz="4" w:space="0" w:color="auto"/>
            </w:tcBorders>
            <w:noWrap/>
            <w:hideMark/>
          </w:tcPr>
          <w:p w14:paraId="39416562" w14:textId="530685A5" w:rsidR="008635F4" w:rsidRPr="00377F3A" w:rsidRDefault="008635F4" w:rsidP="00377F3A">
            <w:pPr>
              <w:pStyle w:val="TableText"/>
              <w:rPr>
                <w:rFonts w:asciiTheme="minorHAnsi" w:hAnsiTheme="minorHAnsi"/>
              </w:rPr>
            </w:pPr>
            <w:r w:rsidRPr="00377F3A">
              <w:t>Lees D, 1996</w:t>
            </w:r>
          </w:p>
        </w:tc>
      </w:tr>
      <w:tr w:rsidR="008635F4" w:rsidRPr="008635F4" w14:paraId="43D94EF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02D206F" w14:textId="77777777" w:rsidR="008635F4" w:rsidRPr="00377F3A" w:rsidRDefault="008635F4" w:rsidP="00377F3A">
            <w:pPr>
              <w:pStyle w:val="TableText"/>
              <w:rPr>
                <w:rFonts w:asciiTheme="minorHAnsi" w:hAnsiTheme="minorHAnsi"/>
              </w:rPr>
            </w:pPr>
            <w:r w:rsidRPr="00377F3A">
              <w:rPr>
                <w:rFonts w:asciiTheme="minorHAnsi" w:hAnsiTheme="minorHAnsi"/>
              </w:rPr>
              <w:lastRenderedPageBreak/>
              <w:t>acute dermal</w:t>
            </w:r>
          </w:p>
        </w:tc>
        <w:tc>
          <w:tcPr>
            <w:tcW w:w="2188" w:type="pct"/>
            <w:tcBorders>
              <w:top w:val="nil"/>
              <w:left w:val="nil"/>
              <w:bottom w:val="single" w:sz="4" w:space="0" w:color="auto"/>
              <w:right w:val="single" w:sz="4" w:space="0" w:color="auto"/>
            </w:tcBorders>
            <w:hideMark/>
          </w:tcPr>
          <w:p w14:paraId="7E42042F" w14:textId="77777777" w:rsidR="008635F4" w:rsidRPr="00377F3A" w:rsidRDefault="008635F4" w:rsidP="00377F3A">
            <w:pPr>
              <w:pStyle w:val="TableText"/>
              <w:rPr>
                <w:rFonts w:asciiTheme="minorHAnsi" w:hAnsiTheme="minorHAnsi"/>
              </w:rPr>
            </w:pPr>
            <w:r w:rsidRPr="00377F3A">
              <w:rPr>
                <w:rFonts w:asciiTheme="minorHAnsi" w:hAnsiTheme="minorHAnsi"/>
              </w:rPr>
              <w:t>Dermal LD50 for GFU084 was &gt;2000 mg/kg. (rabbit)</w:t>
            </w:r>
          </w:p>
        </w:tc>
        <w:tc>
          <w:tcPr>
            <w:tcW w:w="1837" w:type="pct"/>
            <w:tcBorders>
              <w:top w:val="nil"/>
              <w:left w:val="nil"/>
              <w:bottom w:val="single" w:sz="4" w:space="0" w:color="auto"/>
              <w:right w:val="single" w:sz="4" w:space="0" w:color="auto"/>
            </w:tcBorders>
            <w:noWrap/>
            <w:hideMark/>
          </w:tcPr>
          <w:p w14:paraId="45A77250" w14:textId="48E557ED" w:rsidR="008635F4" w:rsidRPr="00377F3A" w:rsidRDefault="008635F4" w:rsidP="00377F3A">
            <w:pPr>
              <w:pStyle w:val="TableText"/>
            </w:pPr>
            <w:r w:rsidRPr="00377F3A">
              <w:rPr>
                <w:rFonts w:asciiTheme="minorHAnsi" w:hAnsiTheme="minorHAnsi"/>
              </w:rPr>
              <w:t>Parkinson G, 1981</w:t>
            </w:r>
          </w:p>
        </w:tc>
      </w:tr>
      <w:tr w:rsidR="008635F4" w:rsidRPr="008635F4" w14:paraId="044D7CBE"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2B81748"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6B61D0B0" w14:textId="77777777" w:rsidR="008635F4" w:rsidRPr="00377F3A" w:rsidRDefault="008635F4" w:rsidP="00377F3A">
            <w:pPr>
              <w:pStyle w:val="TableText"/>
              <w:rPr>
                <w:rFonts w:asciiTheme="minorHAnsi" w:hAnsiTheme="minorHAnsi"/>
              </w:rPr>
            </w:pPr>
            <w:r w:rsidRPr="00377F3A">
              <w:rPr>
                <w:rFonts w:asciiTheme="minorHAnsi" w:hAnsiTheme="minorHAnsi"/>
              </w:rPr>
              <w:t>Oral LD50 calculated using the method of Litchfield and Wilcoxan was 0.31 mg/kg (male and female duck)</w:t>
            </w:r>
          </w:p>
        </w:tc>
        <w:tc>
          <w:tcPr>
            <w:tcW w:w="1837" w:type="pct"/>
            <w:tcBorders>
              <w:top w:val="nil"/>
              <w:left w:val="nil"/>
              <w:bottom w:val="single" w:sz="4" w:space="0" w:color="auto"/>
              <w:right w:val="single" w:sz="4" w:space="0" w:color="auto"/>
            </w:tcBorders>
            <w:noWrap/>
            <w:hideMark/>
          </w:tcPr>
          <w:p w14:paraId="228FDE3D" w14:textId="226683A2" w:rsidR="008635F4" w:rsidRPr="00377F3A" w:rsidRDefault="008635F4" w:rsidP="00377F3A">
            <w:pPr>
              <w:pStyle w:val="TableText"/>
              <w:rPr>
                <w:rFonts w:asciiTheme="minorHAnsi" w:hAnsiTheme="minorHAnsi"/>
              </w:rPr>
            </w:pPr>
            <w:r w:rsidRPr="00377F3A">
              <w:t>Ross D, Roberts N, Fairley C, 1980</w:t>
            </w:r>
          </w:p>
        </w:tc>
      </w:tr>
      <w:tr w:rsidR="008635F4" w:rsidRPr="008635F4" w14:paraId="4F7A5D5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BB72971"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CBD922B" w14:textId="77777777" w:rsidR="008635F4" w:rsidRPr="00377F3A" w:rsidRDefault="008635F4" w:rsidP="00377F3A">
            <w:pPr>
              <w:pStyle w:val="TableText"/>
              <w:rPr>
                <w:rFonts w:asciiTheme="minorHAnsi" w:hAnsiTheme="minorHAnsi"/>
              </w:rPr>
            </w:pPr>
            <w:r w:rsidRPr="00377F3A">
              <w:rPr>
                <w:rFonts w:asciiTheme="minorHAnsi" w:hAnsiTheme="minorHAnsi"/>
              </w:rPr>
              <w:t>The LD50 value was 2.0 mg/kg 95% CI : 0.8-4.8 mg/kg. (duck)</w:t>
            </w:r>
          </w:p>
        </w:tc>
        <w:tc>
          <w:tcPr>
            <w:tcW w:w="1837" w:type="pct"/>
            <w:tcBorders>
              <w:top w:val="nil"/>
              <w:left w:val="nil"/>
              <w:bottom w:val="single" w:sz="4" w:space="0" w:color="auto"/>
              <w:right w:val="single" w:sz="4" w:space="0" w:color="auto"/>
            </w:tcBorders>
            <w:noWrap/>
            <w:hideMark/>
          </w:tcPr>
          <w:p w14:paraId="7F9D4559" w14:textId="66EE661C" w:rsidR="008635F4" w:rsidRPr="00377F3A" w:rsidRDefault="008635F4" w:rsidP="00377F3A">
            <w:pPr>
              <w:pStyle w:val="TableText"/>
              <w:rPr>
                <w:rFonts w:asciiTheme="minorHAnsi" w:hAnsiTheme="minorHAnsi"/>
              </w:rPr>
            </w:pPr>
            <w:r w:rsidRPr="00377F3A">
              <w:rPr>
                <w:rFonts w:asciiTheme="minorHAnsi" w:hAnsiTheme="minorHAnsi"/>
              </w:rPr>
              <w:t>Ross D, Roberts N, Cameron D, 1978</w:t>
            </w:r>
          </w:p>
        </w:tc>
      </w:tr>
      <w:tr w:rsidR="008635F4" w:rsidRPr="008635F4" w14:paraId="4E64DAA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45BD61B"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72319B2E" w14:textId="77777777" w:rsidR="008635F4" w:rsidRPr="00377F3A" w:rsidRDefault="008635F4" w:rsidP="00377F3A">
            <w:pPr>
              <w:pStyle w:val="TableText"/>
              <w:rPr>
                <w:rFonts w:asciiTheme="minorHAnsi" w:hAnsiTheme="minorHAnsi"/>
              </w:rPr>
            </w:pPr>
            <w:r w:rsidRPr="00377F3A">
              <w:rPr>
                <w:rFonts w:asciiTheme="minorHAnsi" w:hAnsiTheme="minorHAnsi"/>
              </w:rPr>
              <w:t>The LD50 value for male and female was 0.545 mg/kg 95% CI :none. (ring-necked pheasant)</w:t>
            </w:r>
          </w:p>
        </w:tc>
        <w:tc>
          <w:tcPr>
            <w:tcW w:w="1837" w:type="pct"/>
            <w:tcBorders>
              <w:top w:val="nil"/>
              <w:left w:val="nil"/>
              <w:bottom w:val="single" w:sz="4" w:space="0" w:color="auto"/>
              <w:right w:val="single" w:sz="4" w:space="0" w:color="auto"/>
            </w:tcBorders>
            <w:noWrap/>
            <w:hideMark/>
          </w:tcPr>
          <w:p w14:paraId="741B1796" w14:textId="699BBC0C" w:rsidR="008635F4" w:rsidRPr="00377F3A" w:rsidRDefault="008635F4" w:rsidP="00377F3A">
            <w:pPr>
              <w:pStyle w:val="TableText"/>
              <w:rPr>
                <w:rFonts w:asciiTheme="minorHAnsi" w:hAnsiTheme="minorHAnsi"/>
              </w:rPr>
            </w:pPr>
            <w:r w:rsidRPr="00377F3A">
              <w:rPr>
                <w:rFonts w:asciiTheme="minorHAnsi" w:hAnsiTheme="minorHAnsi"/>
              </w:rPr>
              <w:t>Roberts N, Fairley C, 1986</w:t>
            </w:r>
          </w:p>
        </w:tc>
      </w:tr>
      <w:tr w:rsidR="008635F4" w:rsidRPr="008635F4" w14:paraId="2AA5399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E2496E1"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CBCEC4A"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LD50 valueof PP581 in Japneese quail was11.6 mg/kg 95% CI :none. </w:t>
            </w:r>
          </w:p>
        </w:tc>
        <w:tc>
          <w:tcPr>
            <w:tcW w:w="1837" w:type="pct"/>
            <w:tcBorders>
              <w:top w:val="nil"/>
              <w:left w:val="nil"/>
              <w:bottom w:val="single" w:sz="4" w:space="0" w:color="auto"/>
              <w:right w:val="single" w:sz="4" w:space="0" w:color="auto"/>
            </w:tcBorders>
            <w:noWrap/>
            <w:hideMark/>
          </w:tcPr>
          <w:p w14:paraId="66C18F59" w14:textId="465F51B7" w:rsidR="008635F4" w:rsidRPr="00377F3A" w:rsidRDefault="008635F4" w:rsidP="00377F3A">
            <w:pPr>
              <w:pStyle w:val="TableText"/>
              <w:rPr>
                <w:rFonts w:asciiTheme="minorHAnsi" w:hAnsiTheme="minorHAnsi"/>
              </w:rPr>
            </w:pPr>
            <w:r w:rsidRPr="00377F3A">
              <w:rPr>
                <w:rFonts w:asciiTheme="minorHAnsi" w:hAnsiTheme="minorHAnsi"/>
              </w:rPr>
              <w:t>Ross D, Roberts N, Cameron D, 1977</w:t>
            </w:r>
          </w:p>
        </w:tc>
      </w:tr>
      <w:tr w:rsidR="008635F4" w:rsidRPr="008635F4" w14:paraId="3BA844F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F9E99FD"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28653BB"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acute oral LD50 in the beagle dogs was found to be 0.25 – 1 mg/kg. Oral LD50 value in cat was estimated to be 25 mg/kg. </w:t>
            </w:r>
          </w:p>
        </w:tc>
        <w:tc>
          <w:tcPr>
            <w:tcW w:w="1837" w:type="pct"/>
            <w:tcBorders>
              <w:top w:val="nil"/>
              <w:left w:val="nil"/>
              <w:bottom w:val="single" w:sz="4" w:space="0" w:color="auto"/>
              <w:right w:val="single" w:sz="4" w:space="0" w:color="auto"/>
            </w:tcBorders>
            <w:noWrap/>
            <w:hideMark/>
          </w:tcPr>
          <w:p w14:paraId="1646F817" w14:textId="0182E54F" w:rsidR="008635F4" w:rsidRPr="00377F3A" w:rsidRDefault="008635F4" w:rsidP="00377F3A">
            <w:pPr>
              <w:pStyle w:val="TableText"/>
            </w:pPr>
            <w:r w:rsidRPr="00377F3A">
              <w:rPr>
                <w:rFonts w:asciiTheme="minorHAnsi" w:hAnsiTheme="minorHAnsi"/>
              </w:rPr>
              <w:t>Parkinson G, 1976</w:t>
            </w:r>
          </w:p>
        </w:tc>
      </w:tr>
      <w:tr w:rsidR="008635F4" w:rsidRPr="008635F4" w14:paraId="185F68A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169F9C4"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199FA5BA"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acute oral LD50 in the beagle dogs was found to be 0.25 – 1 mg/kg. Oral LD50 value in cat was estimated to be 25 mg/kg. </w:t>
            </w:r>
          </w:p>
        </w:tc>
        <w:tc>
          <w:tcPr>
            <w:tcW w:w="1837" w:type="pct"/>
            <w:tcBorders>
              <w:top w:val="nil"/>
              <w:left w:val="nil"/>
              <w:bottom w:val="single" w:sz="4" w:space="0" w:color="auto"/>
              <w:right w:val="single" w:sz="4" w:space="0" w:color="auto"/>
            </w:tcBorders>
            <w:noWrap/>
            <w:hideMark/>
          </w:tcPr>
          <w:p w14:paraId="1CA59C07" w14:textId="4755E7BE" w:rsidR="008635F4" w:rsidRPr="00377F3A" w:rsidRDefault="008635F4" w:rsidP="00377F3A">
            <w:pPr>
              <w:pStyle w:val="TableText"/>
            </w:pPr>
            <w:r w:rsidRPr="00377F3A">
              <w:t>Parkinson G, 1979</w:t>
            </w:r>
          </w:p>
        </w:tc>
      </w:tr>
      <w:tr w:rsidR="008635F4" w:rsidRPr="008635F4" w14:paraId="3B8BA62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F3E734F"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39DA70B8" w14:textId="77777777" w:rsidR="008635F4" w:rsidRPr="00377F3A" w:rsidRDefault="008635F4" w:rsidP="00377F3A">
            <w:pPr>
              <w:pStyle w:val="TableText"/>
            </w:pPr>
            <w:r w:rsidRPr="00377F3A">
              <w:t xml:space="preserve">The acute oral LD50 in male rats was 0.418 mg/kg (95% CI – 0.350 – 0.500) and 0.561 mg/kg in females (95% CI – 0.472 – 0.667). </w:t>
            </w:r>
          </w:p>
        </w:tc>
        <w:tc>
          <w:tcPr>
            <w:tcW w:w="1837" w:type="pct"/>
            <w:tcBorders>
              <w:top w:val="nil"/>
              <w:left w:val="nil"/>
              <w:bottom w:val="single" w:sz="4" w:space="0" w:color="auto"/>
              <w:right w:val="single" w:sz="4" w:space="0" w:color="auto"/>
            </w:tcBorders>
            <w:noWrap/>
            <w:hideMark/>
          </w:tcPr>
          <w:p w14:paraId="0C232694" w14:textId="6213AC29" w:rsidR="008635F4" w:rsidRPr="00377F3A" w:rsidRDefault="008635F4" w:rsidP="00377F3A">
            <w:pPr>
              <w:pStyle w:val="TableText"/>
              <w:rPr>
                <w:rFonts w:asciiTheme="minorHAnsi" w:hAnsiTheme="minorHAnsi"/>
              </w:rPr>
            </w:pPr>
            <w:r w:rsidRPr="00377F3A">
              <w:t>Duerden L, 1993</w:t>
            </w:r>
          </w:p>
        </w:tc>
      </w:tr>
      <w:tr w:rsidR="008635F4" w:rsidRPr="008635F4" w14:paraId="259A86AB"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772DED7"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0CDBDDC9"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acute dermal LD50 in male rats was 5.21 mg/kg (95% CI – 1.95 – 13.8) and 3.16 mg/kg in females (95% CI – 1.0– 10.0). </w:t>
            </w:r>
          </w:p>
        </w:tc>
        <w:tc>
          <w:tcPr>
            <w:tcW w:w="1837" w:type="pct"/>
            <w:tcBorders>
              <w:top w:val="nil"/>
              <w:left w:val="nil"/>
              <w:bottom w:val="single" w:sz="4" w:space="0" w:color="auto"/>
              <w:right w:val="single" w:sz="4" w:space="0" w:color="auto"/>
            </w:tcBorders>
            <w:noWrap/>
            <w:hideMark/>
          </w:tcPr>
          <w:p w14:paraId="69D82F46" w14:textId="2247A0E5" w:rsidR="008635F4" w:rsidRPr="00377F3A" w:rsidRDefault="008635F4" w:rsidP="00377F3A">
            <w:pPr>
              <w:pStyle w:val="TableText"/>
              <w:rPr>
                <w:rFonts w:asciiTheme="minorHAnsi" w:hAnsiTheme="minorHAnsi"/>
              </w:rPr>
            </w:pPr>
            <w:r w:rsidRPr="00377F3A">
              <w:rPr>
                <w:rFonts w:asciiTheme="minorHAnsi" w:hAnsiTheme="minorHAnsi"/>
              </w:rPr>
              <w:t>McCall J, Leah A, 1993</w:t>
            </w:r>
          </w:p>
        </w:tc>
      </w:tr>
      <w:tr w:rsidR="008635F4" w:rsidRPr="008635F4" w14:paraId="2765ACE2"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42D19BA" w14:textId="77777777" w:rsidR="008635F4" w:rsidRPr="00377F3A" w:rsidRDefault="008635F4" w:rsidP="00377F3A">
            <w:pPr>
              <w:pStyle w:val="TableText"/>
              <w:rPr>
                <w:rFonts w:asciiTheme="minorHAnsi" w:hAnsiTheme="minorHAnsi"/>
              </w:rPr>
            </w:pPr>
            <w:r w:rsidRPr="00377F3A">
              <w:rPr>
                <w:rFonts w:asciiTheme="minorHAnsi" w:hAnsiTheme="minorHAnsi"/>
              </w:rPr>
              <w:t>Inhalation</w:t>
            </w:r>
          </w:p>
        </w:tc>
        <w:tc>
          <w:tcPr>
            <w:tcW w:w="2188" w:type="pct"/>
            <w:tcBorders>
              <w:top w:val="nil"/>
              <w:left w:val="nil"/>
              <w:bottom w:val="single" w:sz="4" w:space="0" w:color="auto"/>
              <w:right w:val="single" w:sz="4" w:space="0" w:color="auto"/>
            </w:tcBorders>
            <w:hideMark/>
          </w:tcPr>
          <w:p w14:paraId="4140B29C"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4 hour LC 50 for brodifacoum was 4.86 µg/L for male and 3.05 µg/L for female. </w:t>
            </w:r>
          </w:p>
        </w:tc>
        <w:tc>
          <w:tcPr>
            <w:tcW w:w="1837" w:type="pct"/>
            <w:tcBorders>
              <w:top w:val="nil"/>
              <w:left w:val="nil"/>
              <w:bottom w:val="single" w:sz="4" w:space="0" w:color="auto"/>
              <w:right w:val="single" w:sz="4" w:space="0" w:color="auto"/>
            </w:tcBorders>
            <w:noWrap/>
            <w:hideMark/>
          </w:tcPr>
          <w:p w14:paraId="6A10F3CB" w14:textId="26488B15" w:rsidR="008635F4" w:rsidRPr="00377F3A" w:rsidRDefault="008635F4" w:rsidP="00377F3A">
            <w:pPr>
              <w:pStyle w:val="TableText"/>
              <w:rPr>
                <w:rFonts w:asciiTheme="minorHAnsi" w:hAnsiTheme="minorHAnsi"/>
              </w:rPr>
            </w:pPr>
            <w:r w:rsidRPr="00377F3A">
              <w:rPr>
                <w:rFonts w:asciiTheme="minorHAnsi" w:hAnsiTheme="minorHAnsi"/>
              </w:rPr>
              <w:t>R Parr-Dobrzanski, 1993</w:t>
            </w:r>
          </w:p>
        </w:tc>
      </w:tr>
      <w:tr w:rsidR="008635F4" w:rsidRPr="008635F4" w14:paraId="3C571E3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2A6106E" w14:textId="77777777" w:rsidR="008635F4" w:rsidRPr="00377F3A" w:rsidRDefault="008635F4" w:rsidP="00377F3A">
            <w:pPr>
              <w:pStyle w:val="TableText"/>
              <w:rPr>
                <w:rFonts w:asciiTheme="minorHAnsi" w:hAnsiTheme="minorHAnsi"/>
              </w:rPr>
            </w:pPr>
            <w:r w:rsidRPr="00377F3A">
              <w:rPr>
                <w:rFonts w:asciiTheme="minorHAnsi" w:hAnsiTheme="minorHAnsi"/>
              </w:rPr>
              <w:t>acute oral and dermal</w:t>
            </w:r>
          </w:p>
        </w:tc>
        <w:tc>
          <w:tcPr>
            <w:tcW w:w="2188" w:type="pct"/>
            <w:tcBorders>
              <w:top w:val="nil"/>
              <w:left w:val="nil"/>
              <w:bottom w:val="single" w:sz="4" w:space="0" w:color="auto"/>
              <w:right w:val="single" w:sz="4" w:space="0" w:color="auto"/>
            </w:tcBorders>
            <w:hideMark/>
          </w:tcPr>
          <w:p w14:paraId="37D0F386" w14:textId="73F75919" w:rsidR="008635F4" w:rsidRPr="00377F3A" w:rsidRDefault="008635F4" w:rsidP="00377F3A">
            <w:pPr>
              <w:pStyle w:val="TableText"/>
              <w:rPr>
                <w:rFonts w:asciiTheme="minorHAnsi" w:hAnsiTheme="minorHAnsi"/>
              </w:rPr>
            </w:pPr>
            <w:r w:rsidRPr="00377F3A">
              <w:rPr>
                <w:rFonts w:asciiTheme="minorHAnsi" w:hAnsiTheme="minorHAnsi"/>
              </w:rPr>
              <w:t>The formulations tested are nontoxic by inhalation at the concentration tested.</w:t>
            </w:r>
          </w:p>
        </w:tc>
        <w:tc>
          <w:tcPr>
            <w:tcW w:w="1837" w:type="pct"/>
            <w:tcBorders>
              <w:top w:val="nil"/>
              <w:left w:val="nil"/>
              <w:bottom w:val="single" w:sz="4" w:space="0" w:color="auto"/>
              <w:right w:val="single" w:sz="4" w:space="0" w:color="auto"/>
            </w:tcBorders>
            <w:noWrap/>
            <w:hideMark/>
          </w:tcPr>
          <w:p w14:paraId="661B31EC" w14:textId="1DDEC700" w:rsidR="008635F4" w:rsidRPr="00377F3A" w:rsidRDefault="008635F4" w:rsidP="00377F3A">
            <w:pPr>
              <w:pStyle w:val="TableText"/>
              <w:rPr>
                <w:rFonts w:asciiTheme="minorHAnsi" w:hAnsiTheme="minorHAnsi"/>
              </w:rPr>
            </w:pPr>
            <w:r w:rsidRPr="00377F3A">
              <w:rPr>
                <w:rFonts w:asciiTheme="minorHAnsi" w:hAnsiTheme="minorHAnsi"/>
              </w:rPr>
              <w:t>Vernall A, Culleton C, 1976</w:t>
            </w:r>
          </w:p>
        </w:tc>
      </w:tr>
      <w:tr w:rsidR="008635F4" w:rsidRPr="008635F4" w14:paraId="64F8C7C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52E60D8" w14:textId="77777777" w:rsidR="008635F4" w:rsidRPr="00377F3A" w:rsidRDefault="008635F4" w:rsidP="00377F3A">
            <w:pPr>
              <w:pStyle w:val="TableText"/>
              <w:rPr>
                <w:rFonts w:asciiTheme="minorHAnsi" w:hAnsiTheme="minorHAnsi"/>
              </w:rPr>
            </w:pPr>
            <w:r w:rsidRPr="00377F3A">
              <w:rPr>
                <w:rFonts w:asciiTheme="minorHAnsi" w:hAnsiTheme="minorHAnsi"/>
              </w:rPr>
              <w:t>genotoxicity</w:t>
            </w:r>
          </w:p>
        </w:tc>
        <w:tc>
          <w:tcPr>
            <w:tcW w:w="2188" w:type="pct"/>
            <w:tcBorders>
              <w:top w:val="nil"/>
              <w:left w:val="nil"/>
              <w:bottom w:val="single" w:sz="4" w:space="0" w:color="auto"/>
              <w:right w:val="single" w:sz="4" w:space="0" w:color="auto"/>
            </w:tcBorders>
            <w:hideMark/>
          </w:tcPr>
          <w:p w14:paraId="0F4621E7" w14:textId="139365FE" w:rsidR="008635F4" w:rsidRPr="00377F3A" w:rsidRDefault="008635F4" w:rsidP="00377F3A">
            <w:pPr>
              <w:pStyle w:val="TableText"/>
              <w:rPr>
                <w:rFonts w:asciiTheme="minorHAnsi" w:hAnsiTheme="minorHAnsi"/>
              </w:rPr>
            </w:pPr>
            <w:r w:rsidRPr="00377F3A">
              <w:rPr>
                <w:rFonts w:asciiTheme="minorHAnsi" w:hAnsiTheme="minorHAnsi"/>
              </w:rPr>
              <w:t xml:space="preserve"> Non mutagenic</w:t>
            </w:r>
          </w:p>
        </w:tc>
        <w:tc>
          <w:tcPr>
            <w:tcW w:w="1837" w:type="pct"/>
            <w:tcBorders>
              <w:top w:val="nil"/>
              <w:left w:val="nil"/>
              <w:bottom w:val="single" w:sz="4" w:space="0" w:color="auto"/>
              <w:right w:val="single" w:sz="4" w:space="0" w:color="auto"/>
            </w:tcBorders>
            <w:noWrap/>
            <w:hideMark/>
          </w:tcPr>
          <w:p w14:paraId="108F4FE5" w14:textId="36E422D7" w:rsidR="008635F4" w:rsidRPr="00377F3A" w:rsidRDefault="008635F4" w:rsidP="00377F3A">
            <w:pPr>
              <w:pStyle w:val="TableText"/>
              <w:rPr>
                <w:rFonts w:asciiTheme="minorHAnsi" w:hAnsiTheme="minorHAnsi"/>
              </w:rPr>
            </w:pPr>
            <w:r w:rsidRPr="00377F3A">
              <w:rPr>
                <w:rFonts w:asciiTheme="minorHAnsi" w:hAnsiTheme="minorHAnsi"/>
              </w:rPr>
              <w:t>Callander R, 1983</w:t>
            </w:r>
          </w:p>
        </w:tc>
      </w:tr>
      <w:tr w:rsidR="008635F4" w:rsidRPr="008635F4" w14:paraId="053CEEA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714F0FD"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396DEFA1" w14:textId="77777777" w:rsidR="008635F4" w:rsidRPr="00377F3A" w:rsidRDefault="008635F4" w:rsidP="00377F3A">
            <w:pPr>
              <w:pStyle w:val="TableText"/>
            </w:pPr>
            <w:r w:rsidRPr="00377F3A">
              <w:t xml:space="preserve">The acute oral LD50 in male rats was 0.418 mg/kg (95% CI – 0.350 – 0.500) and 0.561 mg/kg in females (95% CI – 0.472 – 0.667). </w:t>
            </w:r>
          </w:p>
        </w:tc>
        <w:tc>
          <w:tcPr>
            <w:tcW w:w="1837" w:type="pct"/>
            <w:tcBorders>
              <w:top w:val="nil"/>
              <w:left w:val="nil"/>
              <w:bottom w:val="single" w:sz="4" w:space="0" w:color="auto"/>
              <w:right w:val="single" w:sz="4" w:space="0" w:color="auto"/>
            </w:tcBorders>
            <w:noWrap/>
            <w:hideMark/>
          </w:tcPr>
          <w:p w14:paraId="498EC589" w14:textId="0B949F87" w:rsidR="008635F4" w:rsidRPr="00377F3A" w:rsidRDefault="008635F4" w:rsidP="00377F3A">
            <w:pPr>
              <w:pStyle w:val="TableText"/>
              <w:rPr>
                <w:rFonts w:asciiTheme="minorHAnsi" w:hAnsiTheme="minorHAnsi"/>
              </w:rPr>
            </w:pPr>
            <w:r w:rsidRPr="00377F3A">
              <w:rPr>
                <w:rFonts w:asciiTheme="minorHAnsi" w:hAnsiTheme="minorHAnsi"/>
              </w:rPr>
              <w:t>Duerden L, 1993</w:t>
            </w:r>
          </w:p>
        </w:tc>
      </w:tr>
      <w:tr w:rsidR="008635F4" w:rsidRPr="008635F4" w14:paraId="4EE68D8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D9BC334"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B9C4928" w14:textId="77777777" w:rsidR="008635F4" w:rsidRPr="00377F3A" w:rsidRDefault="008635F4" w:rsidP="00377F3A">
            <w:pPr>
              <w:pStyle w:val="TableText"/>
            </w:pPr>
            <w:r w:rsidRPr="00377F3A">
              <w:t xml:space="preserve">The acute oral LD50 in male rats was 0.418 mg/kg (95% CI – 0.350 – </w:t>
            </w:r>
            <w:r w:rsidRPr="00377F3A">
              <w:lastRenderedPageBreak/>
              <w:t xml:space="preserve">0.500) and 0.561 mg/kg in females (95% CI – 0.472 – 0.667). </w:t>
            </w:r>
          </w:p>
        </w:tc>
        <w:tc>
          <w:tcPr>
            <w:tcW w:w="1837" w:type="pct"/>
            <w:tcBorders>
              <w:top w:val="nil"/>
              <w:left w:val="nil"/>
              <w:bottom w:val="single" w:sz="4" w:space="0" w:color="auto"/>
              <w:right w:val="single" w:sz="4" w:space="0" w:color="auto"/>
            </w:tcBorders>
            <w:noWrap/>
            <w:hideMark/>
          </w:tcPr>
          <w:p w14:paraId="25AF3DE7" w14:textId="497F6402" w:rsidR="008635F4" w:rsidRPr="00377F3A" w:rsidRDefault="008635F4" w:rsidP="00377F3A">
            <w:pPr>
              <w:pStyle w:val="TableText"/>
              <w:rPr>
                <w:rFonts w:asciiTheme="minorHAnsi" w:hAnsiTheme="minorHAnsi"/>
              </w:rPr>
            </w:pPr>
            <w:r w:rsidRPr="00377F3A">
              <w:rPr>
                <w:rFonts w:asciiTheme="minorHAnsi" w:hAnsiTheme="minorHAnsi"/>
              </w:rPr>
              <w:lastRenderedPageBreak/>
              <w:t>Duerden L, 1993</w:t>
            </w:r>
          </w:p>
        </w:tc>
      </w:tr>
      <w:tr w:rsidR="008635F4" w:rsidRPr="008635F4" w14:paraId="5713653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DCF4562"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13A5B14C" w14:textId="77777777" w:rsidR="008635F4" w:rsidRPr="00377F3A" w:rsidRDefault="008635F4" w:rsidP="00377F3A">
            <w:pPr>
              <w:pStyle w:val="TableText"/>
              <w:rPr>
                <w:rFonts w:asciiTheme="minorHAnsi" w:hAnsiTheme="minorHAnsi"/>
              </w:rPr>
            </w:pPr>
            <w:r w:rsidRPr="00377F3A">
              <w:rPr>
                <w:rFonts w:asciiTheme="minorHAnsi" w:hAnsiTheme="minorHAnsi"/>
              </w:rPr>
              <w:t>The LD50 was &gt; 5000 mg/kg for the 3-(4’-bromobiphenyl 4-yl)-1-Tetralol. (rats and mice)</w:t>
            </w:r>
          </w:p>
        </w:tc>
        <w:tc>
          <w:tcPr>
            <w:tcW w:w="1837" w:type="pct"/>
            <w:tcBorders>
              <w:top w:val="nil"/>
              <w:left w:val="nil"/>
              <w:bottom w:val="single" w:sz="4" w:space="0" w:color="auto"/>
              <w:right w:val="single" w:sz="4" w:space="0" w:color="auto"/>
            </w:tcBorders>
            <w:noWrap/>
            <w:hideMark/>
          </w:tcPr>
          <w:p w14:paraId="568F6B47" w14:textId="4107D71B" w:rsidR="008635F4" w:rsidRPr="00377F3A" w:rsidRDefault="008635F4" w:rsidP="00377F3A">
            <w:pPr>
              <w:pStyle w:val="TableText"/>
              <w:rPr>
                <w:rFonts w:asciiTheme="minorHAnsi" w:hAnsiTheme="minorHAnsi"/>
              </w:rPr>
            </w:pPr>
            <w:r w:rsidRPr="00377F3A">
              <w:rPr>
                <w:rFonts w:asciiTheme="minorHAnsi" w:hAnsiTheme="minorHAnsi"/>
              </w:rPr>
              <w:t>Hadler M, 1978</w:t>
            </w:r>
          </w:p>
        </w:tc>
      </w:tr>
      <w:tr w:rsidR="008635F4" w:rsidRPr="008635F4" w14:paraId="10E8DC65"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E2015A7"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4FEB737F" w14:textId="77777777" w:rsidR="008635F4" w:rsidRPr="00377F3A" w:rsidRDefault="008635F4" w:rsidP="00377F3A">
            <w:pPr>
              <w:pStyle w:val="TableText"/>
              <w:rPr>
                <w:rFonts w:asciiTheme="minorHAnsi" w:hAnsiTheme="minorHAnsi"/>
              </w:rPr>
            </w:pPr>
            <w:r w:rsidRPr="00377F3A">
              <w:rPr>
                <w:rFonts w:asciiTheme="minorHAnsi" w:hAnsiTheme="minorHAnsi"/>
              </w:rPr>
              <w:t>The LD50 was &gt; 5 X 1000 mg/kg in rats and 5 X 2000 mg/kg in mice for the 3-(4’-bromobiphenyl 4-yl)-1-Tetralol.</w:t>
            </w:r>
          </w:p>
        </w:tc>
        <w:tc>
          <w:tcPr>
            <w:tcW w:w="1837" w:type="pct"/>
            <w:tcBorders>
              <w:top w:val="nil"/>
              <w:left w:val="nil"/>
              <w:bottom w:val="single" w:sz="4" w:space="0" w:color="auto"/>
              <w:right w:val="single" w:sz="4" w:space="0" w:color="auto"/>
            </w:tcBorders>
            <w:noWrap/>
            <w:hideMark/>
          </w:tcPr>
          <w:p w14:paraId="16BAA216" w14:textId="340173CA" w:rsidR="008635F4" w:rsidRPr="00377F3A" w:rsidRDefault="008635F4" w:rsidP="00377F3A">
            <w:pPr>
              <w:pStyle w:val="TableText"/>
              <w:rPr>
                <w:rFonts w:asciiTheme="minorHAnsi" w:hAnsiTheme="minorHAnsi"/>
              </w:rPr>
            </w:pPr>
            <w:r w:rsidRPr="00377F3A">
              <w:rPr>
                <w:rFonts w:asciiTheme="minorHAnsi" w:hAnsiTheme="minorHAnsi"/>
              </w:rPr>
              <w:t>Hadler M, 1978</w:t>
            </w:r>
          </w:p>
        </w:tc>
      </w:tr>
      <w:tr w:rsidR="008635F4" w:rsidRPr="008635F4" w14:paraId="4B6DF10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05BBD39"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6A7705D4" w14:textId="77777777" w:rsidR="008635F4" w:rsidRPr="00377F3A" w:rsidRDefault="008635F4" w:rsidP="00377F3A">
            <w:pPr>
              <w:pStyle w:val="TableText"/>
              <w:rPr>
                <w:rFonts w:asciiTheme="minorHAnsi" w:hAnsiTheme="minorHAnsi"/>
              </w:rPr>
            </w:pPr>
            <w:r w:rsidRPr="00377F3A">
              <w:rPr>
                <w:rFonts w:asciiTheme="minorHAnsi" w:hAnsiTheme="minorHAnsi"/>
              </w:rPr>
              <w:t>Acute oral LD50 by best line of fit was 0.27 mg/kg (rat)</w:t>
            </w:r>
          </w:p>
        </w:tc>
        <w:tc>
          <w:tcPr>
            <w:tcW w:w="1837" w:type="pct"/>
            <w:tcBorders>
              <w:top w:val="nil"/>
              <w:left w:val="nil"/>
              <w:bottom w:val="single" w:sz="4" w:space="0" w:color="auto"/>
              <w:right w:val="single" w:sz="4" w:space="0" w:color="auto"/>
            </w:tcBorders>
            <w:noWrap/>
            <w:hideMark/>
          </w:tcPr>
          <w:p w14:paraId="732772D9" w14:textId="11788C02" w:rsidR="008635F4" w:rsidRPr="00377F3A" w:rsidRDefault="008635F4" w:rsidP="00377F3A">
            <w:pPr>
              <w:pStyle w:val="TableText"/>
              <w:rPr>
                <w:rFonts w:asciiTheme="minorHAnsi" w:hAnsiTheme="minorHAnsi"/>
              </w:rPr>
            </w:pPr>
            <w:r w:rsidRPr="00377F3A">
              <w:rPr>
                <w:rFonts w:asciiTheme="minorHAnsi" w:hAnsiTheme="minorHAnsi"/>
              </w:rPr>
              <w:t>Hadler M, 1974</w:t>
            </w:r>
          </w:p>
        </w:tc>
      </w:tr>
      <w:tr w:rsidR="008635F4" w:rsidRPr="008635F4" w14:paraId="67706B69"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3C59A99"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5EC8CABA" w14:textId="77777777" w:rsidR="008635F4" w:rsidRPr="00377F3A" w:rsidRDefault="008635F4" w:rsidP="00377F3A">
            <w:pPr>
              <w:pStyle w:val="TableText"/>
              <w:rPr>
                <w:rFonts w:asciiTheme="minorHAnsi" w:hAnsiTheme="minorHAnsi"/>
              </w:rPr>
            </w:pPr>
            <w:r w:rsidRPr="00377F3A">
              <w:rPr>
                <w:rFonts w:asciiTheme="minorHAnsi" w:hAnsiTheme="minorHAnsi"/>
              </w:rPr>
              <w:t>Female rats are more resistant and sub-acute oral LD50 for WBA 8119 is 5 X 0.06 mg/kg in males.</w:t>
            </w:r>
          </w:p>
        </w:tc>
        <w:tc>
          <w:tcPr>
            <w:tcW w:w="1837" w:type="pct"/>
            <w:tcBorders>
              <w:top w:val="nil"/>
              <w:left w:val="nil"/>
              <w:bottom w:val="single" w:sz="4" w:space="0" w:color="auto"/>
              <w:right w:val="single" w:sz="4" w:space="0" w:color="auto"/>
            </w:tcBorders>
            <w:noWrap/>
            <w:hideMark/>
          </w:tcPr>
          <w:p w14:paraId="58163808" w14:textId="0756CDFF" w:rsidR="008635F4" w:rsidRPr="00377F3A" w:rsidRDefault="008635F4" w:rsidP="00377F3A">
            <w:pPr>
              <w:pStyle w:val="TableText"/>
              <w:rPr>
                <w:rFonts w:asciiTheme="minorHAnsi" w:hAnsiTheme="minorHAnsi"/>
              </w:rPr>
            </w:pPr>
            <w:r w:rsidRPr="00377F3A">
              <w:rPr>
                <w:rFonts w:asciiTheme="minorHAnsi" w:hAnsiTheme="minorHAnsi"/>
              </w:rPr>
              <w:t>Hadler M, 1974</w:t>
            </w:r>
          </w:p>
        </w:tc>
      </w:tr>
      <w:tr w:rsidR="008635F4" w:rsidRPr="008635F4" w14:paraId="78EA477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ED5998C"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43707A1C"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 Sub-acute oral LD50 homozygous resistant male rat : 0.05 mg/kg/day X5 (rat)</w:t>
            </w:r>
          </w:p>
        </w:tc>
        <w:tc>
          <w:tcPr>
            <w:tcW w:w="1837" w:type="pct"/>
            <w:tcBorders>
              <w:top w:val="nil"/>
              <w:left w:val="nil"/>
              <w:bottom w:val="single" w:sz="4" w:space="0" w:color="auto"/>
              <w:right w:val="single" w:sz="4" w:space="0" w:color="auto"/>
            </w:tcBorders>
            <w:noWrap/>
            <w:hideMark/>
          </w:tcPr>
          <w:p w14:paraId="4D094D60" w14:textId="59AC0019"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5EB49697"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EC4C080"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6D19DCB8" w14:textId="77777777" w:rsidR="008635F4" w:rsidRPr="00377F3A" w:rsidRDefault="008635F4" w:rsidP="00377F3A">
            <w:pPr>
              <w:pStyle w:val="TableText"/>
              <w:rPr>
                <w:rFonts w:asciiTheme="minorHAnsi" w:hAnsiTheme="minorHAnsi"/>
              </w:rPr>
            </w:pPr>
            <w:r w:rsidRPr="00377F3A">
              <w:rPr>
                <w:rFonts w:asciiTheme="minorHAnsi" w:hAnsiTheme="minorHAnsi"/>
              </w:rPr>
              <w:t>The acute oral median LD50 brodifacoum 0.05 g/kg RB formulation &gt; 5000 mg/kg. (rat)</w:t>
            </w:r>
          </w:p>
        </w:tc>
        <w:tc>
          <w:tcPr>
            <w:tcW w:w="1837" w:type="pct"/>
            <w:tcBorders>
              <w:top w:val="nil"/>
              <w:left w:val="nil"/>
              <w:bottom w:val="single" w:sz="4" w:space="0" w:color="auto"/>
              <w:right w:val="single" w:sz="4" w:space="0" w:color="auto"/>
            </w:tcBorders>
            <w:noWrap/>
            <w:hideMark/>
          </w:tcPr>
          <w:p w14:paraId="1435601B" w14:textId="4DA20713" w:rsidR="008635F4" w:rsidRPr="00377F3A" w:rsidRDefault="008635F4" w:rsidP="00377F3A">
            <w:pPr>
              <w:pStyle w:val="TableText"/>
              <w:rPr>
                <w:rFonts w:asciiTheme="minorHAnsi" w:hAnsiTheme="minorHAnsi"/>
              </w:rPr>
            </w:pPr>
            <w:r w:rsidRPr="00377F3A">
              <w:rPr>
                <w:rFonts w:asciiTheme="minorHAnsi" w:hAnsiTheme="minorHAnsi"/>
              </w:rPr>
              <w:t>Johnson I, 1999</w:t>
            </w:r>
          </w:p>
        </w:tc>
      </w:tr>
      <w:tr w:rsidR="008635F4" w:rsidRPr="008635F4" w14:paraId="029F217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1021431"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57CD86DF" w14:textId="77777777" w:rsidR="008635F4" w:rsidRPr="00377F3A" w:rsidRDefault="008635F4" w:rsidP="00377F3A">
            <w:pPr>
              <w:pStyle w:val="TableText"/>
              <w:rPr>
                <w:rFonts w:asciiTheme="minorHAnsi" w:hAnsiTheme="minorHAnsi"/>
              </w:rPr>
            </w:pPr>
            <w:r w:rsidRPr="00377F3A">
              <w:rPr>
                <w:rFonts w:asciiTheme="minorHAnsi" w:hAnsiTheme="minorHAnsi"/>
              </w:rPr>
              <w:t>Acute oral LD50 by best line of fit was 0.4 mg/kg in male mice</w:t>
            </w:r>
          </w:p>
        </w:tc>
        <w:tc>
          <w:tcPr>
            <w:tcW w:w="1837" w:type="pct"/>
            <w:tcBorders>
              <w:top w:val="nil"/>
              <w:left w:val="nil"/>
              <w:bottom w:val="single" w:sz="4" w:space="0" w:color="auto"/>
              <w:right w:val="single" w:sz="4" w:space="0" w:color="auto"/>
            </w:tcBorders>
            <w:noWrap/>
            <w:hideMark/>
          </w:tcPr>
          <w:p w14:paraId="02BC0882" w14:textId="116EEAE7" w:rsidR="008635F4" w:rsidRPr="00377F3A" w:rsidRDefault="008635F4" w:rsidP="00377F3A">
            <w:pPr>
              <w:pStyle w:val="TableText"/>
              <w:rPr>
                <w:rFonts w:asciiTheme="minorHAnsi" w:hAnsiTheme="minorHAnsi"/>
              </w:rPr>
            </w:pPr>
            <w:r w:rsidRPr="00377F3A">
              <w:rPr>
                <w:rFonts w:asciiTheme="minorHAnsi" w:hAnsiTheme="minorHAnsi"/>
              </w:rPr>
              <w:t>Hadler M, 1974</w:t>
            </w:r>
          </w:p>
        </w:tc>
      </w:tr>
      <w:tr w:rsidR="008635F4" w:rsidRPr="008635F4" w14:paraId="48DD74A0"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DD4B671"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5467EB74" w14:textId="77777777" w:rsidR="008635F4" w:rsidRPr="00377F3A" w:rsidRDefault="008635F4" w:rsidP="00377F3A">
            <w:pPr>
              <w:pStyle w:val="TableText"/>
              <w:rPr>
                <w:rFonts w:asciiTheme="minorHAnsi" w:hAnsiTheme="minorHAnsi"/>
              </w:rPr>
            </w:pPr>
            <w:r w:rsidRPr="00377F3A">
              <w:rPr>
                <w:rFonts w:asciiTheme="minorHAnsi" w:hAnsiTheme="minorHAnsi"/>
              </w:rPr>
              <w:t>Oral LD50 for brodifacoum Block (A12720G) is &gt; 5000 mg/kg. (rat)</w:t>
            </w:r>
          </w:p>
        </w:tc>
        <w:tc>
          <w:tcPr>
            <w:tcW w:w="1837" w:type="pct"/>
            <w:tcBorders>
              <w:top w:val="nil"/>
              <w:left w:val="nil"/>
              <w:bottom w:val="single" w:sz="4" w:space="0" w:color="auto"/>
              <w:right w:val="single" w:sz="4" w:space="0" w:color="auto"/>
            </w:tcBorders>
            <w:noWrap/>
            <w:hideMark/>
          </w:tcPr>
          <w:p w14:paraId="31C0B49B" w14:textId="2E182E1A" w:rsidR="008635F4" w:rsidRPr="00377F3A" w:rsidRDefault="008635F4" w:rsidP="00377F3A">
            <w:pPr>
              <w:pStyle w:val="TableText"/>
              <w:rPr>
                <w:rFonts w:asciiTheme="minorHAnsi" w:hAnsiTheme="minorHAnsi"/>
              </w:rPr>
            </w:pPr>
            <w:r w:rsidRPr="00377F3A">
              <w:rPr>
                <w:rFonts w:asciiTheme="minorHAnsi" w:hAnsiTheme="minorHAnsi"/>
              </w:rPr>
              <w:t>Furlan M, 2012</w:t>
            </w:r>
          </w:p>
        </w:tc>
      </w:tr>
      <w:tr w:rsidR="008635F4" w:rsidRPr="008635F4" w14:paraId="28B8E51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2D0018D"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30D87FDA" w14:textId="77777777" w:rsidR="008635F4" w:rsidRPr="00377F3A" w:rsidRDefault="008635F4" w:rsidP="00377F3A">
            <w:pPr>
              <w:pStyle w:val="TableText"/>
            </w:pPr>
            <w:r w:rsidRPr="00377F3A">
              <w:t>The acute oral LD50 in male rats was 0.418 mg/kg (95% CI – 0.350 – 0.500) and 0.561 mg/kg in females (95% CI – 0.472 – 0.667). (rat)</w:t>
            </w:r>
          </w:p>
        </w:tc>
        <w:tc>
          <w:tcPr>
            <w:tcW w:w="1837" w:type="pct"/>
            <w:tcBorders>
              <w:top w:val="nil"/>
              <w:left w:val="nil"/>
              <w:bottom w:val="single" w:sz="4" w:space="0" w:color="auto"/>
              <w:right w:val="single" w:sz="4" w:space="0" w:color="auto"/>
            </w:tcBorders>
            <w:noWrap/>
            <w:hideMark/>
          </w:tcPr>
          <w:p w14:paraId="7CAD8AF5" w14:textId="45F86B8B" w:rsidR="008635F4" w:rsidRPr="00377F3A" w:rsidRDefault="008635F4" w:rsidP="00377F3A">
            <w:pPr>
              <w:pStyle w:val="TableText"/>
              <w:rPr>
                <w:rFonts w:asciiTheme="minorHAnsi" w:hAnsiTheme="minorHAnsi"/>
              </w:rPr>
            </w:pPr>
            <w:r w:rsidRPr="00377F3A">
              <w:rPr>
                <w:rFonts w:asciiTheme="minorHAnsi" w:hAnsiTheme="minorHAnsi"/>
              </w:rPr>
              <w:t>Duerden L, 1993</w:t>
            </w:r>
          </w:p>
        </w:tc>
      </w:tr>
      <w:tr w:rsidR="008635F4" w:rsidRPr="008635F4" w14:paraId="1C405A0C"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83AA383"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5C9FBCD8" w14:textId="77777777" w:rsidR="008635F4" w:rsidRPr="00377F3A" w:rsidRDefault="008635F4" w:rsidP="00377F3A">
            <w:pPr>
              <w:pStyle w:val="TableText"/>
              <w:rPr>
                <w:rFonts w:asciiTheme="minorHAnsi" w:hAnsiTheme="minorHAnsi"/>
              </w:rPr>
            </w:pPr>
            <w:r w:rsidRPr="00377F3A">
              <w:rPr>
                <w:rFonts w:asciiTheme="minorHAnsi" w:hAnsiTheme="minorHAnsi"/>
              </w:rPr>
              <w:t>Acute oral LD50 brodifacoum formulation (0.259% w/w) was estimated to be 163 mg/kg (95% CI 97 to 275) male rats and 152 mg/kg (95% CI 132 to 175).</w:t>
            </w:r>
          </w:p>
        </w:tc>
        <w:tc>
          <w:tcPr>
            <w:tcW w:w="1837" w:type="pct"/>
            <w:tcBorders>
              <w:top w:val="nil"/>
              <w:left w:val="nil"/>
              <w:bottom w:val="single" w:sz="4" w:space="0" w:color="auto"/>
              <w:right w:val="single" w:sz="4" w:space="0" w:color="auto"/>
            </w:tcBorders>
            <w:noWrap/>
            <w:hideMark/>
          </w:tcPr>
          <w:p w14:paraId="771C85A7" w14:textId="1F608E82" w:rsidR="008635F4" w:rsidRPr="00377F3A" w:rsidRDefault="008635F4" w:rsidP="00377F3A">
            <w:pPr>
              <w:pStyle w:val="TableText"/>
              <w:rPr>
                <w:rFonts w:asciiTheme="minorHAnsi" w:hAnsiTheme="minorHAnsi"/>
              </w:rPr>
            </w:pPr>
            <w:r w:rsidRPr="00377F3A">
              <w:rPr>
                <w:rFonts w:asciiTheme="minorHAnsi" w:hAnsiTheme="minorHAnsi"/>
              </w:rPr>
              <w:t>Lees D, Leah A, 1996</w:t>
            </w:r>
          </w:p>
        </w:tc>
      </w:tr>
      <w:tr w:rsidR="008635F4" w:rsidRPr="008635F4" w14:paraId="27D4EA4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6BCB33EE"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6D942CCA" w14:textId="77777777" w:rsidR="008635F4" w:rsidRPr="00377F3A" w:rsidRDefault="008635F4" w:rsidP="00377F3A">
            <w:pPr>
              <w:pStyle w:val="TableText"/>
              <w:rPr>
                <w:rFonts w:asciiTheme="minorHAnsi" w:hAnsiTheme="minorHAnsi"/>
              </w:rPr>
            </w:pPr>
            <w:r w:rsidRPr="00377F3A">
              <w:rPr>
                <w:rFonts w:asciiTheme="minorHAnsi" w:hAnsiTheme="minorHAnsi"/>
              </w:rPr>
              <w:t>Sub-acute oral LD50 for WBA 8119 is 5 X 0.06 mg/kg in males. (rat)</w:t>
            </w:r>
          </w:p>
        </w:tc>
        <w:tc>
          <w:tcPr>
            <w:tcW w:w="1837" w:type="pct"/>
            <w:tcBorders>
              <w:top w:val="nil"/>
              <w:left w:val="nil"/>
              <w:bottom w:val="single" w:sz="4" w:space="0" w:color="auto"/>
              <w:right w:val="single" w:sz="4" w:space="0" w:color="auto"/>
            </w:tcBorders>
            <w:noWrap/>
            <w:hideMark/>
          </w:tcPr>
          <w:p w14:paraId="688740FC" w14:textId="1AA83B2F" w:rsidR="008635F4" w:rsidRPr="00377F3A" w:rsidRDefault="008635F4" w:rsidP="00377F3A">
            <w:pPr>
              <w:pStyle w:val="TableText"/>
              <w:rPr>
                <w:rFonts w:asciiTheme="minorHAnsi" w:hAnsiTheme="minorHAnsi"/>
              </w:rPr>
            </w:pPr>
            <w:r w:rsidRPr="00377F3A">
              <w:rPr>
                <w:rFonts w:asciiTheme="minorHAnsi" w:hAnsiTheme="minorHAnsi"/>
              </w:rPr>
              <w:t>Hadler M, 1974</w:t>
            </w:r>
          </w:p>
        </w:tc>
      </w:tr>
      <w:tr w:rsidR="008635F4" w:rsidRPr="008635F4" w14:paraId="642094F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E2C5A65"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76949BCC"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Estimated LD50 by best line of fit by eye on log paper was 0.06 mg/kg X 5. The LAC for male rats was 0.35 mg/kg X 5. </w:t>
            </w:r>
          </w:p>
        </w:tc>
        <w:tc>
          <w:tcPr>
            <w:tcW w:w="1837" w:type="pct"/>
            <w:tcBorders>
              <w:top w:val="nil"/>
              <w:left w:val="nil"/>
              <w:bottom w:val="single" w:sz="4" w:space="0" w:color="auto"/>
              <w:right w:val="single" w:sz="4" w:space="0" w:color="auto"/>
            </w:tcBorders>
            <w:noWrap/>
            <w:hideMark/>
          </w:tcPr>
          <w:p w14:paraId="3E29C969" w14:textId="0A8E1934" w:rsidR="008635F4" w:rsidRPr="00377F3A" w:rsidRDefault="008635F4" w:rsidP="00377F3A">
            <w:pPr>
              <w:pStyle w:val="TableText"/>
              <w:rPr>
                <w:rFonts w:asciiTheme="minorHAnsi" w:hAnsiTheme="minorHAnsi"/>
              </w:rPr>
            </w:pPr>
            <w:r w:rsidRPr="00377F3A">
              <w:rPr>
                <w:rFonts w:asciiTheme="minorHAnsi" w:hAnsiTheme="minorHAnsi"/>
              </w:rPr>
              <w:t>Hadler M, 1976</w:t>
            </w:r>
          </w:p>
        </w:tc>
      </w:tr>
      <w:tr w:rsidR="008635F4" w:rsidRPr="008635F4" w14:paraId="688AECE9"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1009190"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1DDD317C"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 LD50 by best line of fit on the log for male LAC mice – 0.035 mg/kg X 5. </w:t>
            </w:r>
          </w:p>
        </w:tc>
        <w:tc>
          <w:tcPr>
            <w:tcW w:w="1837" w:type="pct"/>
            <w:tcBorders>
              <w:top w:val="nil"/>
              <w:left w:val="nil"/>
              <w:bottom w:val="single" w:sz="4" w:space="0" w:color="auto"/>
              <w:right w:val="single" w:sz="4" w:space="0" w:color="auto"/>
            </w:tcBorders>
            <w:noWrap/>
            <w:hideMark/>
          </w:tcPr>
          <w:p w14:paraId="49C0124D" w14:textId="549516D6" w:rsidR="008635F4" w:rsidRPr="00377F3A" w:rsidRDefault="008635F4" w:rsidP="00377F3A">
            <w:pPr>
              <w:pStyle w:val="TableText"/>
              <w:rPr>
                <w:rFonts w:asciiTheme="minorHAnsi" w:hAnsiTheme="minorHAnsi"/>
              </w:rPr>
            </w:pPr>
            <w:r w:rsidRPr="00377F3A">
              <w:rPr>
                <w:rFonts w:asciiTheme="minorHAnsi" w:hAnsiTheme="minorHAnsi"/>
              </w:rPr>
              <w:t>Hadler M, 1975</w:t>
            </w:r>
          </w:p>
        </w:tc>
      </w:tr>
      <w:tr w:rsidR="008635F4" w:rsidRPr="008635F4" w14:paraId="31E50D15"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4AF97CA" w14:textId="77777777" w:rsidR="008635F4" w:rsidRPr="00377F3A" w:rsidRDefault="008635F4" w:rsidP="00377F3A">
            <w:pPr>
              <w:pStyle w:val="TableText"/>
              <w:rPr>
                <w:rFonts w:asciiTheme="minorHAnsi" w:hAnsiTheme="minorHAnsi"/>
              </w:rPr>
            </w:pPr>
            <w:r w:rsidRPr="00377F3A">
              <w:rPr>
                <w:rFonts w:asciiTheme="minorHAnsi" w:hAnsiTheme="minorHAnsi"/>
              </w:rPr>
              <w:lastRenderedPageBreak/>
              <w:t>acute dermal</w:t>
            </w:r>
          </w:p>
        </w:tc>
        <w:tc>
          <w:tcPr>
            <w:tcW w:w="2188" w:type="pct"/>
            <w:tcBorders>
              <w:top w:val="nil"/>
              <w:left w:val="nil"/>
              <w:bottom w:val="single" w:sz="4" w:space="0" w:color="auto"/>
              <w:right w:val="single" w:sz="4" w:space="0" w:color="auto"/>
            </w:tcBorders>
            <w:hideMark/>
          </w:tcPr>
          <w:p w14:paraId="4F5EDE7F" w14:textId="77777777" w:rsidR="008635F4" w:rsidRPr="00377F3A" w:rsidRDefault="008635F4" w:rsidP="00377F3A">
            <w:pPr>
              <w:pStyle w:val="TableText"/>
              <w:rPr>
                <w:rFonts w:asciiTheme="minorHAnsi" w:hAnsiTheme="minorHAnsi"/>
              </w:rPr>
            </w:pPr>
            <w:r w:rsidRPr="00377F3A">
              <w:rPr>
                <w:rFonts w:asciiTheme="minorHAnsi" w:hAnsiTheme="minorHAnsi"/>
              </w:rPr>
              <w:t>The acute dermal median LD50 Brodifacoum formulation concentrate (0.25% w/w) &gt; 2000 mg/kg. (rat)</w:t>
            </w:r>
          </w:p>
        </w:tc>
        <w:tc>
          <w:tcPr>
            <w:tcW w:w="1837" w:type="pct"/>
            <w:tcBorders>
              <w:top w:val="nil"/>
              <w:left w:val="nil"/>
              <w:bottom w:val="single" w:sz="4" w:space="0" w:color="auto"/>
              <w:right w:val="single" w:sz="4" w:space="0" w:color="auto"/>
            </w:tcBorders>
            <w:noWrap/>
            <w:hideMark/>
          </w:tcPr>
          <w:p w14:paraId="058A9E3C" w14:textId="0D5D1FDE" w:rsidR="008635F4" w:rsidRPr="00377F3A" w:rsidRDefault="008635F4" w:rsidP="00377F3A">
            <w:pPr>
              <w:pStyle w:val="TableText"/>
              <w:rPr>
                <w:rFonts w:asciiTheme="minorHAnsi" w:hAnsiTheme="minorHAnsi"/>
              </w:rPr>
            </w:pPr>
            <w:r w:rsidRPr="00377F3A">
              <w:rPr>
                <w:rFonts w:asciiTheme="minorHAnsi" w:hAnsiTheme="minorHAnsi"/>
              </w:rPr>
              <w:t>Lees D, Leah A, 1996</w:t>
            </w:r>
          </w:p>
        </w:tc>
      </w:tr>
      <w:tr w:rsidR="008635F4" w:rsidRPr="008635F4" w14:paraId="1F070EA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B33BBB1"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4AB43FB4" w14:textId="77777777" w:rsidR="008635F4" w:rsidRPr="00377F3A" w:rsidRDefault="008635F4" w:rsidP="00377F3A">
            <w:pPr>
              <w:pStyle w:val="TableText"/>
              <w:rPr>
                <w:rFonts w:asciiTheme="minorHAnsi" w:hAnsiTheme="minorHAnsi"/>
              </w:rPr>
            </w:pPr>
            <w:r w:rsidRPr="00377F3A">
              <w:rPr>
                <w:rFonts w:asciiTheme="minorHAnsi" w:hAnsiTheme="minorHAnsi"/>
              </w:rPr>
              <w:t xml:space="preserve">The acute dermal LD50 in male rats was 5.21 mg/kg (95% CI – 1.95 – 13.8) and 3.16 mg/kg in females (95% CI – 1.0– 10.0). </w:t>
            </w:r>
          </w:p>
        </w:tc>
        <w:tc>
          <w:tcPr>
            <w:tcW w:w="1837" w:type="pct"/>
            <w:tcBorders>
              <w:top w:val="nil"/>
              <w:left w:val="nil"/>
              <w:bottom w:val="single" w:sz="4" w:space="0" w:color="auto"/>
              <w:right w:val="single" w:sz="4" w:space="0" w:color="auto"/>
            </w:tcBorders>
            <w:noWrap/>
            <w:hideMark/>
          </w:tcPr>
          <w:p w14:paraId="7FFCC463" w14:textId="2E77F692" w:rsidR="008635F4" w:rsidRPr="00377F3A" w:rsidRDefault="008635F4" w:rsidP="00377F3A">
            <w:pPr>
              <w:pStyle w:val="TableText"/>
              <w:rPr>
                <w:rFonts w:asciiTheme="minorHAnsi" w:hAnsiTheme="minorHAnsi"/>
              </w:rPr>
            </w:pPr>
            <w:r w:rsidRPr="00377F3A">
              <w:rPr>
                <w:rFonts w:asciiTheme="minorHAnsi" w:hAnsiTheme="minorHAnsi"/>
              </w:rPr>
              <w:t>McCall J, Leah A, 1991</w:t>
            </w:r>
          </w:p>
        </w:tc>
      </w:tr>
      <w:tr w:rsidR="008635F4" w:rsidRPr="008635F4" w14:paraId="3E0F72E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6CCA5D9B"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2A75F8F3" w14:textId="77777777" w:rsidR="008635F4" w:rsidRPr="00377F3A" w:rsidRDefault="008635F4" w:rsidP="00377F3A">
            <w:pPr>
              <w:pStyle w:val="TableText"/>
              <w:rPr>
                <w:rFonts w:asciiTheme="minorHAnsi" w:hAnsiTheme="minorHAnsi"/>
              </w:rPr>
            </w:pPr>
            <w:r w:rsidRPr="00377F3A">
              <w:rPr>
                <w:rFonts w:asciiTheme="minorHAnsi" w:hAnsiTheme="minorHAnsi"/>
              </w:rPr>
              <w:t>Acute dermal LD50 for 3-(4’-Bromobiphenyl 4-yl)-1-tetralol is &gt;1000 mg/kg. (rat)</w:t>
            </w:r>
          </w:p>
        </w:tc>
        <w:tc>
          <w:tcPr>
            <w:tcW w:w="1837" w:type="pct"/>
            <w:tcBorders>
              <w:top w:val="nil"/>
              <w:left w:val="nil"/>
              <w:bottom w:val="single" w:sz="4" w:space="0" w:color="auto"/>
              <w:right w:val="single" w:sz="4" w:space="0" w:color="auto"/>
            </w:tcBorders>
            <w:noWrap/>
            <w:hideMark/>
          </w:tcPr>
          <w:p w14:paraId="0ADC3CA6" w14:textId="34E0054A" w:rsidR="008635F4" w:rsidRPr="00377F3A" w:rsidRDefault="008635F4" w:rsidP="00377F3A">
            <w:pPr>
              <w:pStyle w:val="TableText"/>
              <w:rPr>
                <w:rFonts w:asciiTheme="minorHAnsi" w:hAnsiTheme="minorHAnsi"/>
              </w:rPr>
            </w:pPr>
            <w:r w:rsidRPr="00377F3A">
              <w:rPr>
                <w:rFonts w:asciiTheme="minorHAnsi" w:hAnsiTheme="minorHAnsi"/>
              </w:rPr>
              <w:t>Hadler M, 1978</w:t>
            </w:r>
          </w:p>
        </w:tc>
      </w:tr>
      <w:tr w:rsidR="008635F4" w:rsidRPr="008635F4" w14:paraId="31A1801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1B74C59"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1FF8E307" w14:textId="2CD49CB7" w:rsidR="008635F4" w:rsidRPr="00377F3A" w:rsidRDefault="008635F4" w:rsidP="00377F3A">
            <w:pPr>
              <w:pStyle w:val="TableText"/>
              <w:rPr>
                <w:rFonts w:asciiTheme="minorHAnsi" w:hAnsiTheme="minorHAnsi"/>
              </w:rPr>
            </w:pPr>
            <w:r w:rsidRPr="00377F3A">
              <w:rPr>
                <w:rFonts w:asciiTheme="minorHAnsi" w:hAnsiTheme="minorHAnsi"/>
              </w:rPr>
              <w:t xml:space="preserve"> WBA 8119 has demonstrated a high acute dermal </w:t>
            </w:r>
            <w:r w:rsidR="0017134F" w:rsidRPr="00377F3A">
              <w:rPr>
                <w:rFonts w:asciiTheme="minorHAnsi" w:hAnsiTheme="minorHAnsi"/>
              </w:rPr>
              <w:t>toxicity. (</w:t>
            </w:r>
            <w:r w:rsidRPr="00377F3A">
              <w:rPr>
                <w:rFonts w:asciiTheme="minorHAnsi" w:hAnsiTheme="minorHAnsi"/>
              </w:rPr>
              <w:t>rat)</w:t>
            </w:r>
          </w:p>
        </w:tc>
        <w:tc>
          <w:tcPr>
            <w:tcW w:w="1837" w:type="pct"/>
            <w:tcBorders>
              <w:top w:val="nil"/>
              <w:left w:val="nil"/>
              <w:bottom w:val="single" w:sz="4" w:space="0" w:color="auto"/>
              <w:right w:val="single" w:sz="4" w:space="0" w:color="auto"/>
            </w:tcBorders>
            <w:noWrap/>
            <w:hideMark/>
          </w:tcPr>
          <w:p w14:paraId="2A2A3E37" w14:textId="244619EA" w:rsidR="008635F4" w:rsidRPr="00377F3A" w:rsidRDefault="008635F4" w:rsidP="00377F3A">
            <w:pPr>
              <w:pStyle w:val="TableText"/>
              <w:rPr>
                <w:rFonts w:asciiTheme="minorHAnsi" w:hAnsiTheme="minorHAnsi"/>
              </w:rPr>
            </w:pPr>
            <w:r w:rsidRPr="00377F3A">
              <w:rPr>
                <w:rFonts w:asciiTheme="minorHAnsi" w:hAnsiTheme="minorHAnsi"/>
              </w:rPr>
              <w:t>Hadler M, 1976</w:t>
            </w:r>
          </w:p>
        </w:tc>
      </w:tr>
      <w:tr w:rsidR="008635F4" w:rsidRPr="008635F4" w14:paraId="3797A7B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BBB264E" w14:textId="77777777" w:rsidR="008635F4" w:rsidRPr="00377F3A" w:rsidRDefault="008635F4" w:rsidP="00377F3A">
            <w:pPr>
              <w:pStyle w:val="TableText"/>
              <w:rPr>
                <w:rFonts w:asciiTheme="minorHAnsi" w:hAnsiTheme="minorHAnsi"/>
              </w:rPr>
            </w:pPr>
            <w:r w:rsidRPr="00377F3A">
              <w:rPr>
                <w:rFonts w:asciiTheme="minorHAnsi" w:hAnsiTheme="minorHAnsi"/>
              </w:rPr>
              <w:t>Inhalation</w:t>
            </w:r>
          </w:p>
        </w:tc>
        <w:tc>
          <w:tcPr>
            <w:tcW w:w="2188" w:type="pct"/>
            <w:tcBorders>
              <w:top w:val="nil"/>
              <w:left w:val="nil"/>
              <w:bottom w:val="single" w:sz="4" w:space="0" w:color="auto"/>
              <w:right w:val="single" w:sz="4" w:space="0" w:color="auto"/>
            </w:tcBorders>
            <w:hideMark/>
          </w:tcPr>
          <w:p w14:paraId="75B94A29" w14:textId="77777777" w:rsidR="008635F4" w:rsidRPr="00377F3A" w:rsidRDefault="008635F4" w:rsidP="00377F3A">
            <w:pPr>
              <w:pStyle w:val="TableText"/>
              <w:rPr>
                <w:rFonts w:asciiTheme="minorHAnsi" w:hAnsiTheme="minorHAnsi"/>
              </w:rPr>
            </w:pPr>
            <w:r w:rsidRPr="00377F3A">
              <w:rPr>
                <w:rFonts w:asciiTheme="minorHAnsi" w:hAnsiTheme="minorHAnsi"/>
              </w:rPr>
              <w:t>The 4 hour LC 50 for brodifacoum was 4.86 µg/L (mg/m3) for male and 3.05 µg/L (mg/m3) for female. (rat)</w:t>
            </w:r>
          </w:p>
        </w:tc>
        <w:tc>
          <w:tcPr>
            <w:tcW w:w="1837" w:type="pct"/>
            <w:tcBorders>
              <w:top w:val="nil"/>
              <w:left w:val="nil"/>
              <w:bottom w:val="single" w:sz="4" w:space="0" w:color="auto"/>
              <w:right w:val="single" w:sz="4" w:space="0" w:color="auto"/>
            </w:tcBorders>
            <w:noWrap/>
            <w:hideMark/>
          </w:tcPr>
          <w:p w14:paraId="605F0034" w14:textId="7749621C" w:rsidR="008635F4" w:rsidRPr="00377F3A" w:rsidRDefault="008635F4" w:rsidP="00377F3A">
            <w:pPr>
              <w:pStyle w:val="TableText"/>
              <w:rPr>
                <w:rFonts w:asciiTheme="minorHAnsi" w:hAnsiTheme="minorHAnsi"/>
              </w:rPr>
            </w:pPr>
            <w:r w:rsidRPr="00377F3A">
              <w:rPr>
                <w:rFonts w:asciiTheme="minorHAnsi" w:hAnsiTheme="minorHAnsi"/>
              </w:rPr>
              <w:t>R Parr-Dobrzanski, 1993</w:t>
            </w:r>
          </w:p>
        </w:tc>
      </w:tr>
      <w:tr w:rsidR="008635F4" w:rsidRPr="008635F4" w14:paraId="0C6AAF21"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00A666F" w14:textId="77777777" w:rsidR="008635F4" w:rsidRPr="00377F3A" w:rsidRDefault="008635F4" w:rsidP="00377F3A">
            <w:pPr>
              <w:pStyle w:val="TableText"/>
              <w:rPr>
                <w:rFonts w:asciiTheme="minorHAnsi" w:hAnsiTheme="minorHAnsi"/>
              </w:rPr>
            </w:pPr>
            <w:r w:rsidRPr="00377F3A">
              <w:rPr>
                <w:rFonts w:asciiTheme="minorHAnsi" w:hAnsiTheme="minorHAnsi"/>
              </w:rPr>
              <w:t>Inhalation</w:t>
            </w:r>
          </w:p>
        </w:tc>
        <w:tc>
          <w:tcPr>
            <w:tcW w:w="2188" w:type="pct"/>
            <w:tcBorders>
              <w:top w:val="nil"/>
              <w:left w:val="nil"/>
              <w:bottom w:val="single" w:sz="4" w:space="0" w:color="auto"/>
              <w:right w:val="single" w:sz="4" w:space="0" w:color="auto"/>
            </w:tcBorders>
            <w:hideMark/>
          </w:tcPr>
          <w:p w14:paraId="3A087E53" w14:textId="77777777" w:rsidR="008635F4" w:rsidRPr="00377F3A" w:rsidRDefault="008635F4" w:rsidP="00377F3A">
            <w:pPr>
              <w:pStyle w:val="TableText"/>
              <w:rPr>
                <w:rFonts w:asciiTheme="minorHAnsi" w:hAnsiTheme="minorHAnsi"/>
              </w:rPr>
            </w:pPr>
            <w:r w:rsidRPr="00377F3A">
              <w:rPr>
                <w:rFonts w:asciiTheme="minorHAnsi" w:hAnsiTheme="minorHAnsi"/>
              </w:rPr>
              <w:t>LC50 for delayed death lies between 0.62 to 4.5 mg/m3. (rat)</w:t>
            </w:r>
          </w:p>
        </w:tc>
        <w:tc>
          <w:tcPr>
            <w:tcW w:w="1837" w:type="pct"/>
            <w:tcBorders>
              <w:top w:val="nil"/>
              <w:left w:val="nil"/>
              <w:bottom w:val="single" w:sz="4" w:space="0" w:color="auto"/>
              <w:right w:val="single" w:sz="4" w:space="0" w:color="auto"/>
            </w:tcBorders>
            <w:noWrap/>
            <w:hideMark/>
          </w:tcPr>
          <w:p w14:paraId="72E3135C" w14:textId="7020633E" w:rsidR="008635F4" w:rsidRPr="00377F3A" w:rsidRDefault="008635F4" w:rsidP="00377F3A">
            <w:pPr>
              <w:pStyle w:val="TableText"/>
              <w:rPr>
                <w:rFonts w:asciiTheme="minorHAnsi" w:hAnsiTheme="minorHAnsi"/>
              </w:rPr>
            </w:pPr>
            <w:r w:rsidRPr="00377F3A">
              <w:rPr>
                <w:rFonts w:asciiTheme="minorHAnsi" w:hAnsiTheme="minorHAnsi"/>
              </w:rPr>
              <w:t>Buch S, 1979</w:t>
            </w:r>
          </w:p>
        </w:tc>
      </w:tr>
      <w:tr w:rsidR="008635F4" w:rsidRPr="008635F4" w14:paraId="13401DE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3CD3E75" w14:textId="77777777" w:rsidR="008635F4" w:rsidRPr="00377F3A" w:rsidRDefault="008635F4" w:rsidP="00377F3A">
            <w:pPr>
              <w:pStyle w:val="TableText"/>
              <w:rPr>
                <w:rFonts w:asciiTheme="minorHAnsi" w:hAnsiTheme="minorHAnsi"/>
              </w:rPr>
            </w:pPr>
            <w:r w:rsidRPr="00377F3A">
              <w:rPr>
                <w:rFonts w:asciiTheme="minorHAnsi" w:hAnsiTheme="minorHAnsi"/>
              </w:rPr>
              <w:t>Inhalation</w:t>
            </w:r>
          </w:p>
        </w:tc>
        <w:tc>
          <w:tcPr>
            <w:tcW w:w="2188" w:type="pct"/>
            <w:tcBorders>
              <w:top w:val="nil"/>
              <w:left w:val="nil"/>
              <w:bottom w:val="single" w:sz="4" w:space="0" w:color="auto"/>
              <w:right w:val="single" w:sz="4" w:space="0" w:color="auto"/>
            </w:tcBorders>
            <w:hideMark/>
          </w:tcPr>
          <w:p w14:paraId="23E1F48F" w14:textId="40A86743" w:rsidR="008635F4" w:rsidRPr="00377F3A" w:rsidRDefault="008635F4" w:rsidP="00377F3A">
            <w:pPr>
              <w:pStyle w:val="TableText"/>
              <w:rPr>
                <w:rFonts w:asciiTheme="minorHAnsi" w:hAnsiTheme="minorHAnsi"/>
              </w:rPr>
            </w:pPr>
            <w:r w:rsidRPr="00377F3A">
              <w:rPr>
                <w:rFonts w:asciiTheme="minorHAnsi" w:hAnsiTheme="minorHAnsi"/>
              </w:rPr>
              <w:t>The formulations tested are nontoxic by inhalation at the concentration tested. (rat)</w:t>
            </w:r>
          </w:p>
        </w:tc>
        <w:tc>
          <w:tcPr>
            <w:tcW w:w="1837" w:type="pct"/>
            <w:tcBorders>
              <w:top w:val="nil"/>
              <w:left w:val="nil"/>
              <w:bottom w:val="single" w:sz="4" w:space="0" w:color="auto"/>
              <w:right w:val="single" w:sz="4" w:space="0" w:color="auto"/>
            </w:tcBorders>
            <w:noWrap/>
            <w:hideMark/>
          </w:tcPr>
          <w:p w14:paraId="2E6FD4B6" w14:textId="0EAE8652" w:rsidR="008635F4" w:rsidRPr="00377F3A" w:rsidRDefault="008635F4" w:rsidP="00377F3A">
            <w:pPr>
              <w:pStyle w:val="TableText"/>
              <w:rPr>
                <w:rFonts w:asciiTheme="minorHAnsi" w:hAnsiTheme="minorHAnsi"/>
              </w:rPr>
            </w:pPr>
            <w:r w:rsidRPr="00377F3A">
              <w:rPr>
                <w:rFonts w:asciiTheme="minorHAnsi" w:hAnsiTheme="minorHAnsi"/>
              </w:rPr>
              <w:t>Vernall A, Culleton C, 1978</w:t>
            </w:r>
          </w:p>
        </w:tc>
      </w:tr>
      <w:tr w:rsidR="008635F4" w:rsidRPr="008635F4" w14:paraId="7E6517D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DC76A27"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06402819" w14:textId="77777777" w:rsidR="008635F4" w:rsidRPr="00377F3A" w:rsidRDefault="008635F4" w:rsidP="00377F3A">
            <w:pPr>
              <w:pStyle w:val="TableText"/>
              <w:rPr>
                <w:rFonts w:asciiTheme="minorHAnsi" w:hAnsiTheme="minorHAnsi"/>
              </w:rPr>
            </w:pPr>
            <w:r w:rsidRPr="00377F3A">
              <w:rPr>
                <w:rFonts w:asciiTheme="minorHAnsi" w:hAnsiTheme="minorHAnsi"/>
              </w:rPr>
              <w:t>LD 50 from the trial 2 was 3.56 mg/kg (95% CI 2.13 to 6.03 mg/kg) and for trial 1 LD 50 was 1.09 mg/kg (95% CI 0.49 – 2.24 mg/kg). (dog)</w:t>
            </w:r>
          </w:p>
        </w:tc>
        <w:tc>
          <w:tcPr>
            <w:tcW w:w="1837" w:type="pct"/>
            <w:tcBorders>
              <w:top w:val="nil"/>
              <w:left w:val="nil"/>
              <w:bottom w:val="single" w:sz="4" w:space="0" w:color="auto"/>
              <w:right w:val="single" w:sz="4" w:space="0" w:color="auto"/>
            </w:tcBorders>
            <w:noWrap/>
            <w:hideMark/>
          </w:tcPr>
          <w:p w14:paraId="664EF6F6" w14:textId="03F8B282" w:rsidR="008635F4" w:rsidRPr="00377F3A" w:rsidRDefault="008635F4" w:rsidP="00377F3A">
            <w:pPr>
              <w:pStyle w:val="TableText"/>
              <w:rPr>
                <w:rFonts w:asciiTheme="minorHAnsi" w:hAnsiTheme="minorHAnsi"/>
              </w:rPr>
            </w:pPr>
            <w:r w:rsidRPr="00377F3A">
              <w:rPr>
                <w:rFonts w:asciiTheme="minorHAnsi" w:hAnsiTheme="minorHAnsi"/>
              </w:rPr>
              <w:t>Godfrey M, Reid T, McAllum, 1981</w:t>
            </w:r>
          </w:p>
        </w:tc>
      </w:tr>
      <w:tr w:rsidR="008635F4" w:rsidRPr="008635F4" w14:paraId="0BC6CDC7"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74FFF67" w14:textId="77777777" w:rsidR="008635F4" w:rsidRPr="00377F3A" w:rsidRDefault="008635F4" w:rsidP="00377F3A">
            <w:pPr>
              <w:pStyle w:val="TableText"/>
              <w:rPr>
                <w:rFonts w:asciiTheme="minorHAnsi" w:hAnsiTheme="minorHAnsi"/>
              </w:rPr>
            </w:pPr>
            <w:r w:rsidRPr="00377F3A">
              <w:rPr>
                <w:rFonts w:asciiTheme="minorHAnsi" w:hAnsiTheme="minorHAnsi"/>
              </w:rPr>
              <w:t>n/a</w:t>
            </w:r>
          </w:p>
        </w:tc>
        <w:tc>
          <w:tcPr>
            <w:tcW w:w="2188" w:type="pct"/>
            <w:tcBorders>
              <w:top w:val="nil"/>
              <w:left w:val="nil"/>
              <w:bottom w:val="single" w:sz="4" w:space="0" w:color="auto"/>
              <w:right w:val="single" w:sz="4" w:space="0" w:color="auto"/>
            </w:tcBorders>
            <w:hideMark/>
          </w:tcPr>
          <w:p w14:paraId="2305CEBD" w14:textId="77777777" w:rsidR="008635F4" w:rsidRPr="00377F3A" w:rsidRDefault="008635F4" w:rsidP="00377F3A">
            <w:pPr>
              <w:pStyle w:val="TableText"/>
              <w:rPr>
                <w:rFonts w:asciiTheme="minorHAnsi" w:hAnsiTheme="minorHAnsi"/>
              </w:rPr>
            </w:pPr>
            <w:r w:rsidRPr="00377F3A">
              <w:rPr>
                <w:rFonts w:asciiTheme="minorHAnsi" w:hAnsiTheme="minorHAnsi"/>
              </w:rPr>
              <w:t>Not relevant to human health assessment as related to mode of action. (dog)</w:t>
            </w:r>
          </w:p>
        </w:tc>
        <w:tc>
          <w:tcPr>
            <w:tcW w:w="1837" w:type="pct"/>
            <w:tcBorders>
              <w:top w:val="nil"/>
              <w:left w:val="nil"/>
              <w:bottom w:val="single" w:sz="4" w:space="0" w:color="auto"/>
              <w:right w:val="single" w:sz="4" w:space="0" w:color="auto"/>
            </w:tcBorders>
            <w:noWrap/>
            <w:hideMark/>
          </w:tcPr>
          <w:p w14:paraId="30D8E49B" w14:textId="4240BB3F" w:rsidR="008635F4" w:rsidRPr="00377F3A" w:rsidRDefault="008635F4" w:rsidP="00377F3A">
            <w:pPr>
              <w:pStyle w:val="TableText"/>
              <w:rPr>
                <w:rFonts w:asciiTheme="minorHAnsi" w:hAnsiTheme="minorHAnsi"/>
              </w:rPr>
            </w:pPr>
            <w:r w:rsidRPr="00377F3A">
              <w:rPr>
                <w:rFonts w:asciiTheme="minorHAnsi" w:hAnsiTheme="minorHAnsi"/>
              </w:rPr>
              <w:t>Chart I, 1986</w:t>
            </w:r>
          </w:p>
        </w:tc>
      </w:tr>
      <w:tr w:rsidR="008635F4" w:rsidRPr="008635F4" w14:paraId="4FB6FDD6"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64D0F8FF"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3FED4732" w14:textId="77777777" w:rsidR="008635F4" w:rsidRPr="00377F3A" w:rsidRDefault="008635F4" w:rsidP="00377F3A">
            <w:pPr>
              <w:pStyle w:val="TableText"/>
              <w:rPr>
                <w:rFonts w:asciiTheme="minorHAnsi" w:hAnsiTheme="minorHAnsi"/>
              </w:rPr>
            </w:pPr>
            <w:r w:rsidRPr="00377F3A">
              <w:rPr>
                <w:rFonts w:asciiTheme="minorHAnsi" w:hAnsiTheme="minorHAnsi"/>
              </w:rPr>
              <w:t>LD 50 - 11.6 mg/kg based on dosing at 1.56 - 12.5 mg/kg (sheep)</w:t>
            </w:r>
          </w:p>
        </w:tc>
        <w:tc>
          <w:tcPr>
            <w:tcW w:w="1837" w:type="pct"/>
            <w:tcBorders>
              <w:top w:val="nil"/>
              <w:left w:val="nil"/>
              <w:bottom w:val="single" w:sz="4" w:space="0" w:color="auto"/>
              <w:right w:val="single" w:sz="4" w:space="0" w:color="auto"/>
            </w:tcBorders>
            <w:noWrap/>
            <w:hideMark/>
          </w:tcPr>
          <w:p w14:paraId="0CD12CF9" w14:textId="15926112" w:rsidR="008635F4" w:rsidRPr="00377F3A" w:rsidRDefault="008635F4" w:rsidP="00377F3A">
            <w:pPr>
              <w:pStyle w:val="TableText"/>
              <w:rPr>
                <w:rFonts w:asciiTheme="minorHAnsi" w:hAnsiTheme="minorHAnsi"/>
              </w:rPr>
            </w:pPr>
            <w:r w:rsidRPr="00377F3A">
              <w:rPr>
                <w:rFonts w:asciiTheme="minorHAnsi" w:hAnsiTheme="minorHAnsi"/>
              </w:rPr>
              <w:t>Godfrey M, Laas F, Rammell C, 1985</w:t>
            </w:r>
          </w:p>
        </w:tc>
      </w:tr>
      <w:tr w:rsidR="008635F4" w:rsidRPr="008635F4" w14:paraId="797CDB7C"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A34C91E"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16145D97" w14:textId="77777777" w:rsidR="008635F4" w:rsidRPr="00377F3A" w:rsidRDefault="008635F4" w:rsidP="00377F3A">
            <w:pPr>
              <w:pStyle w:val="TableText"/>
              <w:rPr>
                <w:rFonts w:asciiTheme="minorHAnsi" w:hAnsiTheme="minorHAnsi"/>
              </w:rPr>
            </w:pPr>
            <w:r w:rsidRPr="00377F3A">
              <w:rPr>
                <w:rFonts w:asciiTheme="minorHAnsi" w:hAnsiTheme="minorHAnsi"/>
              </w:rPr>
              <w:t>LD50 &gt; 25 mg/kg (sheep)</w:t>
            </w:r>
          </w:p>
        </w:tc>
        <w:tc>
          <w:tcPr>
            <w:tcW w:w="1837" w:type="pct"/>
            <w:tcBorders>
              <w:top w:val="nil"/>
              <w:left w:val="nil"/>
              <w:bottom w:val="single" w:sz="4" w:space="0" w:color="auto"/>
              <w:right w:val="single" w:sz="4" w:space="0" w:color="auto"/>
            </w:tcBorders>
            <w:noWrap/>
            <w:hideMark/>
          </w:tcPr>
          <w:p w14:paraId="26572D98" w14:textId="1D4E3459" w:rsidR="008635F4" w:rsidRPr="00377F3A" w:rsidRDefault="008635F4" w:rsidP="00377F3A">
            <w:pPr>
              <w:pStyle w:val="TableText"/>
            </w:pPr>
            <w:r w:rsidRPr="00377F3A">
              <w:rPr>
                <w:rFonts w:asciiTheme="minorHAnsi" w:hAnsiTheme="minorHAnsi"/>
              </w:rPr>
              <w:t>Parkinson G, 1976</w:t>
            </w:r>
          </w:p>
        </w:tc>
      </w:tr>
      <w:tr w:rsidR="008635F4" w:rsidRPr="008635F4" w14:paraId="158E132E"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5FD17E3"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198A326A" w14:textId="77777777" w:rsidR="008635F4" w:rsidRPr="00377F3A" w:rsidRDefault="008635F4" w:rsidP="00377F3A">
            <w:pPr>
              <w:pStyle w:val="TableText"/>
              <w:rPr>
                <w:rFonts w:asciiTheme="minorHAnsi" w:hAnsiTheme="minorHAnsi"/>
              </w:rPr>
            </w:pPr>
            <w:r w:rsidRPr="00377F3A">
              <w:rPr>
                <w:rFonts w:asciiTheme="minorHAnsi" w:hAnsiTheme="minorHAnsi"/>
              </w:rPr>
              <w:t>The LD50 was not possible as the cohort of animals was too small therefore LD50 of WBA8119 in pigs was in the range of 0.5 to 2.0 mg/kg. (pig)</w:t>
            </w:r>
          </w:p>
        </w:tc>
        <w:tc>
          <w:tcPr>
            <w:tcW w:w="1837" w:type="pct"/>
            <w:tcBorders>
              <w:top w:val="nil"/>
              <w:left w:val="nil"/>
              <w:bottom w:val="single" w:sz="4" w:space="0" w:color="auto"/>
              <w:right w:val="single" w:sz="4" w:space="0" w:color="auto"/>
            </w:tcBorders>
            <w:noWrap/>
            <w:hideMark/>
          </w:tcPr>
          <w:p w14:paraId="65BCC2E7" w14:textId="5B887275" w:rsidR="008635F4" w:rsidRPr="00377F3A" w:rsidRDefault="008635F4" w:rsidP="00377F3A">
            <w:pPr>
              <w:pStyle w:val="TableText"/>
              <w:rPr>
                <w:rFonts w:asciiTheme="minorHAnsi" w:hAnsiTheme="minorHAnsi"/>
              </w:rPr>
            </w:pPr>
            <w:r w:rsidRPr="00377F3A">
              <w:t>Ross D, Roberts N, 1976</w:t>
            </w:r>
          </w:p>
        </w:tc>
      </w:tr>
      <w:tr w:rsidR="008635F4" w:rsidRPr="008635F4" w14:paraId="2AF2F2A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6827779" w14:textId="77777777" w:rsidR="008635F4" w:rsidRPr="00377F3A" w:rsidRDefault="008635F4" w:rsidP="00377F3A">
            <w:pPr>
              <w:pStyle w:val="TableText"/>
              <w:rPr>
                <w:rFonts w:asciiTheme="minorHAnsi" w:hAnsiTheme="minorHAnsi"/>
              </w:rPr>
            </w:pPr>
            <w:r w:rsidRPr="00377F3A">
              <w:rPr>
                <w:rFonts w:asciiTheme="minorHAnsi" w:hAnsiTheme="minorHAnsi"/>
              </w:rPr>
              <w:t>sub-acute oral</w:t>
            </w:r>
          </w:p>
        </w:tc>
        <w:tc>
          <w:tcPr>
            <w:tcW w:w="2188" w:type="pct"/>
            <w:tcBorders>
              <w:top w:val="nil"/>
              <w:left w:val="nil"/>
              <w:bottom w:val="single" w:sz="4" w:space="0" w:color="auto"/>
              <w:right w:val="single" w:sz="4" w:space="0" w:color="auto"/>
            </w:tcBorders>
            <w:hideMark/>
          </w:tcPr>
          <w:p w14:paraId="562E136E" w14:textId="77777777" w:rsidR="008635F4" w:rsidRPr="00377F3A" w:rsidRDefault="008635F4" w:rsidP="00377F3A">
            <w:pPr>
              <w:pStyle w:val="TableText"/>
              <w:rPr>
                <w:rFonts w:asciiTheme="minorHAnsi" w:hAnsiTheme="minorHAnsi"/>
              </w:rPr>
            </w:pPr>
            <w:r w:rsidRPr="00377F3A">
              <w:rPr>
                <w:rFonts w:asciiTheme="minorHAnsi" w:hAnsiTheme="minorHAnsi"/>
              </w:rPr>
              <w:t>Total 2.63 mg of WBA8119 was consumed by male rats.</w:t>
            </w:r>
          </w:p>
        </w:tc>
        <w:tc>
          <w:tcPr>
            <w:tcW w:w="1837" w:type="pct"/>
            <w:tcBorders>
              <w:top w:val="nil"/>
              <w:left w:val="nil"/>
              <w:bottom w:val="single" w:sz="4" w:space="0" w:color="auto"/>
              <w:right w:val="single" w:sz="4" w:space="0" w:color="auto"/>
            </w:tcBorders>
            <w:noWrap/>
            <w:hideMark/>
          </w:tcPr>
          <w:p w14:paraId="40AC3ED3" w14:textId="20C45497" w:rsidR="008635F4" w:rsidRPr="00377F3A" w:rsidRDefault="008635F4" w:rsidP="00377F3A">
            <w:pPr>
              <w:pStyle w:val="TableText"/>
              <w:rPr>
                <w:rFonts w:asciiTheme="minorHAnsi" w:hAnsiTheme="minorHAnsi"/>
              </w:rPr>
            </w:pPr>
            <w:r w:rsidRPr="00377F3A">
              <w:rPr>
                <w:rFonts w:asciiTheme="minorHAnsi" w:hAnsiTheme="minorHAnsi"/>
              </w:rPr>
              <w:t>Hadler M, 1976</w:t>
            </w:r>
          </w:p>
        </w:tc>
      </w:tr>
      <w:tr w:rsidR="008635F4" w:rsidRPr="008635F4" w14:paraId="3C95D94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553CDE1" w14:textId="56DC7E51" w:rsidR="008635F4" w:rsidRPr="00377F3A" w:rsidRDefault="007C622F" w:rsidP="00377F3A">
            <w:pPr>
              <w:pStyle w:val="TableText"/>
              <w:rPr>
                <w:rFonts w:asciiTheme="minorHAnsi" w:hAnsiTheme="minorHAnsi"/>
              </w:rPr>
            </w:pPr>
            <w:r>
              <w:t>90-day feeding</w:t>
            </w:r>
          </w:p>
        </w:tc>
        <w:tc>
          <w:tcPr>
            <w:tcW w:w="2188" w:type="pct"/>
            <w:tcBorders>
              <w:top w:val="nil"/>
              <w:left w:val="nil"/>
              <w:bottom w:val="single" w:sz="4" w:space="0" w:color="auto"/>
              <w:right w:val="single" w:sz="4" w:space="0" w:color="auto"/>
            </w:tcBorders>
            <w:hideMark/>
          </w:tcPr>
          <w:p w14:paraId="3B0E0914" w14:textId="77777777" w:rsidR="008635F4" w:rsidRPr="00377F3A" w:rsidRDefault="008635F4" w:rsidP="00377F3A">
            <w:pPr>
              <w:pStyle w:val="TableText"/>
              <w:rPr>
                <w:rFonts w:asciiTheme="minorHAnsi" w:hAnsiTheme="minorHAnsi"/>
              </w:rPr>
            </w:pPr>
            <w:r w:rsidRPr="00377F3A">
              <w:rPr>
                <w:rFonts w:asciiTheme="minorHAnsi" w:hAnsiTheme="minorHAnsi"/>
              </w:rPr>
              <w:t>NOEL is 0.02 ppm and LOEL is 0.08 ppm brodifacoum. Corresponding to 1 and 4 microgram/kg bw/day (rat)</w:t>
            </w:r>
          </w:p>
        </w:tc>
        <w:tc>
          <w:tcPr>
            <w:tcW w:w="1837" w:type="pct"/>
            <w:tcBorders>
              <w:top w:val="nil"/>
              <w:left w:val="nil"/>
              <w:bottom w:val="single" w:sz="4" w:space="0" w:color="auto"/>
              <w:right w:val="single" w:sz="4" w:space="0" w:color="auto"/>
            </w:tcBorders>
            <w:noWrap/>
            <w:hideMark/>
          </w:tcPr>
          <w:p w14:paraId="247F2407" w14:textId="05AB5B99" w:rsidR="008635F4" w:rsidRPr="00377F3A" w:rsidRDefault="008635F4" w:rsidP="00377F3A">
            <w:pPr>
              <w:pStyle w:val="TableText"/>
              <w:rPr>
                <w:rFonts w:asciiTheme="minorHAnsi" w:hAnsiTheme="minorHAnsi"/>
              </w:rPr>
            </w:pPr>
            <w:r w:rsidRPr="00377F3A">
              <w:rPr>
                <w:rFonts w:asciiTheme="minorHAnsi" w:hAnsiTheme="minorHAnsi"/>
              </w:rPr>
              <w:t xml:space="preserve">Batten P, </w:t>
            </w:r>
            <w:r w:rsidR="00B7183A" w:rsidRPr="00B7183A">
              <w:rPr>
                <w:i/>
                <w:iCs/>
              </w:rPr>
              <w:t>et al</w:t>
            </w:r>
            <w:r w:rsidR="007C622F">
              <w:t>.,</w:t>
            </w:r>
            <w:r w:rsidRPr="00377F3A">
              <w:rPr>
                <w:rFonts w:asciiTheme="minorHAnsi" w:hAnsiTheme="minorHAnsi"/>
              </w:rPr>
              <w:t xml:space="preserve"> 1984</w:t>
            </w:r>
          </w:p>
        </w:tc>
      </w:tr>
      <w:tr w:rsidR="008635F4" w:rsidRPr="008635F4" w14:paraId="2A0F4DC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BBCCC6F" w14:textId="77777777" w:rsidR="008635F4" w:rsidRPr="00377F3A" w:rsidRDefault="008635F4" w:rsidP="00377F3A">
            <w:pPr>
              <w:pStyle w:val="TableText"/>
              <w:rPr>
                <w:rFonts w:asciiTheme="minorHAnsi" w:hAnsiTheme="minorHAnsi"/>
              </w:rPr>
            </w:pPr>
            <w:r w:rsidRPr="00377F3A">
              <w:rPr>
                <w:rFonts w:asciiTheme="minorHAnsi" w:hAnsiTheme="minorHAnsi"/>
              </w:rPr>
              <w:lastRenderedPageBreak/>
              <w:t>Mutagenicity</w:t>
            </w:r>
          </w:p>
        </w:tc>
        <w:tc>
          <w:tcPr>
            <w:tcW w:w="2188" w:type="pct"/>
            <w:tcBorders>
              <w:top w:val="nil"/>
              <w:left w:val="nil"/>
              <w:bottom w:val="single" w:sz="4" w:space="0" w:color="auto"/>
              <w:right w:val="single" w:sz="4" w:space="0" w:color="auto"/>
            </w:tcBorders>
            <w:hideMark/>
          </w:tcPr>
          <w:p w14:paraId="74FBAA25" w14:textId="77777777" w:rsidR="008635F4" w:rsidRPr="00377F3A" w:rsidRDefault="008635F4" w:rsidP="00377F3A">
            <w:pPr>
              <w:pStyle w:val="TableText"/>
              <w:rPr>
                <w:rFonts w:asciiTheme="minorHAnsi" w:hAnsiTheme="minorHAnsi"/>
              </w:rPr>
            </w:pPr>
            <w:r w:rsidRPr="00377F3A">
              <w:rPr>
                <w:rFonts w:asciiTheme="minorHAnsi" w:hAnsiTheme="minorHAnsi"/>
              </w:rPr>
              <w:t>Non toxic and Non Mutagenic (cultured human lymphocytes)</w:t>
            </w:r>
          </w:p>
        </w:tc>
        <w:tc>
          <w:tcPr>
            <w:tcW w:w="1837" w:type="pct"/>
            <w:tcBorders>
              <w:top w:val="nil"/>
              <w:left w:val="nil"/>
              <w:bottom w:val="single" w:sz="4" w:space="0" w:color="auto"/>
              <w:right w:val="single" w:sz="4" w:space="0" w:color="auto"/>
            </w:tcBorders>
            <w:noWrap/>
            <w:hideMark/>
          </w:tcPr>
          <w:p w14:paraId="75BB35E3" w14:textId="4B6F0DED" w:rsidR="008635F4" w:rsidRPr="00377F3A" w:rsidRDefault="008635F4" w:rsidP="00377F3A">
            <w:pPr>
              <w:pStyle w:val="TableText"/>
              <w:rPr>
                <w:rFonts w:asciiTheme="minorHAnsi" w:hAnsiTheme="minorHAnsi"/>
              </w:rPr>
            </w:pPr>
            <w:r w:rsidRPr="00377F3A">
              <w:rPr>
                <w:rFonts w:asciiTheme="minorHAnsi" w:hAnsiTheme="minorHAnsi"/>
              </w:rPr>
              <w:t>Mellano D, Berruto G, 1984</w:t>
            </w:r>
          </w:p>
        </w:tc>
      </w:tr>
      <w:tr w:rsidR="008635F4" w:rsidRPr="008635F4" w14:paraId="7DDB286E"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826F4E7" w14:textId="77777777" w:rsidR="008635F4" w:rsidRPr="00377F3A" w:rsidRDefault="008635F4" w:rsidP="00377F3A">
            <w:pPr>
              <w:pStyle w:val="TableText"/>
              <w:rPr>
                <w:rFonts w:asciiTheme="minorHAnsi" w:hAnsiTheme="minorHAnsi"/>
              </w:rPr>
            </w:pPr>
            <w:r w:rsidRPr="00377F3A">
              <w:rPr>
                <w:rFonts w:asciiTheme="minorHAnsi" w:hAnsiTheme="minorHAnsi"/>
              </w:rPr>
              <w:t>Mutagenicity</w:t>
            </w:r>
          </w:p>
        </w:tc>
        <w:tc>
          <w:tcPr>
            <w:tcW w:w="2188" w:type="pct"/>
            <w:tcBorders>
              <w:top w:val="nil"/>
              <w:left w:val="nil"/>
              <w:bottom w:val="single" w:sz="4" w:space="0" w:color="auto"/>
              <w:right w:val="single" w:sz="4" w:space="0" w:color="auto"/>
            </w:tcBorders>
            <w:hideMark/>
          </w:tcPr>
          <w:p w14:paraId="798E0B32" w14:textId="19E5A412" w:rsidR="008635F4" w:rsidRPr="00377F3A" w:rsidRDefault="008635F4" w:rsidP="00377F3A">
            <w:pPr>
              <w:pStyle w:val="TableText"/>
              <w:rPr>
                <w:rFonts w:asciiTheme="minorHAnsi" w:hAnsiTheme="minorHAnsi"/>
              </w:rPr>
            </w:pPr>
            <w:r w:rsidRPr="00377F3A">
              <w:rPr>
                <w:rFonts w:asciiTheme="minorHAnsi" w:hAnsiTheme="minorHAnsi"/>
              </w:rPr>
              <w:t xml:space="preserve">Not to be clastogenic to human lymphocytes </w:t>
            </w:r>
            <w:r w:rsidR="00B0231D" w:rsidRPr="00B0231D">
              <w:rPr>
                <w:rFonts w:asciiTheme="minorHAnsi" w:hAnsiTheme="minorHAnsi"/>
                <w:i/>
                <w:iCs/>
              </w:rPr>
              <w:t>in vitro</w:t>
            </w:r>
          </w:p>
        </w:tc>
        <w:tc>
          <w:tcPr>
            <w:tcW w:w="1837" w:type="pct"/>
            <w:tcBorders>
              <w:top w:val="nil"/>
              <w:left w:val="nil"/>
              <w:bottom w:val="single" w:sz="4" w:space="0" w:color="auto"/>
              <w:right w:val="single" w:sz="4" w:space="0" w:color="auto"/>
            </w:tcBorders>
            <w:noWrap/>
            <w:hideMark/>
          </w:tcPr>
          <w:p w14:paraId="59506FBA" w14:textId="1110613F" w:rsidR="008635F4" w:rsidRPr="00377F3A" w:rsidRDefault="008635F4" w:rsidP="00377F3A">
            <w:pPr>
              <w:pStyle w:val="TableText"/>
              <w:rPr>
                <w:rFonts w:asciiTheme="minorHAnsi" w:hAnsiTheme="minorHAnsi"/>
              </w:rPr>
            </w:pPr>
            <w:r w:rsidRPr="00377F3A">
              <w:rPr>
                <w:rFonts w:asciiTheme="minorHAnsi" w:hAnsiTheme="minorHAnsi"/>
              </w:rPr>
              <w:t>Mackay J, 1990</w:t>
            </w:r>
          </w:p>
        </w:tc>
      </w:tr>
      <w:tr w:rsidR="008635F4" w:rsidRPr="008635F4" w14:paraId="4AC2536D"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BAAF972" w14:textId="77777777" w:rsidR="008635F4" w:rsidRPr="00377F3A" w:rsidRDefault="008635F4" w:rsidP="00377F3A">
            <w:pPr>
              <w:pStyle w:val="TableText"/>
              <w:rPr>
                <w:rFonts w:asciiTheme="minorHAnsi" w:hAnsiTheme="minorHAnsi"/>
              </w:rPr>
            </w:pPr>
            <w:r w:rsidRPr="00377F3A">
              <w:rPr>
                <w:rFonts w:asciiTheme="minorHAnsi" w:hAnsiTheme="minorHAnsi"/>
              </w:rPr>
              <w:t>Mutagenicity</w:t>
            </w:r>
          </w:p>
        </w:tc>
        <w:tc>
          <w:tcPr>
            <w:tcW w:w="2188" w:type="pct"/>
            <w:tcBorders>
              <w:top w:val="nil"/>
              <w:left w:val="nil"/>
              <w:bottom w:val="single" w:sz="4" w:space="0" w:color="auto"/>
              <w:right w:val="single" w:sz="4" w:space="0" w:color="auto"/>
            </w:tcBorders>
            <w:hideMark/>
          </w:tcPr>
          <w:p w14:paraId="4930836C" w14:textId="77777777" w:rsidR="008635F4" w:rsidRPr="00377F3A" w:rsidRDefault="008635F4" w:rsidP="00377F3A">
            <w:pPr>
              <w:pStyle w:val="TableText"/>
              <w:rPr>
                <w:rFonts w:asciiTheme="minorHAnsi" w:hAnsiTheme="minorHAnsi"/>
              </w:rPr>
            </w:pPr>
            <w:r w:rsidRPr="00377F3A">
              <w:rPr>
                <w:rFonts w:asciiTheme="minorHAnsi" w:hAnsiTheme="minorHAnsi"/>
              </w:rPr>
              <w:t>Negative and non-mutagenic. (salmonella)</w:t>
            </w:r>
          </w:p>
        </w:tc>
        <w:tc>
          <w:tcPr>
            <w:tcW w:w="1837" w:type="pct"/>
            <w:tcBorders>
              <w:top w:val="nil"/>
              <w:left w:val="nil"/>
              <w:bottom w:val="single" w:sz="4" w:space="0" w:color="auto"/>
              <w:right w:val="single" w:sz="4" w:space="0" w:color="auto"/>
            </w:tcBorders>
            <w:noWrap/>
            <w:hideMark/>
          </w:tcPr>
          <w:p w14:paraId="652EAD7C" w14:textId="176D04AB" w:rsidR="008635F4" w:rsidRPr="00377F3A" w:rsidRDefault="008635F4" w:rsidP="00377F3A">
            <w:pPr>
              <w:pStyle w:val="TableText"/>
              <w:rPr>
                <w:rFonts w:asciiTheme="minorHAnsi" w:hAnsiTheme="minorHAnsi"/>
              </w:rPr>
            </w:pPr>
            <w:r w:rsidRPr="00377F3A">
              <w:rPr>
                <w:rFonts w:asciiTheme="minorHAnsi" w:hAnsiTheme="minorHAnsi"/>
              </w:rPr>
              <w:t>Callander R, 1983</w:t>
            </w:r>
          </w:p>
        </w:tc>
      </w:tr>
      <w:tr w:rsidR="008635F4" w:rsidRPr="008635F4" w14:paraId="067EE2D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C074D39" w14:textId="77777777" w:rsidR="008635F4" w:rsidRPr="00377F3A" w:rsidRDefault="008635F4" w:rsidP="00377F3A">
            <w:pPr>
              <w:pStyle w:val="TableText"/>
              <w:rPr>
                <w:rFonts w:asciiTheme="minorHAnsi" w:hAnsiTheme="minorHAnsi"/>
              </w:rPr>
            </w:pPr>
            <w:r w:rsidRPr="00377F3A">
              <w:rPr>
                <w:rFonts w:asciiTheme="minorHAnsi" w:hAnsiTheme="minorHAnsi"/>
              </w:rPr>
              <w:t>Teratogenicity</w:t>
            </w:r>
          </w:p>
        </w:tc>
        <w:tc>
          <w:tcPr>
            <w:tcW w:w="2188" w:type="pct"/>
            <w:tcBorders>
              <w:top w:val="nil"/>
              <w:left w:val="nil"/>
              <w:bottom w:val="single" w:sz="4" w:space="0" w:color="auto"/>
              <w:right w:val="single" w:sz="4" w:space="0" w:color="auto"/>
            </w:tcBorders>
            <w:hideMark/>
          </w:tcPr>
          <w:p w14:paraId="5F2A4844" w14:textId="77777777" w:rsidR="008635F4" w:rsidRPr="00377F3A" w:rsidRDefault="008635F4" w:rsidP="00377F3A">
            <w:pPr>
              <w:pStyle w:val="TableText"/>
              <w:rPr>
                <w:rFonts w:asciiTheme="minorHAnsi" w:hAnsiTheme="minorHAnsi"/>
              </w:rPr>
            </w:pPr>
            <w:r w:rsidRPr="00377F3A">
              <w:rPr>
                <w:rFonts w:asciiTheme="minorHAnsi" w:hAnsiTheme="minorHAnsi"/>
              </w:rPr>
              <w:t>LOEL: 0.02 mg/kg/day (rat)</w:t>
            </w:r>
          </w:p>
        </w:tc>
        <w:tc>
          <w:tcPr>
            <w:tcW w:w="1837" w:type="pct"/>
            <w:tcBorders>
              <w:top w:val="nil"/>
              <w:left w:val="nil"/>
              <w:bottom w:val="single" w:sz="4" w:space="0" w:color="auto"/>
              <w:right w:val="single" w:sz="4" w:space="0" w:color="auto"/>
            </w:tcBorders>
            <w:noWrap/>
            <w:hideMark/>
          </w:tcPr>
          <w:p w14:paraId="74233A42" w14:textId="05C2C0B0" w:rsidR="008635F4" w:rsidRPr="00377F3A" w:rsidRDefault="008635F4" w:rsidP="00377F3A">
            <w:pPr>
              <w:pStyle w:val="TableText"/>
              <w:rPr>
                <w:rFonts w:asciiTheme="minorHAnsi" w:hAnsiTheme="minorHAnsi"/>
              </w:rPr>
            </w:pPr>
            <w:r w:rsidRPr="00377F3A">
              <w:rPr>
                <w:rFonts w:asciiTheme="minorHAnsi" w:hAnsiTheme="minorHAnsi"/>
              </w:rPr>
              <w:t>Hodge M, Banham P, Richards D, Weight T, Wilson J, 1980</w:t>
            </w:r>
          </w:p>
        </w:tc>
      </w:tr>
      <w:tr w:rsidR="008635F4" w:rsidRPr="008635F4" w14:paraId="04FB0F42"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CD175D3"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1AA1F513" w14:textId="77777777" w:rsidR="008635F4" w:rsidRPr="00377F3A" w:rsidRDefault="008635F4" w:rsidP="00377F3A">
            <w:pPr>
              <w:pStyle w:val="TableText"/>
              <w:rPr>
                <w:rFonts w:asciiTheme="minorHAnsi" w:hAnsiTheme="minorHAnsi"/>
              </w:rPr>
            </w:pPr>
            <w:r w:rsidRPr="00377F3A">
              <w:rPr>
                <w:rFonts w:asciiTheme="minorHAnsi" w:hAnsiTheme="minorHAnsi"/>
              </w:rPr>
              <w:t>the LD50 for Brodifacoum 0.25% in female rat was between 100 to 150 mg/kg and male rats 150 to 225 mg/kg.</w:t>
            </w:r>
          </w:p>
        </w:tc>
        <w:tc>
          <w:tcPr>
            <w:tcW w:w="1837" w:type="pct"/>
            <w:tcBorders>
              <w:top w:val="nil"/>
              <w:left w:val="nil"/>
              <w:bottom w:val="single" w:sz="4" w:space="0" w:color="auto"/>
              <w:right w:val="single" w:sz="4" w:space="0" w:color="auto"/>
            </w:tcBorders>
            <w:noWrap/>
            <w:hideMark/>
          </w:tcPr>
          <w:p w14:paraId="52439013" w14:textId="5302D898" w:rsidR="008635F4" w:rsidRPr="00377F3A" w:rsidRDefault="008635F4" w:rsidP="00377F3A">
            <w:pPr>
              <w:pStyle w:val="TableText"/>
              <w:rPr>
                <w:rFonts w:asciiTheme="minorHAnsi" w:hAnsiTheme="minorHAnsi"/>
              </w:rPr>
            </w:pPr>
            <w:r w:rsidRPr="00377F3A">
              <w:rPr>
                <w:rFonts w:asciiTheme="minorHAnsi" w:hAnsiTheme="minorHAnsi"/>
              </w:rPr>
              <w:t>anon, 1996a</w:t>
            </w:r>
          </w:p>
        </w:tc>
      </w:tr>
      <w:tr w:rsidR="008635F4" w:rsidRPr="008635F4" w14:paraId="09087C71"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E850F19"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41A10DCB" w14:textId="77777777" w:rsidR="008635F4" w:rsidRPr="00377F3A" w:rsidRDefault="008635F4" w:rsidP="00377F3A">
            <w:pPr>
              <w:pStyle w:val="TableText"/>
              <w:rPr>
                <w:rFonts w:asciiTheme="minorHAnsi" w:hAnsiTheme="minorHAnsi"/>
              </w:rPr>
            </w:pPr>
            <w:r w:rsidRPr="00377F3A">
              <w:rPr>
                <w:rFonts w:asciiTheme="minorHAnsi" w:hAnsiTheme="minorHAnsi"/>
              </w:rPr>
              <w:t>not irritant for the skin (rabbits)</w:t>
            </w:r>
          </w:p>
        </w:tc>
        <w:tc>
          <w:tcPr>
            <w:tcW w:w="1837" w:type="pct"/>
            <w:tcBorders>
              <w:top w:val="nil"/>
              <w:left w:val="nil"/>
              <w:bottom w:val="single" w:sz="4" w:space="0" w:color="auto"/>
              <w:right w:val="single" w:sz="4" w:space="0" w:color="auto"/>
            </w:tcBorders>
            <w:noWrap/>
            <w:hideMark/>
          </w:tcPr>
          <w:p w14:paraId="5A9B0B2C" w14:textId="2EAE70BA" w:rsidR="008635F4" w:rsidRPr="00377F3A" w:rsidRDefault="008635F4" w:rsidP="00377F3A">
            <w:pPr>
              <w:pStyle w:val="TableText"/>
              <w:rPr>
                <w:rFonts w:asciiTheme="minorHAnsi" w:hAnsiTheme="minorHAnsi"/>
              </w:rPr>
            </w:pPr>
            <w:r w:rsidRPr="00377F3A">
              <w:rPr>
                <w:rFonts w:asciiTheme="minorHAnsi" w:hAnsiTheme="minorHAnsi"/>
              </w:rPr>
              <w:t>anon, 1996c</w:t>
            </w:r>
          </w:p>
        </w:tc>
      </w:tr>
      <w:tr w:rsidR="008635F4" w:rsidRPr="008635F4" w14:paraId="34DFB62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259AAC48" w14:textId="1C0A5054" w:rsidR="008635F4" w:rsidRPr="00377F3A" w:rsidRDefault="008635F4" w:rsidP="00377F3A">
            <w:pPr>
              <w:pStyle w:val="TableText"/>
              <w:rPr>
                <w:rFonts w:asciiTheme="minorHAnsi" w:hAnsiTheme="minorHAnsi"/>
              </w:rPr>
            </w:pPr>
            <w:r w:rsidRPr="00377F3A">
              <w:rPr>
                <w:rFonts w:asciiTheme="minorHAnsi" w:hAnsiTheme="minorHAnsi"/>
              </w:rPr>
              <w:t xml:space="preserve">acute eye </w:t>
            </w:r>
            <w:r w:rsidRPr="00377F3A">
              <w:t>irritation</w:t>
            </w:r>
          </w:p>
        </w:tc>
        <w:tc>
          <w:tcPr>
            <w:tcW w:w="2188" w:type="pct"/>
            <w:tcBorders>
              <w:top w:val="nil"/>
              <w:left w:val="nil"/>
              <w:bottom w:val="single" w:sz="4" w:space="0" w:color="auto"/>
              <w:right w:val="single" w:sz="4" w:space="0" w:color="auto"/>
            </w:tcBorders>
            <w:hideMark/>
          </w:tcPr>
          <w:p w14:paraId="39D00698" w14:textId="738CF277" w:rsidR="008635F4" w:rsidRPr="00377F3A" w:rsidRDefault="008635F4" w:rsidP="00377F3A">
            <w:pPr>
              <w:pStyle w:val="TableText"/>
              <w:rPr>
                <w:rFonts w:asciiTheme="minorHAnsi" w:hAnsiTheme="minorHAnsi"/>
              </w:rPr>
            </w:pPr>
            <w:r w:rsidRPr="00377F3A">
              <w:rPr>
                <w:rFonts w:asciiTheme="minorHAnsi" w:hAnsiTheme="minorHAnsi"/>
              </w:rPr>
              <w:t>Not a irritant. (rabbits)</w:t>
            </w:r>
          </w:p>
        </w:tc>
        <w:tc>
          <w:tcPr>
            <w:tcW w:w="1837" w:type="pct"/>
            <w:tcBorders>
              <w:top w:val="nil"/>
              <w:left w:val="nil"/>
              <w:bottom w:val="single" w:sz="4" w:space="0" w:color="auto"/>
              <w:right w:val="single" w:sz="4" w:space="0" w:color="auto"/>
            </w:tcBorders>
            <w:noWrap/>
            <w:hideMark/>
          </w:tcPr>
          <w:p w14:paraId="7C99D726" w14:textId="02D8C045" w:rsidR="008635F4" w:rsidRPr="00377F3A" w:rsidRDefault="008635F4" w:rsidP="00377F3A">
            <w:pPr>
              <w:pStyle w:val="TableText"/>
              <w:rPr>
                <w:rFonts w:asciiTheme="minorHAnsi" w:hAnsiTheme="minorHAnsi"/>
              </w:rPr>
            </w:pPr>
            <w:r w:rsidRPr="00377F3A">
              <w:rPr>
                <w:rFonts w:asciiTheme="minorHAnsi" w:hAnsiTheme="minorHAnsi"/>
              </w:rPr>
              <w:t>anon, 1996d</w:t>
            </w:r>
          </w:p>
        </w:tc>
      </w:tr>
      <w:tr w:rsidR="008635F4" w:rsidRPr="008635F4" w14:paraId="48BE8431"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55BDEFF" w14:textId="77777777" w:rsidR="008635F4" w:rsidRPr="00377F3A" w:rsidRDefault="008635F4" w:rsidP="00377F3A">
            <w:pPr>
              <w:pStyle w:val="TableText"/>
              <w:rPr>
                <w:rFonts w:asciiTheme="minorHAnsi" w:hAnsiTheme="minorHAnsi"/>
              </w:rPr>
            </w:pPr>
            <w:r w:rsidRPr="00377F3A">
              <w:rPr>
                <w:rFonts w:asciiTheme="minorHAnsi" w:hAnsiTheme="minorHAnsi"/>
              </w:rPr>
              <w:t>skin sensitisation</w:t>
            </w:r>
          </w:p>
        </w:tc>
        <w:tc>
          <w:tcPr>
            <w:tcW w:w="2188" w:type="pct"/>
            <w:tcBorders>
              <w:top w:val="nil"/>
              <w:left w:val="nil"/>
              <w:bottom w:val="single" w:sz="4" w:space="0" w:color="auto"/>
              <w:right w:val="single" w:sz="4" w:space="0" w:color="auto"/>
            </w:tcBorders>
            <w:hideMark/>
          </w:tcPr>
          <w:p w14:paraId="30869489" w14:textId="77777777" w:rsidR="008635F4" w:rsidRPr="00377F3A" w:rsidRDefault="008635F4" w:rsidP="00377F3A">
            <w:pPr>
              <w:pStyle w:val="TableText"/>
              <w:rPr>
                <w:rFonts w:asciiTheme="minorHAnsi" w:hAnsiTheme="minorHAnsi"/>
              </w:rPr>
            </w:pPr>
            <w:r w:rsidRPr="00377F3A">
              <w:rPr>
                <w:rFonts w:asciiTheme="minorHAnsi" w:hAnsiTheme="minorHAnsi"/>
              </w:rPr>
              <w:t>Brodifacoum 0.25% is not considered to be a contact sensitiser. (guinea pigs)</w:t>
            </w:r>
          </w:p>
        </w:tc>
        <w:tc>
          <w:tcPr>
            <w:tcW w:w="1837" w:type="pct"/>
            <w:tcBorders>
              <w:top w:val="nil"/>
              <w:left w:val="nil"/>
              <w:bottom w:val="single" w:sz="4" w:space="0" w:color="auto"/>
              <w:right w:val="single" w:sz="4" w:space="0" w:color="auto"/>
            </w:tcBorders>
            <w:noWrap/>
            <w:hideMark/>
          </w:tcPr>
          <w:p w14:paraId="35FD1294" w14:textId="60DC7D4E" w:rsidR="008635F4" w:rsidRPr="00377F3A" w:rsidRDefault="008635F4" w:rsidP="00377F3A">
            <w:pPr>
              <w:pStyle w:val="TableText"/>
              <w:rPr>
                <w:rFonts w:asciiTheme="minorHAnsi" w:hAnsiTheme="minorHAnsi"/>
              </w:rPr>
            </w:pPr>
            <w:r w:rsidRPr="00377F3A">
              <w:rPr>
                <w:rFonts w:asciiTheme="minorHAnsi" w:hAnsiTheme="minorHAnsi"/>
              </w:rPr>
              <w:t>anon, 1996e</w:t>
            </w:r>
          </w:p>
        </w:tc>
      </w:tr>
      <w:tr w:rsidR="008635F4" w:rsidRPr="008635F4" w14:paraId="16E7F432"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FE23021" w14:textId="7C4017F1" w:rsidR="008635F4" w:rsidRPr="00377F3A" w:rsidRDefault="007C622F" w:rsidP="00377F3A">
            <w:pPr>
              <w:pStyle w:val="TableText"/>
              <w:rPr>
                <w:rFonts w:asciiTheme="minorHAnsi" w:hAnsiTheme="minorHAnsi"/>
              </w:rPr>
            </w:pPr>
            <w:r>
              <w:t>90-day feeding</w:t>
            </w:r>
          </w:p>
        </w:tc>
        <w:tc>
          <w:tcPr>
            <w:tcW w:w="2188" w:type="pct"/>
            <w:tcBorders>
              <w:top w:val="nil"/>
              <w:left w:val="nil"/>
              <w:bottom w:val="single" w:sz="4" w:space="0" w:color="auto"/>
              <w:right w:val="single" w:sz="4" w:space="0" w:color="auto"/>
            </w:tcBorders>
            <w:hideMark/>
          </w:tcPr>
          <w:p w14:paraId="335D4425" w14:textId="77777777" w:rsidR="008635F4" w:rsidRPr="00377F3A" w:rsidRDefault="008635F4" w:rsidP="00377F3A">
            <w:pPr>
              <w:pStyle w:val="TableText"/>
            </w:pPr>
            <w:r w:rsidRPr="00377F3A">
              <w:t>The no-observable effect level for brodifacoum is 0.04 mg/kg/day for male rats (cumulative dose over 90-days is 3.6 mg/kg) and 0.08 mg/kg/day for female rats (cumulative dose over 90-days is 7.2 mg/kg).</w:t>
            </w:r>
          </w:p>
        </w:tc>
        <w:tc>
          <w:tcPr>
            <w:tcW w:w="1837" w:type="pct"/>
            <w:tcBorders>
              <w:top w:val="nil"/>
              <w:left w:val="nil"/>
              <w:bottom w:val="single" w:sz="4" w:space="0" w:color="auto"/>
              <w:right w:val="single" w:sz="4" w:space="0" w:color="auto"/>
            </w:tcBorders>
            <w:noWrap/>
            <w:hideMark/>
          </w:tcPr>
          <w:p w14:paraId="1C0C1756" w14:textId="331F91A5" w:rsidR="008635F4" w:rsidRPr="00377F3A" w:rsidRDefault="008635F4" w:rsidP="00377F3A">
            <w:pPr>
              <w:pStyle w:val="TableText"/>
              <w:rPr>
                <w:rFonts w:asciiTheme="minorHAnsi" w:hAnsiTheme="minorHAnsi"/>
              </w:rPr>
            </w:pPr>
            <w:r w:rsidRPr="00377F3A">
              <w:rPr>
                <w:rFonts w:asciiTheme="minorHAnsi" w:hAnsiTheme="minorHAnsi"/>
              </w:rPr>
              <w:t>anon, 1995a</w:t>
            </w:r>
          </w:p>
        </w:tc>
      </w:tr>
      <w:tr w:rsidR="008635F4" w:rsidRPr="008635F4" w14:paraId="53AD711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B8FCD3F" w14:textId="77777777" w:rsidR="008635F4" w:rsidRPr="00377F3A" w:rsidRDefault="008635F4" w:rsidP="00377F3A">
            <w:pPr>
              <w:pStyle w:val="TableText"/>
              <w:rPr>
                <w:rFonts w:asciiTheme="minorHAnsi" w:hAnsiTheme="minorHAnsi"/>
              </w:rPr>
            </w:pPr>
            <w:r w:rsidRPr="00377F3A">
              <w:rPr>
                <w:rFonts w:asciiTheme="minorHAnsi" w:hAnsiTheme="minorHAnsi"/>
              </w:rPr>
              <w:t>developmental toxicity</w:t>
            </w:r>
          </w:p>
        </w:tc>
        <w:tc>
          <w:tcPr>
            <w:tcW w:w="2188" w:type="pct"/>
            <w:tcBorders>
              <w:top w:val="nil"/>
              <w:left w:val="nil"/>
              <w:bottom w:val="single" w:sz="4" w:space="0" w:color="auto"/>
              <w:right w:val="single" w:sz="4" w:space="0" w:color="auto"/>
            </w:tcBorders>
            <w:hideMark/>
          </w:tcPr>
          <w:p w14:paraId="36C1D4BC" w14:textId="77777777" w:rsidR="008635F4" w:rsidRPr="00377F3A" w:rsidRDefault="008635F4" w:rsidP="00377F3A">
            <w:pPr>
              <w:pStyle w:val="TableText"/>
            </w:pPr>
            <w:r w:rsidRPr="00377F3A">
              <w:t>the no-observed effect level (NOEL) for maternal toxicity in this study was 0.04 mg brodifacoum/kg/day and the NOEL for developmental toxicity was also 0.04 mg brodifacoum/kg/day.(rat)</w:t>
            </w:r>
          </w:p>
        </w:tc>
        <w:tc>
          <w:tcPr>
            <w:tcW w:w="1837" w:type="pct"/>
            <w:tcBorders>
              <w:top w:val="nil"/>
              <w:left w:val="nil"/>
              <w:bottom w:val="single" w:sz="4" w:space="0" w:color="auto"/>
              <w:right w:val="single" w:sz="4" w:space="0" w:color="auto"/>
            </w:tcBorders>
            <w:noWrap/>
            <w:hideMark/>
          </w:tcPr>
          <w:p w14:paraId="450B0AE3" w14:textId="2C25AE14" w:rsidR="008635F4" w:rsidRPr="00377F3A" w:rsidRDefault="008635F4" w:rsidP="00377F3A">
            <w:pPr>
              <w:pStyle w:val="TableText"/>
              <w:rPr>
                <w:rFonts w:asciiTheme="minorHAnsi" w:hAnsiTheme="minorHAnsi"/>
              </w:rPr>
            </w:pPr>
            <w:r w:rsidRPr="00377F3A">
              <w:rPr>
                <w:rFonts w:asciiTheme="minorHAnsi" w:hAnsiTheme="minorHAnsi"/>
              </w:rPr>
              <w:t>anon, 1995b</w:t>
            </w:r>
          </w:p>
        </w:tc>
      </w:tr>
      <w:tr w:rsidR="008635F4" w:rsidRPr="008635F4" w14:paraId="7ECEA88B"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3FD87C43" w14:textId="77777777" w:rsidR="008635F4" w:rsidRPr="00377F3A" w:rsidRDefault="008635F4" w:rsidP="00377F3A">
            <w:pPr>
              <w:pStyle w:val="TableText"/>
              <w:rPr>
                <w:rFonts w:asciiTheme="minorHAnsi" w:hAnsiTheme="minorHAnsi"/>
              </w:rPr>
            </w:pPr>
            <w:r w:rsidRPr="00377F3A">
              <w:rPr>
                <w:rFonts w:asciiTheme="minorHAnsi" w:hAnsiTheme="minorHAnsi"/>
              </w:rPr>
              <w:t>developmental toxicity</w:t>
            </w:r>
          </w:p>
        </w:tc>
        <w:tc>
          <w:tcPr>
            <w:tcW w:w="2188" w:type="pct"/>
            <w:tcBorders>
              <w:top w:val="nil"/>
              <w:left w:val="nil"/>
              <w:bottom w:val="single" w:sz="4" w:space="0" w:color="auto"/>
              <w:right w:val="single" w:sz="4" w:space="0" w:color="auto"/>
            </w:tcBorders>
            <w:hideMark/>
          </w:tcPr>
          <w:p w14:paraId="6F23E84F" w14:textId="77777777" w:rsidR="008635F4" w:rsidRPr="00377F3A" w:rsidRDefault="008635F4" w:rsidP="00377F3A">
            <w:pPr>
              <w:pStyle w:val="TableText"/>
            </w:pPr>
            <w:r w:rsidRPr="00377F3A">
              <w:t>The no-observed effect level (NOEL) for maternal toxicity in the current study was 0.004 mg brodifacoum/kg/day at the NOEL for developmental toxicity was 0.004 mg brodifacoum/kg/day. (rabbit)</w:t>
            </w:r>
          </w:p>
        </w:tc>
        <w:tc>
          <w:tcPr>
            <w:tcW w:w="1837" w:type="pct"/>
            <w:tcBorders>
              <w:top w:val="nil"/>
              <w:left w:val="nil"/>
              <w:bottom w:val="single" w:sz="4" w:space="0" w:color="auto"/>
              <w:right w:val="single" w:sz="4" w:space="0" w:color="auto"/>
            </w:tcBorders>
            <w:noWrap/>
            <w:hideMark/>
          </w:tcPr>
          <w:p w14:paraId="4F9413F6" w14:textId="17ACA9A1" w:rsidR="008635F4" w:rsidRPr="00377F3A" w:rsidRDefault="008635F4" w:rsidP="00377F3A">
            <w:pPr>
              <w:pStyle w:val="TableText"/>
              <w:rPr>
                <w:rFonts w:asciiTheme="minorHAnsi" w:hAnsiTheme="minorHAnsi"/>
              </w:rPr>
            </w:pPr>
            <w:r w:rsidRPr="00377F3A">
              <w:rPr>
                <w:rFonts w:asciiTheme="minorHAnsi" w:hAnsiTheme="minorHAnsi"/>
              </w:rPr>
              <w:t>anon, 1995c</w:t>
            </w:r>
          </w:p>
        </w:tc>
      </w:tr>
      <w:tr w:rsidR="008635F4" w:rsidRPr="008635F4" w14:paraId="347EE40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924D714" w14:textId="77777777" w:rsidR="008635F4" w:rsidRPr="00377F3A" w:rsidRDefault="008635F4" w:rsidP="00377F3A">
            <w:pPr>
              <w:pStyle w:val="TableText"/>
              <w:rPr>
                <w:rFonts w:asciiTheme="minorHAnsi" w:hAnsiTheme="minorHAnsi"/>
              </w:rPr>
            </w:pPr>
            <w:r w:rsidRPr="00377F3A">
              <w:rPr>
                <w:rFonts w:asciiTheme="minorHAnsi" w:hAnsiTheme="minorHAnsi"/>
              </w:rPr>
              <w:t>skin sensitisation</w:t>
            </w:r>
          </w:p>
        </w:tc>
        <w:tc>
          <w:tcPr>
            <w:tcW w:w="2188" w:type="pct"/>
            <w:tcBorders>
              <w:top w:val="nil"/>
              <w:left w:val="nil"/>
              <w:bottom w:val="single" w:sz="4" w:space="0" w:color="auto"/>
              <w:right w:val="single" w:sz="4" w:space="0" w:color="auto"/>
            </w:tcBorders>
            <w:hideMark/>
          </w:tcPr>
          <w:p w14:paraId="755BFA65" w14:textId="77777777" w:rsidR="008635F4" w:rsidRPr="00377F3A" w:rsidRDefault="008635F4" w:rsidP="00377F3A">
            <w:pPr>
              <w:pStyle w:val="TableText"/>
            </w:pPr>
            <w:r w:rsidRPr="00377F3A">
              <w:t>Not a skin sensitizer (mouse)</w:t>
            </w:r>
          </w:p>
        </w:tc>
        <w:tc>
          <w:tcPr>
            <w:tcW w:w="1837" w:type="pct"/>
            <w:tcBorders>
              <w:top w:val="nil"/>
              <w:left w:val="nil"/>
              <w:bottom w:val="single" w:sz="4" w:space="0" w:color="auto"/>
              <w:right w:val="single" w:sz="4" w:space="0" w:color="auto"/>
            </w:tcBorders>
            <w:noWrap/>
            <w:hideMark/>
          </w:tcPr>
          <w:p w14:paraId="64A1F69D" w14:textId="16EC39E0" w:rsidR="008635F4" w:rsidRPr="00377F3A" w:rsidRDefault="008635F4" w:rsidP="00377F3A">
            <w:pPr>
              <w:pStyle w:val="TableText"/>
              <w:rPr>
                <w:rFonts w:asciiTheme="minorHAnsi" w:hAnsiTheme="minorHAnsi"/>
              </w:rPr>
            </w:pPr>
            <w:r w:rsidRPr="00377F3A">
              <w:rPr>
                <w:rFonts w:asciiTheme="minorHAnsi" w:hAnsiTheme="minorHAnsi"/>
              </w:rPr>
              <w:t>anon, 2006</w:t>
            </w:r>
          </w:p>
        </w:tc>
      </w:tr>
      <w:tr w:rsidR="008635F4" w:rsidRPr="008635F4" w14:paraId="1E3BA19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02FF28E8" w14:textId="77777777" w:rsidR="008635F4" w:rsidRPr="00377F3A" w:rsidRDefault="008635F4" w:rsidP="00377F3A">
            <w:pPr>
              <w:pStyle w:val="TableText"/>
              <w:rPr>
                <w:rFonts w:asciiTheme="minorHAnsi" w:hAnsiTheme="minorHAnsi"/>
              </w:rPr>
            </w:pPr>
            <w:r w:rsidRPr="00377F3A">
              <w:rPr>
                <w:rFonts w:asciiTheme="minorHAnsi" w:hAnsiTheme="minorHAnsi"/>
              </w:rPr>
              <w:t>acute skin irritation</w:t>
            </w:r>
          </w:p>
        </w:tc>
        <w:tc>
          <w:tcPr>
            <w:tcW w:w="2188" w:type="pct"/>
            <w:tcBorders>
              <w:top w:val="nil"/>
              <w:left w:val="nil"/>
              <w:bottom w:val="single" w:sz="4" w:space="0" w:color="auto"/>
              <w:right w:val="single" w:sz="4" w:space="0" w:color="auto"/>
            </w:tcBorders>
            <w:hideMark/>
          </w:tcPr>
          <w:p w14:paraId="11D0F485" w14:textId="77777777" w:rsidR="008635F4" w:rsidRPr="00377F3A" w:rsidRDefault="008635F4" w:rsidP="00377F3A">
            <w:pPr>
              <w:pStyle w:val="TableText"/>
            </w:pPr>
            <w:r w:rsidRPr="00377F3A">
              <w:t>Not a irritant (rabbit)</w:t>
            </w:r>
          </w:p>
        </w:tc>
        <w:tc>
          <w:tcPr>
            <w:tcW w:w="1837" w:type="pct"/>
            <w:tcBorders>
              <w:top w:val="nil"/>
              <w:left w:val="nil"/>
              <w:bottom w:val="single" w:sz="4" w:space="0" w:color="auto"/>
              <w:right w:val="single" w:sz="4" w:space="0" w:color="auto"/>
            </w:tcBorders>
            <w:noWrap/>
            <w:hideMark/>
          </w:tcPr>
          <w:p w14:paraId="18415A8D" w14:textId="4A0B9F0B" w:rsidR="008635F4" w:rsidRPr="00377F3A" w:rsidRDefault="008635F4" w:rsidP="00377F3A">
            <w:pPr>
              <w:pStyle w:val="TableText"/>
              <w:rPr>
                <w:rFonts w:asciiTheme="minorHAnsi" w:hAnsiTheme="minorHAnsi"/>
              </w:rPr>
            </w:pPr>
            <w:r w:rsidRPr="00377F3A">
              <w:rPr>
                <w:rFonts w:asciiTheme="minorHAnsi" w:hAnsiTheme="minorHAnsi"/>
              </w:rPr>
              <w:t>anon, 2004a</w:t>
            </w:r>
          </w:p>
        </w:tc>
      </w:tr>
      <w:tr w:rsidR="008635F4" w:rsidRPr="008635F4" w14:paraId="058D514F"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70B34445" w14:textId="77777777" w:rsidR="008635F4" w:rsidRPr="00377F3A" w:rsidRDefault="008635F4" w:rsidP="00377F3A">
            <w:pPr>
              <w:pStyle w:val="TableText"/>
              <w:rPr>
                <w:rFonts w:asciiTheme="minorHAnsi" w:hAnsiTheme="minorHAnsi"/>
              </w:rPr>
            </w:pPr>
            <w:r w:rsidRPr="00377F3A">
              <w:rPr>
                <w:rFonts w:asciiTheme="minorHAnsi" w:hAnsiTheme="minorHAnsi"/>
              </w:rPr>
              <w:t>acute oral</w:t>
            </w:r>
          </w:p>
        </w:tc>
        <w:tc>
          <w:tcPr>
            <w:tcW w:w="2188" w:type="pct"/>
            <w:tcBorders>
              <w:top w:val="nil"/>
              <w:left w:val="nil"/>
              <w:bottom w:val="single" w:sz="4" w:space="0" w:color="auto"/>
              <w:right w:val="single" w:sz="4" w:space="0" w:color="auto"/>
            </w:tcBorders>
            <w:hideMark/>
          </w:tcPr>
          <w:p w14:paraId="284EF52B" w14:textId="77777777" w:rsidR="008635F4" w:rsidRPr="00377F3A" w:rsidRDefault="008635F4" w:rsidP="00377F3A">
            <w:pPr>
              <w:pStyle w:val="TableText"/>
            </w:pPr>
            <w:r w:rsidRPr="00377F3A">
              <w:t>LD50&lt; 5 mg/kg bw (female) rat</w:t>
            </w:r>
          </w:p>
        </w:tc>
        <w:tc>
          <w:tcPr>
            <w:tcW w:w="1837" w:type="pct"/>
            <w:tcBorders>
              <w:top w:val="nil"/>
              <w:left w:val="nil"/>
              <w:bottom w:val="single" w:sz="4" w:space="0" w:color="auto"/>
              <w:right w:val="single" w:sz="4" w:space="0" w:color="auto"/>
            </w:tcBorders>
            <w:noWrap/>
            <w:hideMark/>
          </w:tcPr>
          <w:p w14:paraId="78202DE3" w14:textId="7E73E00C" w:rsidR="008635F4" w:rsidRPr="00377F3A" w:rsidRDefault="008635F4" w:rsidP="00377F3A">
            <w:pPr>
              <w:pStyle w:val="TableText"/>
              <w:rPr>
                <w:rFonts w:asciiTheme="minorHAnsi" w:hAnsiTheme="minorHAnsi"/>
              </w:rPr>
            </w:pPr>
            <w:r w:rsidRPr="00377F3A">
              <w:rPr>
                <w:rFonts w:asciiTheme="minorHAnsi" w:hAnsiTheme="minorHAnsi"/>
              </w:rPr>
              <w:t>anon, 2004</w:t>
            </w:r>
            <w:r w:rsidR="00A167A9">
              <w:t>b</w:t>
            </w:r>
          </w:p>
        </w:tc>
      </w:tr>
      <w:tr w:rsidR="008635F4" w:rsidRPr="008635F4" w14:paraId="5D3B64D3"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974F049"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3632D6EB" w14:textId="77777777" w:rsidR="008635F4" w:rsidRPr="00377F3A" w:rsidRDefault="008635F4" w:rsidP="00377F3A">
            <w:pPr>
              <w:pStyle w:val="TableText"/>
            </w:pPr>
            <w:r w:rsidRPr="00377F3A">
              <w:t>Dermal LD 50 7.48 mg/kg bw female rat</w:t>
            </w:r>
          </w:p>
        </w:tc>
        <w:tc>
          <w:tcPr>
            <w:tcW w:w="1837" w:type="pct"/>
            <w:tcBorders>
              <w:top w:val="nil"/>
              <w:left w:val="nil"/>
              <w:bottom w:val="single" w:sz="4" w:space="0" w:color="auto"/>
              <w:right w:val="single" w:sz="4" w:space="0" w:color="auto"/>
            </w:tcBorders>
            <w:noWrap/>
            <w:hideMark/>
          </w:tcPr>
          <w:p w14:paraId="576BCA44" w14:textId="4E92A466" w:rsidR="008635F4" w:rsidRPr="00377F3A" w:rsidRDefault="008635F4" w:rsidP="00377F3A">
            <w:pPr>
              <w:pStyle w:val="TableText"/>
              <w:rPr>
                <w:rFonts w:asciiTheme="minorHAnsi" w:hAnsiTheme="minorHAnsi"/>
              </w:rPr>
            </w:pPr>
            <w:r w:rsidRPr="00377F3A">
              <w:rPr>
                <w:rFonts w:asciiTheme="minorHAnsi" w:hAnsiTheme="minorHAnsi"/>
              </w:rPr>
              <w:t>anon, 2004</w:t>
            </w:r>
            <w:r w:rsidR="00A167A9">
              <w:t>c</w:t>
            </w:r>
          </w:p>
        </w:tc>
      </w:tr>
      <w:tr w:rsidR="008635F4" w:rsidRPr="008635F4" w14:paraId="5AAD322C"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A97CF7D" w14:textId="77777777" w:rsidR="008635F4" w:rsidRPr="00377F3A" w:rsidRDefault="008635F4" w:rsidP="00377F3A">
            <w:pPr>
              <w:pStyle w:val="TableText"/>
              <w:rPr>
                <w:rFonts w:asciiTheme="minorHAnsi" w:hAnsiTheme="minorHAnsi"/>
              </w:rPr>
            </w:pPr>
            <w:r w:rsidRPr="00377F3A">
              <w:rPr>
                <w:rFonts w:asciiTheme="minorHAnsi" w:hAnsiTheme="minorHAnsi"/>
              </w:rPr>
              <w:lastRenderedPageBreak/>
              <w:t>reproduction toxicity</w:t>
            </w:r>
          </w:p>
        </w:tc>
        <w:tc>
          <w:tcPr>
            <w:tcW w:w="2188" w:type="pct"/>
            <w:tcBorders>
              <w:top w:val="nil"/>
              <w:left w:val="nil"/>
              <w:bottom w:val="single" w:sz="4" w:space="0" w:color="auto"/>
              <w:right w:val="single" w:sz="4" w:space="0" w:color="auto"/>
            </w:tcBorders>
            <w:hideMark/>
          </w:tcPr>
          <w:p w14:paraId="3CFFCA46" w14:textId="77777777" w:rsidR="008635F4" w:rsidRPr="00377F3A" w:rsidRDefault="008635F4" w:rsidP="00377F3A">
            <w:pPr>
              <w:pStyle w:val="TableText"/>
            </w:pPr>
            <w:r w:rsidRPr="00377F3A">
              <w:t>NOAEL for males: 3 µg/kg/day</w:t>
            </w:r>
            <w:r w:rsidRPr="00377F3A">
              <w:br/>
              <w:t>NOAEL for females:1 µg/kg/day</w:t>
            </w:r>
            <w:r w:rsidRPr="00377F3A">
              <w:br/>
              <w:t>NOAEL for reproductive performance of the males: 3 µg/kg/day</w:t>
            </w:r>
            <w:r w:rsidRPr="00377F3A">
              <w:br/>
              <w:t>NOAEL for reproductive performance of the females: 3 µg/kg/day</w:t>
            </w:r>
            <w:r w:rsidRPr="00377F3A">
              <w:br/>
              <w:t>NOAEL for developmental toxicity: 3 µg/kg/day (rat)</w:t>
            </w:r>
          </w:p>
        </w:tc>
        <w:tc>
          <w:tcPr>
            <w:tcW w:w="1837" w:type="pct"/>
            <w:tcBorders>
              <w:top w:val="nil"/>
              <w:left w:val="nil"/>
              <w:bottom w:val="single" w:sz="4" w:space="0" w:color="auto"/>
              <w:right w:val="single" w:sz="4" w:space="0" w:color="auto"/>
            </w:tcBorders>
            <w:noWrap/>
            <w:hideMark/>
          </w:tcPr>
          <w:p w14:paraId="3BFFAD6E" w14:textId="5720C59A" w:rsidR="008635F4" w:rsidRPr="00377F3A" w:rsidRDefault="008635F4" w:rsidP="00377F3A">
            <w:pPr>
              <w:pStyle w:val="TableText"/>
              <w:rPr>
                <w:rFonts w:asciiTheme="minorHAnsi" w:hAnsiTheme="minorHAnsi"/>
              </w:rPr>
            </w:pPr>
            <w:r w:rsidRPr="00377F3A">
              <w:rPr>
                <w:rFonts w:asciiTheme="minorHAnsi" w:hAnsiTheme="minorHAnsi"/>
              </w:rPr>
              <w:t>anon, 2004</w:t>
            </w:r>
            <w:r w:rsidR="00A167A9">
              <w:t>d</w:t>
            </w:r>
          </w:p>
        </w:tc>
      </w:tr>
      <w:tr w:rsidR="008635F4" w:rsidRPr="008635F4" w14:paraId="77F1DAAA"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416A9A53" w14:textId="77777777" w:rsidR="008635F4" w:rsidRPr="00377F3A" w:rsidRDefault="008635F4" w:rsidP="00377F3A">
            <w:pPr>
              <w:pStyle w:val="TableText"/>
              <w:rPr>
                <w:rFonts w:asciiTheme="minorHAnsi" w:hAnsiTheme="minorHAnsi"/>
              </w:rPr>
            </w:pPr>
            <w:r w:rsidRPr="00377F3A">
              <w:rPr>
                <w:rFonts w:asciiTheme="minorHAnsi" w:hAnsiTheme="minorHAnsi"/>
              </w:rPr>
              <w:t>Mutagenicity</w:t>
            </w:r>
          </w:p>
        </w:tc>
        <w:tc>
          <w:tcPr>
            <w:tcW w:w="2188" w:type="pct"/>
            <w:tcBorders>
              <w:top w:val="nil"/>
              <w:left w:val="nil"/>
              <w:bottom w:val="single" w:sz="4" w:space="0" w:color="auto"/>
              <w:right w:val="single" w:sz="4" w:space="0" w:color="auto"/>
            </w:tcBorders>
            <w:hideMark/>
          </w:tcPr>
          <w:p w14:paraId="31AF41E9" w14:textId="77777777" w:rsidR="008635F4" w:rsidRPr="00377F3A" w:rsidRDefault="008635F4" w:rsidP="00377F3A">
            <w:pPr>
              <w:pStyle w:val="TableText"/>
            </w:pPr>
            <w:r w:rsidRPr="00377F3A">
              <w:t>Non toxic and Non Mutagenic (salmonella typhimurium)</w:t>
            </w:r>
          </w:p>
        </w:tc>
        <w:tc>
          <w:tcPr>
            <w:tcW w:w="1837" w:type="pct"/>
            <w:tcBorders>
              <w:top w:val="nil"/>
              <w:left w:val="nil"/>
              <w:bottom w:val="single" w:sz="4" w:space="0" w:color="auto"/>
              <w:right w:val="single" w:sz="4" w:space="0" w:color="auto"/>
            </w:tcBorders>
            <w:noWrap/>
            <w:hideMark/>
          </w:tcPr>
          <w:p w14:paraId="2B8066BB" w14:textId="69DD7F73" w:rsidR="008635F4" w:rsidRPr="00377F3A" w:rsidRDefault="008635F4" w:rsidP="00377F3A">
            <w:pPr>
              <w:pStyle w:val="TableText"/>
              <w:rPr>
                <w:rFonts w:asciiTheme="minorHAnsi" w:hAnsiTheme="minorHAnsi"/>
              </w:rPr>
            </w:pPr>
            <w:r w:rsidRPr="00377F3A">
              <w:rPr>
                <w:rFonts w:asciiTheme="minorHAnsi" w:hAnsiTheme="minorHAnsi"/>
              </w:rPr>
              <w:t>Thompson PW, 2002</w:t>
            </w:r>
          </w:p>
        </w:tc>
      </w:tr>
      <w:tr w:rsidR="008635F4" w:rsidRPr="008635F4" w14:paraId="6351FA24"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45E9795" w14:textId="77777777" w:rsidR="008635F4" w:rsidRPr="00377F3A" w:rsidRDefault="008635F4" w:rsidP="00377F3A">
            <w:pPr>
              <w:pStyle w:val="TableText"/>
              <w:rPr>
                <w:rFonts w:asciiTheme="minorHAnsi" w:hAnsiTheme="minorHAnsi"/>
              </w:rPr>
            </w:pPr>
            <w:r w:rsidRPr="00377F3A">
              <w:rPr>
                <w:rFonts w:asciiTheme="minorHAnsi" w:hAnsiTheme="minorHAnsi"/>
              </w:rPr>
              <w:t>Mutagenicity</w:t>
            </w:r>
          </w:p>
        </w:tc>
        <w:tc>
          <w:tcPr>
            <w:tcW w:w="2188" w:type="pct"/>
            <w:tcBorders>
              <w:top w:val="nil"/>
              <w:left w:val="nil"/>
              <w:bottom w:val="single" w:sz="4" w:space="0" w:color="auto"/>
              <w:right w:val="single" w:sz="4" w:space="0" w:color="auto"/>
            </w:tcBorders>
            <w:hideMark/>
          </w:tcPr>
          <w:p w14:paraId="0BE9F14B" w14:textId="77777777" w:rsidR="008635F4" w:rsidRPr="00377F3A" w:rsidRDefault="008635F4" w:rsidP="00377F3A">
            <w:pPr>
              <w:pStyle w:val="TableText"/>
            </w:pPr>
            <w:r w:rsidRPr="00377F3A">
              <w:t>Non toxic and Non Mutagenic (cultured human lymphocytes)</w:t>
            </w:r>
          </w:p>
        </w:tc>
        <w:tc>
          <w:tcPr>
            <w:tcW w:w="1837" w:type="pct"/>
            <w:tcBorders>
              <w:top w:val="nil"/>
              <w:left w:val="nil"/>
              <w:bottom w:val="single" w:sz="4" w:space="0" w:color="auto"/>
              <w:right w:val="single" w:sz="4" w:space="0" w:color="auto"/>
            </w:tcBorders>
            <w:noWrap/>
            <w:hideMark/>
          </w:tcPr>
          <w:p w14:paraId="28DA8CA2" w14:textId="575F6315" w:rsidR="008635F4" w:rsidRPr="00377F3A" w:rsidRDefault="008635F4" w:rsidP="00377F3A">
            <w:pPr>
              <w:pStyle w:val="TableText"/>
              <w:rPr>
                <w:rFonts w:asciiTheme="minorHAnsi" w:hAnsiTheme="minorHAnsi"/>
              </w:rPr>
            </w:pPr>
            <w:r w:rsidRPr="00377F3A">
              <w:rPr>
                <w:rFonts w:asciiTheme="minorHAnsi" w:hAnsiTheme="minorHAnsi"/>
              </w:rPr>
              <w:t>Wright NP, 2003</w:t>
            </w:r>
          </w:p>
        </w:tc>
      </w:tr>
      <w:tr w:rsidR="008635F4" w:rsidRPr="008635F4" w14:paraId="583237A8"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5AF6285E" w14:textId="77777777" w:rsidR="008635F4" w:rsidRPr="00377F3A" w:rsidRDefault="008635F4" w:rsidP="00377F3A">
            <w:pPr>
              <w:pStyle w:val="TableText"/>
              <w:rPr>
                <w:rFonts w:asciiTheme="minorHAnsi" w:hAnsiTheme="minorHAnsi"/>
              </w:rPr>
            </w:pPr>
            <w:r w:rsidRPr="00377F3A">
              <w:rPr>
                <w:rFonts w:asciiTheme="minorHAnsi" w:hAnsiTheme="minorHAnsi"/>
              </w:rPr>
              <w:t>acute dermal</w:t>
            </w:r>
          </w:p>
        </w:tc>
        <w:tc>
          <w:tcPr>
            <w:tcW w:w="2188" w:type="pct"/>
            <w:tcBorders>
              <w:top w:val="nil"/>
              <w:left w:val="nil"/>
              <w:bottom w:val="single" w:sz="4" w:space="0" w:color="auto"/>
              <w:right w:val="single" w:sz="4" w:space="0" w:color="auto"/>
            </w:tcBorders>
            <w:hideMark/>
          </w:tcPr>
          <w:p w14:paraId="30779091" w14:textId="77777777" w:rsidR="008635F4" w:rsidRPr="00377F3A" w:rsidRDefault="008635F4" w:rsidP="00377F3A">
            <w:pPr>
              <w:pStyle w:val="TableText"/>
            </w:pPr>
            <w:r w:rsidRPr="00377F3A">
              <w:t>&gt;2000 mg/kg (rats (0.25% concentrate)</w:t>
            </w:r>
          </w:p>
        </w:tc>
        <w:tc>
          <w:tcPr>
            <w:tcW w:w="1837" w:type="pct"/>
            <w:tcBorders>
              <w:top w:val="nil"/>
              <w:left w:val="nil"/>
              <w:bottom w:val="single" w:sz="4" w:space="0" w:color="auto"/>
              <w:right w:val="single" w:sz="4" w:space="0" w:color="auto"/>
            </w:tcBorders>
            <w:noWrap/>
            <w:hideMark/>
          </w:tcPr>
          <w:p w14:paraId="75F1CC29" w14:textId="31A4B833" w:rsidR="008635F4" w:rsidRPr="00377F3A" w:rsidRDefault="008635F4" w:rsidP="00377F3A">
            <w:pPr>
              <w:pStyle w:val="TableText"/>
              <w:rPr>
                <w:rFonts w:asciiTheme="minorHAnsi" w:hAnsiTheme="minorHAnsi"/>
              </w:rPr>
            </w:pPr>
            <w:r w:rsidRPr="00377F3A">
              <w:rPr>
                <w:rFonts w:asciiTheme="minorHAnsi" w:hAnsiTheme="minorHAnsi"/>
              </w:rPr>
              <w:t>anon, 1996b</w:t>
            </w:r>
          </w:p>
        </w:tc>
      </w:tr>
      <w:tr w:rsidR="008635F4" w:rsidRPr="008635F4" w14:paraId="214ED2E5" w14:textId="77777777" w:rsidTr="00377F3A">
        <w:trPr>
          <w:trHeight w:val="340"/>
        </w:trPr>
        <w:tc>
          <w:tcPr>
            <w:tcW w:w="975" w:type="pct"/>
            <w:tcBorders>
              <w:top w:val="nil"/>
              <w:left w:val="single" w:sz="4" w:space="0" w:color="auto"/>
              <w:bottom w:val="single" w:sz="4" w:space="0" w:color="auto"/>
              <w:right w:val="single" w:sz="4" w:space="0" w:color="auto"/>
            </w:tcBorders>
            <w:noWrap/>
            <w:hideMark/>
          </w:tcPr>
          <w:p w14:paraId="198DFE20" w14:textId="77777777" w:rsidR="008635F4" w:rsidRPr="00377F3A" w:rsidRDefault="008635F4" w:rsidP="00377F3A">
            <w:pPr>
              <w:pStyle w:val="TableText"/>
              <w:rPr>
                <w:rFonts w:asciiTheme="minorHAnsi" w:hAnsiTheme="minorHAnsi"/>
              </w:rPr>
            </w:pPr>
            <w:r w:rsidRPr="00377F3A">
              <w:rPr>
                <w:rFonts w:asciiTheme="minorHAnsi" w:hAnsiTheme="minorHAnsi"/>
              </w:rPr>
              <w:t>acute eye irrititation</w:t>
            </w:r>
          </w:p>
        </w:tc>
        <w:tc>
          <w:tcPr>
            <w:tcW w:w="2188" w:type="pct"/>
            <w:tcBorders>
              <w:top w:val="nil"/>
              <w:left w:val="nil"/>
              <w:bottom w:val="single" w:sz="4" w:space="0" w:color="auto"/>
              <w:right w:val="single" w:sz="4" w:space="0" w:color="auto"/>
            </w:tcBorders>
            <w:hideMark/>
          </w:tcPr>
          <w:p w14:paraId="775AE026" w14:textId="013EC535" w:rsidR="008635F4" w:rsidRPr="00377F3A" w:rsidRDefault="008635F4" w:rsidP="00377F3A">
            <w:pPr>
              <w:pStyle w:val="TableText"/>
            </w:pPr>
            <w:r w:rsidRPr="00377F3A">
              <w:t>Not an irritant (rabbits)</w:t>
            </w:r>
          </w:p>
        </w:tc>
        <w:tc>
          <w:tcPr>
            <w:tcW w:w="1837" w:type="pct"/>
            <w:tcBorders>
              <w:top w:val="nil"/>
              <w:left w:val="nil"/>
              <w:bottom w:val="single" w:sz="4" w:space="0" w:color="auto"/>
              <w:right w:val="single" w:sz="4" w:space="0" w:color="auto"/>
            </w:tcBorders>
            <w:noWrap/>
            <w:hideMark/>
          </w:tcPr>
          <w:p w14:paraId="7455F96D" w14:textId="3A6F9F0A" w:rsidR="008635F4" w:rsidRPr="00377F3A" w:rsidRDefault="008635F4" w:rsidP="00377F3A">
            <w:pPr>
              <w:pStyle w:val="TableText"/>
              <w:rPr>
                <w:rFonts w:asciiTheme="minorHAnsi" w:hAnsiTheme="minorHAnsi"/>
              </w:rPr>
            </w:pPr>
            <w:r w:rsidRPr="00377F3A">
              <w:rPr>
                <w:rFonts w:asciiTheme="minorHAnsi" w:hAnsiTheme="minorHAnsi"/>
              </w:rPr>
              <w:t>anon, 2004</w:t>
            </w:r>
            <w:r w:rsidR="00A167A9">
              <w:t>a</w:t>
            </w:r>
          </w:p>
        </w:tc>
      </w:tr>
      <w:tr w:rsidR="008635F4" w:rsidRPr="008635F4" w14:paraId="47EED697" w14:textId="77777777" w:rsidTr="008635F4">
        <w:trPr>
          <w:trHeight w:val="340"/>
        </w:trPr>
        <w:tc>
          <w:tcPr>
            <w:tcW w:w="975" w:type="pct"/>
            <w:tcBorders>
              <w:top w:val="nil"/>
              <w:left w:val="single" w:sz="4" w:space="0" w:color="auto"/>
              <w:bottom w:val="single" w:sz="4" w:space="0" w:color="auto"/>
              <w:right w:val="single" w:sz="4" w:space="0" w:color="auto"/>
            </w:tcBorders>
            <w:noWrap/>
          </w:tcPr>
          <w:p w14:paraId="2E103907" w14:textId="77777777" w:rsidR="008635F4" w:rsidRPr="00377F3A" w:rsidRDefault="008635F4" w:rsidP="00BA7F4F">
            <w:pPr>
              <w:pStyle w:val="TableText"/>
            </w:pPr>
          </w:p>
        </w:tc>
        <w:tc>
          <w:tcPr>
            <w:tcW w:w="2188" w:type="pct"/>
            <w:tcBorders>
              <w:top w:val="nil"/>
              <w:left w:val="nil"/>
              <w:bottom w:val="single" w:sz="4" w:space="0" w:color="auto"/>
              <w:right w:val="single" w:sz="4" w:space="0" w:color="auto"/>
            </w:tcBorders>
          </w:tcPr>
          <w:p w14:paraId="3F68885A" w14:textId="77777777" w:rsidR="008635F4" w:rsidRPr="00377F3A" w:rsidRDefault="008635F4" w:rsidP="00BA7F4F">
            <w:pPr>
              <w:pStyle w:val="TableText"/>
            </w:pPr>
          </w:p>
        </w:tc>
        <w:tc>
          <w:tcPr>
            <w:tcW w:w="1837" w:type="pct"/>
            <w:tcBorders>
              <w:top w:val="nil"/>
              <w:left w:val="nil"/>
              <w:bottom w:val="single" w:sz="4" w:space="0" w:color="auto"/>
              <w:right w:val="single" w:sz="4" w:space="0" w:color="auto"/>
            </w:tcBorders>
            <w:noWrap/>
          </w:tcPr>
          <w:p w14:paraId="2843B120" w14:textId="30AB4103" w:rsidR="008635F4" w:rsidRPr="00377F3A" w:rsidRDefault="008635F4" w:rsidP="00BA7F4F">
            <w:pPr>
              <w:pStyle w:val="TableText"/>
            </w:pPr>
            <w:r w:rsidRPr="00377F3A">
              <w:rPr>
                <w:rFonts w:asciiTheme="minorHAnsi" w:hAnsiTheme="minorHAnsi"/>
              </w:rPr>
              <w:t>anon</w:t>
            </w:r>
          </w:p>
        </w:tc>
      </w:tr>
    </w:tbl>
    <w:p w14:paraId="2FE9580A" w14:textId="3DEC6361" w:rsidR="00BA7F4F" w:rsidRDefault="00BA7F4F" w:rsidP="00EE5679">
      <w:pPr>
        <w:pStyle w:val="APVMAAppendixH2"/>
      </w:pPr>
      <w:bookmarkStart w:id="2173" w:name="_Toc214025634"/>
      <w:bookmarkStart w:id="2174" w:name="_Toc216695656"/>
      <w:r w:rsidRPr="00EE5679">
        <w:t>Bromadiolone</w:t>
      </w:r>
      <w:bookmarkEnd w:id="2173"/>
      <w:bookmarkEnd w:id="2174"/>
    </w:p>
    <w:p w14:paraId="335FEABB" w14:textId="04B7D32A" w:rsidR="00B81231" w:rsidRPr="008635F4" w:rsidRDefault="00B81231" w:rsidP="00B81231">
      <w:pPr>
        <w:pStyle w:val="Caption"/>
      </w:pPr>
      <w:bookmarkStart w:id="2175" w:name="_Toc216695816"/>
      <w:r>
        <w:t xml:space="preserve">Table </w:t>
      </w:r>
      <w:r>
        <w:fldChar w:fldCharType="begin"/>
      </w:r>
      <w:r>
        <w:instrText xml:space="preserve"> SEQ Table \* ARABIC </w:instrText>
      </w:r>
      <w:r>
        <w:fldChar w:fldCharType="separate"/>
      </w:r>
      <w:r w:rsidR="003861AC">
        <w:rPr>
          <w:noProof/>
        </w:rPr>
        <w:t>154</w:t>
      </w:r>
      <w:r>
        <w:fldChar w:fldCharType="end"/>
      </w:r>
      <w:r>
        <w:t>: Toxicological endpoints for bromadiolone active constituent and formulated products</w:t>
      </w:r>
      <w:bookmarkEnd w:id="2175"/>
    </w:p>
    <w:tbl>
      <w:tblPr>
        <w:tblW w:w="9628" w:type="dxa"/>
        <w:tblLook w:val="04A0" w:firstRow="1" w:lastRow="0" w:firstColumn="1" w:lastColumn="0" w:noHBand="0" w:noVBand="1"/>
      </w:tblPr>
      <w:tblGrid>
        <w:gridCol w:w="1509"/>
        <w:gridCol w:w="6542"/>
        <w:gridCol w:w="1577"/>
      </w:tblGrid>
      <w:tr w:rsidR="00BA7F4F" w:rsidRPr="00BA7F4F" w14:paraId="31807449" w14:textId="77777777" w:rsidTr="00377F3A">
        <w:trPr>
          <w:trHeight w:val="288"/>
        </w:trPr>
        <w:tc>
          <w:tcPr>
            <w:tcW w:w="1509" w:type="dxa"/>
            <w:tcBorders>
              <w:top w:val="single" w:sz="4" w:space="0" w:color="auto"/>
              <w:left w:val="single" w:sz="4" w:space="0" w:color="auto"/>
              <w:bottom w:val="nil"/>
              <w:right w:val="single" w:sz="4" w:space="0" w:color="auto"/>
            </w:tcBorders>
            <w:shd w:val="clear" w:color="auto" w:fill="53284F"/>
            <w:noWrap/>
            <w:hideMark/>
          </w:tcPr>
          <w:p w14:paraId="61C2437A" w14:textId="1FADB5C4" w:rsidR="00BA7F4F" w:rsidRPr="00377F3A" w:rsidRDefault="00BA7F4F" w:rsidP="00377F3A">
            <w:pPr>
              <w:pStyle w:val="TableHead"/>
              <w:rPr>
                <w:rFonts w:asciiTheme="minorHAnsi" w:hAnsiTheme="minorHAnsi"/>
                <w:bCs w:val="0"/>
                <w:color w:val="auto"/>
                <w:sz w:val="17"/>
              </w:rPr>
            </w:pPr>
            <w:r w:rsidRPr="00BA7F4F">
              <w:t>Study type</w:t>
            </w:r>
          </w:p>
        </w:tc>
        <w:tc>
          <w:tcPr>
            <w:tcW w:w="6542" w:type="dxa"/>
            <w:tcBorders>
              <w:top w:val="single" w:sz="4" w:space="0" w:color="auto"/>
              <w:left w:val="nil"/>
              <w:bottom w:val="single" w:sz="4" w:space="0" w:color="auto"/>
              <w:right w:val="single" w:sz="4" w:space="0" w:color="auto"/>
            </w:tcBorders>
            <w:shd w:val="clear" w:color="auto" w:fill="53284F"/>
            <w:noWrap/>
            <w:hideMark/>
          </w:tcPr>
          <w:p w14:paraId="74A37F3A" w14:textId="64DCC0D1" w:rsidR="00BA7F4F" w:rsidRPr="00377F3A" w:rsidRDefault="00BA7F4F" w:rsidP="00377F3A">
            <w:pPr>
              <w:pStyle w:val="TableHead"/>
              <w:rPr>
                <w:rFonts w:asciiTheme="minorHAnsi" w:hAnsiTheme="minorHAnsi"/>
                <w:bCs w:val="0"/>
                <w:color w:val="auto"/>
                <w:sz w:val="17"/>
              </w:rPr>
            </w:pPr>
            <w:r w:rsidRPr="00BA7F4F">
              <w:t xml:space="preserve">Endpoint </w:t>
            </w:r>
          </w:p>
        </w:tc>
        <w:tc>
          <w:tcPr>
            <w:tcW w:w="1577" w:type="dxa"/>
            <w:tcBorders>
              <w:top w:val="single" w:sz="4" w:space="0" w:color="auto"/>
              <w:left w:val="nil"/>
              <w:bottom w:val="nil"/>
              <w:right w:val="single" w:sz="4" w:space="0" w:color="auto"/>
            </w:tcBorders>
            <w:shd w:val="clear" w:color="auto" w:fill="53284F"/>
            <w:noWrap/>
            <w:hideMark/>
          </w:tcPr>
          <w:p w14:paraId="3F54C117" w14:textId="74E9A184" w:rsidR="00BA7F4F" w:rsidRPr="00377F3A" w:rsidRDefault="00BA7F4F" w:rsidP="00377F3A">
            <w:pPr>
              <w:pStyle w:val="TableHead"/>
              <w:rPr>
                <w:rFonts w:asciiTheme="minorHAnsi" w:hAnsiTheme="minorHAnsi"/>
                <w:bCs w:val="0"/>
                <w:color w:val="auto"/>
                <w:sz w:val="17"/>
              </w:rPr>
            </w:pPr>
            <w:r w:rsidRPr="00BA7F4F">
              <w:t>Reference</w:t>
            </w:r>
          </w:p>
        </w:tc>
      </w:tr>
      <w:tr w:rsidR="00BA7F4F" w:rsidRPr="00BA7F4F" w14:paraId="78B9D120" w14:textId="77777777" w:rsidTr="00377F3A">
        <w:trPr>
          <w:trHeight w:val="288"/>
        </w:trPr>
        <w:tc>
          <w:tcPr>
            <w:tcW w:w="1509" w:type="dxa"/>
            <w:tcBorders>
              <w:top w:val="single" w:sz="4" w:space="0" w:color="auto"/>
              <w:left w:val="single" w:sz="4" w:space="0" w:color="auto"/>
              <w:bottom w:val="single" w:sz="4" w:space="0" w:color="auto"/>
              <w:right w:val="single" w:sz="4" w:space="0" w:color="auto"/>
            </w:tcBorders>
            <w:noWrap/>
            <w:vAlign w:val="bottom"/>
            <w:hideMark/>
          </w:tcPr>
          <w:p w14:paraId="27F9E1B3"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nil"/>
              <w:left w:val="nil"/>
              <w:bottom w:val="single" w:sz="4" w:space="0" w:color="auto"/>
              <w:right w:val="single" w:sz="4" w:space="0" w:color="auto"/>
            </w:tcBorders>
            <w:noWrap/>
            <w:vAlign w:val="bottom"/>
            <w:hideMark/>
          </w:tcPr>
          <w:p w14:paraId="385446F3" w14:textId="1824DDE7" w:rsidR="00BA7F4F" w:rsidRPr="00377F3A" w:rsidRDefault="00BA7F4F" w:rsidP="00377F3A">
            <w:pPr>
              <w:pStyle w:val="TableText"/>
              <w:rPr>
                <w:rFonts w:asciiTheme="minorHAnsi" w:hAnsiTheme="minorHAnsi"/>
              </w:rPr>
            </w:pPr>
            <w:r>
              <w:t>LD50 &gt;</w:t>
            </w:r>
            <w:r w:rsidRPr="00377F3A">
              <w:rPr>
                <w:rFonts w:asciiTheme="minorHAnsi" w:hAnsiTheme="minorHAnsi"/>
              </w:rPr>
              <w:t xml:space="preserve">2,000 mg/kg </w:t>
            </w:r>
            <w:r>
              <w:t>product</w:t>
            </w:r>
          </w:p>
        </w:tc>
        <w:tc>
          <w:tcPr>
            <w:tcW w:w="1577" w:type="dxa"/>
            <w:tcBorders>
              <w:top w:val="single" w:sz="4" w:space="0" w:color="auto"/>
              <w:left w:val="nil"/>
              <w:bottom w:val="single" w:sz="4" w:space="0" w:color="auto"/>
              <w:right w:val="single" w:sz="4" w:space="0" w:color="auto"/>
            </w:tcBorders>
            <w:noWrap/>
            <w:vAlign w:val="bottom"/>
            <w:hideMark/>
          </w:tcPr>
          <w:p w14:paraId="1432B797" w14:textId="77777777" w:rsidR="00BA7F4F" w:rsidRPr="00377F3A" w:rsidRDefault="00BA7F4F" w:rsidP="00377F3A">
            <w:pPr>
              <w:pStyle w:val="TableText"/>
              <w:rPr>
                <w:rFonts w:asciiTheme="minorHAnsi" w:hAnsiTheme="minorHAnsi"/>
              </w:rPr>
            </w:pPr>
            <w:r w:rsidRPr="00377F3A">
              <w:rPr>
                <w:rFonts w:asciiTheme="minorHAnsi" w:hAnsiTheme="minorHAnsi"/>
              </w:rPr>
              <w:t>Rogers A.J., 1992</w:t>
            </w:r>
          </w:p>
        </w:tc>
      </w:tr>
      <w:tr w:rsidR="00BA7F4F" w:rsidRPr="00BA7F4F" w14:paraId="7B32CAE0"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B98BE73"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nil"/>
              <w:left w:val="nil"/>
              <w:bottom w:val="nil"/>
              <w:right w:val="nil"/>
            </w:tcBorders>
            <w:noWrap/>
            <w:vAlign w:val="bottom"/>
            <w:hideMark/>
          </w:tcPr>
          <w:p w14:paraId="7DCF0522" w14:textId="1426ACC3" w:rsidR="00BA7F4F" w:rsidRPr="00377F3A" w:rsidRDefault="00BA7F4F" w:rsidP="00377F3A">
            <w:pPr>
              <w:pStyle w:val="TableText"/>
              <w:rPr>
                <w:rFonts w:asciiTheme="minorHAnsi" w:hAnsiTheme="minorHAnsi"/>
              </w:rPr>
            </w:pPr>
            <w:r>
              <w:t>LD50 &gt;</w:t>
            </w:r>
            <w:r w:rsidRPr="00377F3A">
              <w:rPr>
                <w:rFonts w:asciiTheme="minorHAnsi" w:hAnsiTheme="minorHAnsi"/>
              </w:rPr>
              <w:t xml:space="preserve">5,000 mg/kg </w:t>
            </w:r>
            <w:r>
              <w:t>product</w:t>
            </w:r>
          </w:p>
        </w:tc>
        <w:tc>
          <w:tcPr>
            <w:tcW w:w="1577" w:type="dxa"/>
            <w:tcBorders>
              <w:top w:val="nil"/>
              <w:left w:val="single" w:sz="4" w:space="0" w:color="auto"/>
              <w:bottom w:val="single" w:sz="4" w:space="0" w:color="auto"/>
              <w:right w:val="single" w:sz="4" w:space="0" w:color="auto"/>
            </w:tcBorders>
            <w:noWrap/>
            <w:vAlign w:val="bottom"/>
            <w:hideMark/>
          </w:tcPr>
          <w:p w14:paraId="0A04F4DF" w14:textId="77777777" w:rsidR="00BA7F4F" w:rsidRPr="00377F3A" w:rsidRDefault="00BA7F4F" w:rsidP="00377F3A">
            <w:pPr>
              <w:pStyle w:val="TableText"/>
              <w:rPr>
                <w:rFonts w:asciiTheme="minorHAnsi" w:hAnsiTheme="minorHAnsi"/>
              </w:rPr>
            </w:pPr>
            <w:r w:rsidRPr="00377F3A">
              <w:rPr>
                <w:rFonts w:asciiTheme="minorHAnsi" w:hAnsiTheme="minorHAnsi"/>
              </w:rPr>
              <w:t>Lindgren B.V., 1992</w:t>
            </w:r>
          </w:p>
        </w:tc>
      </w:tr>
      <w:tr w:rsidR="00BA7F4F" w:rsidRPr="00BA7F4F" w14:paraId="2A106EDC"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69DF898"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single" w:sz="4" w:space="0" w:color="auto"/>
              <w:left w:val="nil"/>
              <w:bottom w:val="single" w:sz="4" w:space="0" w:color="auto"/>
              <w:right w:val="single" w:sz="4" w:space="0" w:color="auto"/>
            </w:tcBorders>
            <w:noWrap/>
            <w:vAlign w:val="bottom"/>
            <w:hideMark/>
          </w:tcPr>
          <w:p w14:paraId="5556DDEC" w14:textId="7014BB34" w:rsidR="00BA7F4F" w:rsidRPr="00377F3A" w:rsidRDefault="00BA7F4F" w:rsidP="00377F3A">
            <w:pPr>
              <w:pStyle w:val="TableText"/>
              <w:rPr>
                <w:rFonts w:asciiTheme="minorHAnsi" w:hAnsiTheme="minorHAnsi"/>
              </w:rPr>
            </w:pPr>
            <w:r>
              <w:t>LD50 &gt;</w:t>
            </w:r>
            <w:r w:rsidRPr="00E078CC">
              <w:t xml:space="preserve">5,000 mg/kg </w:t>
            </w:r>
            <w:r>
              <w:t>product</w:t>
            </w:r>
          </w:p>
        </w:tc>
        <w:tc>
          <w:tcPr>
            <w:tcW w:w="1577" w:type="dxa"/>
            <w:tcBorders>
              <w:top w:val="nil"/>
              <w:left w:val="nil"/>
              <w:bottom w:val="single" w:sz="4" w:space="0" w:color="auto"/>
              <w:right w:val="single" w:sz="4" w:space="0" w:color="auto"/>
            </w:tcBorders>
            <w:noWrap/>
            <w:vAlign w:val="bottom"/>
            <w:hideMark/>
          </w:tcPr>
          <w:p w14:paraId="008C867F" w14:textId="77777777" w:rsidR="00BA7F4F" w:rsidRPr="00377F3A" w:rsidRDefault="00BA7F4F" w:rsidP="00377F3A">
            <w:pPr>
              <w:pStyle w:val="TableText"/>
              <w:rPr>
                <w:rFonts w:asciiTheme="minorHAnsi" w:hAnsiTheme="minorHAnsi"/>
              </w:rPr>
            </w:pPr>
            <w:r w:rsidRPr="00377F3A">
              <w:rPr>
                <w:rFonts w:asciiTheme="minorHAnsi" w:hAnsiTheme="minorHAnsi"/>
              </w:rPr>
              <w:t>Pitterle, P, -</w:t>
            </w:r>
          </w:p>
        </w:tc>
      </w:tr>
      <w:tr w:rsidR="00BA7F4F" w:rsidRPr="00BA7F4F" w14:paraId="3B8D8502"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5379B4A8"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nil"/>
              <w:left w:val="nil"/>
              <w:bottom w:val="single" w:sz="4" w:space="0" w:color="auto"/>
              <w:right w:val="single" w:sz="4" w:space="0" w:color="auto"/>
            </w:tcBorders>
            <w:noWrap/>
            <w:vAlign w:val="bottom"/>
            <w:hideMark/>
          </w:tcPr>
          <w:p w14:paraId="7F1461FD" w14:textId="443859E0" w:rsidR="00BA7F4F" w:rsidRPr="00377F3A" w:rsidRDefault="00BA7F4F" w:rsidP="00377F3A">
            <w:pPr>
              <w:pStyle w:val="TableText"/>
              <w:rPr>
                <w:rFonts w:asciiTheme="minorHAnsi" w:hAnsiTheme="minorHAnsi"/>
              </w:rPr>
            </w:pPr>
            <w:r>
              <w:t>LD50 &gt;</w:t>
            </w:r>
            <w:r w:rsidRPr="00E078CC">
              <w:t xml:space="preserve">5,000 mg/kg </w:t>
            </w:r>
            <w:r>
              <w:t>product</w:t>
            </w:r>
          </w:p>
        </w:tc>
        <w:tc>
          <w:tcPr>
            <w:tcW w:w="1577" w:type="dxa"/>
            <w:tcBorders>
              <w:top w:val="nil"/>
              <w:left w:val="nil"/>
              <w:bottom w:val="single" w:sz="4" w:space="0" w:color="auto"/>
              <w:right w:val="single" w:sz="4" w:space="0" w:color="auto"/>
            </w:tcBorders>
            <w:noWrap/>
            <w:vAlign w:val="bottom"/>
            <w:hideMark/>
          </w:tcPr>
          <w:p w14:paraId="4C001E0C" w14:textId="77777777" w:rsidR="00BA7F4F" w:rsidRPr="00377F3A" w:rsidRDefault="00BA7F4F" w:rsidP="00377F3A">
            <w:pPr>
              <w:pStyle w:val="TableText"/>
              <w:rPr>
                <w:rFonts w:asciiTheme="minorHAnsi" w:hAnsiTheme="minorHAnsi"/>
              </w:rPr>
            </w:pPr>
            <w:r w:rsidRPr="00377F3A">
              <w:rPr>
                <w:rFonts w:asciiTheme="minorHAnsi" w:hAnsiTheme="minorHAnsi"/>
              </w:rPr>
              <w:t>Rogers A.J., -</w:t>
            </w:r>
          </w:p>
        </w:tc>
      </w:tr>
      <w:tr w:rsidR="00BA7F4F" w:rsidRPr="00BA7F4F" w14:paraId="1DDB85EA"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3F345E9D"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571E9269" w14:textId="14521BD6" w:rsidR="0017134F" w:rsidRPr="00377F3A" w:rsidRDefault="00BA7F4F" w:rsidP="00377F3A">
            <w:pPr>
              <w:pStyle w:val="TableText"/>
              <w:rPr>
                <w:rFonts w:asciiTheme="minorHAnsi" w:hAnsiTheme="minorHAnsi"/>
              </w:rPr>
            </w:pPr>
            <w:r w:rsidRPr="00377F3A">
              <w:rPr>
                <w:rFonts w:asciiTheme="minorHAnsi" w:hAnsiTheme="minorHAnsi"/>
              </w:rPr>
              <w:t>Not a sensitiser</w:t>
            </w:r>
          </w:p>
        </w:tc>
        <w:tc>
          <w:tcPr>
            <w:tcW w:w="1577" w:type="dxa"/>
            <w:tcBorders>
              <w:top w:val="nil"/>
              <w:left w:val="nil"/>
              <w:bottom w:val="single" w:sz="4" w:space="0" w:color="auto"/>
              <w:right w:val="single" w:sz="4" w:space="0" w:color="auto"/>
            </w:tcBorders>
            <w:noWrap/>
            <w:vAlign w:val="bottom"/>
            <w:hideMark/>
          </w:tcPr>
          <w:p w14:paraId="4AE3BD21" w14:textId="77777777" w:rsidR="00BA7F4F" w:rsidRPr="00377F3A" w:rsidRDefault="00BA7F4F" w:rsidP="00377F3A">
            <w:pPr>
              <w:pStyle w:val="TableText"/>
              <w:rPr>
                <w:rFonts w:asciiTheme="minorHAnsi" w:hAnsiTheme="minorHAnsi"/>
              </w:rPr>
            </w:pPr>
            <w:r w:rsidRPr="00377F3A">
              <w:rPr>
                <w:rFonts w:asciiTheme="minorHAnsi" w:hAnsiTheme="minorHAnsi"/>
              </w:rPr>
              <w:t>C. Noc, -</w:t>
            </w:r>
          </w:p>
        </w:tc>
      </w:tr>
      <w:tr w:rsidR="00BA7F4F" w:rsidRPr="00BA7F4F" w14:paraId="183FCBE9"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9AD1D34"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51461A66"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Not an irritant </w:t>
            </w:r>
          </w:p>
        </w:tc>
        <w:tc>
          <w:tcPr>
            <w:tcW w:w="1577" w:type="dxa"/>
            <w:tcBorders>
              <w:top w:val="nil"/>
              <w:left w:val="nil"/>
              <w:bottom w:val="single" w:sz="4" w:space="0" w:color="auto"/>
              <w:right w:val="single" w:sz="4" w:space="0" w:color="auto"/>
            </w:tcBorders>
            <w:noWrap/>
            <w:vAlign w:val="bottom"/>
            <w:hideMark/>
          </w:tcPr>
          <w:p w14:paraId="096F91FA" w14:textId="77777777" w:rsidR="00BA7F4F" w:rsidRPr="00377F3A" w:rsidRDefault="00BA7F4F" w:rsidP="00377F3A">
            <w:pPr>
              <w:pStyle w:val="TableText"/>
              <w:rPr>
                <w:rFonts w:asciiTheme="minorHAnsi" w:hAnsiTheme="minorHAnsi"/>
              </w:rPr>
            </w:pPr>
            <w:r w:rsidRPr="00377F3A">
              <w:rPr>
                <w:rFonts w:asciiTheme="minorHAnsi" w:hAnsiTheme="minorHAnsi"/>
              </w:rPr>
              <w:t>Pitterle, P, -</w:t>
            </w:r>
          </w:p>
        </w:tc>
      </w:tr>
      <w:tr w:rsidR="00BA7F4F" w:rsidRPr="00BA7F4F" w14:paraId="5C12C7A8"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27E63F0" w14:textId="77777777" w:rsidR="00BA7F4F" w:rsidRPr="00377F3A" w:rsidRDefault="00BA7F4F" w:rsidP="00377F3A">
            <w:pPr>
              <w:pStyle w:val="TableText"/>
              <w:rPr>
                <w:rFonts w:asciiTheme="minorHAnsi" w:hAnsiTheme="minorHAnsi"/>
              </w:rPr>
            </w:pPr>
            <w:r w:rsidRPr="00377F3A">
              <w:rPr>
                <w:rFonts w:asciiTheme="minorHAnsi" w:hAnsiTheme="minorHAnsi"/>
              </w:rPr>
              <w:t>Eye irritation, product</w:t>
            </w:r>
          </w:p>
        </w:tc>
        <w:tc>
          <w:tcPr>
            <w:tcW w:w="6542" w:type="dxa"/>
            <w:tcBorders>
              <w:top w:val="nil"/>
              <w:left w:val="nil"/>
              <w:bottom w:val="single" w:sz="4" w:space="0" w:color="auto"/>
              <w:right w:val="single" w:sz="4" w:space="0" w:color="auto"/>
            </w:tcBorders>
            <w:noWrap/>
            <w:vAlign w:val="bottom"/>
            <w:hideMark/>
          </w:tcPr>
          <w:p w14:paraId="25CCD42B"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Not an irritant </w:t>
            </w:r>
          </w:p>
        </w:tc>
        <w:tc>
          <w:tcPr>
            <w:tcW w:w="1577" w:type="dxa"/>
            <w:tcBorders>
              <w:top w:val="nil"/>
              <w:left w:val="nil"/>
              <w:bottom w:val="single" w:sz="4" w:space="0" w:color="auto"/>
              <w:right w:val="single" w:sz="4" w:space="0" w:color="auto"/>
            </w:tcBorders>
            <w:noWrap/>
            <w:vAlign w:val="bottom"/>
            <w:hideMark/>
          </w:tcPr>
          <w:p w14:paraId="3DF43144" w14:textId="77777777" w:rsidR="00BA7F4F" w:rsidRPr="00377F3A" w:rsidRDefault="00BA7F4F" w:rsidP="00377F3A">
            <w:pPr>
              <w:pStyle w:val="TableText"/>
              <w:rPr>
                <w:rFonts w:asciiTheme="minorHAnsi" w:hAnsiTheme="minorHAnsi"/>
              </w:rPr>
            </w:pPr>
            <w:r w:rsidRPr="00377F3A">
              <w:rPr>
                <w:rFonts w:asciiTheme="minorHAnsi" w:hAnsiTheme="minorHAnsi"/>
              </w:rPr>
              <w:t>Rogers A.J., -</w:t>
            </w:r>
          </w:p>
        </w:tc>
      </w:tr>
      <w:tr w:rsidR="00BA7F4F" w:rsidRPr="00BA7F4F" w14:paraId="221CD9F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57825C95" w14:textId="77777777" w:rsidR="00BA7F4F" w:rsidRPr="00377F3A" w:rsidRDefault="00BA7F4F" w:rsidP="00377F3A">
            <w:pPr>
              <w:pStyle w:val="TableText"/>
              <w:rPr>
                <w:rFonts w:asciiTheme="minorHAnsi" w:hAnsiTheme="minorHAnsi"/>
              </w:rPr>
            </w:pPr>
            <w:r w:rsidRPr="00377F3A">
              <w:rPr>
                <w:rFonts w:asciiTheme="minorHAnsi" w:hAnsiTheme="minorHAnsi"/>
              </w:rPr>
              <w:lastRenderedPageBreak/>
              <w:t>Eye irritation, product</w:t>
            </w:r>
          </w:p>
        </w:tc>
        <w:tc>
          <w:tcPr>
            <w:tcW w:w="6542" w:type="dxa"/>
            <w:tcBorders>
              <w:top w:val="nil"/>
              <w:left w:val="nil"/>
              <w:bottom w:val="single" w:sz="4" w:space="0" w:color="auto"/>
              <w:right w:val="single" w:sz="4" w:space="0" w:color="auto"/>
            </w:tcBorders>
            <w:noWrap/>
            <w:vAlign w:val="bottom"/>
            <w:hideMark/>
          </w:tcPr>
          <w:p w14:paraId="3F26B731"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It is a slight eye irritant. </w:t>
            </w:r>
          </w:p>
        </w:tc>
        <w:tc>
          <w:tcPr>
            <w:tcW w:w="1577" w:type="dxa"/>
            <w:tcBorders>
              <w:top w:val="nil"/>
              <w:left w:val="nil"/>
              <w:bottom w:val="single" w:sz="4" w:space="0" w:color="auto"/>
              <w:right w:val="single" w:sz="4" w:space="0" w:color="auto"/>
            </w:tcBorders>
            <w:noWrap/>
            <w:vAlign w:val="bottom"/>
            <w:hideMark/>
          </w:tcPr>
          <w:p w14:paraId="4B4E9E54" w14:textId="77777777" w:rsidR="00BA7F4F" w:rsidRPr="00377F3A" w:rsidRDefault="00BA7F4F" w:rsidP="00377F3A">
            <w:pPr>
              <w:pStyle w:val="TableText"/>
              <w:rPr>
                <w:rFonts w:asciiTheme="minorHAnsi" w:hAnsiTheme="minorHAnsi"/>
              </w:rPr>
            </w:pPr>
            <w:r w:rsidRPr="00377F3A">
              <w:rPr>
                <w:rFonts w:asciiTheme="minorHAnsi" w:hAnsiTheme="minorHAnsi"/>
              </w:rPr>
              <w:t>Rogers A.J., -</w:t>
            </w:r>
          </w:p>
        </w:tc>
      </w:tr>
      <w:tr w:rsidR="00BA7F4F" w:rsidRPr="00BA7F4F" w14:paraId="53264DB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47E22C86" w14:textId="77777777" w:rsidR="00BA7F4F" w:rsidRPr="00377F3A" w:rsidRDefault="00BA7F4F" w:rsidP="00377F3A">
            <w:pPr>
              <w:pStyle w:val="TableText"/>
              <w:rPr>
                <w:rFonts w:asciiTheme="minorHAnsi" w:hAnsiTheme="minorHAnsi"/>
              </w:rPr>
            </w:pPr>
            <w:r w:rsidRPr="00377F3A">
              <w:rPr>
                <w:rFonts w:asciiTheme="minorHAnsi" w:hAnsiTheme="minorHAnsi"/>
              </w:rPr>
              <w:t>Eye irritation, product</w:t>
            </w:r>
          </w:p>
        </w:tc>
        <w:tc>
          <w:tcPr>
            <w:tcW w:w="6542" w:type="dxa"/>
            <w:tcBorders>
              <w:top w:val="nil"/>
              <w:left w:val="nil"/>
              <w:bottom w:val="single" w:sz="4" w:space="0" w:color="auto"/>
              <w:right w:val="single" w:sz="4" w:space="0" w:color="auto"/>
            </w:tcBorders>
            <w:noWrap/>
            <w:vAlign w:val="bottom"/>
            <w:hideMark/>
          </w:tcPr>
          <w:p w14:paraId="4AD2E413"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It is a slight eye irritant. </w:t>
            </w:r>
          </w:p>
        </w:tc>
        <w:tc>
          <w:tcPr>
            <w:tcW w:w="1577" w:type="dxa"/>
            <w:tcBorders>
              <w:top w:val="nil"/>
              <w:left w:val="nil"/>
              <w:bottom w:val="single" w:sz="4" w:space="0" w:color="auto"/>
              <w:right w:val="single" w:sz="4" w:space="0" w:color="auto"/>
            </w:tcBorders>
            <w:noWrap/>
            <w:vAlign w:val="bottom"/>
            <w:hideMark/>
          </w:tcPr>
          <w:p w14:paraId="17848D1D" w14:textId="77777777" w:rsidR="00BA7F4F" w:rsidRPr="00377F3A" w:rsidRDefault="00BA7F4F" w:rsidP="00377F3A">
            <w:pPr>
              <w:pStyle w:val="TableText"/>
              <w:rPr>
                <w:rFonts w:asciiTheme="minorHAnsi" w:hAnsiTheme="minorHAnsi"/>
              </w:rPr>
            </w:pPr>
            <w:r w:rsidRPr="00377F3A">
              <w:rPr>
                <w:rFonts w:asciiTheme="minorHAnsi" w:hAnsiTheme="minorHAnsi"/>
              </w:rPr>
              <w:t>Rogers A.J., -</w:t>
            </w:r>
          </w:p>
        </w:tc>
      </w:tr>
      <w:tr w:rsidR="00BA7F4F" w:rsidRPr="00BA7F4F" w14:paraId="531B51D2"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F7FC6C2"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63F8EE8B" w14:textId="77777777" w:rsidR="00BA7F4F" w:rsidRPr="00377F3A" w:rsidRDefault="00BA7F4F" w:rsidP="00377F3A">
            <w:pPr>
              <w:pStyle w:val="TableText"/>
              <w:rPr>
                <w:rFonts w:asciiTheme="minorHAnsi" w:hAnsiTheme="minorHAnsi"/>
              </w:rPr>
            </w:pPr>
            <w:r w:rsidRPr="00377F3A">
              <w:rPr>
                <w:rFonts w:asciiTheme="minorHAnsi" w:hAnsiTheme="minorHAnsi"/>
              </w:rPr>
              <w:t>not a sensitiser</w:t>
            </w:r>
          </w:p>
        </w:tc>
        <w:tc>
          <w:tcPr>
            <w:tcW w:w="1577" w:type="dxa"/>
            <w:tcBorders>
              <w:top w:val="nil"/>
              <w:left w:val="nil"/>
              <w:bottom w:val="single" w:sz="4" w:space="0" w:color="auto"/>
              <w:right w:val="single" w:sz="4" w:space="0" w:color="auto"/>
            </w:tcBorders>
            <w:noWrap/>
            <w:vAlign w:val="bottom"/>
            <w:hideMark/>
          </w:tcPr>
          <w:p w14:paraId="5FE44441" w14:textId="19D415D1" w:rsidR="00BA7F4F" w:rsidRPr="00377F3A" w:rsidRDefault="00BA7F4F" w:rsidP="00377F3A">
            <w:pPr>
              <w:pStyle w:val="TableText"/>
              <w:rPr>
                <w:rFonts w:asciiTheme="minorHAnsi" w:hAnsiTheme="minorHAnsi"/>
              </w:rPr>
            </w:pPr>
            <w:r w:rsidRPr="00377F3A">
              <w:rPr>
                <w:rFonts w:asciiTheme="minorHAnsi" w:hAnsiTheme="minorHAnsi"/>
              </w:rPr>
              <w:t xml:space="preserve">Noc </w:t>
            </w:r>
            <w:r w:rsidR="00B7183A" w:rsidRPr="00B7183A">
              <w:rPr>
                <w:rFonts w:asciiTheme="minorHAnsi" w:hAnsiTheme="minorHAnsi"/>
                <w:i/>
                <w:iCs/>
              </w:rPr>
              <w:t>et al</w:t>
            </w:r>
            <w:r w:rsidRPr="00377F3A">
              <w:rPr>
                <w:rFonts w:asciiTheme="minorHAnsi" w:hAnsiTheme="minorHAnsi"/>
              </w:rPr>
              <w:t>., -</w:t>
            </w:r>
          </w:p>
        </w:tc>
      </w:tr>
      <w:tr w:rsidR="00BA7F4F" w:rsidRPr="00BA7F4F" w14:paraId="30E016C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5A1EC7D2" w14:textId="77777777" w:rsidR="00BA7F4F" w:rsidRPr="00377F3A" w:rsidRDefault="00BA7F4F" w:rsidP="00377F3A">
            <w:pPr>
              <w:pStyle w:val="TableText"/>
              <w:rPr>
                <w:rFonts w:asciiTheme="minorHAnsi" w:hAnsiTheme="minorHAnsi"/>
              </w:rPr>
            </w:pPr>
            <w:r w:rsidRPr="00377F3A">
              <w:rPr>
                <w:rFonts w:asciiTheme="minorHAnsi" w:hAnsiTheme="minorHAnsi"/>
              </w:rPr>
              <w:t>acute oral, product</w:t>
            </w:r>
          </w:p>
        </w:tc>
        <w:tc>
          <w:tcPr>
            <w:tcW w:w="6542" w:type="dxa"/>
            <w:tcBorders>
              <w:top w:val="nil"/>
              <w:left w:val="nil"/>
              <w:bottom w:val="single" w:sz="4" w:space="0" w:color="auto"/>
              <w:right w:val="single" w:sz="4" w:space="0" w:color="auto"/>
            </w:tcBorders>
            <w:noWrap/>
            <w:vAlign w:val="bottom"/>
            <w:hideMark/>
          </w:tcPr>
          <w:p w14:paraId="69E497A8"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The LD 50 is between 0.56 and 0.84 mg/kg for male and female. </w:t>
            </w:r>
          </w:p>
        </w:tc>
        <w:tc>
          <w:tcPr>
            <w:tcW w:w="1577" w:type="dxa"/>
            <w:tcBorders>
              <w:top w:val="nil"/>
              <w:left w:val="nil"/>
              <w:bottom w:val="single" w:sz="4" w:space="0" w:color="auto"/>
              <w:right w:val="single" w:sz="4" w:space="0" w:color="auto"/>
            </w:tcBorders>
            <w:noWrap/>
            <w:vAlign w:val="bottom"/>
            <w:hideMark/>
          </w:tcPr>
          <w:p w14:paraId="019AF61B" w14:textId="77777777" w:rsidR="00BA7F4F" w:rsidRPr="00377F3A" w:rsidRDefault="00BA7F4F" w:rsidP="00377F3A">
            <w:pPr>
              <w:pStyle w:val="TableText"/>
              <w:rPr>
                <w:rFonts w:asciiTheme="minorHAnsi" w:hAnsiTheme="minorHAnsi"/>
              </w:rPr>
            </w:pPr>
            <w:r w:rsidRPr="00377F3A">
              <w:rPr>
                <w:rFonts w:asciiTheme="minorHAnsi" w:hAnsiTheme="minorHAnsi"/>
              </w:rPr>
              <w:t>Mally, C. and Porret-Blanc, G., 1987</w:t>
            </w:r>
          </w:p>
        </w:tc>
      </w:tr>
      <w:tr w:rsidR="00BA7F4F" w:rsidRPr="00BA7F4F" w14:paraId="3743E386"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1FD63672" w14:textId="77777777" w:rsidR="00BA7F4F" w:rsidRPr="00377F3A" w:rsidRDefault="00BA7F4F" w:rsidP="00377F3A">
            <w:pPr>
              <w:pStyle w:val="TableText"/>
              <w:rPr>
                <w:rFonts w:asciiTheme="minorHAnsi" w:hAnsiTheme="minorHAnsi"/>
              </w:rPr>
            </w:pPr>
            <w:r w:rsidRPr="00377F3A">
              <w:rPr>
                <w:rFonts w:asciiTheme="minorHAnsi" w:hAnsiTheme="minorHAnsi"/>
              </w:rPr>
              <w:t>Acute oral studies, active</w:t>
            </w:r>
          </w:p>
        </w:tc>
        <w:tc>
          <w:tcPr>
            <w:tcW w:w="6542" w:type="dxa"/>
            <w:tcBorders>
              <w:top w:val="nil"/>
              <w:left w:val="nil"/>
              <w:bottom w:val="single" w:sz="4" w:space="0" w:color="auto"/>
              <w:right w:val="single" w:sz="4" w:space="0" w:color="auto"/>
            </w:tcBorders>
            <w:noWrap/>
            <w:vAlign w:val="bottom"/>
            <w:hideMark/>
          </w:tcPr>
          <w:p w14:paraId="0BB33B3C" w14:textId="1782DBAF" w:rsidR="00BA7F4F" w:rsidRDefault="00BA7F4F" w:rsidP="00BA7F4F">
            <w:pPr>
              <w:pStyle w:val="TableText"/>
            </w:pPr>
            <w:r>
              <w:t xml:space="preserve">Acute oral </w:t>
            </w:r>
            <w:r w:rsidRPr="00377F3A">
              <w:rPr>
                <w:rFonts w:asciiTheme="minorHAnsi" w:hAnsiTheme="minorHAnsi"/>
              </w:rPr>
              <w:t>LD</w:t>
            </w:r>
            <w:r>
              <w:t xml:space="preserve">50 </w:t>
            </w:r>
            <w:r w:rsidRPr="00377F3A">
              <w:rPr>
                <w:rFonts w:asciiTheme="minorHAnsi" w:hAnsiTheme="minorHAnsi"/>
              </w:rPr>
              <w:t xml:space="preserve">in male Beagle dogs, 10. 7 mg/kg body weight </w:t>
            </w:r>
          </w:p>
          <w:p w14:paraId="77F37F33" w14:textId="5115C9C9" w:rsidR="00BA7F4F" w:rsidRPr="00377F3A" w:rsidRDefault="00BA7F4F" w:rsidP="00377F3A">
            <w:pPr>
              <w:pStyle w:val="TableText"/>
              <w:rPr>
                <w:rFonts w:asciiTheme="minorHAnsi" w:hAnsiTheme="minorHAnsi"/>
              </w:rPr>
            </w:pPr>
            <w:r>
              <w:t xml:space="preserve">Acute oral </w:t>
            </w:r>
            <w:r w:rsidRPr="00377F3A">
              <w:rPr>
                <w:rFonts w:asciiTheme="minorHAnsi" w:hAnsiTheme="minorHAnsi"/>
              </w:rPr>
              <w:t>LD50 in</w:t>
            </w:r>
            <w:r>
              <w:t xml:space="preserve"> </w:t>
            </w:r>
            <w:r w:rsidRPr="00377F3A">
              <w:rPr>
                <w:rFonts w:asciiTheme="minorHAnsi" w:hAnsiTheme="minorHAnsi"/>
              </w:rPr>
              <w:t xml:space="preserve">females 6.3 mg/kg </w:t>
            </w:r>
            <w:r>
              <w:t>body weight</w:t>
            </w:r>
          </w:p>
        </w:tc>
        <w:tc>
          <w:tcPr>
            <w:tcW w:w="1577" w:type="dxa"/>
            <w:tcBorders>
              <w:top w:val="nil"/>
              <w:left w:val="nil"/>
              <w:bottom w:val="single" w:sz="4" w:space="0" w:color="auto"/>
              <w:right w:val="single" w:sz="4" w:space="0" w:color="auto"/>
            </w:tcBorders>
            <w:noWrap/>
            <w:vAlign w:val="bottom"/>
            <w:hideMark/>
          </w:tcPr>
          <w:p w14:paraId="5363D088" w14:textId="77777777" w:rsidR="00BA7F4F" w:rsidRPr="00377F3A" w:rsidRDefault="00BA7F4F" w:rsidP="00377F3A">
            <w:pPr>
              <w:pStyle w:val="TableText"/>
              <w:rPr>
                <w:rFonts w:asciiTheme="minorHAnsi" w:hAnsiTheme="minorHAnsi"/>
              </w:rPr>
            </w:pPr>
            <w:r w:rsidRPr="00377F3A">
              <w:rPr>
                <w:rFonts w:asciiTheme="minorHAnsi" w:hAnsiTheme="minorHAnsi"/>
              </w:rPr>
              <w:t>Reagan, E.L., 1987</w:t>
            </w:r>
          </w:p>
        </w:tc>
      </w:tr>
      <w:tr w:rsidR="00BA7F4F" w:rsidRPr="00BA7F4F" w14:paraId="586429AF"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427C57A8" w14:textId="77777777" w:rsidR="00BA7F4F" w:rsidRPr="00377F3A" w:rsidRDefault="00BA7F4F" w:rsidP="00377F3A">
            <w:pPr>
              <w:pStyle w:val="TableText"/>
              <w:rPr>
                <w:rFonts w:asciiTheme="minorHAnsi" w:hAnsiTheme="minorHAnsi"/>
              </w:rPr>
            </w:pPr>
            <w:r w:rsidRPr="00377F3A">
              <w:rPr>
                <w:rFonts w:asciiTheme="minorHAnsi" w:hAnsiTheme="minorHAnsi"/>
              </w:rPr>
              <w:t>acute dermal, active</w:t>
            </w:r>
          </w:p>
        </w:tc>
        <w:tc>
          <w:tcPr>
            <w:tcW w:w="6542" w:type="dxa"/>
            <w:tcBorders>
              <w:top w:val="nil"/>
              <w:left w:val="nil"/>
              <w:bottom w:val="single" w:sz="4" w:space="0" w:color="auto"/>
              <w:right w:val="single" w:sz="4" w:space="0" w:color="auto"/>
            </w:tcBorders>
            <w:noWrap/>
            <w:vAlign w:val="bottom"/>
            <w:hideMark/>
          </w:tcPr>
          <w:p w14:paraId="373BA8EA" w14:textId="43642DEA" w:rsidR="00BA7F4F" w:rsidRPr="00377F3A" w:rsidRDefault="00BA7F4F" w:rsidP="00377F3A">
            <w:pPr>
              <w:pStyle w:val="TableText"/>
              <w:rPr>
                <w:rFonts w:asciiTheme="minorHAnsi" w:hAnsiTheme="minorHAnsi"/>
              </w:rPr>
            </w:pPr>
            <w:r>
              <w:t>A</w:t>
            </w:r>
            <w:r w:rsidRPr="00377F3A">
              <w:rPr>
                <w:rFonts w:asciiTheme="minorHAnsi" w:hAnsiTheme="minorHAnsi"/>
              </w:rPr>
              <w:t>cute percutaneous LD50 of Bromadiolone in male rabbits, 1.3 mg/kg</w:t>
            </w:r>
            <w:r>
              <w:t xml:space="preserve"> b</w:t>
            </w:r>
            <w:r w:rsidRPr="00377F3A">
              <w:rPr>
                <w:rFonts w:asciiTheme="minorHAnsi" w:hAnsiTheme="minorHAnsi"/>
              </w:rPr>
              <w:t>odyweight. The LD50 in</w:t>
            </w:r>
            <w:r>
              <w:t xml:space="preserve"> </w:t>
            </w:r>
            <w:r w:rsidRPr="00377F3A">
              <w:rPr>
                <w:rFonts w:asciiTheme="minorHAnsi" w:hAnsiTheme="minorHAnsi"/>
              </w:rPr>
              <w:t xml:space="preserve">females 2.38 mg/kg </w:t>
            </w:r>
            <w:r>
              <w:t>bodyweight</w:t>
            </w:r>
          </w:p>
        </w:tc>
        <w:tc>
          <w:tcPr>
            <w:tcW w:w="1577" w:type="dxa"/>
            <w:tcBorders>
              <w:top w:val="nil"/>
              <w:left w:val="nil"/>
              <w:bottom w:val="single" w:sz="4" w:space="0" w:color="auto"/>
              <w:right w:val="single" w:sz="4" w:space="0" w:color="auto"/>
            </w:tcBorders>
            <w:noWrap/>
            <w:vAlign w:val="bottom"/>
            <w:hideMark/>
          </w:tcPr>
          <w:p w14:paraId="06CBED88" w14:textId="77777777" w:rsidR="00BA7F4F" w:rsidRPr="00377F3A" w:rsidRDefault="00BA7F4F" w:rsidP="00377F3A">
            <w:pPr>
              <w:pStyle w:val="TableText"/>
              <w:rPr>
                <w:rFonts w:asciiTheme="minorHAnsi" w:hAnsiTheme="minorHAnsi"/>
              </w:rPr>
            </w:pPr>
            <w:r w:rsidRPr="00377F3A">
              <w:rPr>
                <w:rFonts w:asciiTheme="minorHAnsi" w:hAnsiTheme="minorHAnsi"/>
              </w:rPr>
              <w:t>Myers, R.C. and Christopher, S.M., 1993</w:t>
            </w:r>
          </w:p>
        </w:tc>
      </w:tr>
      <w:tr w:rsidR="00BA7F4F" w:rsidRPr="00BA7F4F" w14:paraId="02A4958C"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15A01005" w14:textId="77777777" w:rsidR="00BA7F4F" w:rsidRPr="00377F3A" w:rsidRDefault="00BA7F4F" w:rsidP="00377F3A">
            <w:pPr>
              <w:pStyle w:val="TableText"/>
              <w:rPr>
                <w:rFonts w:asciiTheme="minorHAnsi" w:hAnsiTheme="minorHAnsi"/>
              </w:rPr>
            </w:pPr>
            <w:r w:rsidRPr="00377F3A">
              <w:rPr>
                <w:rFonts w:asciiTheme="minorHAnsi" w:hAnsiTheme="minorHAnsi"/>
              </w:rPr>
              <w:t>acute inhalation</w:t>
            </w:r>
          </w:p>
        </w:tc>
        <w:tc>
          <w:tcPr>
            <w:tcW w:w="6542" w:type="dxa"/>
            <w:tcBorders>
              <w:top w:val="nil"/>
              <w:left w:val="nil"/>
              <w:bottom w:val="single" w:sz="4" w:space="0" w:color="auto"/>
              <w:right w:val="single" w:sz="4" w:space="0" w:color="auto"/>
            </w:tcBorders>
            <w:noWrap/>
            <w:vAlign w:val="bottom"/>
            <w:hideMark/>
          </w:tcPr>
          <w:p w14:paraId="38934371" w14:textId="04D15425" w:rsidR="00BA7F4F" w:rsidRPr="00377F3A" w:rsidRDefault="00BA7F4F" w:rsidP="00377F3A">
            <w:pPr>
              <w:pStyle w:val="TableText"/>
              <w:rPr>
                <w:rFonts w:asciiTheme="minorHAnsi" w:hAnsiTheme="minorHAnsi"/>
              </w:rPr>
            </w:pPr>
            <w:r w:rsidRPr="00377F3A">
              <w:rPr>
                <w:rFonts w:asciiTheme="minorHAnsi" w:hAnsiTheme="minorHAnsi"/>
              </w:rPr>
              <w:t>The acute inhalation LC50 of Bromadiolone in male rats, 0.46 microgram/L. The LC50 in females was calculated to be &gt;0.33 &amp; &lt; 0.46</w:t>
            </w:r>
            <w:r w:rsidR="0091756F">
              <w:t xml:space="preserve"> </w:t>
            </w:r>
            <w:r w:rsidR="0091756F" w:rsidRPr="00E078CC">
              <w:t>microgram/L.</w:t>
            </w:r>
          </w:p>
        </w:tc>
        <w:tc>
          <w:tcPr>
            <w:tcW w:w="1577" w:type="dxa"/>
            <w:tcBorders>
              <w:top w:val="nil"/>
              <w:left w:val="nil"/>
              <w:bottom w:val="single" w:sz="4" w:space="0" w:color="auto"/>
              <w:right w:val="single" w:sz="4" w:space="0" w:color="auto"/>
            </w:tcBorders>
            <w:noWrap/>
            <w:vAlign w:val="bottom"/>
            <w:hideMark/>
          </w:tcPr>
          <w:p w14:paraId="048F25AA" w14:textId="77777777" w:rsidR="00BA7F4F" w:rsidRPr="00377F3A" w:rsidRDefault="00BA7F4F" w:rsidP="00377F3A">
            <w:pPr>
              <w:pStyle w:val="TableText"/>
              <w:rPr>
                <w:rFonts w:asciiTheme="minorHAnsi" w:hAnsiTheme="minorHAnsi"/>
              </w:rPr>
            </w:pPr>
            <w:r w:rsidRPr="00377F3A">
              <w:rPr>
                <w:rFonts w:asciiTheme="minorHAnsi" w:hAnsiTheme="minorHAnsi"/>
              </w:rPr>
              <w:t>Holbert, M.S., 1991</w:t>
            </w:r>
          </w:p>
        </w:tc>
      </w:tr>
      <w:tr w:rsidR="00BA7F4F" w:rsidRPr="00BA7F4F" w14:paraId="0C74832E"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F09C478"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active</w:t>
            </w:r>
          </w:p>
        </w:tc>
        <w:tc>
          <w:tcPr>
            <w:tcW w:w="6542" w:type="dxa"/>
            <w:tcBorders>
              <w:top w:val="nil"/>
              <w:left w:val="nil"/>
              <w:bottom w:val="single" w:sz="4" w:space="0" w:color="auto"/>
              <w:right w:val="single" w:sz="4" w:space="0" w:color="auto"/>
            </w:tcBorders>
            <w:noWrap/>
            <w:vAlign w:val="bottom"/>
            <w:hideMark/>
          </w:tcPr>
          <w:p w14:paraId="34C31AAB"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Non-irritant </w:t>
            </w:r>
          </w:p>
        </w:tc>
        <w:tc>
          <w:tcPr>
            <w:tcW w:w="1577" w:type="dxa"/>
            <w:tcBorders>
              <w:top w:val="nil"/>
              <w:left w:val="nil"/>
              <w:bottom w:val="single" w:sz="4" w:space="0" w:color="auto"/>
              <w:right w:val="single" w:sz="4" w:space="0" w:color="auto"/>
            </w:tcBorders>
            <w:noWrap/>
            <w:vAlign w:val="bottom"/>
            <w:hideMark/>
          </w:tcPr>
          <w:p w14:paraId="3BE2F241" w14:textId="77777777" w:rsidR="00BA7F4F" w:rsidRPr="00377F3A" w:rsidRDefault="00BA7F4F" w:rsidP="00377F3A">
            <w:pPr>
              <w:pStyle w:val="TableText"/>
              <w:rPr>
                <w:rFonts w:asciiTheme="minorHAnsi" w:hAnsiTheme="minorHAnsi"/>
              </w:rPr>
            </w:pPr>
            <w:r w:rsidRPr="00377F3A">
              <w:rPr>
                <w:rFonts w:asciiTheme="minorHAnsi" w:hAnsiTheme="minorHAnsi"/>
              </w:rPr>
              <w:t>Shapiro, R., 1977</w:t>
            </w:r>
          </w:p>
        </w:tc>
      </w:tr>
      <w:tr w:rsidR="00BA7F4F" w:rsidRPr="00BA7F4F" w14:paraId="0C7B03E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CD92DD6"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active</w:t>
            </w:r>
          </w:p>
        </w:tc>
        <w:tc>
          <w:tcPr>
            <w:tcW w:w="6542" w:type="dxa"/>
            <w:tcBorders>
              <w:top w:val="nil"/>
              <w:left w:val="nil"/>
              <w:bottom w:val="single" w:sz="4" w:space="0" w:color="auto"/>
              <w:right w:val="single" w:sz="4" w:space="0" w:color="auto"/>
            </w:tcBorders>
            <w:noWrap/>
            <w:vAlign w:val="bottom"/>
            <w:hideMark/>
          </w:tcPr>
          <w:p w14:paraId="62C0586F"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The material is slight irritant. </w:t>
            </w:r>
          </w:p>
        </w:tc>
        <w:tc>
          <w:tcPr>
            <w:tcW w:w="1577" w:type="dxa"/>
            <w:tcBorders>
              <w:top w:val="nil"/>
              <w:left w:val="nil"/>
              <w:bottom w:val="single" w:sz="4" w:space="0" w:color="auto"/>
              <w:right w:val="single" w:sz="4" w:space="0" w:color="auto"/>
            </w:tcBorders>
            <w:noWrap/>
            <w:vAlign w:val="bottom"/>
            <w:hideMark/>
          </w:tcPr>
          <w:p w14:paraId="080D9788" w14:textId="77777777" w:rsidR="00BA7F4F" w:rsidRPr="00377F3A" w:rsidRDefault="00BA7F4F" w:rsidP="00377F3A">
            <w:pPr>
              <w:pStyle w:val="TableText"/>
              <w:rPr>
                <w:rFonts w:asciiTheme="minorHAnsi" w:hAnsiTheme="minorHAnsi"/>
              </w:rPr>
            </w:pPr>
            <w:r w:rsidRPr="00377F3A">
              <w:rPr>
                <w:rFonts w:asciiTheme="minorHAnsi" w:hAnsiTheme="minorHAnsi"/>
              </w:rPr>
              <w:t>Shapiro, R., 1977</w:t>
            </w:r>
          </w:p>
        </w:tc>
      </w:tr>
      <w:tr w:rsidR="00BA7F4F" w:rsidRPr="00BA7F4F" w14:paraId="4E36B3BA"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651003E"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active</w:t>
            </w:r>
          </w:p>
        </w:tc>
        <w:tc>
          <w:tcPr>
            <w:tcW w:w="6542" w:type="dxa"/>
            <w:tcBorders>
              <w:top w:val="nil"/>
              <w:left w:val="nil"/>
              <w:bottom w:val="single" w:sz="4" w:space="0" w:color="auto"/>
              <w:right w:val="single" w:sz="4" w:space="0" w:color="auto"/>
            </w:tcBorders>
            <w:noWrap/>
            <w:vAlign w:val="bottom"/>
            <w:hideMark/>
          </w:tcPr>
          <w:p w14:paraId="4C833020"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0.1% of bromadiolone was considered non sensitising. </w:t>
            </w:r>
          </w:p>
        </w:tc>
        <w:tc>
          <w:tcPr>
            <w:tcW w:w="1577" w:type="dxa"/>
            <w:tcBorders>
              <w:top w:val="nil"/>
              <w:left w:val="nil"/>
              <w:bottom w:val="single" w:sz="4" w:space="0" w:color="auto"/>
              <w:right w:val="single" w:sz="4" w:space="0" w:color="auto"/>
            </w:tcBorders>
            <w:noWrap/>
            <w:vAlign w:val="bottom"/>
            <w:hideMark/>
          </w:tcPr>
          <w:p w14:paraId="5FDA2127" w14:textId="77777777" w:rsidR="00BA7F4F" w:rsidRPr="00377F3A" w:rsidRDefault="00BA7F4F" w:rsidP="00377F3A">
            <w:pPr>
              <w:pStyle w:val="TableText"/>
              <w:rPr>
                <w:rFonts w:asciiTheme="minorHAnsi" w:hAnsiTheme="minorHAnsi"/>
              </w:rPr>
            </w:pPr>
            <w:r w:rsidRPr="00377F3A">
              <w:rPr>
                <w:rFonts w:asciiTheme="minorHAnsi" w:hAnsiTheme="minorHAnsi"/>
              </w:rPr>
              <w:t>Kuklinski, M., 1990</w:t>
            </w:r>
          </w:p>
        </w:tc>
      </w:tr>
      <w:tr w:rsidR="00BA7F4F" w:rsidRPr="00BA7F4F" w14:paraId="2E37FD9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2399C941" w14:textId="77777777" w:rsidR="00BA7F4F" w:rsidRPr="00377F3A" w:rsidRDefault="00BA7F4F" w:rsidP="00377F3A">
            <w:pPr>
              <w:pStyle w:val="TableText"/>
              <w:rPr>
                <w:rFonts w:asciiTheme="minorHAnsi" w:hAnsiTheme="minorHAnsi"/>
              </w:rPr>
            </w:pPr>
            <w:r w:rsidRPr="00377F3A">
              <w:rPr>
                <w:rFonts w:asciiTheme="minorHAnsi" w:hAnsiTheme="minorHAnsi"/>
              </w:rPr>
              <w:t>90-day oral</w:t>
            </w:r>
          </w:p>
        </w:tc>
        <w:tc>
          <w:tcPr>
            <w:tcW w:w="6542" w:type="dxa"/>
            <w:tcBorders>
              <w:top w:val="nil"/>
              <w:left w:val="nil"/>
              <w:bottom w:val="single" w:sz="4" w:space="0" w:color="auto"/>
              <w:right w:val="single" w:sz="4" w:space="0" w:color="auto"/>
            </w:tcBorders>
            <w:noWrap/>
            <w:vAlign w:val="bottom"/>
            <w:hideMark/>
          </w:tcPr>
          <w:p w14:paraId="5DCA7E8E" w14:textId="77777777" w:rsidR="00BA7F4F" w:rsidRPr="00377F3A" w:rsidRDefault="00BA7F4F" w:rsidP="00377F3A">
            <w:pPr>
              <w:pStyle w:val="TableText"/>
              <w:rPr>
                <w:rFonts w:asciiTheme="minorHAnsi" w:hAnsiTheme="minorHAnsi"/>
              </w:rPr>
            </w:pPr>
            <w:r w:rsidRPr="00377F3A">
              <w:rPr>
                <w:rFonts w:asciiTheme="minorHAnsi" w:hAnsiTheme="minorHAnsi"/>
              </w:rPr>
              <w:t>NOEL : 8 ug/kg day</w:t>
            </w:r>
          </w:p>
        </w:tc>
        <w:tc>
          <w:tcPr>
            <w:tcW w:w="1577" w:type="dxa"/>
            <w:tcBorders>
              <w:top w:val="nil"/>
              <w:left w:val="nil"/>
              <w:bottom w:val="single" w:sz="4" w:space="0" w:color="auto"/>
              <w:right w:val="single" w:sz="4" w:space="0" w:color="auto"/>
            </w:tcBorders>
            <w:noWrap/>
            <w:vAlign w:val="bottom"/>
            <w:hideMark/>
          </w:tcPr>
          <w:p w14:paraId="3C65F36A" w14:textId="77777777" w:rsidR="00BA7F4F" w:rsidRPr="00377F3A" w:rsidRDefault="00BA7F4F" w:rsidP="00377F3A">
            <w:pPr>
              <w:pStyle w:val="TableText"/>
              <w:rPr>
                <w:rFonts w:asciiTheme="minorHAnsi" w:hAnsiTheme="minorHAnsi"/>
              </w:rPr>
            </w:pPr>
            <w:r w:rsidRPr="00377F3A">
              <w:rPr>
                <w:rFonts w:asciiTheme="minorHAnsi" w:hAnsiTheme="minorHAnsi"/>
              </w:rPr>
              <w:t>Lorgue, G., 1981</w:t>
            </w:r>
          </w:p>
        </w:tc>
      </w:tr>
      <w:tr w:rsidR="00BA7F4F" w:rsidRPr="00BA7F4F" w14:paraId="56A711F2"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3507E8F7" w14:textId="77777777" w:rsidR="00BA7F4F" w:rsidRPr="00377F3A" w:rsidRDefault="00BA7F4F" w:rsidP="00377F3A">
            <w:pPr>
              <w:pStyle w:val="TableText"/>
              <w:rPr>
                <w:rFonts w:asciiTheme="minorHAnsi" w:hAnsiTheme="minorHAnsi"/>
              </w:rPr>
            </w:pPr>
            <w:r w:rsidRPr="00377F3A">
              <w:rPr>
                <w:rFonts w:asciiTheme="minorHAnsi" w:hAnsiTheme="minorHAnsi"/>
              </w:rPr>
              <w:t>Mutagenicity</w:t>
            </w:r>
          </w:p>
        </w:tc>
        <w:tc>
          <w:tcPr>
            <w:tcW w:w="6542" w:type="dxa"/>
            <w:tcBorders>
              <w:top w:val="nil"/>
              <w:left w:val="nil"/>
              <w:bottom w:val="single" w:sz="4" w:space="0" w:color="auto"/>
              <w:right w:val="single" w:sz="4" w:space="0" w:color="auto"/>
            </w:tcBorders>
            <w:noWrap/>
            <w:vAlign w:val="bottom"/>
            <w:hideMark/>
          </w:tcPr>
          <w:p w14:paraId="0B81092D"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7049B4B9" w14:textId="77777777" w:rsidR="00BA7F4F" w:rsidRPr="00377F3A" w:rsidRDefault="00BA7F4F" w:rsidP="00377F3A">
            <w:pPr>
              <w:pStyle w:val="TableText"/>
              <w:rPr>
                <w:rFonts w:asciiTheme="minorHAnsi" w:hAnsiTheme="minorHAnsi"/>
              </w:rPr>
            </w:pPr>
            <w:r w:rsidRPr="00377F3A">
              <w:rPr>
                <w:rFonts w:asciiTheme="minorHAnsi" w:hAnsiTheme="minorHAnsi"/>
              </w:rPr>
              <w:t>Lawlor, T.E., 1992</w:t>
            </w:r>
          </w:p>
        </w:tc>
      </w:tr>
      <w:tr w:rsidR="00BA7F4F" w:rsidRPr="00BA7F4F" w14:paraId="65B0795E"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2684AC0" w14:textId="77777777" w:rsidR="00BA7F4F" w:rsidRPr="00377F3A" w:rsidRDefault="00BA7F4F" w:rsidP="00377F3A">
            <w:pPr>
              <w:pStyle w:val="TableText"/>
              <w:rPr>
                <w:rFonts w:asciiTheme="minorHAnsi" w:hAnsiTheme="minorHAnsi"/>
              </w:rPr>
            </w:pPr>
            <w:r w:rsidRPr="00377F3A">
              <w:rPr>
                <w:rFonts w:asciiTheme="minorHAnsi" w:hAnsiTheme="minorHAnsi"/>
              </w:rPr>
              <w:t>Mutagenicity</w:t>
            </w:r>
          </w:p>
        </w:tc>
        <w:tc>
          <w:tcPr>
            <w:tcW w:w="6542" w:type="dxa"/>
            <w:tcBorders>
              <w:top w:val="nil"/>
              <w:left w:val="nil"/>
              <w:bottom w:val="single" w:sz="4" w:space="0" w:color="auto"/>
              <w:right w:val="single" w:sz="4" w:space="0" w:color="auto"/>
            </w:tcBorders>
            <w:noWrap/>
            <w:vAlign w:val="bottom"/>
            <w:hideMark/>
          </w:tcPr>
          <w:p w14:paraId="56089FC9"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23E6BB69" w14:textId="77777777" w:rsidR="00BA7F4F" w:rsidRPr="00377F3A" w:rsidRDefault="00BA7F4F" w:rsidP="00377F3A">
            <w:pPr>
              <w:pStyle w:val="TableText"/>
              <w:rPr>
                <w:rFonts w:asciiTheme="minorHAnsi" w:hAnsiTheme="minorHAnsi"/>
              </w:rPr>
            </w:pPr>
            <w:r w:rsidRPr="00377F3A">
              <w:rPr>
                <w:rFonts w:asciiTheme="minorHAnsi" w:hAnsiTheme="minorHAnsi"/>
              </w:rPr>
              <w:t>Murli, H., 1993</w:t>
            </w:r>
          </w:p>
        </w:tc>
      </w:tr>
      <w:tr w:rsidR="00BA7F4F" w:rsidRPr="00BA7F4F" w14:paraId="650FDE3C"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3E2CFD44" w14:textId="77777777" w:rsidR="00BA7F4F" w:rsidRPr="00377F3A" w:rsidRDefault="00BA7F4F" w:rsidP="00377F3A">
            <w:pPr>
              <w:pStyle w:val="TableText"/>
              <w:rPr>
                <w:rFonts w:asciiTheme="minorHAnsi" w:hAnsiTheme="minorHAnsi"/>
              </w:rPr>
            </w:pPr>
            <w:r w:rsidRPr="00377F3A">
              <w:rPr>
                <w:rFonts w:asciiTheme="minorHAnsi" w:hAnsiTheme="minorHAnsi"/>
              </w:rPr>
              <w:t>Mutagenicity</w:t>
            </w:r>
          </w:p>
        </w:tc>
        <w:tc>
          <w:tcPr>
            <w:tcW w:w="6542" w:type="dxa"/>
            <w:tcBorders>
              <w:top w:val="nil"/>
              <w:left w:val="nil"/>
              <w:bottom w:val="single" w:sz="4" w:space="0" w:color="auto"/>
              <w:right w:val="single" w:sz="4" w:space="0" w:color="auto"/>
            </w:tcBorders>
            <w:noWrap/>
            <w:vAlign w:val="bottom"/>
            <w:hideMark/>
          </w:tcPr>
          <w:p w14:paraId="5EFCE5AE"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27042518" w14:textId="77777777" w:rsidR="00BA7F4F" w:rsidRPr="00377F3A" w:rsidRDefault="00BA7F4F" w:rsidP="00377F3A">
            <w:pPr>
              <w:pStyle w:val="TableText"/>
              <w:rPr>
                <w:rFonts w:asciiTheme="minorHAnsi" w:hAnsiTheme="minorHAnsi"/>
              </w:rPr>
            </w:pPr>
            <w:r w:rsidRPr="00377F3A">
              <w:rPr>
                <w:rFonts w:asciiTheme="minorHAnsi" w:hAnsiTheme="minorHAnsi"/>
              </w:rPr>
              <w:t>Cifone, M.A., 1993</w:t>
            </w:r>
          </w:p>
        </w:tc>
      </w:tr>
      <w:tr w:rsidR="00BA7F4F" w:rsidRPr="00BA7F4F" w14:paraId="519FE43F"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2CCD9FCE" w14:textId="77777777" w:rsidR="00BA7F4F" w:rsidRPr="00377F3A" w:rsidRDefault="00BA7F4F" w:rsidP="00377F3A">
            <w:pPr>
              <w:pStyle w:val="TableText"/>
              <w:rPr>
                <w:rFonts w:asciiTheme="minorHAnsi" w:hAnsiTheme="minorHAnsi"/>
              </w:rPr>
            </w:pPr>
            <w:r w:rsidRPr="00377F3A">
              <w:rPr>
                <w:rFonts w:asciiTheme="minorHAnsi" w:hAnsiTheme="minorHAnsi"/>
              </w:rPr>
              <w:t>Mutagenicity</w:t>
            </w:r>
          </w:p>
        </w:tc>
        <w:tc>
          <w:tcPr>
            <w:tcW w:w="6542" w:type="dxa"/>
            <w:tcBorders>
              <w:top w:val="nil"/>
              <w:left w:val="nil"/>
              <w:bottom w:val="single" w:sz="4" w:space="0" w:color="auto"/>
              <w:right w:val="single" w:sz="4" w:space="0" w:color="auto"/>
            </w:tcBorders>
            <w:noWrap/>
            <w:vAlign w:val="bottom"/>
            <w:hideMark/>
          </w:tcPr>
          <w:p w14:paraId="67786CE9"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11F72700" w14:textId="77777777" w:rsidR="00BA7F4F" w:rsidRPr="00377F3A" w:rsidRDefault="00BA7F4F" w:rsidP="00377F3A">
            <w:pPr>
              <w:pStyle w:val="TableText"/>
              <w:rPr>
                <w:rFonts w:asciiTheme="minorHAnsi" w:hAnsiTheme="minorHAnsi"/>
              </w:rPr>
            </w:pPr>
            <w:r w:rsidRPr="00377F3A">
              <w:rPr>
                <w:rFonts w:asciiTheme="minorHAnsi" w:hAnsiTheme="minorHAnsi"/>
              </w:rPr>
              <w:t>Murli, H., 1993</w:t>
            </w:r>
          </w:p>
        </w:tc>
      </w:tr>
      <w:tr w:rsidR="00BA7F4F" w:rsidRPr="00BA7F4F" w14:paraId="11028D88"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E041608" w14:textId="77777777" w:rsidR="00BA7F4F" w:rsidRPr="00377F3A" w:rsidRDefault="00BA7F4F" w:rsidP="00377F3A">
            <w:pPr>
              <w:pStyle w:val="TableText"/>
              <w:rPr>
                <w:rFonts w:asciiTheme="minorHAnsi" w:hAnsiTheme="minorHAnsi"/>
              </w:rPr>
            </w:pPr>
            <w:r w:rsidRPr="00377F3A">
              <w:rPr>
                <w:rFonts w:asciiTheme="minorHAnsi" w:hAnsiTheme="minorHAnsi"/>
              </w:rPr>
              <w:t>teratology</w:t>
            </w:r>
          </w:p>
        </w:tc>
        <w:tc>
          <w:tcPr>
            <w:tcW w:w="6542" w:type="dxa"/>
            <w:tcBorders>
              <w:top w:val="nil"/>
              <w:left w:val="nil"/>
              <w:bottom w:val="single" w:sz="4" w:space="0" w:color="auto"/>
              <w:right w:val="single" w:sz="4" w:space="0" w:color="auto"/>
            </w:tcBorders>
            <w:noWrap/>
            <w:vAlign w:val="bottom"/>
            <w:hideMark/>
          </w:tcPr>
          <w:p w14:paraId="7DCE263E" w14:textId="77777777" w:rsidR="00BA7F4F" w:rsidRPr="00377F3A" w:rsidRDefault="00BA7F4F" w:rsidP="00377F3A">
            <w:pPr>
              <w:pStyle w:val="TableText"/>
              <w:rPr>
                <w:rFonts w:asciiTheme="minorHAnsi" w:hAnsiTheme="minorHAnsi"/>
              </w:rPr>
            </w:pPr>
            <w:r w:rsidRPr="00377F3A">
              <w:rPr>
                <w:rFonts w:asciiTheme="minorHAnsi" w:hAnsiTheme="minorHAnsi"/>
              </w:rPr>
              <w:t>NOEL for materno and foeto toxicity was 35 microgram/kg/day</w:t>
            </w:r>
          </w:p>
        </w:tc>
        <w:tc>
          <w:tcPr>
            <w:tcW w:w="1577" w:type="dxa"/>
            <w:tcBorders>
              <w:top w:val="nil"/>
              <w:left w:val="nil"/>
              <w:bottom w:val="single" w:sz="4" w:space="0" w:color="auto"/>
              <w:right w:val="single" w:sz="4" w:space="0" w:color="auto"/>
            </w:tcBorders>
            <w:noWrap/>
            <w:vAlign w:val="bottom"/>
            <w:hideMark/>
          </w:tcPr>
          <w:p w14:paraId="689E03BE" w14:textId="25FAD21C" w:rsidR="00BA7F4F" w:rsidRPr="00377F3A" w:rsidRDefault="00BA7F4F" w:rsidP="00377F3A">
            <w:pPr>
              <w:pStyle w:val="TableText"/>
              <w:rPr>
                <w:rFonts w:asciiTheme="minorHAnsi" w:hAnsiTheme="minorHAnsi"/>
              </w:rPr>
            </w:pPr>
            <w:r w:rsidRPr="00377F3A">
              <w:rPr>
                <w:rFonts w:asciiTheme="minorHAnsi" w:hAnsiTheme="minorHAnsi"/>
              </w:rPr>
              <w:t>Monnot, G., Fave, A., Illat, T. and Briet, Ph., 1990</w:t>
            </w:r>
          </w:p>
        </w:tc>
      </w:tr>
      <w:tr w:rsidR="00BA7F4F" w:rsidRPr="00BA7F4F" w14:paraId="31151AC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29FC5766" w14:textId="77777777" w:rsidR="00BA7F4F" w:rsidRPr="00377F3A" w:rsidRDefault="00BA7F4F" w:rsidP="00377F3A">
            <w:pPr>
              <w:pStyle w:val="TableText"/>
              <w:rPr>
                <w:rFonts w:asciiTheme="minorHAnsi" w:hAnsiTheme="minorHAnsi"/>
              </w:rPr>
            </w:pPr>
            <w:r w:rsidRPr="00377F3A">
              <w:rPr>
                <w:rFonts w:asciiTheme="minorHAnsi" w:hAnsiTheme="minorHAnsi"/>
              </w:rPr>
              <w:t>teratology</w:t>
            </w:r>
          </w:p>
        </w:tc>
        <w:tc>
          <w:tcPr>
            <w:tcW w:w="6542" w:type="dxa"/>
            <w:tcBorders>
              <w:top w:val="nil"/>
              <w:left w:val="nil"/>
              <w:bottom w:val="single" w:sz="4" w:space="0" w:color="auto"/>
              <w:right w:val="single" w:sz="4" w:space="0" w:color="auto"/>
            </w:tcBorders>
            <w:noWrap/>
            <w:vAlign w:val="bottom"/>
            <w:hideMark/>
          </w:tcPr>
          <w:p w14:paraId="50B1B859" w14:textId="77777777" w:rsidR="00BA7F4F" w:rsidRPr="00377F3A" w:rsidRDefault="00BA7F4F" w:rsidP="00377F3A">
            <w:pPr>
              <w:pStyle w:val="TableText"/>
              <w:rPr>
                <w:rFonts w:asciiTheme="minorHAnsi" w:hAnsiTheme="minorHAnsi"/>
              </w:rPr>
            </w:pPr>
            <w:r w:rsidRPr="00377F3A">
              <w:rPr>
                <w:rFonts w:asciiTheme="minorHAnsi" w:hAnsiTheme="minorHAnsi"/>
              </w:rPr>
              <w:t>NOEL was 4 ug/kg/day, based on maternotoxicity</w:t>
            </w:r>
          </w:p>
        </w:tc>
        <w:tc>
          <w:tcPr>
            <w:tcW w:w="1577" w:type="dxa"/>
            <w:tcBorders>
              <w:top w:val="nil"/>
              <w:left w:val="nil"/>
              <w:bottom w:val="single" w:sz="4" w:space="0" w:color="auto"/>
              <w:right w:val="single" w:sz="4" w:space="0" w:color="auto"/>
            </w:tcBorders>
            <w:noWrap/>
            <w:vAlign w:val="bottom"/>
            <w:hideMark/>
          </w:tcPr>
          <w:p w14:paraId="4CFA156F" w14:textId="77777777" w:rsidR="00BA7F4F" w:rsidRPr="00377F3A" w:rsidRDefault="00BA7F4F" w:rsidP="00377F3A">
            <w:pPr>
              <w:pStyle w:val="TableText"/>
              <w:rPr>
                <w:rFonts w:asciiTheme="minorHAnsi" w:hAnsiTheme="minorHAnsi"/>
              </w:rPr>
            </w:pPr>
            <w:r w:rsidRPr="00377F3A">
              <w:rPr>
                <w:rFonts w:asciiTheme="minorHAnsi" w:hAnsiTheme="minorHAnsi"/>
              </w:rPr>
              <w:t>Virat, M., 1981</w:t>
            </w:r>
          </w:p>
        </w:tc>
      </w:tr>
      <w:tr w:rsidR="00BA7F4F" w:rsidRPr="00BA7F4F" w14:paraId="0772182F"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11B0AA12" w14:textId="77777777" w:rsidR="00BA7F4F" w:rsidRPr="00377F3A" w:rsidRDefault="00BA7F4F" w:rsidP="00377F3A">
            <w:pPr>
              <w:pStyle w:val="TableText"/>
              <w:rPr>
                <w:rFonts w:asciiTheme="minorHAnsi" w:hAnsiTheme="minorHAnsi"/>
              </w:rPr>
            </w:pPr>
            <w:r w:rsidRPr="00377F3A">
              <w:rPr>
                <w:rFonts w:asciiTheme="minorHAnsi" w:hAnsiTheme="minorHAnsi"/>
              </w:rPr>
              <w:t>acute oral, product</w:t>
            </w:r>
          </w:p>
        </w:tc>
        <w:tc>
          <w:tcPr>
            <w:tcW w:w="6542" w:type="dxa"/>
            <w:tcBorders>
              <w:top w:val="nil"/>
              <w:left w:val="nil"/>
              <w:bottom w:val="single" w:sz="4" w:space="0" w:color="auto"/>
              <w:right w:val="single" w:sz="4" w:space="0" w:color="auto"/>
            </w:tcBorders>
            <w:noWrap/>
            <w:vAlign w:val="bottom"/>
            <w:hideMark/>
          </w:tcPr>
          <w:p w14:paraId="41793859"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LD50 for Maki Paraffin Block with Bitrex was &gt;5000 mg/kg bw. </w:t>
            </w:r>
          </w:p>
        </w:tc>
        <w:tc>
          <w:tcPr>
            <w:tcW w:w="1577" w:type="dxa"/>
            <w:tcBorders>
              <w:top w:val="nil"/>
              <w:left w:val="nil"/>
              <w:bottom w:val="single" w:sz="4" w:space="0" w:color="auto"/>
              <w:right w:val="single" w:sz="4" w:space="0" w:color="auto"/>
            </w:tcBorders>
            <w:noWrap/>
            <w:vAlign w:val="bottom"/>
            <w:hideMark/>
          </w:tcPr>
          <w:p w14:paraId="627396EE" w14:textId="77777777" w:rsidR="00BA7F4F" w:rsidRPr="00377F3A" w:rsidRDefault="00BA7F4F" w:rsidP="00377F3A">
            <w:pPr>
              <w:pStyle w:val="TableText"/>
              <w:rPr>
                <w:rFonts w:asciiTheme="minorHAnsi" w:hAnsiTheme="minorHAnsi"/>
              </w:rPr>
            </w:pPr>
            <w:r w:rsidRPr="00377F3A">
              <w:rPr>
                <w:rFonts w:asciiTheme="minorHAnsi" w:hAnsiTheme="minorHAnsi"/>
              </w:rPr>
              <w:t>Glaza, S.M., 1993</w:t>
            </w:r>
          </w:p>
        </w:tc>
      </w:tr>
      <w:tr w:rsidR="00BA7F4F" w:rsidRPr="00BA7F4F" w14:paraId="4AEAD24F"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3F166FE2" w14:textId="77777777" w:rsidR="00BA7F4F" w:rsidRPr="00377F3A" w:rsidRDefault="00BA7F4F" w:rsidP="00377F3A">
            <w:pPr>
              <w:pStyle w:val="TableText"/>
              <w:rPr>
                <w:rFonts w:asciiTheme="minorHAnsi" w:hAnsiTheme="minorHAnsi"/>
              </w:rPr>
            </w:pPr>
            <w:r w:rsidRPr="00377F3A">
              <w:rPr>
                <w:rFonts w:asciiTheme="minorHAnsi" w:hAnsiTheme="minorHAnsi"/>
              </w:rPr>
              <w:lastRenderedPageBreak/>
              <w:t>acute oral, product</w:t>
            </w:r>
          </w:p>
        </w:tc>
        <w:tc>
          <w:tcPr>
            <w:tcW w:w="6542" w:type="dxa"/>
            <w:tcBorders>
              <w:top w:val="nil"/>
              <w:left w:val="nil"/>
              <w:bottom w:val="single" w:sz="4" w:space="0" w:color="auto"/>
              <w:right w:val="single" w:sz="4" w:space="0" w:color="auto"/>
            </w:tcBorders>
            <w:noWrap/>
            <w:vAlign w:val="bottom"/>
            <w:hideMark/>
          </w:tcPr>
          <w:p w14:paraId="5ACEFC67"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The peroral LD50 for Maki mini blocks was &gt;5000 mg/kg bw. </w:t>
            </w:r>
          </w:p>
        </w:tc>
        <w:tc>
          <w:tcPr>
            <w:tcW w:w="1577" w:type="dxa"/>
            <w:tcBorders>
              <w:top w:val="nil"/>
              <w:left w:val="nil"/>
              <w:bottom w:val="single" w:sz="4" w:space="0" w:color="auto"/>
              <w:right w:val="single" w:sz="4" w:space="0" w:color="auto"/>
            </w:tcBorders>
            <w:noWrap/>
            <w:vAlign w:val="bottom"/>
            <w:hideMark/>
          </w:tcPr>
          <w:p w14:paraId="51B5EA50" w14:textId="77777777" w:rsidR="00BA7F4F" w:rsidRPr="00377F3A" w:rsidRDefault="00BA7F4F" w:rsidP="00377F3A">
            <w:pPr>
              <w:pStyle w:val="TableText"/>
              <w:rPr>
                <w:rFonts w:asciiTheme="minorHAnsi" w:hAnsiTheme="minorHAnsi"/>
              </w:rPr>
            </w:pPr>
            <w:r w:rsidRPr="00377F3A">
              <w:rPr>
                <w:rFonts w:asciiTheme="minorHAnsi" w:hAnsiTheme="minorHAnsi"/>
              </w:rPr>
              <w:t>Myers, R.C. and Christopher, S.M, 1993</w:t>
            </w:r>
          </w:p>
        </w:tc>
      </w:tr>
      <w:tr w:rsidR="00BA7F4F" w:rsidRPr="00BA7F4F" w14:paraId="386A4BD1"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2D92F2F9"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nil"/>
              <w:left w:val="nil"/>
              <w:bottom w:val="single" w:sz="4" w:space="0" w:color="auto"/>
              <w:right w:val="single" w:sz="4" w:space="0" w:color="auto"/>
            </w:tcBorders>
            <w:noWrap/>
            <w:vAlign w:val="bottom"/>
            <w:hideMark/>
          </w:tcPr>
          <w:p w14:paraId="797FFEDD"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The dermal LD50 is &gt; 2000 mg/kg bw. </w:t>
            </w:r>
          </w:p>
        </w:tc>
        <w:tc>
          <w:tcPr>
            <w:tcW w:w="1577" w:type="dxa"/>
            <w:tcBorders>
              <w:top w:val="nil"/>
              <w:left w:val="nil"/>
              <w:bottom w:val="single" w:sz="4" w:space="0" w:color="auto"/>
              <w:right w:val="single" w:sz="4" w:space="0" w:color="auto"/>
            </w:tcBorders>
            <w:noWrap/>
            <w:vAlign w:val="bottom"/>
            <w:hideMark/>
          </w:tcPr>
          <w:p w14:paraId="3E615E45" w14:textId="77777777" w:rsidR="00BA7F4F" w:rsidRPr="00377F3A" w:rsidRDefault="00BA7F4F" w:rsidP="00377F3A">
            <w:pPr>
              <w:pStyle w:val="TableText"/>
              <w:rPr>
                <w:rFonts w:asciiTheme="minorHAnsi" w:hAnsiTheme="minorHAnsi"/>
              </w:rPr>
            </w:pPr>
            <w:r w:rsidRPr="00377F3A">
              <w:rPr>
                <w:rFonts w:asciiTheme="minorHAnsi" w:hAnsiTheme="minorHAnsi"/>
              </w:rPr>
              <w:t>Glaza, S.M., 1993</w:t>
            </w:r>
          </w:p>
        </w:tc>
      </w:tr>
      <w:tr w:rsidR="00BA7F4F" w:rsidRPr="00BA7F4F" w14:paraId="3420177E"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0EB6717" w14:textId="77777777" w:rsidR="00BA7F4F" w:rsidRPr="00377F3A" w:rsidRDefault="00BA7F4F" w:rsidP="00377F3A">
            <w:pPr>
              <w:pStyle w:val="TableText"/>
              <w:rPr>
                <w:rFonts w:asciiTheme="minorHAnsi" w:hAnsiTheme="minorHAnsi"/>
              </w:rPr>
            </w:pPr>
            <w:r w:rsidRPr="00377F3A">
              <w:rPr>
                <w:rFonts w:asciiTheme="minorHAnsi" w:hAnsiTheme="minorHAnsi"/>
              </w:rPr>
              <w:t>Acute dermal, product</w:t>
            </w:r>
          </w:p>
        </w:tc>
        <w:tc>
          <w:tcPr>
            <w:tcW w:w="6542" w:type="dxa"/>
            <w:tcBorders>
              <w:top w:val="nil"/>
              <w:left w:val="nil"/>
              <w:bottom w:val="single" w:sz="4" w:space="0" w:color="auto"/>
              <w:right w:val="single" w:sz="4" w:space="0" w:color="auto"/>
            </w:tcBorders>
            <w:noWrap/>
            <w:vAlign w:val="bottom"/>
            <w:hideMark/>
          </w:tcPr>
          <w:p w14:paraId="41DED936" w14:textId="77777777" w:rsidR="00BA7F4F" w:rsidRPr="00377F3A" w:rsidRDefault="00BA7F4F" w:rsidP="00377F3A">
            <w:pPr>
              <w:pStyle w:val="TableText"/>
              <w:rPr>
                <w:rFonts w:asciiTheme="minorHAnsi" w:hAnsiTheme="minorHAnsi"/>
              </w:rPr>
            </w:pPr>
            <w:r w:rsidRPr="00377F3A">
              <w:rPr>
                <w:rFonts w:asciiTheme="minorHAnsi" w:hAnsiTheme="minorHAnsi"/>
              </w:rPr>
              <w:t>Dermal LD 50 of 2000 mg/kg bw.</w:t>
            </w:r>
          </w:p>
        </w:tc>
        <w:tc>
          <w:tcPr>
            <w:tcW w:w="1577" w:type="dxa"/>
            <w:tcBorders>
              <w:top w:val="nil"/>
              <w:left w:val="nil"/>
              <w:bottom w:val="single" w:sz="4" w:space="0" w:color="auto"/>
              <w:right w:val="single" w:sz="4" w:space="0" w:color="auto"/>
            </w:tcBorders>
            <w:noWrap/>
            <w:vAlign w:val="bottom"/>
            <w:hideMark/>
          </w:tcPr>
          <w:p w14:paraId="1D3FD020" w14:textId="77777777" w:rsidR="00BA7F4F" w:rsidRPr="00377F3A" w:rsidRDefault="00BA7F4F" w:rsidP="00377F3A">
            <w:pPr>
              <w:pStyle w:val="TableText"/>
              <w:rPr>
                <w:rFonts w:asciiTheme="minorHAnsi" w:hAnsiTheme="minorHAnsi"/>
              </w:rPr>
            </w:pPr>
            <w:r w:rsidRPr="00377F3A">
              <w:rPr>
                <w:rFonts w:asciiTheme="minorHAnsi" w:hAnsiTheme="minorHAnsi"/>
              </w:rPr>
              <w:t>Parker, R.M., 1992</w:t>
            </w:r>
          </w:p>
        </w:tc>
      </w:tr>
      <w:tr w:rsidR="00BA7F4F" w:rsidRPr="00BA7F4F" w14:paraId="5B325240"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4E321BA2"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735AEE0A"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Non-irritant. </w:t>
            </w:r>
          </w:p>
        </w:tc>
        <w:tc>
          <w:tcPr>
            <w:tcW w:w="1577" w:type="dxa"/>
            <w:tcBorders>
              <w:top w:val="nil"/>
              <w:left w:val="nil"/>
              <w:bottom w:val="single" w:sz="4" w:space="0" w:color="auto"/>
              <w:right w:val="single" w:sz="4" w:space="0" w:color="auto"/>
            </w:tcBorders>
            <w:noWrap/>
            <w:vAlign w:val="bottom"/>
            <w:hideMark/>
          </w:tcPr>
          <w:p w14:paraId="026AEDD2" w14:textId="77777777" w:rsidR="00BA7F4F" w:rsidRPr="00377F3A" w:rsidRDefault="00BA7F4F" w:rsidP="00377F3A">
            <w:pPr>
              <w:pStyle w:val="TableText"/>
              <w:rPr>
                <w:rFonts w:asciiTheme="minorHAnsi" w:hAnsiTheme="minorHAnsi"/>
              </w:rPr>
            </w:pPr>
            <w:r w:rsidRPr="00377F3A">
              <w:rPr>
                <w:rFonts w:asciiTheme="minorHAnsi" w:hAnsiTheme="minorHAnsi"/>
              </w:rPr>
              <w:t>Glaza, S.M., 1993a</w:t>
            </w:r>
          </w:p>
        </w:tc>
      </w:tr>
      <w:tr w:rsidR="00BA7F4F" w:rsidRPr="00BA7F4F" w14:paraId="1011B992"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348A4D9A"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38CFCA16"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Non-irritant. </w:t>
            </w:r>
          </w:p>
        </w:tc>
        <w:tc>
          <w:tcPr>
            <w:tcW w:w="1577" w:type="dxa"/>
            <w:tcBorders>
              <w:top w:val="nil"/>
              <w:left w:val="nil"/>
              <w:bottom w:val="single" w:sz="4" w:space="0" w:color="auto"/>
              <w:right w:val="single" w:sz="4" w:space="0" w:color="auto"/>
            </w:tcBorders>
            <w:noWrap/>
            <w:vAlign w:val="bottom"/>
            <w:hideMark/>
          </w:tcPr>
          <w:p w14:paraId="1688903A" w14:textId="77777777" w:rsidR="00BA7F4F" w:rsidRPr="00377F3A" w:rsidRDefault="00BA7F4F" w:rsidP="00377F3A">
            <w:pPr>
              <w:pStyle w:val="TableText"/>
              <w:rPr>
                <w:rFonts w:asciiTheme="minorHAnsi" w:hAnsiTheme="minorHAnsi"/>
              </w:rPr>
            </w:pPr>
            <w:r w:rsidRPr="00377F3A">
              <w:rPr>
                <w:rFonts w:asciiTheme="minorHAnsi" w:hAnsiTheme="minorHAnsi"/>
              </w:rPr>
              <w:t>Glaza, S.M., 1993b</w:t>
            </w:r>
          </w:p>
        </w:tc>
      </w:tr>
      <w:tr w:rsidR="00BA7F4F" w:rsidRPr="00BA7F4F" w14:paraId="120566B8"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1308C7DF" w14:textId="77777777" w:rsidR="00BA7F4F" w:rsidRPr="00377F3A" w:rsidRDefault="00BA7F4F" w:rsidP="00377F3A">
            <w:pPr>
              <w:pStyle w:val="TableText"/>
              <w:rPr>
                <w:rFonts w:asciiTheme="minorHAnsi" w:hAnsiTheme="minorHAnsi"/>
              </w:rPr>
            </w:pPr>
            <w:r w:rsidRPr="00377F3A">
              <w:rPr>
                <w:rFonts w:asciiTheme="minorHAnsi" w:hAnsiTheme="minorHAnsi"/>
              </w:rPr>
              <w:t>Eye irritation, product</w:t>
            </w:r>
          </w:p>
        </w:tc>
        <w:tc>
          <w:tcPr>
            <w:tcW w:w="6542" w:type="dxa"/>
            <w:tcBorders>
              <w:top w:val="nil"/>
              <w:left w:val="nil"/>
              <w:bottom w:val="single" w:sz="4" w:space="0" w:color="auto"/>
              <w:right w:val="single" w:sz="4" w:space="0" w:color="auto"/>
            </w:tcBorders>
            <w:noWrap/>
            <w:vAlign w:val="bottom"/>
            <w:hideMark/>
          </w:tcPr>
          <w:p w14:paraId="52E86178" w14:textId="77777777" w:rsidR="00BA7F4F" w:rsidRPr="00377F3A" w:rsidRDefault="00BA7F4F" w:rsidP="00377F3A">
            <w:pPr>
              <w:pStyle w:val="TableText"/>
              <w:rPr>
                <w:rFonts w:asciiTheme="minorHAnsi" w:hAnsiTheme="minorHAnsi"/>
              </w:rPr>
            </w:pPr>
            <w:r w:rsidRPr="00377F3A">
              <w:rPr>
                <w:rFonts w:asciiTheme="minorHAnsi" w:hAnsiTheme="minorHAnsi"/>
              </w:rPr>
              <w:t>Slight irritant.</w:t>
            </w:r>
          </w:p>
        </w:tc>
        <w:tc>
          <w:tcPr>
            <w:tcW w:w="1577" w:type="dxa"/>
            <w:tcBorders>
              <w:top w:val="nil"/>
              <w:left w:val="nil"/>
              <w:bottom w:val="single" w:sz="4" w:space="0" w:color="auto"/>
              <w:right w:val="single" w:sz="4" w:space="0" w:color="auto"/>
            </w:tcBorders>
            <w:noWrap/>
            <w:vAlign w:val="bottom"/>
            <w:hideMark/>
          </w:tcPr>
          <w:p w14:paraId="37F01FEC" w14:textId="77777777" w:rsidR="00BA7F4F" w:rsidRPr="00377F3A" w:rsidRDefault="00BA7F4F" w:rsidP="00377F3A">
            <w:pPr>
              <w:pStyle w:val="TableText"/>
              <w:rPr>
                <w:rFonts w:asciiTheme="minorHAnsi" w:hAnsiTheme="minorHAnsi"/>
              </w:rPr>
            </w:pPr>
            <w:r w:rsidRPr="00377F3A">
              <w:rPr>
                <w:rFonts w:asciiTheme="minorHAnsi" w:hAnsiTheme="minorHAnsi"/>
              </w:rPr>
              <w:t>Glaza, S.M., 1993c</w:t>
            </w:r>
          </w:p>
        </w:tc>
      </w:tr>
      <w:tr w:rsidR="00BA7F4F" w:rsidRPr="00BA7F4F" w14:paraId="127F94EE"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4426D58" w14:textId="77777777" w:rsidR="00BA7F4F" w:rsidRPr="00377F3A" w:rsidRDefault="00BA7F4F" w:rsidP="00377F3A">
            <w:pPr>
              <w:pStyle w:val="TableText"/>
              <w:rPr>
                <w:rFonts w:asciiTheme="minorHAnsi" w:hAnsiTheme="minorHAnsi"/>
              </w:rPr>
            </w:pPr>
            <w:r w:rsidRPr="00377F3A">
              <w:rPr>
                <w:rFonts w:asciiTheme="minorHAnsi" w:hAnsiTheme="minorHAnsi"/>
              </w:rPr>
              <w:t>Eye irritation, product</w:t>
            </w:r>
          </w:p>
        </w:tc>
        <w:tc>
          <w:tcPr>
            <w:tcW w:w="6542" w:type="dxa"/>
            <w:tcBorders>
              <w:top w:val="nil"/>
              <w:left w:val="nil"/>
              <w:bottom w:val="single" w:sz="4" w:space="0" w:color="auto"/>
              <w:right w:val="single" w:sz="4" w:space="0" w:color="auto"/>
            </w:tcBorders>
            <w:noWrap/>
            <w:vAlign w:val="bottom"/>
            <w:hideMark/>
          </w:tcPr>
          <w:p w14:paraId="3369B444" w14:textId="77777777" w:rsidR="00BA7F4F" w:rsidRPr="00377F3A" w:rsidRDefault="00BA7F4F" w:rsidP="00377F3A">
            <w:pPr>
              <w:pStyle w:val="TableText"/>
              <w:rPr>
                <w:rFonts w:asciiTheme="minorHAnsi" w:hAnsiTheme="minorHAnsi"/>
              </w:rPr>
            </w:pPr>
            <w:r w:rsidRPr="00377F3A">
              <w:rPr>
                <w:rFonts w:asciiTheme="minorHAnsi" w:hAnsiTheme="minorHAnsi"/>
              </w:rPr>
              <w:t>Slight irritant.</w:t>
            </w:r>
          </w:p>
        </w:tc>
        <w:tc>
          <w:tcPr>
            <w:tcW w:w="1577" w:type="dxa"/>
            <w:tcBorders>
              <w:top w:val="nil"/>
              <w:left w:val="nil"/>
              <w:bottom w:val="single" w:sz="4" w:space="0" w:color="auto"/>
              <w:right w:val="single" w:sz="4" w:space="0" w:color="auto"/>
            </w:tcBorders>
            <w:noWrap/>
            <w:vAlign w:val="bottom"/>
            <w:hideMark/>
          </w:tcPr>
          <w:p w14:paraId="793572BC" w14:textId="77777777" w:rsidR="00BA7F4F" w:rsidRPr="00377F3A" w:rsidRDefault="00BA7F4F" w:rsidP="00377F3A">
            <w:pPr>
              <w:pStyle w:val="TableText"/>
              <w:rPr>
                <w:rFonts w:asciiTheme="minorHAnsi" w:hAnsiTheme="minorHAnsi"/>
              </w:rPr>
            </w:pPr>
            <w:r w:rsidRPr="00377F3A">
              <w:rPr>
                <w:rFonts w:asciiTheme="minorHAnsi" w:hAnsiTheme="minorHAnsi"/>
              </w:rPr>
              <w:t>Shapiro, R., 1977</w:t>
            </w:r>
          </w:p>
        </w:tc>
      </w:tr>
      <w:tr w:rsidR="00BA7F4F" w:rsidRPr="00BA7F4F" w14:paraId="1B72A2DB"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4381210A"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4BDD4769"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Not a sensitiser in guinea pigs. </w:t>
            </w:r>
          </w:p>
        </w:tc>
        <w:tc>
          <w:tcPr>
            <w:tcW w:w="1577" w:type="dxa"/>
            <w:tcBorders>
              <w:top w:val="nil"/>
              <w:left w:val="nil"/>
              <w:bottom w:val="single" w:sz="4" w:space="0" w:color="auto"/>
              <w:right w:val="single" w:sz="4" w:space="0" w:color="auto"/>
            </w:tcBorders>
            <w:noWrap/>
            <w:vAlign w:val="bottom"/>
            <w:hideMark/>
          </w:tcPr>
          <w:p w14:paraId="03096BA1" w14:textId="77777777" w:rsidR="00BA7F4F" w:rsidRPr="00377F3A" w:rsidRDefault="00BA7F4F" w:rsidP="00377F3A">
            <w:pPr>
              <w:pStyle w:val="TableText"/>
              <w:rPr>
                <w:rFonts w:asciiTheme="minorHAnsi" w:hAnsiTheme="minorHAnsi"/>
              </w:rPr>
            </w:pPr>
            <w:r w:rsidRPr="00377F3A">
              <w:rPr>
                <w:rFonts w:asciiTheme="minorHAnsi" w:hAnsiTheme="minorHAnsi"/>
              </w:rPr>
              <w:t>Glaza, S.M., 1993</w:t>
            </w:r>
          </w:p>
        </w:tc>
      </w:tr>
      <w:tr w:rsidR="00BA7F4F" w:rsidRPr="00BA7F4F" w14:paraId="5EB5E773"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17DE7B36" w14:textId="77777777" w:rsidR="00BA7F4F" w:rsidRPr="00377F3A" w:rsidRDefault="00BA7F4F" w:rsidP="00377F3A">
            <w:pPr>
              <w:pStyle w:val="TableText"/>
              <w:rPr>
                <w:rFonts w:asciiTheme="minorHAnsi" w:hAnsiTheme="minorHAnsi"/>
              </w:rPr>
            </w:pPr>
            <w:r w:rsidRPr="00377F3A">
              <w:rPr>
                <w:rFonts w:asciiTheme="minorHAnsi" w:hAnsiTheme="minorHAnsi"/>
              </w:rPr>
              <w:t>Skin sensitisation, product</w:t>
            </w:r>
          </w:p>
        </w:tc>
        <w:tc>
          <w:tcPr>
            <w:tcW w:w="6542" w:type="dxa"/>
            <w:tcBorders>
              <w:top w:val="nil"/>
              <w:left w:val="nil"/>
              <w:bottom w:val="single" w:sz="4" w:space="0" w:color="auto"/>
              <w:right w:val="single" w:sz="4" w:space="0" w:color="auto"/>
            </w:tcBorders>
            <w:noWrap/>
            <w:vAlign w:val="bottom"/>
            <w:hideMark/>
          </w:tcPr>
          <w:p w14:paraId="4D299451" w14:textId="5980DD0C" w:rsidR="00BA7F4F" w:rsidRPr="00377F3A" w:rsidRDefault="00BA7F4F" w:rsidP="00377F3A">
            <w:pPr>
              <w:pStyle w:val="TableText"/>
              <w:rPr>
                <w:rFonts w:asciiTheme="minorHAnsi" w:hAnsiTheme="minorHAnsi"/>
              </w:rPr>
            </w:pPr>
            <w:r w:rsidRPr="00377F3A">
              <w:rPr>
                <w:rFonts w:asciiTheme="minorHAnsi" w:hAnsiTheme="minorHAnsi"/>
              </w:rPr>
              <w:t>Not a sensitiser in guinea pigs.</w:t>
            </w:r>
          </w:p>
        </w:tc>
        <w:tc>
          <w:tcPr>
            <w:tcW w:w="1577" w:type="dxa"/>
            <w:tcBorders>
              <w:top w:val="nil"/>
              <w:left w:val="nil"/>
              <w:bottom w:val="single" w:sz="4" w:space="0" w:color="auto"/>
              <w:right w:val="single" w:sz="4" w:space="0" w:color="auto"/>
            </w:tcBorders>
            <w:noWrap/>
            <w:vAlign w:val="bottom"/>
            <w:hideMark/>
          </w:tcPr>
          <w:p w14:paraId="4F2BCF20" w14:textId="77777777" w:rsidR="00BA7F4F" w:rsidRPr="00377F3A" w:rsidRDefault="00BA7F4F" w:rsidP="00377F3A">
            <w:pPr>
              <w:pStyle w:val="TableText"/>
              <w:rPr>
                <w:rFonts w:asciiTheme="minorHAnsi" w:hAnsiTheme="minorHAnsi"/>
              </w:rPr>
            </w:pPr>
            <w:r w:rsidRPr="00377F3A">
              <w:rPr>
                <w:rFonts w:asciiTheme="minorHAnsi" w:hAnsiTheme="minorHAnsi"/>
              </w:rPr>
              <w:t>Glaza, S.M., 1994</w:t>
            </w:r>
          </w:p>
        </w:tc>
      </w:tr>
      <w:tr w:rsidR="00BA7F4F" w:rsidRPr="00BA7F4F" w14:paraId="3CEA2AA6"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37D050B" w14:textId="77777777" w:rsidR="00BA7F4F" w:rsidRPr="00377F3A" w:rsidRDefault="00BA7F4F" w:rsidP="00377F3A">
            <w:pPr>
              <w:pStyle w:val="TableText"/>
              <w:rPr>
                <w:rFonts w:asciiTheme="minorHAnsi" w:hAnsiTheme="minorHAnsi"/>
              </w:rPr>
            </w:pPr>
            <w:r w:rsidRPr="00377F3A">
              <w:rPr>
                <w:rFonts w:asciiTheme="minorHAnsi" w:hAnsiTheme="minorHAnsi"/>
              </w:rPr>
              <w:t>Acute oral studies, active</w:t>
            </w:r>
          </w:p>
        </w:tc>
        <w:tc>
          <w:tcPr>
            <w:tcW w:w="6542" w:type="dxa"/>
            <w:tcBorders>
              <w:top w:val="nil"/>
              <w:left w:val="nil"/>
              <w:bottom w:val="single" w:sz="4" w:space="0" w:color="auto"/>
              <w:right w:val="single" w:sz="4" w:space="0" w:color="auto"/>
            </w:tcBorders>
            <w:noWrap/>
            <w:vAlign w:val="bottom"/>
            <w:hideMark/>
          </w:tcPr>
          <w:p w14:paraId="6E371770"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 LD50 for male and female was calculated to be 1.3 mg/kg bw</w:t>
            </w:r>
          </w:p>
        </w:tc>
        <w:tc>
          <w:tcPr>
            <w:tcW w:w="1577" w:type="dxa"/>
            <w:tcBorders>
              <w:top w:val="nil"/>
              <w:left w:val="nil"/>
              <w:bottom w:val="single" w:sz="4" w:space="0" w:color="auto"/>
              <w:right w:val="single" w:sz="4" w:space="0" w:color="auto"/>
            </w:tcBorders>
            <w:noWrap/>
            <w:vAlign w:val="bottom"/>
            <w:hideMark/>
          </w:tcPr>
          <w:p w14:paraId="528B167A" w14:textId="77777777" w:rsidR="00BA7F4F" w:rsidRPr="00377F3A" w:rsidRDefault="00BA7F4F" w:rsidP="00377F3A">
            <w:pPr>
              <w:pStyle w:val="TableText"/>
              <w:rPr>
                <w:rFonts w:asciiTheme="minorHAnsi" w:hAnsiTheme="minorHAnsi"/>
              </w:rPr>
            </w:pPr>
            <w:r w:rsidRPr="00377F3A">
              <w:rPr>
                <w:rFonts w:asciiTheme="minorHAnsi" w:hAnsiTheme="minorHAnsi"/>
              </w:rPr>
              <w:t>Sebestyen I, 1996</w:t>
            </w:r>
          </w:p>
        </w:tc>
      </w:tr>
      <w:tr w:rsidR="00BA7F4F" w:rsidRPr="00BA7F4F" w14:paraId="2001B6B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E730475" w14:textId="77777777" w:rsidR="00BA7F4F" w:rsidRPr="00377F3A" w:rsidRDefault="00BA7F4F" w:rsidP="00377F3A">
            <w:pPr>
              <w:pStyle w:val="TableText"/>
              <w:rPr>
                <w:rFonts w:asciiTheme="minorHAnsi" w:hAnsiTheme="minorHAnsi"/>
              </w:rPr>
            </w:pPr>
            <w:r w:rsidRPr="00377F3A">
              <w:rPr>
                <w:rFonts w:asciiTheme="minorHAnsi" w:hAnsiTheme="minorHAnsi"/>
              </w:rPr>
              <w:t>Acute dermal studies, active</w:t>
            </w:r>
          </w:p>
        </w:tc>
        <w:tc>
          <w:tcPr>
            <w:tcW w:w="6542" w:type="dxa"/>
            <w:tcBorders>
              <w:top w:val="nil"/>
              <w:left w:val="nil"/>
              <w:bottom w:val="single" w:sz="4" w:space="0" w:color="auto"/>
              <w:right w:val="single" w:sz="4" w:space="0" w:color="auto"/>
            </w:tcBorders>
            <w:noWrap/>
            <w:vAlign w:val="bottom"/>
            <w:hideMark/>
          </w:tcPr>
          <w:p w14:paraId="1D7EFAC3"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Dermal LD50 for male: 20.16 mg/kg bw, for females: 32.08 mg/kg bw and combined male and female: 23.31 mg/kg bw. </w:t>
            </w:r>
          </w:p>
        </w:tc>
        <w:tc>
          <w:tcPr>
            <w:tcW w:w="1577" w:type="dxa"/>
            <w:tcBorders>
              <w:top w:val="nil"/>
              <w:left w:val="nil"/>
              <w:bottom w:val="single" w:sz="4" w:space="0" w:color="auto"/>
              <w:right w:val="single" w:sz="4" w:space="0" w:color="auto"/>
            </w:tcBorders>
            <w:noWrap/>
            <w:vAlign w:val="bottom"/>
            <w:hideMark/>
          </w:tcPr>
          <w:p w14:paraId="2B66C0DD" w14:textId="77777777" w:rsidR="00BA7F4F" w:rsidRPr="00377F3A" w:rsidRDefault="00BA7F4F" w:rsidP="00377F3A">
            <w:pPr>
              <w:pStyle w:val="TableText"/>
              <w:rPr>
                <w:rFonts w:asciiTheme="minorHAnsi" w:hAnsiTheme="minorHAnsi"/>
              </w:rPr>
            </w:pPr>
            <w:r w:rsidRPr="00377F3A">
              <w:rPr>
                <w:rFonts w:asciiTheme="minorHAnsi" w:hAnsiTheme="minorHAnsi"/>
              </w:rPr>
              <w:t>Sebestyen I, 1996</w:t>
            </w:r>
          </w:p>
        </w:tc>
      </w:tr>
      <w:tr w:rsidR="00BA7F4F" w:rsidRPr="00BA7F4F" w14:paraId="08E6448F"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7CCAD7C0" w14:textId="77777777" w:rsidR="00BA7F4F" w:rsidRPr="00377F3A" w:rsidRDefault="00BA7F4F" w:rsidP="00377F3A">
            <w:pPr>
              <w:pStyle w:val="TableText"/>
              <w:rPr>
                <w:rFonts w:asciiTheme="minorHAnsi" w:hAnsiTheme="minorHAnsi"/>
              </w:rPr>
            </w:pPr>
            <w:r w:rsidRPr="00377F3A">
              <w:rPr>
                <w:rFonts w:asciiTheme="minorHAnsi" w:hAnsiTheme="minorHAnsi"/>
              </w:rPr>
              <w:t>Acute dermal studies, active</w:t>
            </w:r>
          </w:p>
        </w:tc>
        <w:tc>
          <w:tcPr>
            <w:tcW w:w="6542" w:type="dxa"/>
            <w:tcBorders>
              <w:top w:val="nil"/>
              <w:left w:val="nil"/>
              <w:bottom w:val="single" w:sz="4" w:space="0" w:color="auto"/>
              <w:right w:val="single" w:sz="4" w:space="0" w:color="auto"/>
            </w:tcBorders>
            <w:noWrap/>
            <w:vAlign w:val="bottom"/>
            <w:hideMark/>
          </w:tcPr>
          <w:p w14:paraId="0CC3E214" w14:textId="77777777" w:rsidR="00BA7F4F" w:rsidRPr="00377F3A" w:rsidRDefault="00BA7F4F" w:rsidP="00377F3A">
            <w:pPr>
              <w:pStyle w:val="TableText"/>
              <w:rPr>
                <w:rFonts w:asciiTheme="minorHAnsi" w:hAnsiTheme="minorHAnsi"/>
              </w:rPr>
            </w:pPr>
            <w:r w:rsidRPr="00377F3A">
              <w:rPr>
                <w:rFonts w:asciiTheme="minorHAnsi" w:hAnsiTheme="minorHAnsi"/>
              </w:rPr>
              <w:t>Non-irritant.</w:t>
            </w:r>
          </w:p>
        </w:tc>
        <w:tc>
          <w:tcPr>
            <w:tcW w:w="1577" w:type="dxa"/>
            <w:tcBorders>
              <w:top w:val="nil"/>
              <w:left w:val="nil"/>
              <w:bottom w:val="single" w:sz="4" w:space="0" w:color="auto"/>
              <w:right w:val="single" w:sz="4" w:space="0" w:color="auto"/>
            </w:tcBorders>
            <w:noWrap/>
            <w:vAlign w:val="bottom"/>
            <w:hideMark/>
          </w:tcPr>
          <w:p w14:paraId="51C4E086" w14:textId="77777777" w:rsidR="00BA7F4F" w:rsidRPr="00377F3A" w:rsidRDefault="00BA7F4F" w:rsidP="00377F3A">
            <w:pPr>
              <w:pStyle w:val="TableText"/>
              <w:rPr>
                <w:rFonts w:asciiTheme="minorHAnsi" w:hAnsiTheme="minorHAnsi"/>
              </w:rPr>
            </w:pPr>
            <w:r w:rsidRPr="00377F3A">
              <w:rPr>
                <w:rFonts w:asciiTheme="minorHAnsi" w:hAnsiTheme="minorHAnsi"/>
              </w:rPr>
              <w:t>Kuhn JO, 1999</w:t>
            </w:r>
          </w:p>
        </w:tc>
      </w:tr>
      <w:tr w:rsidR="00BA7F4F" w:rsidRPr="00BA7F4F" w14:paraId="27820835"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4E0C731" w14:textId="77777777" w:rsidR="00BA7F4F" w:rsidRPr="00377F3A" w:rsidRDefault="00BA7F4F" w:rsidP="00377F3A">
            <w:pPr>
              <w:pStyle w:val="TableText"/>
              <w:rPr>
                <w:rFonts w:asciiTheme="minorHAnsi" w:hAnsiTheme="minorHAnsi"/>
              </w:rPr>
            </w:pPr>
            <w:r w:rsidRPr="00377F3A">
              <w:rPr>
                <w:rFonts w:asciiTheme="minorHAnsi" w:hAnsiTheme="minorHAnsi"/>
              </w:rPr>
              <w:t>Acute skin sensitisation studies, active</w:t>
            </w:r>
          </w:p>
        </w:tc>
        <w:tc>
          <w:tcPr>
            <w:tcW w:w="6542" w:type="dxa"/>
            <w:tcBorders>
              <w:top w:val="nil"/>
              <w:left w:val="nil"/>
              <w:bottom w:val="single" w:sz="4" w:space="0" w:color="auto"/>
              <w:right w:val="single" w:sz="4" w:space="0" w:color="auto"/>
            </w:tcBorders>
            <w:noWrap/>
            <w:vAlign w:val="bottom"/>
            <w:hideMark/>
          </w:tcPr>
          <w:p w14:paraId="3E4660D8"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No sensitisation reaction was reported. </w:t>
            </w:r>
          </w:p>
        </w:tc>
        <w:tc>
          <w:tcPr>
            <w:tcW w:w="1577" w:type="dxa"/>
            <w:tcBorders>
              <w:top w:val="nil"/>
              <w:left w:val="nil"/>
              <w:bottom w:val="single" w:sz="4" w:space="0" w:color="auto"/>
              <w:right w:val="single" w:sz="4" w:space="0" w:color="auto"/>
            </w:tcBorders>
            <w:noWrap/>
            <w:vAlign w:val="bottom"/>
            <w:hideMark/>
          </w:tcPr>
          <w:p w14:paraId="2CFE013B" w14:textId="77777777" w:rsidR="00BA7F4F" w:rsidRPr="00377F3A" w:rsidRDefault="00BA7F4F" w:rsidP="00377F3A">
            <w:pPr>
              <w:pStyle w:val="TableText"/>
              <w:rPr>
                <w:rFonts w:asciiTheme="minorHAnsi" w:hAnsiTheme="minorHAnsi"/>
              </w:rPr>
            </w:pPr>
            <w:r w:rsidRPr="00377F3A">
              <w:rPr>
                <w:rFonts w:asciiTheme="minorHAnsi" w:hAnsiTheme="minorHAnsi"/>
              </w:rPr>
              <w:t>Stahl, Janos, 2004</w:t>
            </w:r>
          </w:p>
        </w:tc>
      </w:tr>
      <w:tr w:rsidR="00BA7F4F" w:rsidRPr="00BA7F4F" w14:paraId="181BFB09"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42818F94" w14:textId="77777777" w:rsidR="00BA7F4F" w:rsidRPr="00377F3A" w:rsidRDefault="00BA7F4F" w:rsidP="00377F3A">
            <w:pPr>
              <w:pStyle w:val="TableText"/>
              <w:rPr>
                <w:rFonts w:asciiTheme="minorHAnsi" w:hAnsiTheme="minorHAnsi"/>
              </w:rPr>
            </w:pPr>
            <w:r w:rsidRPr="00377F3A">
              <w:rPr>
                <w:rFonts w:asciiTheme="minorHAnsi" w:hAnsiTheme="minorHAnsi"/>
              </w:rPr>
              <w:t>Short-term studies</w:t>
            </w:r>
          </w:p>
        </w:tc>
        <w:tc>
          <w:tcPr>
            <w:tcW w:w="6542" w:type="dxa"/>
            <w:tcBorders>
              <w:top w:val="nil"/>
              <w:left w:val="nil"/>
              <w:bottom w:val="single" w:sz="4" w:space="0" w:color="auto"/>
              <w:right w:val="single" w:sz="4" w:space="0" w:color="auto"/>
            </w:tcBorders>
            <w:noWrap/>
            <w:vAlign w:val="bottom"/>
            <w:hideMark/>
          </w:tcPr>
          <w:p w14:paraId="7F6DEEB0" w14:textId="77777777" w:rsidR="00BA7F4F" w:rsidRPr="00377F3A" w:rsidRDefault="00BA7F4F" w:rsidP="00377F3A">
            <w:pPr>
              <w:pStyle w:val="TableText"/>
              <w:rPr>
                <w:rFonts w:asciiTheme="minorHAnsi" w:hAnsiTheme="minorHAnsi"/>
              </w:rPr>
            </w:pPr>
            <w:r w:rsidRPr="00377F3A">
              <w:rPr>
                <w:rFonts w:asciiTheme="minorHAnsi" w:hAnsiTheme="minorHAnsi"/>
              </w:rPr>
              <w:t>NOEL was 0.0025 mg/kg bw/day for male and female rats</w:t>
            </w:r>
          </w:p>
        </w:tc>
        <w:tc>
          <w:tcPr>
            <w:tcW w:w="1577" w:type="dxa"/>
            <w:tcBorders>
              <w:top w:val="nil"/>
              <w:left w:val="nil"/>
              <w:bottom w:val="single" w:sz="4" w:space="0" w:color="auto"/>
              <w:right w:val="single" w:sz="4" w:space="0" w:color="auto"/>
            </w:tcBorders>
            <w:noWrap/>
            <w:vAlign w:val="bottom"/>
            <w:hideMark/>
          </w:tcPr>
          <w:p w14:paraId="376AD28B" w14:textId="77777777" w:rsidR="00BA7F4F" w:rsidRPr="00377F3A" w:rsidRDefault="00BA7F4F" w:rsidP="00377F3A">
            <w:pPr>
              <w:pStyle w:val="TableText"/>
              <w:rPr>
                <w:rFonts w:asciiTheme="minorHAnsi" w:hAnsiTheme="minorHAnsi"/>
              </w:rPr>
            </w:pPr>
            <w:r w:rsidRPr="00377F3A">
              <w:rPr>
                <w:rFonts w:asciiTheme="minorHAnsi" w:hAnsiTheme="minorHAnsi"/>
              </w:rPr>
              <w:t>Szakonyi IP, 2002</w:t>
            </w:r>
          </w:p>
        </w:tc>
      </w:tr>
      <w:tr w:rsidR="00BA7F4F" w:rsidRPr="00BA7F4F" w14:paraId="4472F031"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47A4843" w14:textId="77777777" w:rsidR="00BA7F4F" w:rsidRPr="00377F3A" w:rsidRDefault="00BA7F4F" w:rsidP="00377F3A">
            <w:pPr>
              <w:pStyle w:val="TableText"/>
              <w:rPr>
                <w:rFonts w:asciiTheme="minorHAnsi" w:hAnsiTheme="minorHAnsi"/>
              </w:rPr>
            </w:pPr>
            <w:r w:rsidRPr="00377F3A">
              <w:rPr>
                <w:rFonts w:asciiTheme="minorHAnsi" w:hAnsiTheme="minorHAnsi"/>
              </w:rPr>
              <w:t>Genotoxicity (mutagenicity) studies</w:t>
            </w:r>
          </w:p>
        </w:tc>
        <w:tc>
          <w:tcPr>
            <w:tcW w:w="6542" w:type="dxa"/>
            <w:tcBorders>
              <w:top w:val="nil"/>
              <w:left w:val="nil"/>
              <w:bottom w:val="single" w:sz="4" w:space="0" w:color="auto"/>
              <w:right w:val="single" w:sz="4" w:space="0" w:color="auto"/>
            </w:tcBorders>
            <w:noWrap/>
            <w:vAlign w:val="bottom"/>
            <w:hideMark/>
          </w:tcPr>
          <w:p w14:paraId="6232EA76"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56598C94" w14:textId="77777777" w:rsidR="00BA7F4F" w:rsidRPr="00377F3A" w:rsidRDefault="00BA7F4F" w:rsidP="00377F3A">
            <w:pPr>
              <w:pStyle w:val="TableText"/>
              <w:rPr>
                <w:rFonts w:asciiTheme="minorHAnsi" w:hAnsiTheme="minorHAnsi"/>
              </w:rPr>
            </w:pPr>
            <w:r w:rsidRPr="00377F3A">
              <w:rPr>
                <w:rFonts w:asciiTheme="minorHAnsi" w:hAnsiTheme="minorHAnsi"/>
              </w:rPr>
              <w:t>Hernadi D, 2001</w:t>
            </w:r>
          </w:p>
        </w:tc>
      </w:tr>
      <w:tr w:rsidR="00BA7F4F" w:rsidRPr="00BA7F4F" w14:paraId="5E20D33B"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08756D42" w14:textId="77777777" w:rsidR="00BA7F4F" w:rsidRPr="00377F3A" w:rsidRDefault="00BA7F4F" w:rsidP="00377F3A">
            <w:pPr>
              <w:pStyle w:val="TableText"/>
              <w:rPr>
                <w:rFonts w:asciiTheme="minorHAnsi" w:hAnsiTheme="minorHAnsi"/>
              </w:rPr>
            </w:pPr>
            <w:r w:rsidRPr="00377F3A">
              <w:rPr>
                <w:rFonts w:asciiTheme="minorHAnsi" w:hAnsiTheme="minorHAnsi"/>
              </w:rPr>
              <w:t>Genotoxicity (mutagenicity) studies</w:t>
            </w:r>
          </w:p>
        </w:tc>
        <w:tc>
          <w:tcPr>
            <w:tcW w:w="6542" w:type="dxa"/>
            <w:tcBorders>
              <w:top w:val="nil"/>
              <w:left w:val="nil"/>
              <w:bottom w:val="single" w:sz="4" w:space="0" w:color="auto"/>
              <w:right w:val="single" w:sz="4" w:space="0" w:color="auto"/>
            </w:tcBorders>
            <w:noWrap/>
            <w:vAlign w:val="bottom"/>
            <w:hideMark/>
          </w:tcPr>
          <w:p w14:paraId="1BED2E35"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751267B0" w14:textId="77777777" w:rsidR="00BA7F4F" w:rsidRPr="00377F3A" w:rsidRDefault="00BA7F4F" w:rsidP="00377F3A">
            <w:pPr>
              <w:pStyle w:val="TableText"/>
              <w:rPr>
                <w:rFonts w:asciiTheme="minorHAnsi" w:hAnsiTheme="minorHAnsi"/>
              </w:rPr>
            </w:pPr>
            <w:r w:rsidRPr="00377F3A">
              <w:rPr>
                <w:rFonts w:asciiTheme="minorHAnsi" w:hAnsiTheme="minorHAnsi"/>
              </w:rPr>
              <w:t>Béres E, 2002</w:t>
            </w:r>
          </w:p>
        </w:tc>
      </w:tr>
      <w:tr w:rsidR="00BA7F4F" w:rsidRPr="00BA7F4F" w14:paraId="507CCF2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2C5467DC" w14:textId="77777777" w:rsidR="00BA7F4F" w:rsidRPr="00377F3A" w:rsidRDefault="00BA7F4F" w:rsidP="00377F3A">
            <w:pPr>
              <w:pStyle w:val="TableText"/>
              <w:rPr>
                <w:rFonts w:asciiTheme="minorHAnsi" w:hAnsiTheme="minorHAnsi"/>
              </w:rPr>
            </w:pPr>
            <w:r w:rsidRPr="00377F3A">
              <w:rPr>
                <w:rFonts w:asciiTheme="minorHAnsi" w:hAnsiTheme="minorHAnsi"/>
              </w:rPr>
              <w:lastRenderedPageBreak/>
              <w:t>Genotoxicity (mutagenicity) studies</w:t>
            </w:r>
          </w:p>
        </w:tc>
        <w:tc>
          <w:tcPr>
            <w:tcW w:w="6542" w:type="dxa"/>
            <w:tcBorders>
              <w:top w:val="nil"/>
              <w:left w:val="nil"/>
              <w:bottom w:val="single" w:sz="4" w:space="0" w:color="auto"/>
              <w:right w:val="single" w:sz="4" w:space="0" w:color="auto"/>
            </w:tcBorders>
            <w:noWrap/>
            <w:vAlign w:val="bottom"/>
            <w:hideMark/>
          </w:tcPr>
          <w:p w14:paraId="3D212C34" w14:textId="77777777" w:rsidR="00BA7F4F" w:rsidRPr="00377F3A" w:rsidRDefault="00BA7F4F" w:rsidP="00377F3A">
            <w:pPr>
              <w:pStyle w:val="TableText"/>
              <w:rPr>
                <w:rFonts w:asciiTheme="minorHAnsi" w:hAnsiTheme="minorHAnsi"/>
              </w:rPr>
            </w:pPr>
            <w:r w:rsidRPr="00377F3A">
              <w:rPr>
                <w:rFonts w:asciiTheme="minorHAnsi" w:hAnsiTheme="minorHAnsi"/>
              </w:rPr>
              <w:t xml:space="preserve">Negative non-mutagenic </w:t>
            </w:r>
          </w:p>
        </w:tc>
        <w:tc>
          <w:tcPr>
            <w:tcW w:w="1577" w:type="dxa"/>
            <w:tcBorders>
              <w:top w:val="nil"/>
              <w:left w:val="nil"/>
              <w:bottom w:val="single" w:sz="4" w:space="0" w:color="auto"/>
              <w:right w:val="single" w:sz="4" w:space="0" w:color="auto"/>
            </w:tcBorders>
            <w:noWrap/>
            <w:vAlign w:val="bottom"/>
            <w:hideMark/>
          </w:tcPr>
          <w:p w14:paraId="3CA99318" w14:textId="77777777" w:rsidR="00BA7F4F" w:rsidRPr="00377F3A" w:rsidRDefault="00BA7F4F" w:rsidP="00377F3A">
            <w:pPr>
              <w:pStyle w:val="TableText"/>
              <w:rPr>
                <w:rFonts w:asciiTheme="minorHAnsi" w:hAnsiTheme="minorHAnsi"/>
              </w:rPr>
            </w:pPr>
            <w:r w:rsidRPr="00377F3A">
              <w:rPr>
                <w:rFonts w:asciiTheme="minorHAnsi" w:hAnsiTheme="minorHAnsi"/>
              </w:rPr>
              <w:t>Béres E, 2002</w:t>
            </w:r>
          </w:p>
        </w:tc>
      </w:tr>
      <w:tr w:rsidR="00717FE1" w:rsidRPr="00717FE1" w14:paraId="61E6F131" w14:textId="77777777" w:rsidTr="0091756F">
        <w:trPr>
          <w:trHeight w:val="288"/>
        </w:trPr>
        <w:tc>
          <w:tcPr>
            <w:tcW w:w="1509" w:type="dxa"/>
            <w:tcBorders>
              <w:top w:val="nil"/>
              <w:left w:val="single" w:sz="4" w:space="0" w:color="auto"/>
              <w:bottom w:val="single" w:sz="4" w:space="0" w:color="auto"/>
              <w:right w:val="single" w:sz="4" w:space="0" w:color="auto"/>
            </w:tcBorders>
            <w:noWrap/>
            <w:vAlign w:val="bottom"/>
          </w:tcPr>
          <w:p w14:paraId="475F72EE" w14:textId="2448C1BC" w:rsidR="00717FE1" w:rsidRPr="00717FE1" w:rsidRDefault="00717FE1" w:rsidP="00377F3A">
            <w:pPr>
              <w:pStyle w:val="TableText"/>
              <w:jc w:val="both"/>
            </w:pPr>
            <w:r w:rsidRPr="00377F3A">
              <w:rPr>
                <w:rFonts w:asciiTheme="minorHAnsi" w:hAnsiTheme="minorHAnsi"/>
              </w:rPr>
              <w:t>Sub-chronic studies</w:t>
            </w:r>
          </w:p>
        </w:tc>
        <w:tc>
          <w:tcPr>
            <w:tcW w:w="6542" w:type="dxa"/>
            <w:tcBorders>
              <w:top w:val="nil"/>
              <w:left w:val="nil"/>
              <w:bottom w:val="single" w:sz="4" w:space="0" w:color="auto"/>
              <w:right w:val="single" w:sz="4" w:space="0" w:color="auto"/>
            </w:tcBorders>
            <w:noWrap/>
            <w:vAlign w:val="bottom"/>
          </w:tcPr>
          <w:p w14:paraId="33C8F1D3" w14:textId="163D0159" w:rsidR="00717FE1" w:rsidRPr="00717FE1" w:rsidRDefault="00717FE1" w:rsidP="00377F3A">
            <w:pPr>
              <w:pStyle w:val="TableText"/>
              <w:jc w:val="both"/>
            </w:pPr>
            <w:r w:rsidRPr="00377F3A">
              <w:rPr>
                <w:rFonts w:asciiTheme="minorHAnsi" w:hAnsiTheme="minorHAnsi"/>
              </w:rPr>
              <w:t>Active</w:t>
            </w:r>
            <w:r w:rsidRPr="00377F3A">
              <w:rPr>
                <w:rFonts w:asciiTheme="minorHAnsi" w:hAnsiTheme="minorHAnsi"/>
              </w:rPr>
              <w:br/>
              <w:t>NOAEL: 0.0005 mg/kg bw/d</w:t>
            </w:r>
          </w:p>
        </w:tc>
        <w:tc>
          <w:tcPr>
            <w:tcW w:w="1577" w:type="dxa"/>
            <w:tcBorders>
              <w:top w:val="nil"/>
              <w:left w:val="nil"/>
              <w:bottom w:val="single" w:sz="4" w:space="0" w:color="auto"/>
              <w:right w:val="single" w:sz="4" w:space="0" w:color="auto"/>
            </w:tcBorders>
            <w:noWrap/>
            <w:vAlign w:val="bottom"/>
          </w:tcPr>
          <w:p w14:paraId="3EF1EB91" w14:textId="3D6961B7" w:rsidR="00717FE1" w:rsidRPr="00717FE1" w:rsidRDefault="00717FE1" w:rsidP="00377F3A">
            <w:pPr>
              <w:pStyle w:val="TableText"/>
              <w:jc w:val="both"/>
            </w:pPr>
            <w:r w:rsidRPr="00377F3A">
              <w:rPr>
                <w:rFonts w:asciiTheme="minorHAnsi" w:hAnsiTheme="minorHAnsi"/>
              </w:rPr>
              <w:t>Béres E, 2006</w:t>
            </w:r>
          </w:p>
        </w:tc>
      </w:tr>
      <w:tr w:rsidR="00BA7F4F" w:rsidRPr="00BA7F4F" w14:paraId="59D5853A"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5F238699" w14:textId="77777777" w:rsidR="00BA7F4F" w:rsidRPr="00377F3A" w:rsidRDefault="00BA7F4F" w:rsidP="00377F3A">
            <w:pPr>
              <w:pStyle w:val="TableText"/>
              <w:rPr>
                <w:rFonts w:asciiTheme="minorHAnsi" w:hAnsiTheme="minorHAnsi"/>
              </w:rPr>
            </w:pPr>
            <w:r w:rsidRPr="00377F3A">
              <w:rPr>
                <w:rFonts w:asciiTheme="minorHAnsi" w:hAnsiTheme="minorHAnsi"/>
              </w:rPr>
              <w:t>Developmental studies</w:t>
            </w:r>
          </w:p>
        </w:tc>
        <w:tc>
          <w:tcPr>
            <w:tcW w:w="6542" w:type="dxa"/>
            <w:tcBorders>
              <w:top w:val="nil"/>
              <w:left w:val="nil"/>
              <w:bottom w:val="single" w:sz="4" w:space="0" w:color="auto"/>
              <w:right w:val="single" w:sz="4" w:space="0" w:color="auto"/>
            </w:tcBorders>
            <w:noWrap/>
            <w:vAlign w:val="bottom"/>
            <w:hideMark/>
          </w:tcPr>
          <w:p w14:paraId="516B0078" w14:textId="77777777" w:rsidR="00364754" w:rsidRDefault="00364754" w:rsidP="00377F3A">
            <w:pPr>
              <w:pStyle w:val="TableText"/>
              <w:rPr>
                <w:lang w:eastAsia="en-AU"/>
              </w:rPr>
            </w:pPr>
            <w:r>
              <w:t>LO(A)EL maternal toxic effects: 2 µg/kg/day of bromadiolone.</w:t>
            </w:r>
            <w:r>
              <w:br/>
              <w:t>NO(A)EL maternal toxic effects: less than 2 µg/kg/day of bromadiolone.</w:t>
            </w:r>
            <w:r>
              <w:br/>
              <w:t>LO(A)EL embryotoxic/teratogenic toxic effects: malformations seen in two animals at 4 µg/kg/day of bromadiolone and in one animal at 8 µg/kg/day of bromadiolone.</w:t>
            </w:r>
            <w:r>
              <w:br/>
              <w:t>NO(A)EL embryotoxic/teratogenic toxic effects: 8 µg/kg/day of bromadiolone.</w:t>
            </w:r>
          </w:p>
          <w:p w14:paraId="70EF7259" w14:textId="1730ED58" w:rsidR="00BA7F4F" w:rsidRPr="00377F3A" w:rsidRDefault="00BA7F4F" w:rsidP="00377F3A">
            <w:pPr>
              <w:pStyle w:val="TableText"/>
              <w:rPr>
                <w:rFonts w:asciiTheme="minorHAnsi" w:hAnsiTheme="minorHAnsi"/>
              </w:rPr>
            </w:pPr>
          </w:p>
        </w:tc>
        <w:tc>
          <w:tcPr>
            <w:tcW w:w="1577" w:type="dxa"/>
            <w:tcBorders>
              <w:top w:val="nil"/>
              <w:left w:val="nil"/>
              <w:bottom w:val="single" w:sz="4" w:space="0" w:color="auto"/>
              <w:right w:val="single" w:sz="4" w:space="0" w:color="auto"/>
            </w:tcBorders>
            <w:noWrap/>
            <w:vAlign w:val="bottom"/>
            <w:hideMark/>
          </w:tcPr>
          <w:p w14:paraId="2D02A736" w14:textId="27178FE6" w:rsidR="00BA7F4F" w:rsidRPr="00377F3A" w:rsidRDefault="00BA7F4F" w:rsidP="00377F3A">
            <w:pPr>
              <w:pStyle w:val="TableText"/>
              <w:rPr>
                <w:rFonts w:asciiTheme="minorHAnsi" w:hAnsiTheme="minorHAnsi"/>
              </w:rPr>
            </w:pPr>
            <w:r w:rsidRPr="00377F3A">
              <w:rPr>
                <w:rFonts w:asciiTheme="minorHAnsi" w:hAnsiTheme="minorHAnsi"/>
              </w:rPr>
              <w:t>Druga A, 2004</w:t>
            </w:r>
            <w:r w:rsidR="00113DD4">
              <w:rPr>
                <w:rFonts w:asciiTheme="minorHAnsi" w:hAnsiTheme="minorHAnsi"/>
              </w:rPr>
              <w:t>a</w:t>
            </w:r>
          </w:p>
        </w:tc>
      </w:tr>
      <w:tr w:rsidR="00BA7F4F" w:rsidRPr="00BA7F4F" w14:paraId="240A30B4" w14:textId="77777777" w:rsidTr="00377F3A">
        <w:trPr>
          <w:trHeight w:val="288"/>
        </w:trPr>
        <w:tc>
          <w:tcPr>
            <w:tcW w:w="1509" w:type="dxa"/>
            <w:tcBorders>
              <w:top w:val="nil"/>
              <w:left w:val="single" w:sz="4" w:space="0" w:color="auto"/>
              <w:bottom w:val="single" w:sz="4" w:space="0" w:color="auto"/>
              <w:right w:val="single" w:sz="4" w:space="0" w:color="auto"/>
            </w:tcBorders>
            <w:noWrap/>
            <w:vAlign w:val="bottom"/>
            <w:hideMark/>
          </w:tcPr>
          <w:p w14:paraId="6F64EE44" w14:textId="77777777" w:rsidR="00BA7F4F" w:rsidRPr="00377F3A" w:rsidRDefault="00BA7F4F" w:rsidP="00377F3A">
            <w:pPr>
              <w:pStyle w:val="TableText"/>
              <w:rPr>
                <w:rFonts w:asciiTheme="minorHAnsi" w:hAnsiTheme="minorHAnsi"/>
              </w:rPr>
            </w:pPr>
            <w:r w:rsidRPr="00377F3A">
              <w:rPr>
                <w:rFonts w:asciiTheme="minorHAnsi" w:hAnsiTheme="minorHAnsi"/>
              </w:rPr>
              <w:t>Developmental studies</w:t>
            </w:r>
          </w:p>
        </w:tc>
        <w:tc>
          <w:tcPr>
            <w:tcW w:w="6542" w:type="dxa"/>
            <w:tcBorders>
              <w:top w:val="nil"/>
              <w:left w:val="nil"/>
              <w:bottom w:val="single" w:sz="4" w:space="0" w:color="auto"/>
              <w:right w:val="single" w:sz="4" w:space="0" w:color="auto"/>
            </w:tcBorders>
            <w:noWrap/>
            <w:vAlign w:val="bottom"/>
            <w:hideMark/>
          </w:tcPr>
          <w:p w14:paraId="0E158BA3" w14:textId="77777777" w:rsidR="00BA7F4F" w:rsidRPr="00377F3A" w:rsidRDefault="00BA7F4F" w:rsidP="00377F3A">
            <w:pPr>
              <w:pStyle w:val="TableText"/>
              <w:rPr>
                <w:rFonts w:asciiTheme="minorHAnsi" w:hAnsiTheme="minorHAnsi"/>
              </w:rPr>
            </w:pPr>
            <w:r w:rsidRPr="00377F3A">
              <w:rPr>
                <w:rFonts w:asciiTheme="minorHAnsi" w:hAnsiTheme="minorHAnsi"/>
              </w:rPr>
              <w:t>NOAEL for males, female, reproductive performance of the males, for reproductive performance of the females , developmental toxicity: 5 µg/kg/day</w:t>
            </w:r>
          </w:p>
        </w:tc>
        <w:tc>
          <w:tcPr>
            <w:tcW w:w="1577" w:type="dxa"/>
            <w:tcBorders>
              <w:top w:val="nil"/>
              <w:left w:val="nil"/>
              <w:bottom w:val="single" w:sz="4" w:space="0" w:color="auto"/>
              <w:right w:val="single" w:sz="4" w:space="0" w:color="auto"/>
            </w:tcBorders>
            <w:noWrap/>
            <w:vAlign w:val="bottom"/>
            <w:hideMark/>
          </w:tcPr>
          <w:p w14:paraId="6B9A931A" w14:textId="77777777" w:rsidR="00BA7F4F" w:rsidRPr="00377F3A" w:rsidRDefault="00BA7F4F" w:rsidP="00377F3A">
            <w:pPr>
              <w:pStyle w:val="TableText"/>
              <w:rPr>
                <w:rFonts w:asciiTheme="minorHAnsi" w:hAnsiTheme="minorHAnsi"/>
              </w:rPr>
            </w:pPr>
            <w:r w:rsidRPr="00377F3A">
              <w:rPr>
                <w:rFonts w:asciiTheme="minorHAnsi" w:hAnsiTheme="minorHAnsi"/>
              </w:rPr>
              <w:t>Szakonyi IP, 2004</w:t>
            </w:r>
          </w:p>
        </w:tc>
      </w:tr>
    </w:tbl>
    <w:p w14:paraId="7BB01BA2" w14:textId="77777777" w:rsidR="009D6ED6" w:rsidRPr="009D6ED6" w:rsidRDefault="009D6ED6" w:rsidP="00377F3A">
      <w:pPr>
        <w:pStyle w:val="APVMAAppendixH2"/>
      </w:pPr>
      <w:bookmarkStart w:id="2176" w:name="_Toc214025635"/>
      <w:bookmarkStart w:id="2177" w:name="_Toc216695657"/>
      <w:r>
        <w:t>Difenacoum</w:t>
      </w:r>
      <w:bookmarkEnd w:id="2176"/>
      <w:bookmarkEnd w:id="2177"/>
      <w:r>
        <w:t xml:space="preserve"> </w:t>
      </w:r>
    </w:p>
    <w:p w14:paraId="53687A15" w14:textId="598862D5" w:rsidR="009D6ED6" w:rsidRDefault="009D6ED6" w:rsidP="00377F3A">
      <w:pPr>
        <w:pStyle w:val="Caption"/>
      </w:pPr>
      <w:bookmarkStart w:id="2178" w:name="_Toc213946125"/>
      <w:bookmarkStart w:id="2179" w:name="_Toc216695817"/>
      <w:r>
        <w:t xml:space="preserve">Table </w:t>
      </w:r>
      <w:r>
        <w:fldChar w:fldCharType="begin"/>
      </w:r>
      <w:r>
        <w:instrText xml:space="preserve"> SEQ Table \* ARABIC </w:instrText>
      </w:r>
      <w:r>
        <w:fldChar w:fldCharType="separate"/>
      </w:r>
      <w:r w:rsidR="003861AC">
        <w:rPr>
          <w:noProof/>
        </w:rPr>
        <w:t>155</w:t>
      </w:r>
      <w:r>
        <w:fldChar w:fldCharType="end"/>
      </w:r>
      <w:r>
        <w:t>: Toxicological endpoints for difenacoum active constituents and formulated products</w:t>
      </w:r>
      <w:bookmarkEnd w:id="2178"/>
      <w:bookmarkEnd w:id="2179"/>
    </w:p>
    <w:tbl>
      <w:tblPr>
        <w:tblW w:w="9634" w:type="dxa"/>
        <w:tblLook w:val="04A0" w:firstRow="1" w:lastRow="0" w:firstColumn="1" w:lastColumn="0" w:noHBand="0" w:noVBand="1"/>
      </w:tblPr>
      <w:tblGrid>
        <w:gridCol w:w="2060"/>
        <w:gridCol w:w="5448"/>
        <w:gridCol w:w="2126"/>
      </w:tblGrid>
      <w:tr w:rsidR="009D6ED6" w:rsidRPr="009D6ED6" w14:paraId="3075B1C3" w14:textId="77777777" w:rsidTr="00377F3A">
        <w:trPr>
          <w:trHeight w:val="20"/>
          <w:tblHeader/>
        </w:trPr>
        <w:tc>
          <w:tcPr>
            <w:tcW w:w="2060" w:type="dxa"/>
            <w:tcBorders>
              <w:top w:val="single" w:sz="4" w:space="0" w:color="auto"/>
              <w:left w:val="single" w:sz="4" w:space="0" w:color="auto"/>
              <w:bottom w:val="single" w:sz="4" w:space="0" w:color="auto"/>
              <w:right w:val="single" w:sz="4" w:space="0" w:color="auto"/>
            </w:tcBorders>
            <w:shd w:val="clear" w:color="auto" w:fill="53284F"/>
            <w:hideMark/>
          </w:tcPr>
          <w:p w14:paraId="3863A2AB" w14:textId="77777777" w:rsidR="009D6ED6" w:rsidRPr="00377F3A" w:rsidRDefault="009D6ED6" w:rsidP="00377F3A">
            <w:pPr>
              <w:pStyle w:val="TableHead"/>
            </w:pPr>
            <w:r w:rsidRPr="00377F3A">
              <w:t>Study Type</w:t>
            </w:r>
          </w:p>
        </w:tc>
        <w:tc>
          <w:tcPr>
            <w:tcW w:w="5448" w:type="dxa"/>
            <w:tcBorders>
              <w:top w:val="single" w:sz="4" w:space="0" w:color="auto"/>
              <w:left w:val="nil"/>
              <w:bottom w:val="single" w:sz="4" w:space="0" w:color="auto"/>
              <w:right w:val="single" w:sz="4" w:space="0" w:color="auto"/>
            </w:tcBorders>
            <w:shd w:val="clear" w:color="auto" w:fill="53284F"/>
            <w:hideMark/>
          </w:tcPr>
          <w:p w14:paraId="61645BAD" w14:textId="77777777" w:rsidR="009D6ED6" w:rsidRPr="00377F3A" w:rsidRDefault="009D6ED6" w:rsidP="00377F3A">
            <w:pPr>
              <w:pStyle w:val="TableHead"/>
            </w:pPr>
            <w:r w:rsidRPr="00377F3A">
              <w:t>Endpoint</w:t>
            </w:r>
          </w:p>
        </w:tc>
        <w:tc>
          <w:tcPr>
            <w:tcW w:w="2126" w:type="dxa"/>
            <w:tcBorders>
              <w:top w:val="single" w:sz="4" w:space="0" w:color="auto"/>
              <w:left w:val="nil"/>
              <w:bottom w:val="single" w:sz="4" w:space="0" w:color="auto"/>
              <w:right w:val="single" w:sz="4" w:space="0" w:color="auto"/>
            </w:tcBorders>
            <w:shd w:val="clear" w:color="auto" w:fill="53284F"/>
            <w:hideMark/>
          </w:tcPr>
          <w:p w14:paraId="621DE8B7" w14:textId="7A4FFCD5" w:rsidR="009D6ED6" w:rsidRPr="00377F3A" w:rsidRDefault="009D6ED6" w:rsidP="00377F3A">
            <w:pPr>
              <w:pStyle w:val="TableText"/>
            </w:pPr>
            <w:r w:rsidRPr="00377F3A">
              <w:t> </w:t>
            </w:r>
            <w:r w:rsidRPr="00574A5E">
              <w:tab/>
              <w:t>Reference</w:t>
            </w:r>
          </w:p>
        </w:tc>
      </w:tr>
      <w:tr w:rsidR="009D6ED6" w:rsidRPr="009D6ED6" w14:paraId="5EFE6B2D"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2E31544B" w14:textId="00B0587A" w:rsidR="009D6ED6" w:rsidRPr="00377F3A" w:rsidRDefault="009D6ED6" w:rsidP="00377F3A">
            <w:pPr>
              <w:pStyle w:val="TableText"/>
              <w:rPr>
                <w:rFonts w:asciiTheme="minorHAnsi" w:hAnsiTheme="minorHAnsi"/>
              </w:rPr>
            </w:pPr>
            <w:r>
              <w:t>A</w:t>
            </w:r>
            <w:r w:rsidRPr="00377F3A">
              <w:rPr>
                <w:rFonts w:asciiTheme="minorHAnsi" w:hAnsiTheme="minorHAnsi"/>
              </w:rPr>
              <w:t>cute oral</w:t>
            </w:r>
          </w:p>
        </w:tc>
        <w:tc>
          <w:tcPr>
            <w:tcW w:w="5448" w:type="dxa"/>
            <w:tcBorders>
              <w:top w:val="nil"/>
              <w:left w:val="nil"/>
              <w:bottom w:val="single" w:sz="4" w:space="0" w:color="auto"/>
              <w:right w:val="single" w:sz="4" w:space="0" w:color="auto"/>
            </w:tcBorders>
            <w:hideMark/>
          </w:tcPr>
          <w:p w14:paraId="357B7B8B" w14:textId="77777777" w:rsidR="009D6ED6" w:rsidRPr="00377F3A" w:rsidRDefault="009D6ED6" w:rsidP="00377F3A">
            <w:pPr>
              <w:pStyle w:val="TableText"/>
              <w:rPr>
                <w:rFonts w:asciiTheme="minorHAnsi" w:hAnsiTheme="minorHAnsi"/>
              </w:rPr>
            </w:pPr>
            <w:r w:rsidRPr="00377F3A">
              <w:rPr>
                <w:rFonts w:asciiTheme="minorHAnsi" w:hAnsiTheme="minorHAnsi"/>
              </w:rPr>
              <w:t>Oral LD 50 for difenacoum was 25.0 mg/kg bw</w:t>
            </w:r>
          </w:p>
        </w:tc>
        <w:tc>
          <w:tcPr>
            <w:tcW w:w="2126" w:type="dxa"/>
            <w:tcBorders>
              <w:top w:val="nil"/>
              <w:left w:val="nil"/>
              <w:bottom w:val="single" w:sz="4" w:space="0" w:color="auto"/>
              <w:right w:val="single" w:sz="4" w:space="0" w:color="auto"/>
            </w:tcBorders>
            <w:noWrap/>
            <w:hideMark/>
          </w:tcPr>
          <w:p w14:paraId="5D3F431C" w14:textId="77777777" w:rsidR="009D6ED6" w:rsidRPr="00377F3A" w:rsidRDefault="009D6ED6" w:rsidP="00377F3A">
            <w:pPr>
              <w:pStyle w:val="TableText"/>
            </w:pPr>
            <w:r w:rsidRPr="00377F3A">
              <w:t>Szakonyi IP, 2004</w:t>
            </w:r>
          </w:p>
        </w:tc>
      </w:tr>
      <w:tr w:rsidR="009D6ED6" w:rsidRPr="009D6ED6" w14:paraId="04350C5F"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61628DAA" w14:textId="5F707D0D" w:rsidR="009D6ED6" w:rsidRPr="00377F3A" w:rsidRDefault="009D6ED6" w:rsidP="00377F3A">
            <w:pPr>
              <w:pStyle w:val="TableText"/>
              <w:rPr>
                <w:rFonts w:asciiTheme="minorHAnsi" w:hAnsiTheme="minorHAnsi"/>
              </w:rPr>
            </w:pPr>
            <w:r w:rsidRPr="00377F3A">
              <w:rPr>
                <w:rFonts w:asciiTheme="minorHAnsi" w:hAnsiTheme="minorHAnsi"/>
              </w:rPr>
              <w:t>Acute dermal</w:t>
            </w:r>
          </w:p>
        </w:tc>
        <w:tc>
          <w:tcPr>
            <w:tcW w:w="5448" w:type="dxa"/>
            <w:tcBorders>
              <w:top w:val="nil"/>
              <w:left w:val="nil"/>
              <w:bottom w:val="single" w:sz="4" w:space="0" w:color="auto"/>
              <w:right w:val="single" w:sz="4" w:space="0" w:color="auto"/>
            </w:tcBorders>
            <w:hideMark/>
          </w:tcPr>
          <w:p w14:paraId="1CE19750"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Dermal LD 50 for difenacoum was 51.54 mg/kg bw. </w:t>
            </w:r>
          </w:p>
        </w:tc>
        <w:tc>
          <w:tcPr>
            <w:tcW w:w="2126" w:type="dxa"/>
            <w:tcBorders>
              <w:top w:val="nil"/>
              <w:left w:val="nil"/>
              <w:bottom w:val="single" w:sz="4" w:space="0" w:color="auto"/>
              <w:right w:val="single" w:sz="4" w:space="0" w:color="auto"/>
            </w:tcBorders>
            <w:noWrap/>
            <w:hideMark/>
          </w:tcPr>
          <w:p w14:paraId="1576A8C3" w14:textId="77777777" w:rsidR="009D6ED6" w:rsidRPr="00377F3A" w:rsidRDefault="009D6ED6" w:rsidP="00377F3A">
            <w:pPr>
              <w:pStyle w:val="TableText"/>
            </w:pPr>
            <w:r w:rsidRPr="00377F3A">
              <w:t>Szakonyi IP, 2004</w:t>
            </w:r>
          </w:p>
        </w:tc>
      </w:tr>
      <w:tr w:rsidR="009D6ED6" w:rsidRPr="009D6ED6" w14:paraId="782A8046"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02284F97" w14:textId="55060AF3" w:rsidR="009D6ED6" w:rsidRPr="00377F3A" w:rsidRDefault="009D6ED6" w:rsidP="00377F3A">
            <w:pPr>
              <w:pStyle w:val="TableText"/>
              <w:rPr>
                <w:rFonts w:asciiTheme="minorHAnsi" w:hAnsiTheme="minorHAnsi"/>
              </w:rPr>
            </w:pPr>
            <w:r w:rsidRPr="00377F3A">
              <w:rPr>
                <w:rFonts w:asciiTheme="minorHAnsi" w:hAnsiTheme="minorHAnsi"/>
              </w:rPr>
              <w:t>acute inhalation</w:t>
            </w:r>
          </w:p>
        </w:tc>
        <w:tc>
          <w:tcPr>
            <w:tcW w:w="5448" w:type="dxa"/>
            <w:tcBorders>
              <w:top w:val="nil"/>
              <w:left w:val="nil"/>
              <w:bottom w:val="single" w:sz="4" w:space="0" w:color="auto"/>
              <w:right w:val="single" w:sz="4" w:space="0" w:color="auto"/>
            </w:tcBorders>
            <w:hideMark/>
          </w:tcPr>
          <w:p w14:paraId="5F81F45F"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Difenacoum 4 hour median lethal concentration in the rat was 20.74 ug/L (M) and 16.27 ug/L (F). </w:t>
            </w:r>
          </w:p>
        </w:tc>
        <w:tc>
          <w:tcPr>
            <w:tcW w:w="2126" w:type="dxa"/>
            <w:tcBorders>
              <w:top w:val="nil"/>
              <w:left w:val="nil"/>
              <w:bottom w:val="single" w:sz="4" w:space="0" w:color="auto"/>
              <w:right w:val="single" w:sz="4" w:space="0" w:color="auto"/>
            </w:tcBorders>
            <w:noWrap/>
            <w:hideMark/>
          </w:tcPr>
          <w:p w14:paraId="1788DA46" w14:textId="77777777" w:rsidR="009D6ED6" w:rsidRPr="00377F3A" w:rsidRDefault="009D6ED6" w:rsidP="00377F3A">
            <w:pPr>
              <w:pStyle w:val="TableText"/>
            </w:pPr>
            <w:r w:rsidRPr="00377F3A">
              <w:t>Morris K, 1995</w:t>
            </w:r>
          </w:p>
        </w:tc>
      </w:tr>
      <w:tr w:rsidR="009D6ED6" w:rsidRPr="009D6ED6" w14:paraId="5C910288"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1187FD43" w14:textId="1F6D6B26" w:rsidR="009D6ED6" w:rsidRPr="00377F3A" w:rsidRDefault="009D6ED6" w:rsidP="00377F3A">
            <w:pPr>
              <w:pStyle w:val="TableText"/>
              <w:rPr>
                <w:rFonts w:asciiTheme="minorHAnsi" w:hAnsiTheme="minorHAnsi"/>
              </w:rPr>
            </w:pPr>
            <w:r w:rsidRPr="00377F3A">
              <w:rPr>
                <w:rFonts w:asciiTheme="minorHAnsi" w:hAnsiTheme="minorHAnsi"/>
              </w:rPr>
              <w:t>acute skin irritation</w:t>
            </w:r>
          </w:p>
        </w:tc>
        <w:tc>
          <w:tcPr>
            <w:tcW w:w="5448" w:type="dxa"/>
            <w:tcBorders>
              <w:top w:val="nil"/>
              <w:left w:val="nil"/>
              <w:bottom w:val="single" w:sz="4" w:space="0" w:color="auto"/>
              <w:right w:val="single" w:sz="4" w:space="0" w:color="auto"/>
            </w:tcBorders>
            <w:hideMark/>
          </w:tcPr>
          <w:p w14:paraId="290BA252" w14:textId="77777777" w:rsidR="009D6ED6" w:rsidRPr="00377F3A" w:rsidRDefault="009D6ED6" w:rsidP="00377F3A">
            <w:pPr>
              <w:pStyle w:val="TableText"/>
              <w:rPr>
                <w:rFonts w:asciiTheme="minorHAnsi" w:hAnsiTheme="minorHAnsi"/>
              </w:rPr>
            </w:pPr>
            <w:r w:rsidRPr="00377F3A">
              <w:rPr>
                <w:rFonts w:asciiTheme="minorHAnsi" w:hAnsiTheme="minorHAnsi"/>
              </w:rPr>
              <w:t>Difenacoum classified as non-irritant to skin.</w:t>
            </w:r>
          </w:p>
        </w:tc>
        <w:tc>
          <w:tcPr>
            <w:tcW w:w="2126" w:type="dxa"/>
            <w:tcBorders>
              <w:top w:val="nil"/>
              <w:left w:val="nil"/>
              <w:bottom w:val="single" w:sz="4" w:space="0" w:color="auto"/>
              <w:right w:val="single" w:sz="4" w:space="0" w:color="auto"/>
            </w:tcBorders>
            <w:noWrap/>
            <w:hideMark/>
          </w:tcPr>
          <w:p w14:paraId="3E5EF95C" w14:textId="77777777" w:rsidR="009D6ED6" w:rsidRPr="00377F3A" w:rsidRDefault="009D6ED6" w:rsidP="00377F3A">
            <w:pPr>
              <w:pStyle w:val="TableText"/>
            </w:pPr>
            <w:r w:rsidRPr="00377F3A">
              <w:t>Stahl J, 2004</w:t>
            </w:r>
          </w:p>
        </w:tc>
      </w:tr>
      <w:tr w:rsidR="009D6ED6" w:rsidRPr="009D6ED6" w14:paraId="03381964"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421AF984" w14:textId="0EC19EE9" w:rsidR="009D6ED6" w:rsidRPr="00377F3A" w:rsidRDefault="009D6ED6" w:rsidP="00377F3A">
            <w:pPr>
              <w:pStyle w:val="TableText"/>
              <w:rPr>
                <w:rFonts w:asciiTheme="minorHAnsi" w:hAnsiTheme="minorHAnsi"/>
              </w:rPr>
            </w:pPr>
            <w:r w:rsidRPr="00377F3A">
              <w:rPr>
                <w:rFonts w:asciiTheme="minorHAnsi" w:hAnsiTheme="minorHAnsi"/>
              </w:rPr>
              <w:t>acute eye irritation</w:t>
            </w:r>
          </w:p>
        </w:tc>
        <w:tc>
          <w:tcPr>
            <w:tcW w:w="5448" w:type="dxa"/>
            <w:tcBorders>
              <w:top w:val="nil"/>
              <w:left w:val="nil"/>
              <w:bottom w:val="single" w:sz="4" w:space="0" w:color="auto"/>
              <w:right w:val="single" w:sz="4" w:space="0" w:color="auto"/>
            </w:tcBorders>
            <w:hideMark/>
          </w:tcPr>
          <w:p w14:paraId="1FE31C30"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Classified as non-irritant. </w:t>
            </w:r>
          </w:p>
        </w:tc>
        <w:tc>
          <w:tcPr>
            <w:tcW w:w="2126" w:type="dxa"/>
            <w:tcBorders>
              <w:top w:val="nil"/>
              <w:left w:val="nil"/>
              <w:bottom w:val="single" w:sz="4" w:space="0" w:color="auto"/>
              <w:right w:val="single" w:sz="4" w:space="0" w:color="auto"/>
            </w:tcBorders>
            <w:noWrap/>
            <w:hideMark/>
          </w:tcPr>
          <w:p w14:paraId="66BD321B" w14:textId="77777777" w:rsidR="009D6ED6" w:rsidRPr="00377F3A" w:rsidRDefault="009D6ED6" w:rsidP="00377F3A">
            <w:pPr>
              <w:pStyle w:val="TableText"/>
            </w:pPr>
            <w:r w:rsidRPr="00377F3A">
              <w:t>Stahl J, 2004</w:t>
            </w:r>
          </w:p>
        </w:tc>
      </w:tr>
      <w:tr w:rsidR="009D6ED6" w:rsidRPr="009D6ED6" w14:paraId="0844B57E"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1A32D42B" w14:textId="7F437F4D" w:rsidR="009D6ED6" w:rsidRPr="00377F3A" w:rsidRDefault="009D6ED6" w:rsidP="00377F3A">
            <w:pPr>
              <w:pStyle w:val="TableText"/>
              <w:rPr>
                <w:rFonts w:asciiTheme="minorHAnsi" w:hAnsiTheme="minorHAnsi"/>
              </w:rPr>
            </w:pPr>
            <w:r w:rsidRPr="00377F3A">
              <w:rPr>
                <w:rFonts w:asciiTheme="minorHAnsi" w:hAnsiTheme="minorHAnsi"/>
              </w:rPr>
              <w:t xml:space="preserve">90 day feeding </w:t>
            </w:r>
          </w:p>
        </w:tc>
        <w:tc>
          <w:tcPr>
            <w:tcW w:w="5448" w:type="dxa"/>
            <w:tcBorders>
              <w:top w:val="nil"/>
              <w:left w:val="nil"/>
              <w:bottom w:val="single" w:sz="4" w:space="0" w:color="auto"/>
              <w:right w:val="single" w:sz="4" w:space="0" w:color="auto"/>
            </w:tcBorders>
            <w:hideMark/>
          </w:tcPr>
          <w:p w14:paraId="2B022A00" w14:textId="533E5690" w:rsidR="009D6ED6" w:rsidRPr="00377F3A" w:rsidRDefault="009D6ED6" w:rsidP="00377F3A">
            <w:pPr>
              <w:pStyle w:val="TableText"/>
              <w:rPr>
                <w:rFonts w:asciiTheme="minorHAnsi" w:hAnsiTheme="minorHAnsi"/>
              </w:rPr>
            </w:pPr>
            <w:r w:rsidRPr="00377F3A">
              <w:rPr>
                <w:rFonts w:asciiTheme="minorHAnsi" w:hAnsiTheme="minorHAnsi"/>
              </w:rPr>
              <w:t>NOEL: 0.03 mg/kg</w:t>
            </w:r>
            <w:r w:rsidR="00713FE9">
              <w:t xml:space="preserve"> bw/</w:t>
            </w:r>
            <w:r w:rsidRPr="00377F3A">
              <w:rPr>
                <w:rFonts w:asciiTheme="minorHAnsi" w:hAnsiTheme="minorHAnsi"/>
              </w:rPr>
              <w:t xml:space="preserve">day (M) and 0.06 </w:t>
            </w:r>
            <w:r w:rsidR="00713FE9" w:rsidRPr="00E078CC">
              <w:t>mg/kg</w:t>
            </w:r>
            <w:r w:rsidR="00713FE9">
              <w:t xml:space="preserve"> bw/</w:t>
            </w:r>
            <w:r w:rsidR="00713FE9" w:rsidRPr="00E078CC">
              <w:t xml:space="preserve">day </w:t>
            </w:r>
            <w:r w:rsidRPr="00377F3A">
              <w:rPr>
                <w:rFonts w:asciiTheme="minorHAnsi" w:hAnsiTheme="minorHAnsi"/>
              </w:rPr>
              <w:t>(F)</w:t>
            </w:r>
          </w:p>
        </w:tc>
        <w:tc>
          <w:tcPr>
            <w:tcW w:w="2126" w:type="dxa"/>
            <w:tcBorders>
              <w:top w:val="nil"/>
              <w:left w:val="nil"/>
              <w:bottom w:val="single" w:sz="4" w:space="0" w:color="auto"/>
              <w:right w:val="single" w:sz="4" w:space="0" w:color="auto"/>
            </w:tcBorders>
            <w:noWrap/>
            <w:hideMark/>
          </w:tcPr>
          <w:p w14:paraId="0D120B35" w14:textId="77777777" w:rsidR="009D6ED6" w:rsidRPr="00377F3A" w:rsidRDefault="009D6ED6" w:rsidP="00377F3A">
            <w:pPr>
              <w:pStyle w:val="TableText"/>
            </w:pPr>
            <w:r w:rsidRPr="00377F3A">
              <w:t>Morris K, 1995</w:t>
            </w:r>
          </w:p>
        </w:tc>
      </w:tr>
      <w:tr w:rsidR="009D6ED6" w:rsidRPr="009D6ED6" w14:paraId="7E0599D0"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4EF34FF4" w14:textId="7FE98D09" w:rsidR="009D6ED6" w:rsidRPr="00377F3A" w:rsidRDefault="009D6ED6" w:rsidP="00377F3A">
            <w:pPr>
              <w:pStyle w:val="TableText"/>
              <w:rPr>
                <w:rFonts w:asciiTheme="minorHAnsi" w:hAnsiTheme="minorHAnsi"/>
              </w:rPr>
            </w:pPr>
            <w:r w:rsidRPr="00377F3A">
              <w:rPr>
                <w:rFonts w:asciiTheme="minorHAnsi" w:hAnsiTheme="minorHAnsi"/>
              </w:rPr>
              <w:t>mutagenesis</w:t>
            </w:r>
          </w:p>
        </w:tc>
        <w:tc>
          <w:tcPr>
            <w:tcW w:w="5448" w:type="dxa"/>
            <w:tcBorders>
              <w:top w:val="nil"/>
              <w:left w:val="nil"/>
              <w:bottom w:val="single" w:sz="4" w:space="0" w:color="auto"/>
              <w:right w:val="single" w:sz="4" w:space="0" w:color="auto"/>
            </w:tcBorders>
            <w:hideMark/>
          </w:tcPr>
          <w:p w14:paraId="674F31C8"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Non mutagenic </w:t>
            </w:r>
          </w:p>
        </w:tc>
        <w:tc>
          <w:tcPr>
            <w:tcW w:w="2126" w:type="dxa"/>
            <w:tcBorders>
              <w:top w:val="nil"/>
              <w:left w:val="nil"/>
              <w:bottom w:val="single" w:sz="4" w:space="0" w:color="auto"/>
              <w:right w:val="single" w:sz="4" w:space="0" w:color="auto"/>
            </w:tcBorders>
            <w:noWrap/>
            <w:hideMark/>
          </w:tcPr>
          <w:p w14:paraId="6435C64E" w14:textId="77777777" w:rsidR="009D6ED6" w:rsidRPr="00377F3A" w:rsidRDefault="009D6ED6" w:rsidP="00377F3A">
            <w:pPr>
              <w:pStyle w:val="TableText"/>
            </w:pPr>
            <w:r w:rsidRPr="00377F3A">
              <w:t>Thompson PW, 2002</w:t>
            </w:r>
          </w:p>
        </w:tc>
      </w:tr>
      <w:tr w:rsidR="009D6ED6" w:rsidRPr="009D6ED6" w14:paraId="18A5AD02"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37EACDF4" w14:textId="75AC273E" w:rsidR="009D6ED6" w:rsidRPr="00377F3A" w:rsidRDefault="009D6ED6" w:rsidP="00377F3A">
            <w:pPr>
              <w:pStyle w:val="TableText"/>
              <w:rPr>
                <w:rFonts w:asciiTheme="minorHAnsi" w:hAnsiTheme="minorHAnsi"/>
              </w:rPr>
            </w:pPr>
            <w:r w:rsidRPr="00377F3A">
              <w:rPr>
                <w:rFonts w:asciiTheme="minorHAnsi" w:hAnsiTheme="minorHAnsi"/>
              </w:rPr>
              <w:t>mutagenesis</w:t>
            </w:r>
          </w:p>
        </w:tc>
        <w:tc>
          <w:tcPr>
            <w:tcW w:w="5448" w:type="dxa"/>
            <w:tcBorders>
              <w:top w:val="nil"/>
              <w:left w:val="nil"/>
              <w:bottom w:val="single" w:sz="4" w:space="0" w:color="auto"/>
              <w:right w:val="single" w:sz="4" w:space="0" w:color="auto"/>
            </w:tcBorders>
            <w:hideMark/>
          </w:tcPr>
          <w:p w14:paraId="45EBDA30" w14:textId="77777777" w:rsidR="009D6ED6" w:rsidRPr="00377F3A" w:rsidRDefault="009D6ED6" w:rsidP="00377F3A">
            <w:pPr>
              <w:pStyle w:val="TableText"/>
              <w:rPr>
                <w:rFonts w:asciiTheme="minorHAnsi" w:hAnsiTheme="minorHAnsi"/>
              </w:rPr>
            </w:pPr>
            <w:r w:rsidRPr="00377F3A">
              <w:rPr>
                <w:rFonts w:asciiTheme="minorHAnsi" w:hAnsiTheme="minorHAnsi"/>
              </w:rPr>
              <w:t>Weak mutagen</w:t>
            </w:r>
          </w:p>
        </w:tc>
        <w:tc>
          <w:tcPr>
            <w:tcW w:w="2126" w:type="dxa"/>
            <w:tcBorders>
              <w:top w:val="nil"/>
              <w:left w:val="nil"/>
              <w:bottom w:val="single" w:sz="4" w:space="0" w:color="auto"/>
              <w:right w:val="single" w:sz="4" w:space="0" w:color="auto"/>
            </w:tcBorders>
            <w:noWrap/>
            <w:hideMark/>
          </w:tcPr>
          <w:p w14:paraId="041E4765" w14:textId="77777777" w:rsidR="009D6ED6" w:rsidRPr="00377F3A" w:rsidRDefault="009D6ED6" w:rsidP="00377F3A">
            <w:pPr>
              <w:pStyle w:val="TableText"/>
            </w:pPr>
            <w:r w:rsidRPr="00377F3A">
              <w:t>Durward R, 2004</w:t>
            </w:r>
          </w:p>
        </w:tc>
      </w:tr>
      <w:tr w:rsidR="009D6ED6" w:rsidRPr="009D6ED6" w14:paraId="3D8A1C1B"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26EAEBDC" w14:textId="790436BA" w:rsidR="009D6ED6" w:rsidRPr="00377F3A" w:rsidRDefault="009D6ED6" w:rsidP="00377F3A">
            <w:pPr>
              <w:pStyle w:val="TableText"/>
              <w:rPr>
                <w:rFonts w:asciiTheme="minorHAnsi" w:hAnsiTheme="minorHAnsi"/>
              </w:rPr>
            </w:pPr>
            <w:r w:rsidRPr="00377F3A">
              <w:rPr>
                <w:rFonts w:asciiTheme="minorHAnsi" w:hAnsiTheme="minorHAnsi"/>
              </w:rPr>
              <w:t>mutagenesis</w:t>
            </w:r>
          </w:p>
        </w:tc>
        <w:tc>
          <w:tcPr>
            <w:tcW w:w="5448" w:type="dxa"/>
            <w:tcBorders>
              <w:top w:val="nil"/>
              <w:left w:val="nil"/>
              <w:bottom w:val="single" w:sz="4" w:space="0" w:color="auto"/>
              <w:right w:val="single" w:sz="4" w:space="0" w:color="auto"/>
            </w:tcBorders>
            <w:hideMark/>
          </w:tcPr>
          <w:p w14:paraId="1D67315D"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Non mutagenic </w:t>
            </w:r>
          </w:p>
        </w:tc>
        <w:tc>
          <w:tcPr>
            <w:tcW w:w="2126" w:type="dxa"/>
            <w:tcBorders>
              <w:top w:val="nil"/>
              <w:left w:val="nil"/>
              <w:bottom w:val="single" w:sz="4" w:space="0" w:color="auto"/>
              <w:right w:val="single" w:sz="4" w:space="0" w:color="auto"/>
            </w:tcBorders>
            <w:noWrap/>
            <w:hideMark/>
          </w:tcPr>
          <w:p w14:paraId="1ADD797B" w14:textId="77777777" w:rsidR="009D6ED6" w:rsidRPr="00377F3A" w:rsidRDefault="009D6ED6" w:rsidP="00377F3A">
            <w:pPr>
              <w:pStyle w:val="TableText"/>
            </w:pPr>
            <w:r w:rsidRPr="00377F3A">
              <w:t>Morris K, 1995</w:t>
            </w:r>
          </w:p>
        </w:tc>
      </w:tr>
      <w:tr w:rsidR="009D6ED6" w:rsidRPr="009D6ED6" w14:paraId="747D1C64"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76650907" w14:textId="04874236" w:rsidR="009D6ED6" w:rsidRPr="00377F3A" w:rsidRDefault="009D6ED6" w:rsidP="00377F3A">
            <w:pPr>
              <w:pStyle w:val="TableText"/>
              <w:rPr>
                <w:rFonts w:asciiTheme="minorHAnsi" w:hAnsiTheme="minorHAnsi"/>
              </w:rPr>
            </w:pPr>
            <w:r w:rsidRPr="00377F3A">
              <w:rPr>
                <w:rFonts w:asciiTheme="minorHAnsi" w:hAnsiTheme="minorHAnsi"/>
              </w:rPr>
              <w:t>mutagenesis</w:t>
            </w:r>
          </w:p>
        </w:tc>
        <w:tc>
          <w:tcPr>
            <w:tcW w:w="5448" w:type="dxa"/>
            <w:tcBorders>
              <w:top w:val="nil"/>
              <w:left w:val="nil"/>
              <w:bottom w:val="single" w:sz="4" w:space="0" w:color="auto"/>
              <w:right w:val="single" w:sz="4" w:space="0" w:color="auto"/>
            </w:tcBorders>
            <w:hideMark/>
          </w:tcPr>
          <w:p w14:paraId="1D184DDA" w14:textId="77777777" w:rsidR="009D6ED6" w:rsidRPr="00377F3A" w:rsidRDefault="009D6ED6" w:rsidP="00377F3A">
            <w:pPr>
              <w:pStyle w:val="TableText"/>
              <w:rPr>
                <w:rFonts w:asciiTheme="minorHAnsi" w:hAnsiTheme="minorHAnsi"/>
              </w:rPr>
            </w:pPr>
            <w:r w:rsidRPr="00377F3A">
              <w:rPr>
                <w:rFonts w:asciiTheme="minorHAnsi" w:hAnsiTheme="minorHAnsi"/>
              </w:rPr>
              <w:t xml:space="preserve">Non mutagenic </w:t>
            </w:r>
          </w:p>
        </w:tc>
        <w:tc>
          <w:tcPr>
            <w:tcW w:w="2126" w:type="dxa"/>
            <w:tcBorders>
              <w:top w:val="nil"/>
              <w:left w:val="nil"/>
              <w:bottom w:val="single" w:sz="4" w:space="0" w:color="auto"/>
              <w:right w:val="single" w:sz="4" w:space="0" w:color="auto"/>
            </w:tcBorders>
            <w:noWrap/>
            <w:hideMark/>
          </w:tcPr>
          <w:p w14:paraId="486F64DC" w14:textId="77777777" w:rsidR="009D6ED6" w:rsidRPr="00377F3A" w:rsidRDefault="009D6ED6" w:rsidP="00377F3A">
            <w:pPr>
              <w:pStyle w:val="TableText"/>
            </w:pPr>
            <w:r w:rsidRPr="00377F3A">
              <w:t>Morris K, 1995</w:t>
            </w:r>
          </w:p>
        </w:tc>
      </w:tr>
      <w:tr w:rsidR="009D6ED6" w:rsidRPr="009D6ED6" w14:paraId="2851B889"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7EB72BAD" w14:textId="56FA1364" w:rsidR="009D6ED6" w:rsidRPr="00377F3A" w:rsidRDefault="009D6ED6" w:rsidP="00377F3A">
            <w:pPr>
              <w:pStyle w:val="TableText"/>
              <w:rPr>
                <w:rFonts w:asciiTheme="minorHAnsi" w:hAnsiTheme="minorHAnsi"/>
              </w:rPr>
            </w:pPr>
            <w:r w:rsidRPr="00377F3A">
              <w:rPr>
                <w:rFonts w:asciiTheme="minorHAnsi" w:hAnsiTheme="minorHAnsi"/>
              </w:rPr>
              <w:t xml:space="preserve">developmental </w:t>
            </w:r>
          </w:p>
        </w:tc>
        <w:tc>
          <w:tcPr>
            <w:tcW w:w="5448" w:type="dxa"/>
            <w:tcBorders>
              <w:top w:val="nil"/>
              <w:left w:val="nil"/>
              <w:bottom w:val="single" w:sz="4" w:space="0" w:color="auto"/>
              <w:right w:val="single" w:sz="4" w:space="0" w:color="auto"/>
            </w:tcBorders>
            <w:hideMark/>
          </w:tcPr>
          <w:p w14:paraId="541375B8" w14:textId="04BC4323" w:rsidR="009D6ED6" w:rsidRPr="00377F3A" w:rsidRDefault="009D6ED6" w:rsidP="00377F3A">
            <w:pPr>
              <w:pStyle w:val="TableText"/>
              <w:rPr>
                <w:rFonts w:asciiTheme="minorHAnsi" w:hAnsiTheme="minorHAnsi"/>
              </w:rPr>
            </w:pPr>
            <w:r w:rsidRPr="00377F3A">
              <w:rPr>
                <w:rFonts w:asciiTheme="minorHAnsi" w:hAnsiTheme="minorHAnsi"/>
              </w:rPr>
              <w:t xml:space="preserve">NOEL for maternal toxicity was 0.03 </w:t>
            </w:r>
            <w:r w:rsidR="00713FE9">
              <w:t>mg/</w:t>
            </w:r>
            <w:r w:rsidR="00713FE9" w:rsidRPr="00E078CC">
              <w:t>kg</w:t>
            </w:r>
            <w:r w:rsidR="00713FE9">
              <w:t xml:space="preserve"> bw/</w:t>
            </w:r>
            <w:r w:rsidR="00713FE9" w:rsidRPr="00E078CC">
              <w:t xml:space="preserve">day </w:t>
            </w:r>
            <w:r w:rsidRPr="00377F3A">
              <w:rPr>
                <w:rFonts w:asciiTheme="minorHAnsi" w:hAnsiTheme="minorHAnsi"/>
              </w:rPr>
              <w:t xml:space="preserve">difenacoum and NOEL for development toxicity was 0.09 </w:t>
            </w:r>
            <w:r w:rsidR="00713FE9">
              <w:t>mg/</w:t>
            </w:r>
            <w:r w:rsidR="00713FE9" w:rsidRPr="00E078CC">
              <w:t>kg</w:t>
            </w:r>
            <w:r w:rsidR="00713FE9">
              <w:t xml:space="preserve"> bw/</w:t>
            </w:r>
            <w:r w:rsidR="00713FE9" w:rsidRPr="00E078CC">
              <w:t>day</w:t>
            </w:r>
          </w:p>
        </w:tc>
        <w:tc>
          <w:tcPr>
            <w:tcW w:w="2126" w:type="dxa"/>
            <w:tcBorders>
              <w:top w:val="nil"/>
              <w:left w:val="nil"/>
              <w:bottom w:val="single" w:sz="4" w:space="0" w:color="auto"/>
              <w:right w:val="single" w:sz="4" w:space="0" w:color="auto"/>
            </w:tcBorders>
            <w:noWrap/>
            <w:hideMark/>
          </w:tcPr>
          <w:p w14:paraId="09980703" w14:textId="77777777" w:rsidR="009D6ED6" w:rsidRPr="00377F3A" w:rsidRDefault="009D6ED6" w:rsidP="00377F3A">
            <w:pPr>
              <w:pStyle w:val="TableText"/>
            </w:pPr>
            <w:r w:rsidRPr="00377F3A">
              <w:t>Morris K, 1995</w:t>
            </w:r>
          </w:p>
        </w:tc>
      </w:tr>
      <w:tr w:rsidR="009D6ED6" w:rsidRPr="009D6ED6" w14:paraId="6485DA64"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62212D52" w14:textId="76114236" w:rsidR="009D6ED6" w:rsidRPr="00377F3A" w:rsidRDefault="009D6ED6" w:rsidP="00377F3A">
            <w:pPr>
              <w:pStyle w:val="TableText"/>
              <w:rPr>
                <w:rFonts w:asciiTheme="minorHAnsi" w:hAnsiTheme="minorHAnsi"/>
              </w:rPr>
            </w:pPr>
            <w:r w:rsidRPr="00377F3A">
              <w:rPr>
                <w:rFonts w:asciiTheme="minorHAnsi" w:hAnsiTheme="minorHAnsi"/>
              </w:rPr>
              <w:t xml:space="preserve">developmental </w:t>
            </w:r>
          </w:p>
        </w:tc>
        <w:tc>
          <w:tcPr>
            <w:tcW w:w="5448" w:type="dxa"/>
            <w:tcBorders>
              <w:top w:val="nil"/>
              <w:left w:val="nil"/>
              <w:bottom w:val="single" w:sz="4" w:space="0" w:color="auto"/>
              <w:right w:val="single" w:sz="4" w:space="0" w:color="auto"/>
            </w:tcBorders>
            <w:hideMark/>
          </w:tcPr>
          <w:p w14:paraId="2DD47C8E" w14:textId="5975B4BC" w:rsidR="009D6ED6" w:rsidRPr="00377F3A" w:rsidRDefault="009D6ED6" w:rsidP="00377F3A">
            <w:pPr>
              <w:pStyle w:val="TableText"/>
              <w:rPr>
                <w:rFonts w:asciiTheme="minorHAnsi" w:hAnsiTheme="minorHAnsi"/>
              </w:rPr>
            </w:pPr>
            <w:r w:rsidRPr="00377F3A">
              <w:rPr>
                <w:rFonts w:asciiTheme="minorHAnsi" w:hAnsiTheme="minorHAnsi"/>
              </w:rPr>
              <w:t>Teratogenic dose no</w:t>
            </w:r>
            <w:r w:rsidR="00713FE9">
              <w:t>t</w:t>
            </w:r>
            <w:r w:rsidRPr="00377F3A">
              <w:rPr>
                <w:rFonts w:asciiTheme="minorHAnsi" w:hAnsiTheme="minorHAnsi"/>
              </w:rPr>
              <w:t xml:space="preserve"> found. Dose toxic for does: 1 ug/kg</w:t>
            </w:r>
            <w:r w:rsidR="00713FE9">
              <w:t xml:space="preserve"> bw/day</w:t>
            </w:r>
            <w:r w:rsidRPr="00377F3A">
              <w:rPr>
                <w:rFonts w:asciiTheme="minorHAnsi" w:hAnsiTheme="minorHAnsi"/>
              </w:rPr>
              <w:t xml:space="preserve"> </w:t>
            </w:r>
            <w:r>
              <w:t>(</w:t>
            </w:r>
            <w:r w:rsidR="00713FE9">
              <w:t xml:space="preserve">0.001 mg/kg bw/day) </w:t>
            </w:r>
            <w:r w:rsidRPr="00377F3A">
              <w:rPr>
                <w:rFonts w:asciiTheme="minorHAnsi" w:hAnsiTheme="minorHAnsi"/>
              </w:rPr>
              <w:t xml:space="preserve">and dose causing intrauterine mortality not found. </w:t>
            </w:r>
          </w:p>
        </w:tc>
        <w:tc>
          <w:tcPr>
            <w:tcW w:w="2126" w:type="dxa"/>
            <w:tcBorders>
              <w:top w:val="nil"/>
              <w:left w:val="nil"/>
              <w:bottom w:val="single" w:sz="4" w:space="0" w:color="auto"/>
              <w:right w:val="single" w:sz="4" w:space="0" w:color="auto"/>
            </w:tcBorders>
            <w:noWrap/>
            <w:hideMark/>
          </w:tcPr>
          <w:p w14:paraId="4BBB1E4A" w14:textId="6A698035" w:rsidR="009D6ED6" w:rsidRPr="00377F3A" w:rsidRDefault="009D6ED6" w:rsidP="00377F3A">
            <w:pPr>
              <w:pStyle w:val="TableText"/>
            </w:pPr>
            <w:r w:rsidRPr="00377F3A">
              <w:t>Druga A, 2004</w:t>
            </w:r>
            <w:r w:rsidR="00113DD4">
              <w:t>b</w:t>
            </w:r>
          </w:p>
        </w:tc>
      </w:tr>
      <w:tr w:rsidR="009D6ED6" w:rsidRPr="009D6ED6" w14:paraId="5B6C03A1"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7E18228A" w14:textId="468658DF" w:rsidR="009D6ED6" w:rsidRPr="00377F3A" w:rsidRDefault="009D6ED6" w:rsidP="00377F3A">
            <w:pPr>
              <w:pStyle w:val="TableText"/>
              <w:rPr>
                <w:rFonts w:asciiTheme="minorHAnsi" w:hAnsiTheme="minorHAnsi"/>
              </w:rPr>
            </w:pPr>
            <w:r w:rsidRPr="00377F3A">
              <w:rPr>
                <w:rFonts w:asciiTheme="minorHAnsi" w:hAnsiTheme="minorHAnsi"/>
              </w:rPr>
              <w:t>Reproduction</w:t>
            </w:r>
          </w:p>
        </w:tc>
        <w:tc>
          <w:tcPr>
            <w:tcW w:w="5448" w:type="dxa"/>
            <w:tcBorders>
              <w:top w:val="nil"/>
              <w:left w:val="nil"/>
              <w:bottom w:val="single" w:sz="4" w:space="0" w:color="auto"/>
              <w:right w:val="single" w:sz="4" w:space="0" w:color="auto"/>
            </w:tcBorders>
            <w:hideMark/>
          </w:tcPr>
          <w:p w14:paraId="7EF1FDC4" w14:textId="345D838E" w:rsidR="009D6ED6" w:rsidRPr="00377F3A" w:rsidRDefault="009D6ED6" w:rsidP="00377F3A">
            <w:pPr>
              <w:pStyle w:val="TableText"/>
              <w:rPr>
                <w:rFonts w:asciiTheme="minorHAnsi" w:hAnsiTheme="minorHAnsi"/>
              </w:rPr>
            </w:pPr>
            <w:r w:rsidRPr="00377F3A">
              <w:rPr>
                <w:rFonts w:asciiTheme="minorHAnsi" w:hAnsiTheme="minorHAnsi"/>
              </w:rPr>
              <w:t>NOAEL for males and females: 10 ug/kg</w:t>
            </w:r>
            <w:r w:rsidR="00713FE9">
              <w:t xml:space="preserve"> bw</w:t>
            </w:r>
            <w:r w:rsidRPr="00377F3A">
              <w:rPr>
                <w:rFonts w:asciiTheme="minorHAnsi" w:hAnsiTheme="minorHAnsi"/>
              </w:rPr>
              <w:t>/day</w:t>
            </w:r>
            <w:r w:rsidRPr="00377F3A">
              <w:rPr>
                <w:rFonts w:asciiTheme="minorHAnsi" w:hAnsiTheme="minorHAnsi"/>
              </w:rPr>
              <w:br/>
              <w:t>NOAEL for reproductive performance of the males: 20 ug/kg</w:t>
            </w:r>
            <w:r w:rsidR="00713FE9">
              <w:t xml:space="preserve"> bw</w:t>
            </w:r>
            <w:r w:rsidRPr="00377F3A">
              <w:rPr>
                <w:rFonts w:asciiTheme="minorHAnsi" w:hAnsiTheme="minorHAnsi"/>
              </w:rPr>
              <w:t>/day</w:t>
            </w:r>
            <w:r w:rsidRPr="00377F3A">
              <w:rPr>
                <w:rFonts w:asciiTheme="minorHAnsi" w:hAnsiTheme="minorHAnsi"/>
              </w:rPr>
              <w:br/>
              <w:t>NOAEL for reproductive performance of the females: 20 ug/kg</w:t>
            </w:r>
            <w:r w:rsidR="00713FE9">
              <w:t xml:space="preserve"> </w:t>
            </w:r>
            <w:r w:rsidR="00713FE9">
              <w:lastRenderedPageBreak/>
              <w:t>bw</w:t>
            </w:r>
            <w:r w:rsidRPr="00377F3A">
              <w:rPr>
                <w:rFonts w:asciiTheme="minorHAnsi" w:hAnsiTheme="minorHAnsi"/>
              </w:rPr>
              <w:t>/day</w:t>
            </w:r>
            <w:r w:rsidRPr="00377F3A">
              <w:rPr>
                <w:rFonts w:asciiTheme="minorHAnsi" w:hAnsiTheme="minorHAnsi"/>
              </w:rPr>
              <w:br/>
              <w:t>NOAEL for developmental toxicity: 20 ug/kg</w:t>
            </w:r>
            <w:r w:rsidR="00713FE9">
              <w:t xml:space="preserve"> bw</w:t>
            </w:r>
            <w:r w:rsidRPr="00377F3A">
              <w:rPr>
                <w:rFonts w:asciiTheme="minorHAnsi" w:hAnsiTheme="minorHAnsi"/>
              </w:rPr>
              <w:t>/day</w:t>
            </w:r>
          </w:p>
        </w:tc>
        <w:tc>
          <w:tcPr>
            <w:tcW w:w="2126" w:type="dxa"/>
            <w:tcBorders>
              <w:top w:val="nil"/>
              <w:left w:val="nil"/>
              <w:bottom w:val="single" w:sz="4" w:space="0" w:color="auto"/>
              <w:right w:val="single" w:sz="4" w:space="0" w:color="auto"/>
            </w:tcBorders>
            <w:noWrap/>
            <w:hideMark/>
          </w:tcPr>
          <w:p w14:paraId="24A14F4D" w14:textId="77777777" w:rsidR="009D6ED6" w:rsidRPr="00377F3A" w:rsidRDefault="009D6ED6" w:rsidP="00377F3A">
            <w:pPr>
              <w:pStyle w:val="TableText"/>
            </w:pPr>
            <w:r w:rsidRPr="00377F3A">
              <w:lastRenderedPageBreak/>
              <w:t>Szakonyi IP, 2004</w:t>
            </w:r>
          </w:p>
        </w:tc>
      </w:tr>
      <w:tr w:rsidR="009D6ED6" w:rsidRPr="009D6ED6" w14:paraId="09E9FF40"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tcPr>
          <w:p w14:paraId="11DF4E26" w14:textId="670AEB1C" w:rsidR="009D6ED6" w:rsidRPr="00377F3A" w:rsidRDefault="009D6ED6" w:rsidP="00377F3A">
            <w:pPr>
              <w:pStyle w:val="TableText"/>
              <w:rPr>
                <w:rFonts w:asciiTheme="minorHAnsi" w:hAnsiTheme="minorHAnsi"/>
              </w:rPr>
            </w:pPr>
            <w:r w:rsidRPr="00377F3A">
              <w:rPr>
                <w:rFonts w:asciiTheme="minorHAnsi" w:hAnsiTheme="minorHAnsi"/>
              </w:rPr>
              <w:t>acute oral, product</w:t>
            </w:r>
          </w:p>
        </w:tc>
        <w:tc>
          <w:tcPr>
            <w:tcW w:w="5448" w:type="dxa"/>
            <w:tcBorders>
              <w:top w:val="nil"/>
              <w:left w:val="nil"/>
              <w:bottom w:val="single" w:sz="4" w:space="0" w:color="auto"/>
              <w:right w:val="single" w:sz="4" w:space="0" w:color="auto"/>
            </w:tcBorders>
            <w:hideMark/>
          </w:tcPr>
          <w:p w14:paraId="3EC5B955" w14:textId="77777777" w:rsidR="009D6ED6" w:rsidRPr="00377F3A" w:rsidRDefault="009D6ED6" w:rsidP="00377F3A">
            <w:pPr>
              <w:pStyle w:val="TableText"/>
            </w:pPr>
            <w:r w:rsidRPr="00377F3A">
              <w:t>Oral LD50 for the formulation was calculated to be 74.2 mg/kg male (95% CI 57.9 and 95.1) and 65.7 mg/kg female(95% CI 51.2 84.2).</w:t>
            </w:r>
          </w:p>
        </w:tc>
        <w:tc>
          <w:tcPr>
            <w:tcW w:w="2126" w:type="dxa"/>
            <w:tcBorders>
              <w:top w:val="nil"/>
              <w:left w:val="nil"/>
              <w:bottom w:val="single" w:sz="4" w:space="0" w:color="auto"/>
              <w:right w:val="single" w:sz="4" w:space="0" w:color="auto"/>
            </w:tcBorders>
            <w:noWrap/>
            <w:hideMark/>
          </w:tcPr>
          <w:p w14:paraId="4263CE31" w14:textId="77777777" w:rsidR="009D6ED6" w:rsidRPr="00377F3A" w:rsidRDefault="009D6ED6" w:rsidP="00377F3A">
            <w:pPr>
              <w:pStyle w:val="TableText"/>
            </w:pPr>
            <w:r w:rsidRPr="00377F3A">
              <w:t>Morris K, 1995</w:t>
            </w:r>
          </w:p>
        </w:tc>
      </w:tr>
      <w:tr w:rsidR="009D6ED6" w:rsidRPr="009D6ED6" w14:paraId="219C2E22"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tcPr>
          <w:p w14:paraId="70F1FEBB" w14:textId="28EA7F65" w:rsidR="009D6ED6" w:rsidRPr="00377F3A" w:rsidRDefault="009D6ED6" w:rsidP="00377F3A">
            <w:pPr>
              <w:pStyle w:val="TableText"/>
              <w:rPr>
                <w:rFonts w:asciiTheme="minorHAnsi" w:hAnsiTheme="minorHAnsi"/>
              </w:rPr>
            </w:pPr>
            <w:r w:rsidRPr="00377F3A">
              <w:rPr>
                <w:rFonts w:asciiTheme="minorHAnsi" w:hAnsiTheme="minorHAnsi"/>
              </w:rPr>
              <w:t>acute oral, product</w:t>
            </w:r>
          </w:p>
        </w:tc>
        <w:tc>
          <w:tcPr>
            <w:tcW w:w="5448" w:type="dxa"/>
            <w:tcBorders>
              <w:top w:val="nil"/>
              <w:left w:val="nil"/>
              <w:bottom w:val="single" w:sz="4" w:space="0" w:color="auto"/>
              <w:right w:val="single" w:sz="4" w:space="0" w:color="auto"/>
            </w:tcBorders>
            <w:hideMark/>
          </w:tcPr>
          <w:p w14:paraId="0EC64CE3" w14:textId="77777777" w:rsidR="009D6ED6" w:rsidRPr="00377F3A" w:rsidRDefault="009D6ED6" w:rsidP="00377F3A">
            <w:pPr>
              <w:pStyle w:val="TableText"/>
            </w:pPr>
            <w:r w:rsidRPr="00377F3A">
              <w:t>Dermal LD50 for the formulation was calculated to be 930.0 mg/kg male (95% CI 750, 1200) and 1285 mg/kg female (95% CI 900 1550</w:t>
            </w:r>
          </w:p>
        </w:tc>
        <w:tc>
          <w:tcPr>
            <w:tcW w:w="2126" w:type="dxa"/>
            <w:tcBorders>
              <w:top w:val="nil"/>
              <w:left w:val="nil"/>
              <w:bottom w:val="single" w:sz="4" w:space="0" w:color="auto"/>
              <w:right w:val="single" w:sz="4" w:space="0" w:color="auto"/>
            </w:tcBorders>
            <w:noWrap/>
            <w:hideMark/>
          </w:tcPr>
          <w:p w14:paraId="68806B2B" w14:textId="77777777" w:rsidR="009D6ED6" w:rsidRPr="00377F3A" w:rsidRDefault="009D6ED6" w:rsidP="00377F3A">
            <w:pPr>
              <w:pStyle w:val="TableText"/>
            </w:pPr>
            <w:r w:rsidRPr="00377F3A">
              <w:t>Morris K, 1995</w:t>
            </w:r>
          </w:p>
        </w:tc>
      </w:tr>
      <w:tr w:rsidR="009D6ED6" w:rsidRPr="009D6ED6" w14:paraId="44776BDB"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tcPr>
          <w:p w14:paraId="7FA29C33" w14:textId="47260096" w:rsidR="009D6ED6" w:rsidRPr="00377F3A" w:rsidRDefault="009D6ED6" w:rsidP="00377F3A">
            <w:pPr>
              <w:pStyle w:val="TableText"/>
              <w:rPr>
                <w:rFonts w:asciiTheme="minorHAnsi" w:hAnsiTheme="minorHAnsi"/>
              </w:rPr>
            </w:pPr>
            <w:r w:rsidRPr="00377F3A">
              <w:rPr>
                <w:rFonts w:asciiTheme="minorHAnsi" w:hAnsiTheme="minorHAnsi"/>
              </w:rPr>
              <w:t>Eye irritation</w:t>
            </w:r>
          </w:p>
        </w:tc>
        <w:tc>
          <w:tcPr>
            <w:tcW w:w="5448" w:type="dxa"/>
            <w:tcBorders>
              <w:top w:val="nil"/>
              <w:left w:val="nil"/>
              <w:bottom w:val="single" w:sz="4" w:space="0" w:color="auto"/>
              <w:right w:val="single" w:sz="4" w:space="0" w:color="auto"/>
            </w:tcBorders>
            <w:hideMark/>
          </w:tcPr>
          <w:p w14:paraId="1C4F462B" w14:textId="77777777" w:rsidR="009D6ED6" w:rsidRPr="00377F3A" w:rsidRDefault="009D6ED6" w:rsidP="00377F3A">
            <w:pPr>
              <w:pStyle w:val="TableText"/>
            </w:pPr>
            <w:r w:rsidRPr="00377F3A">
              <w:t xml:space="preserve">Slight eye irritant </w:t>
            </w:r>
          </w:p>
        </w:tc>
        <w:tc>
          <w:tcPr>
            <w:tcW w:w="2126" w:type="dxa"/>
            <w:tcBorders>
              <w:top w:val="nil"/>
              <w:left w:val="nil"/>
              <w:bottom w:val="single" w:sz="4" w:space="0" w:color="auto"/>
              <w:right w:val="single" w:sz="4" w:space="0" w:color="auto"/>
            </w:tcBorders>
            <w:noWrap/>
            <w:hideMark/>
          </w:tcPr>
          <w:p w14:paraId="284399FE" w14:textId="77777777" w:rsidR="009D6ED6" w:rsidRPr="00377F3A" w:rsidRDefault="009D6ED6" w:rsidP="00377F3A">
            <w:pPr>
              <w:pStyle w:val="TableText"/>
            </w:pPr>
            <w:r w:rsidRPr="00377F3A">
              <w:t>Morris K, 1995</w:t>
            </w:r>
          </w:p>
        </w:tc>
      </w:tr>
      <w:tr w:rsidR="009D6ED6" w:rsidRPr="009D6ED6" w14:paraId="1CAF8A8B" w14:textId="77777777" w:rsidTr="00377F3A">
        <w:trPr>
          <w:trHeight w:val="20"/>
        </w:trPr>
        <w:tc>
          <w:tcPr>
            <w:tcW w:w="2060" w:type="dxa"/>
            <w:tcBorders>
              <w:top w:val="nil"/>
              <w:left w:val="single" w:sz="4" w:space="0" w:color="auto"/>
              <w:bottom w:val="single" w:sz="4" w:space="0" w:color="auto"/>
              <w:right w:val="single" w:sz="4" w:space="0" w:color="auto"/>
            </w:tcBorders>
            <w:noWrap/>
            <w:vAlign w:val="bottom"/>
            <w:hideMark/>
          </w:tcPr>
          <w:p w14:paraId="34718E72" w14:textId="50A85155" w:rsidR="009D6ED6" w:rsidRPr="00377F3A" w:rsidRDefault="009D6ED6" w:rsidP="00377F3A">
            <w:pPr>
              <w:pStyle w:val="TableText"/>
              <w:rPr>
                <w:rFonts w:asciiTheme="minorHAnsi" w:hAnsiTheme="minorHAnsi"/>
              </w:rPr>
            </w:pPr>
            <w:r w:rsidRPr="00377F3A">
              <w:rPr>
                <w:rFonts w:asciiTheme="minorHAnsi" w:hAnsiTheme="minorHAnsi"/>
              </w:rPr>
              <w:t>Skin sensitisation</w:t>
            </w:r>
          </w:p>
        </w:tc>
        <w:tc>
          <w:tcPr>
            <w:tcW w:w="5448" w:type="dxa"/>
            <w:tcBorders>
              <w:top w:val="nil"/>
              <w:left w:val="nil"/>
              <w:bottom w:val="single" w:sz="4" w:space="0" w:color="auto"/>
              <w:right w:val="single" w:sz="4" w:space="0" w:color="auto"/>
            </w:tcBorders>
            <w:hideMark/>
          </w:tcPr>
          <w:p w14:paraId="037275BF" w14:textId="77777777" w:rsidR="009D6ED6" w:rsidRPr="00377F3A" w:rsidRDefault="009D6ED6" w:rsidP="00377F3A">
            <w:pPr>
              <w:pStyle w:val="TableText"/>
            </w:pPr>
            <w:r w:rsidRPr="00377F3A">
              <w:t xml:space="preserve">Non irritant </w:t>
            </w:r>
          </w:p>
        </w:tc>
        <w:tc>
          <w:tcPr>
            <w:tcW w:w="2126" w:type="dxa"/>
            <w:tcBorders>
              <w:top w:val="nil"/>
              <w:left w:val="nil"/>
              <w:bottom w:val="single" w:sz="4" w:space="0" w:color="auto"/>
              <w:right w:val="single" w:sz="4" w:space="0" w:color="auto"/>
            </w:tcBorders>
            <w:noWrap/>
            <w:hideMark/>
          </w:tcPr>
          <w:p w14:paraId="591BDB0E" w14:textId="77777777" w:rsidR="009D6ED6" w:rsidRPr="00377F3A" w:rsidRDefault="009D6ED6" w:rsidP="00377F3A">
            <w:pPr>
              <w:pStyle w:val="TableText"/>
            </w:pPr>
            <w:r w:rsidRPr="00377F3A">
              <w:t>Morris K, 1995</w:t>
            </w:r>
          </w:p>
        </w:tc>
      </w:tr>
      <w:tr w:rsidR="009D6ED6" w:rsidRPr="009D6ED6" w14:paraId="0F447BA0"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1562C3E6" w14:textId="77777777" w:rsidR="009D6ED6" w:rsidRPr="00377F3A" w:rsidRDefault="009D6ED6" w:rsidP="00377F3A">
            <w:pPr>
              <w:pStyle w:val="TableText"/>
            </w:pPr>
            <w:r w:rsidRPr="00377F3A">
              <w:t>Acute oral</w:t>
            </w:r>
          </w:p>
        </w:tc>
        <w:tc>
          <w:tcPr>
            <w:tcW w:w="5448" w:type="dxa"/>
            <w:tcBorders>
              <w:top w:val="nil"/>
              <w:left w:val="nil"/>
              <w:bottom w:val="single" w:sz="4" w:space="0" w:color="auto"/>
              <w:right w:val="single" w:sz="4" w:space="0" w:color="auto"/>
            </w:tcBorders>
            <w:hideMark/>
          </w:tcPr>
          <w:p w14:paraId="09021A63" w14:textId="77777777" w:rsidR="009D6ED6" w:rsidRPr="00377F3A" w:rsidRDefault="009D6ED6" w:rsidP="00377F3A">
            <w:pPr>
              <w:pStyle w:val="TableText"/>
            </w:pPr>
            <w:r w:rsidRPr="00377F3A">
              <w:t>Oral LD50 (mg/kg bw)</w:t>
            </w:r>
            <w:r w:rsidRPr="00377F3A">
              <w:br/>
              <w:t>&gt;2.6 (F)</w:t>
            </w:r>
          </w:p>
        </w:tc>
        <w:tc>
          <w:tcPr>
            <w:tcW w:w="2126" w:type="dxa"/>
            <w:tcBorders>
              <w:top w:val="nil"/>
              <w:left w:val="nil"/>
              <w:bottom w:val="single" w:sz="4" w:space="0" w:color="auto"/>
              <w:right w:val="single" w:sz="4" w:space="0" w:color="auto"/>
            </w:tcBorders>
            <w:noWrap/>
            <w:hideMark/>
          </w:tcPr>
          <w:p w14:paraId="30BAF48C" w14:textId="77777777" w:rsidR="009D6ED6" w:rsidRPr="00377F3A" w:rsidRDefault="009D6ED6" w:rsidP="00377F3A">
            <w:pPr>
              <w:pStyle w:val="TableText"/>
            </w:pPr>
            <w:r w:rsidRPr="00377F3A">
              <w:t>Gardner, JR, 1995</w:t>
            </w:r>
          </w:p>
        </w:tc>
      </w:tr>
      <w:tr w:rsidR="009D6ED6" w:rsidRPr="009D6ED6" w14:paraId="5E2BAD39"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514757A8" w14:textId="77777777" w:rsidR="009D6ED6" w:rsidRPr="00377F3A" w:rsidRDefault="009D6ED6" w:rsidP="00377F3A">
            <w:pPr>
              <w:pStyle w:val="TableText"/>
            </w:pPr>
            <w:r w:rsidRPr="00377F3A">
              <w:t>Acute oral</w:t>
            </w:r>
          </w:p>
        </w:tc>
        <w:tc>
          <w:tcPr>
            <w:tcW w:w="5448" w:type="dxa"/>
            <w:tcBorders>
              <w:top w:val="nil"/>
              <w:left w:val="nil"/>
              <w:bottom w:val="single" w:sz="4" w:space="0" w:color="auto"/>
              <w:right w:val="single" w:sz="4" w:space="0" w:color="auto"/>
            </w:tcBorders>
            <w:hideMark/>
          </w:tcPr>
          <w:p w14:paraId="38FA9A27" w14:textId="77777777" w:rsidR="009D6ED6" w:rsidRPr="00377F3A" w:rsidRDefault="009D6ED6" w:rsidP="00377F3A">
            <w:pPr>
              <w:pStyle w:val="TableText"/>
            </w:pPr>
            <w:r w:rsidRPr="00377F3A">
              <w:t>Oral LD50 (mg/kg bw)</w:t>
            </w:r>
            <w:r w:rsidRPr="00377F3A">
              <w:br/>
              <w:t>&gt;1.8 (M)</w:t>
            </w:r>
          </w:p>
        </w:tc>
        <w:tc>
          <w:tcPr>
            <w:tcW w:w="2126" w:type="dxa"/>
            <w:tcBorders>
              <w:top w:val="nil"/>
              <w:left w:val="nil"/>
              <w:bottom w:val="single" w:sz="4" w:space="0" w:color="auto"/>
              <w:right w:val="single" w:sz="4" w:space="0" w:color="auto"/>
            </w:tcBorders>
            <w:noWrap/>
            <w:hideMark/>
          </w:tcPr>
          <w:p w14:paraId="00F8A702" w14:textId="77777777" w:rsidR="009D6ED6" w:rsidRPr="00377F3A" w:rsidRDefault="009D6ED6" w:rsidP="00377F3A">
            <w:pPr>
              <w:pStyle w:val="TableText"/>
            </w:pPr>
            <w:r w:rsidRPr="00377F3A">
              <w:t>Gardner, JR, 1995</w:t>
            </w:r>
          </w:p>
        </w:tc>
      </w:tr>
      <w:tr w:rsidR="009D6ED6" w:rsidRPr="009D6ED6" w14:paraId="0F690063"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CA15812" w14:textId="77777777" w:rsidR="009D6ED6" w:rsidRPr="00377F3A" w:rsidRDefault="009D6ED6" w:rsidP="00377F3A">
            <w:pPr>
              <w:pStyle w:val="TableText"/>
            </w:pPr>
            <w:r w:rsidRPr="00377F3A">
              <w:t>Acute oral</w:t>
            </w:r>
          </w:p>
        </w:tc>
        <w:tc>
          <w:tcPr>
            <w:tcW w:w="5448" w:type="dxa"/>
            <w:tcBorders>
              <w:top w:val="nil"/>
              <w:left w:val="nil"/>
              <w:bottom w:val="single" w:sz="4" w:space="0" w:color="auto"/>
              <w:right w:val="single" w:sz="4" w:space="0" w:color="auto"/>
            </w:tcBorders>
            <w:hideMark/>
          </w:tcPr>
          <w:p w14:paraId="64BC9336" w14:textId="77777777" w:rsidR="009D6ED6" w:rsidRPr="00377F3A" w:rsidRDefault="009D6ED6" w:rsidP="00377F3A">
            <w:pPr>
              <w:pStyle w:val="TableText"/>
            </w:pPr>
            <w:r w:rsidRPr="00377F3A">
              <w:t>Oral LD50 (mg/kg bw)</w:t>
            </w:r>
            <w:r w:rsidRPr="00377F3A">
              <w:br/>
              <w:t>&gt;2.5 (M)</w:t>
            </w:r>
          </w:p>
        </w:tc>
        <w:tc>
          <w:tcPr>
            <w:tcW w:w="2126" w:type="dxa"/>
            <w:tcBorders>
              <w:top w:val="nil"/>
              <w:left w:val="nil"/>
              <w:bottom w:val="single" w:sz="4" w:space="0" w:color="auto"/>
              <w:right w:val="single" w:sz="4" w:space="0" w:color="auto"/>
            </w:tcBorders>
            <w:noWrap/>
            <w:hideMark/>
          </w:tcPr>
          <w:p w14:paraId="3168754E" w14:textId="77777777" w:rsidR="009D6ED6" w:rsidRPr="00377F3A" w:rsidRDefault="009D6ED6" w:rsidP="00377F3A">
            <w:pPr>
              <w:pStyle w:val="TableText"/>
            </w:pPr>
            <w:r w:rsidRPr="00377F3A">
              <w:t>Gardner, JR, 1995</w:t>
            </w:r>
          </w:p>
        </w:tc>
      </w:tr>
      <w:tr w:rsidR="009D6ED6" w:rsidRPr="009D6ED6" w14:paraId="723C644C"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A40A1A4" w14:textId="77777777" w:rsidR="009D6ED6" w:rsidRPr="00377F3A" w:rsidRDefault="009D6ED6" w:rsidP="00377F3A">
            <w:pPr>
              <w:pStyle w:val="TableText"/>
            </w:pPr>
            <w:r w:rsidRPr="00377F3A">
              <w:t>Acute dermal</w:t>
            </w:r>
          </w:p>
        </w:tc>
        <w:tc>
          <w:tcPr>
            <w:tcW w:w="5448" w:type="dxa"/>
            <w:tcBorders>
              <w:top w:val="nil"/>
              <w:left w:val="nil"/>
              <w:bottom w:val="single" w:sz="4" w:space="0" w:color="auto"/>
              <w:right w:val="single" w:sz="4" w:space="0" w:color="auto"/>
            </w:tcBorders>
            <w:hideMark/>
          </w:tcPr>
          <w:p w14:paraId="2C85FBF4" w14:textId="77777777" w:rsidR="009D6ED6" w:rsidRPr="006F78D3" w:rsidRDefault="009D6ED6" w:rsidP="00377F3A">
            <w:pPr>
              <w:pStyle w:val="TableText"/>
              <w:rPr>
                <w:lang w:val="de-CH"/>
              </w:rPr>
            </w:pPr>
            <w:r w:rsidRPr="006F78D3">
              <w:rPr>
                <w:lang w:val="de-CH"/>
              </w:rPr>
              <w:t>Dermal LD50 (mg/kg bw)</w:t>
            </w:r>
            <w:r w:rsidRPr="006F78D3">
              <w:rPr>
                <w:lang w:val="de-CH"/>
              </w:rPr>
              <w:br/>
              <w:t>&gt;27.4 (M) &amp; 17.2 (F)</w:t>
            </w:r>
          </w:p>
        </w:tc>
        <w:tc>
          <w:tcPr>
            <w:tcW w:w="2126" w:type="dxa"/>
            <w:tcBorders>
              <w:top w:val="nil"/>
              <w:left w:val="nil"/>
              <w:bottom w:val="single" w:sz="4" w:space="0" w:color="auto"/>
              <w:right w:val="single" w:sz="4" w:space="0" w:color="auto"/>
            </w:tcBorders>
            <w:noWrap/>
            <w:hideMark/>
          </w:tcPr>
          <w:p w14:paraId="2B1F7E48" w14:textId="77777777" w:rsidR="009D6ED6" w:rsidRPr="00377F3A" w:rsidRDefault="009D6ED6" w:rsidP="00377F3A">
            <w:pPr>
              <w:pStyle w:val="TableText"/>
            </w:pPr>
            <w:r w:rsidRPr="00377F3A">
              <w:t>Brammer, A &amp; Leah, AM, 1991</w:t>
            </w:r>
          </w:p>
        </w:tc>
      </w:tr>
      <w:tr w:rsidR="009D6ED6" w:rsidRPr="009D6ED6" w14:paraId="3E7954C5"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11E0B724" w14:textId="77777777" w:rsidR="009D6ED6" w:rsidRPr="00377F3A" w:rsidRDefault="009D6ED6" w:rsidP="00377F3A">
            <w:pPr>
              <w:pStyle w:val="TableText"/>
            </w:pPr>
            <w:r w:rsidRPr="00377F3A">
              <w:t>Acute dermal</w:t>
            </w:r>
          </w:p>
        </w:tc>
        <w:tc>
          <w:tcPr>
            <w:tcW w:w="5448" w:type="dxa"/>
            <w:tcBorders>
              <w:top w:val="nil"/>
              <w:left w:val="nil"/>
              <w:bottom w:val="single" w:sz="4" w:space="0" w:color="auto"/>
              <w:right w:val="single" w:sz="4" w:space="0" w:color="auto"/>
            </w:tcBorders>
            <w:hideMark/>
          </w:tcPr>
          <w:p w14:paraId="74DE998C" w14:textId="77777777" w:rsidR="009D6ED6" w:rsidRPr="006F78D3" w:rsidRDefault="009D6ED6" w:rsidP="00377F3A">
            <w:pPr>
              <w:pStyle w:val="TableText"/>
              <w:rPr>
                <w:lang w:val="de-CH"/>
              </w:rPr>
            </w:pPr>
            <w:r w:rsidRPr="006F78D3">
              <w:rPr>
                <w:lang w:val="de-CH"/>
              </w:rPr>
              <w:t xml:space="preserve"> Dermal LD50 (mg/kg bw) = 63.0 (F) </w:t>
            </w:r>
          </w:p>
        </w:tc>
        <w:tc>
          <w:tcPr>
            <w:tcW w:w="2126" w:type="dxa"/>
            <w:tcBorders>
              <w:top w:val="nil"/>
              <w:left w:val="nil"/>
              <w:bottom w:val="single" w:sz="4" w:space="0" w:color="auto"/>
              <w:right w:val="single" w:sz="4" w:space="0" w:color="auto"/>
            </w:tcBorders>
            <w:noWrap/>
            <w:hideMark/>
          </w:tcPr>
          <w:p w14:paraId="1AB575EA" w14:textId="77777777" w:rsidR="009D6ED6" w:rsidRPr="00377F3A" w:rsidRDefault="009D6ED6" w:rsidP="00377F3A">
            <w:pPr>
              <w:pStyle w:val="TableText"/>
            </w:pPr>
            <w:r w:rsidRPr="00377F3A">
              <w:t>Gardner, JR, 1995</w:t>
            </w:r>
          </w:p>
        </w:tc>
      </w:tr>
      <w:tr w:rsidR="009D6ED6" w:rsidRPr="009D6ED6" w14:paraId="41F68C35"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FB5DD56" w14:textId="77777777" w:rsidR="009D6ED6" w:rsidRPr="00377F3A" w:rsidRDefault="009D6ED6" w:rsidP="00377F3A">
            <w:pPr>
              <w:pStyle w:val="TableText"/>
            </w:pPr>
            <w:r w:rsidRPr="00377F3A">
              <w:t>Inhalation</w:t>
            </w:r>
          </w:p>
        </w:tc>
        <w:tc>
          <w:tcPr>
            <w:tcW w:w="5448" w:type="dxa"/>
            <w:tcBorders>
              <w:top w:val="nil"/>
              <w:left w:val="nil"/>
              <w:bottom w:val="single" w:sz="4" w:space="0" w:color="auto"/>
              <w:right w:val="single" w:sz="4" w:space="0" w:color="auto"/>
            </w:tcBorders>
            <w:hideMark/>
          </w:tcPr>
          <w:p w14:paraId="0EF908EF" w14:textId="77777777" w:rsidR="009D6ED6" w:rsidRPr="00377F3A" w:rsidRDefault="009D6ED6" w:rsidP="00377F3A">
            <w:pPr>
              <w:pStyle w:val="TableText"/>
            </w:pPr>
            <w:r w:rsidRPr="00377F3A">
              <w:t xml:space="preserve">Inhalation LC50 = 3.6 and 5.8 mg/m3 0.0038 - 0.0058 mg/L (M &amp; F) </w:t>
            </w:r>
          </w:p>
        </w:tc>
        <w:tc>
          <w:tcPr>
            <w:tcW w:w="2126" w:type="dxa"/>
            <w:tcBorders>
              <w:top w:val="nil"/>
              <w:left w:val="nil"/>
              <w:bottom w:val="single" w:sz="4" w:space="0" w:color="auto"/>
              <w:right w:val="single" w:sz="4" w:space="0" w:color="auto"/>
            </w:tcBorders>
            <w:noWrap/>
            <w:hideMark/>
          </w:tcPr>
          <w:p w14:paraId="02D86064" w14:textId="77777777" w:rsidR="009D6ED6" w:rsidRPr="00377F3A" w:rsidRDefault="009D6ED6" w:rsidP="00377F3A">
            <w:pPr>
              <w:pStyle w:val="TableText"/>
            </w:pPr>
            <w:r w:rsidRPr="00377F3A">
              <w:t>Shepherd, NM, 1996</w:t>
            </w:r>
          </w:p>
        </w:tc>
      </w:tr>
      <w:tr w:rsidR="009D6ED6" w:rsidRPr="009D6ED6" w14:paraId="5F843299"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2A6DA9B8" w14:textId="569FE2BE" w:rsidR="009D6ED6" w:rsidRPr="00377F3A" w:rsidRDefault="009D6ED6" w:rsidP="00377F3A">
            <w:pPr>
              <w:pStyle w:val="TableText"/>
            </w:pPr>
            <w:r w:rsidRPr="00377F3A">
              <w:t>Dermal irritation</w:t>
            </w:r>
          </w:p>
        </w:tc>
        <w:tc>
          <w:tcPr>
            <w:tcW w:w="5448" w:type="dxa"/>
            <w:tcBorders>
              <w:top w:val="nil"/>
              <w:left w:val="nil"/>
              <w:bottom w:val="single" w:sz="4" w:space="0" w:color="auto"/>
              <w:right w:val="single" w:sz="4" w:space="0" w:color="auto"/>
            </w:tcBorders>
            <w:hideMark/>
          </w:tcPr>
          <w:p w14:paraId="4C14C7DE" w14:textId="77777777" w:rsidR="009D6ED6" w:rsidRPr="00377F3A" w:rsidRDefault="009D6ED6" w:rsidP="00377F3A">
            <w:pPr>
              <w:pStyle w:val="TableText"/>
            </w:pPr>
            <w:r w:rsidRPr="00377F3A">
              <w:t xml:space="preserve">Substance was not irritating to the rabbit skins. </w:t>
            </w:r>
          </w:p>
        </w:tc>
        <w:tc>
          <w:tcPr>
            <w:tcW w:w="2126" w:type="dxa"/>
            <w:tcBorders>
              <w:top w:val="nil"/>
              <w:left w:val="nil"/>
              <w:bottom w:val="single" w:sz="4" w:space="0" w:color="auto"/>
              <w:right w:val="single" w:sz="4" w:space="0" w:color="auto"/>
            </w:tcBorders>
            <w:noWrap/>
            <w:hideMark/>
          </w:tcPr>
          <w:p w14:paraId="54446930" w14:textId="77777777" w:rsidR="009D6ED6" w:rsidRPr="00377F3A" w:rsidRDefault="009D6ED6" w:rsidP="00377F3A">
            <w:pPr>
              <w:pStyle w:val="TableText"/>
            </w:pPr>
            <w:r w:rsidRPr="00377F3A">
              <w:t>Gardner, JR, 1995</w:t>
            </w:r>
          </w:p>
        </w:tc>
      </w:tr>
      <w:tr w:rsidR="009D6ED6" w:rsidRPr="009D6ED6" w14:paraId="6C865E19"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6D960174" w14:textId="77777777" w:rsidR="009D6ED6" w:rsidRPr="00377F3A" w:rsidRDefault="009D6ED6" w:rsidP="00377F3A">
            <w:pPr>
              <w:pStyle w:val="TableText"/>
            </w:pPr>
            <w:r w:rsidRPr="00377F3A">
              <w:t>Acute oral</w:t>
            </w:r>
          </w:p>
        </w:tc>
        <w:tc>
          <w:tcPr>
            <w:tcW w:w="5448" w:type="dxa"/>
            <w:tcBorders>
              <w:top w:val="nil"/>
              <w:left w:val="nil"/>
              <w:bottom w:val="nil"/>
              <w:right w:val="nil"/>
            </w:tcBorders>
            <w:hideMark/>
          </w:tcPr>
          <w:p w14:paraId="2EC2B23B" w14:textId="77777777" w:rsidR="009D6ED6" w:rsidRPr="00377F3A" w:rsidRDefault="009D6ED6" w:rsidP="00377F3A">
            <w:pPr>
              <w:pStyle w:val="TableText"/>
            </w:pPr>
            <w:r w:rsidRPr="00377F3A">
              <w:t>LD50 of Neosorexa Pellet bait is 38 and 39 g/kg bw in males and females respectively</w:t>
            </w:r>
          </w:p>
        </w:tc>
        <w:tc>
          <w:tcPr>
            <w:tcW w:w="2126" w:type="dxa"/>
            <w:tcBorders>
              <w:top w:val="nil"/>
              <w:left w:val="single" w:sz="4" w:space="0" w:color="auto"/>
              <w:bottom w:val="single" w:sz="4" w:space="0" w:color="auto"/>
              <w:right w:val="single" w:sz="4" w:space="0" w:color="auto"/>
            </w:tcBorders>
            <w:noWrap/>
            <w:hideMark/>
          </w:tcPr>
          <w:p w14:paraId="7E3C5B45" w14:textId="77777777" w:rsidR="009D6ED6" w:rsidRPr="00377F3A" w:rsidRDefault="009D6ED6" w:rsidP="00377F3A">
            <w:pPr>
              <w:pStyle w:val="TableText"/>
            </w:pPr>
            <w:r w:rsidRPr="00377F3A">
              <w:t>Redpath, CS, 1997</w:t>
            </w:r>
          </w:p>
        </w:tc>
      </w:tr>
      <w:tr w:rsidR="009D6ED6" w:rsidRPr="009D6ED6" w14:paraId="52B9C70D"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79D4E4FB" w14:textId="77777777" w:rsidR="009D6ED6" w:rsidRPr="00377F3A" w:rsidRDefault="009D6ED6" w:rsidP="00377F3A">
            <w:pPr>
              <w:pStyle w:val="TableText"/>
            </w:pPr>
            <w:r w:rsidRPr="00377F3A">
              <w:t>Acute dermal</w:t>
            </w:r>
          </w:p>
        </w:tc>
        <w:tc>
          <w:tcPr>
            <w:tcW w:w="5448" w:type="dxa"/>
            <w:tcBorders>
              <w:top w:val="single" w:sz="4" w:space="0" w:color="auto"/>
              <w:left w:val="nil"/>
              <w:bottom w:val="single" w:sz="4" w:space="0" w:color="auto"/>
              <w:right w:val="single" w:sz="4" w:space="0" w:color="auto"/>
            </w:tcBorders>
            <w:hideMark/>
          </w:tcPr>
          <w:p w14:paraId="776173C8" w14:textId="77777777" w:rsidR="009D6ED6" w:rsidRPr="00377F3A" w:rsidRDefault="009D6ED6" w:rsidP="00377F3A">
            <w:pPr>
              <w:pStyle w:val="TableText"/>
            </w:pPr>
            <w:r w:rsidRPr="00377F3A">
              <w:t>LD50 of Neosorexa Pellets in rats is estimated to be &gt;2000 mg/kg bw.</w:t>
            </w:r>
          </w:p>
        </w:tc>
        <w:tc>
          <w:tcPr>
            <w:tcW w:w="2126" w:type="dxa"/>
            <w:tcBorders>
              <w:top w:val="nil"/>
              <w:left w:val="nil"/>
              <w:bottom w:val="single" w:sz="4" w:space="0" w:color="auto"/>
              <w:right w:val="single" w:sz="4" w:space="0" w:color="auto"/>
            </w:tcBorders>
            <w:noWrap/>
            <w:hideMark/>
          </w:tcPr>
          <w:p w14:paraId="70A3B092" w14:textId="77777777" w:rsidR="009D6ED6" w:rsidRPr="00377F3A" w:rsidRDefault="009D6ED6" w:rsidP="00377F3A">
            <w:pPr>
              <w:pStyle w:val="TableText"/>
            </w:pPr>
            <w:r w:rsidRPr="00377F3A">
              <w:t>Donald, E, 1998</w:t>
            </w:r>
          </w:p>
        </w:tc>
      </w:tr>
      <w:tr w:rsidR="009D6ED6" w:rsidRPr="009D6ED6" w14:paraId="01D1FA57"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3C161ADC" w14:textId="77777777" w:rsidR="009D6ED6" w:rsidRPr="00377F3A" w:rsidRDefault="009D6ED6" w:rsidP="00377F3A">
            <w:pPr>
              <w:pStyle w:val="TableText"/>
            </w:pPr>
            <w:r w:rsidRPr="00377F3A">
              <w:t>Acute oral</w:t>
            </w:r>
          </w:p>
        </w:tc>
        <w:tc>
          <w:tcPr>
            <w:tcW w:w="5448" w:type="dxa"/>
            <w:tcBorders>
              <w:top w:val="nil"/>
              <w:left w:val="nil"/>
              <w:bottom w:val="single" w:sz="4" w:space="0" w:color="auto"/>
              <w:right w:val="single" w:sz="4" w:space="0" w:color="auto"/>
            </w:tcBorders>
            <w:hideMark/>
          </w:tcPr>
          <w:p w14:paraId="37113B4B" w14:textId="77777777" w:rsidR="009D6ED6" w:rsidRPr="00377F3A" w:rsidRDefault="009D6ED6" w:rsidP="00377F3A">
            <w:pPr>
              <w:pStyle w:val="TableText"/>
            </w:pPr>
            <w:r w:rsidRPr="00377F3A">
              <w:t>LD50 of Neosorexa Pellet bait is 27.6 and 28 g/kg bw in males and females.</w:t>
            </w:r>
          </w:p>
        </w:tc>
        <w:tc>
          <w:tcPr>
            <w:tcW w:w="2126" w:type="dxa"/>
            <w:tcBorders>
              <w:top w:val="nil"/>
              <w:left w:val="nil"/>
              <w:bottom w:val="single" w:sz="4" w:space="0" w:color="auto"/>
              <w:right w:val="single" w:sz="4" w:space="0" w:color="auto"/>
            </w:tcBorders>
            <w:noWrap/>
            <w:hideMark/>
          </w:tcPr>
          <w:p w14:paraId="2B1C9021" w14:textId="77777777" w:rsidR="009D6ED6" w:rsidRPr="00377F3A" w:rsidRDefault="009D6ED6" w:rsidP="00377F3A">
            <w:pPr>
              <w:pStyle w:val="TableText"/>
            </w:pPr>
            <w:r w:rsidRPr="00377F3A">
              <w:t>Redpath, CS, 1992</w:t>
            </w:r>
          </w:p>
        </w:tc>
      </w:tr>
      <w:tr w:rsidR="009D6ED6" w:rsidRPr="009D6ED6" w14:paraId="5B2C9D00"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6F7D7F7E" w14:textId="77777777" w:rsidR="009D6ED6" w:rsidRPr="00377F3A" w:rsidRDefault="009D6ED6" w:rsidP="00377F3A">
            <w:pPr>
              <w:pStyle w:val="TableText"/>
            </w:pPr>
            <w:r w:rsidRPr="00377F3A">
              <w:t>Acute dermal</w:t>
            </w:r>
          </w:p>
        </w:tc>
        <w:tc>
          <w:tcPr>
            <w:tcW w:w="5448" w:type="dxa"/>
            <w:tcBorders>
              <w:top w:val="nil"/>
              <w:left w:val="nil"/>
              <w:bottom w:val="single" w:sz="4" w:space="0" w:color="auto"/>
              <w:right w:val="single" w:sz="4" w:space="0" w:color="auto"/>
            </w:tcBorders>
            <w:hideMark/>
          </w:tcPr>
          <w:p w14:paraId="3C910534" w14:textId="77777777" w:rsidR="009D6ED6" w:rsidRPr="00377F3A" w:rsidRDefault="009D6ED6" w:rsidP="00377F3A">
            <w:pPr>
              <w:pStyle w:val="TableText"/>
            </w:pPr>
            <w:r w:rsidRPr="00377F3A">
              <w:t>Dermal LD50 of Neosorexa Pellet bait is &gt;2000 mg/kg bw in males and females.</w:t>
            </w:r>
          </w:p>
        </w:tc>
        <w:tc>
          <w:tcPr>
            <w:tcW w:w="2126" w:type="dxa"/>
            <w:tcBorders>
              <w:top w:val="nil"/>
              <w:left w:val="nil"/>
              <w:bottom w:val="single" w:sz="4" w:space="0" w:color="auto"/>
              <w:right w:val="single" w:sz="4" w:space="0" w:color="auto"/>
            </w:tcBorders>
            <w:noWrap/>
            <w:hideMark/>
          </w:tcPr>
          <w:p w14:paraId="2281732F" w14:textId="77777777" w:rsidR="009D6ED6" w:rsidRPr="00377F3A" w:rsidRDefault="009D6ED6" w:rsidP="00377F3A">
            <w:pPr>
              <w:pStyle w:val="TableText"/>
            </w:pPr>
            <w:r w:rsidRPr="00377F3A">
              <w:t>Edgar, F &amp; Donald, E, 1998</w:t>
            </w:r>
          </w:p>
        </w:tc>
      </w:tr>
      <w:tr w:rsidR="009D6ED6" w:rsidRPr="009D6ED6" w14:paraId="4430644F"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598FFB6A" w14:textId="77777777" w:rsidR="009D6ED6" w:rsidRPr="00377F3A" w:rsidRDefault="009D6ED6" w:rsidP="00377F3A">
            <w:pPr>
              <w:pStyle w:val="TableText"/>
            </w:pPr>
            <w:r w:rsidRPr="00377F3A">
              <w:t>Subchronic</w:t>
            </w:r>
          </w:p>
        </w:tc>
        <w:tc>
          <w:tcPr>
            <w:tcW w:w="5448" w:type="dxa"/>
            <w:tcBorders>
              <w:top w:val="nil"/>
              <w:left w:val="nil"/>
              <w:bottom w:val="single" w:sz="4" w:space="0" w:color="auto"/>
              <w:right w:val="single" w:sz="4" w:space="0" w:color="auto"/>
            </w:tcBorders>
            <w:hideMark/>
          </w:tcPr>
          <w:p w14:paraId="03ACF95D" w14:textId="77777777" w:rsidR="009D6ED6" w:rsidRPr="00377F3A" w:rsidRDefault="009D6ED6" w:rsidP="00377F3A">
            <w:pPr>
              <w:pStyle w:val="TableText"/>
            </w:pPr>
            <w:r w:rsidRPr="00377F3A">
              <w:t>NOEL - 0.01 mg/kg bw (M) over 78 days and 0.03 mg/kg bw (F) over 93 days</w:t>
            </w:r>
          </w:p>
        </w:tc>
        <w:tc>
          <w:tcPr>
            <w:tcW w:w="2126" w:type="dxa"/>
            <w:tcBorders>
              <w:top w:val="nil"/>
              <w:left w:val="nil"/>
              <w:bottom w:val="single" w:sz="4" w:space="0" w:color="auto"/>
              <w:right w:val="single" w:sz="4" w:space="0" w:color="auto"/>
            </w:tcBorders>
            <w:noWrap/>
            <w:hideMark/>
          </w:tcPr>
          <w:p w14:paraId="1DE70ED3" w14:textId="77777777" w:rsidR="009D6ED6" w:rsidRPr="00377F3A" w:rsidRDefault="009D6ED6" w:rsidP="00377F3A">
            <w:pPr>
              <w:pStyle w:val="TableText"/>
            </w:pPr>
            <w:r w:rsidRPr="00377F3A">
              <w:t>Horner, JM, 1991</w:t>
            </w:r>
          </w:p>
        </w:tc>
      </w:tr>
      <w:tr w:rsidR="009D6ED6" w:rsidRPr="009D6ED6" w14:paraId="2053B0E6"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0F84F242"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7A4E935B"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337811E8" w14:textId="77777777" w:rsidR="009D6ED6" w:rsidRPr="00377F3A" w:rsidRDefault="009D6ED6" w:rsidP="00377F3A">
            <w:pPr>
              <w:pStyle w:val="TableText"/>
            </w:pPr>
            <w:r w:rsidRPr="00377F3A">
              <w:t>Callander, RD, 1986</w:t>
            </w:r>
          </w:p>
        </w:tc>
      </w:tr>
      <w:tr w:rsidR="009D6ED6" w:rsidRPr="009D6ED6" w14:paraId="06F02903"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5B62333"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7771257A"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4AB7C43D" w14:textId="77777777" w:rsidR="009D6ED6" w:rsidRPr="00377F3A" w:rsidRDefault="009D6ED6" w:rsidP="00377F3A">
            <w:pPr>
              <w:pStyle w:val="TableText"/>
            </w:pPr>
            <w:r w:rsidRPr="00377F3A">
              <w:t>Kennelly, JC, 1990</w:t>
            </w:r>
          </w:p>
        </w:tc>
      </w:tr>
      <w:tr w:rsidR="009D6ED6" w:rsidRPr="009D6ED6" w14:paraId="13262C6C"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6620B31"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3A542BFF"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4A289D45" w14:textId="77777777" w:rsidR="009D6ED6" w:rsidRPr="00377F3A" w:rsidRDefault="009D6ED6" w:rsidP="00377F3A">
            <w:pPr>
              <w:pStyle w:val="TableText"/>
            </w:pPr>
            <w:r w:rsidRPr="00377F3A">
              <w:t>Clements, J, 1995</w:t>
            </w:r>
          </w:p>
        </w:tc>
      </w:tr>
      <w:tr w:rsidR="009D6ED6" w:rsidRPr="009D6ED6" w14:paraId="6BBE7EAF"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3A82E23B" w14:textId="77777777" w:rsidR="009D6ED6" w:rsidRPr="00377F3A" w:rsidRDefault="009D6ED6" w:rsidP="00377F3A">
            <w:pPr>
              <w:pStyle w:val="TableText"/>
            </w:pPr>
            <w:r w:rsidRPr="00377F3A">
              <w:lastRenderedPageBreak/>
              <w:t>Genotoxicity</w:t>
            </w:r>
          </w:p>
        </w:tc>
        <w:tc>
          <w:tcPr>
            <w:tcW w:w="5448" w:type="dxa"/>
            <w:tcBorders>
              <w:top w:val="nil"/>
              <w:left w:val="nil"/>
              <w:bottom w:val="single" w:sz="4" w:space="0" w:color="auto"/>
              <w:right w:val="single" w:sz="4" w:space="0" w:color="auto"/>
            </w:tcBorders>
            <w:hideMark/>
          </w:tcPr>
          <w:p w14:paraId="4A2DD7B6"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5BB938A2" w14:textId="77777777" w:rsidR="009D6ED6" w:rsidRPr="00377F3A" w:rsidRDefault="009D6ED6" w:rsidP="00377F3A">
            <w:pPr>
              <w:pStyle w:val="TableText"/>
            </w:pPr>
            <w:r w:rsidRPr="00377F3A">
              <w:t>Ballymore, M, 1995</w:t>
            </w:r>
          </w:p>
        </w:tc>
      </w:tr>
      <w:tr w:rsidR="009D6ED6" w:rsidRPr="009D6ED6" w14:paraId="2ED42F81"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060EE5A1"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048C1441"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0CF1AF06" w14:textId="77777777" w:rsidR="009D6ED6" w:rsidRPr="00377F3A" w:rsidRDefault="009D6ED6" w:rsidP="00377F3A">
            <w:pPr>
              <w:pStyle w:val="TableText"/>
            </w:pPr>
            <w:r w:rsidRPr="00377F3A">
              <w:t>Ridley, S, 1995</w:t>
            </w:r>
          </w:p>
        </w:tc>
      </w:tr>
      <w:tr w:rsidR="009D6ED6" w:rsidRPr="009D6ED6" w14:paraId="5E6453E0"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1D2F35CB"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372F5CA0"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2F014296" w14:textId="77777777" w:rsidR="009D6ED6" w:rsidRPr="00377F3A" w:rsidRDefault="009D6ED6" w:rsidP="00377F3A">
            <w:pPr>
              <w:pStyle w:val="TableText"/>
            </w:pPr>
            <w:r w:rsidRPr="00377F3A">
              <w:t>Ridley, S, 1996</w:t>
            </w:r>
          </w:p>
        </w:tc>
      </w:tr>
      <w:tr w:rsidR="009D6ED6" w:rsidRPr="009D6ED6" w14:paraId="635AB68C" w14:textId="77777777" w:rsidTr="00377F3A">
        <w:trPr>
          <w:trHeight w:val="20"/>
        </w:trPr>
        <w:tc>
          <w:tcPr>
            <w:tcW w:w="2060" w:type="dxa"/>
            <w:tcBorders>
              <w:top w:val="nil"/>
              <w:left w:val="single" w:sz="4" w:space="0" w:color="auto"/>
              <w:bottom w:val="single" w:sz="4" w:space="0" w:color="auto"/>
              <w:right w:val="single" w:sz="4" w:space="0" w:color="auto"/>
            </w:tcBorders>
            <w:noWrap/>
            <w:hideMark/>
          </w:tcPr>
          <w:p w14:paraId="49F29AFB" w14:textId="77777777" w:rsidR="009D6ED6" w:rsidRPr="00377F3A" w:rsidRDefault="009D6ED6" w:rsidP="00377F3A">
            <w:pPr>
              <w:pStyle w:val="TableText"/>
            </w:pPr>
            <w:r w:rsidRPr="00377F3A">
              <w:t>Genotoxicity</w:t>
            </w:r>
          </w:p>
        </w:tc>
        <w:tc>
          <w:tcPr>
            <w:tcW w:w="5448" w:type="dxa"/>
            <w:tcBorders>
              <w:top w:val="nil"/>
              <w:left w:val="nil"/>
              <w:bottom w:val="single" w:sz="4" w:space="0" w:color="auto"/>
              <w:right w:val="single" w:sz="4" w:space="0" w:color="auto"/>
            </w:tcBorders>
            <w:hideMark/>
          </w:tcPr>
          <w:p w14:paraId="7B306A85" w14:textId="77777777" w:rsidR="009D6ED6" w:rsidRPr="00377F3A" w:rsidRDefault="009D6ED6" w:rsidP="00377F3A">
            <w:pPr>
              <w:pStyle w:val="TableText"/>
              <w:rPr>
                <w:rFonts w:asciiTheme="minorHAnsi" w:hAnsiTheme="minorHAnsi"/>
              </w:rPr>
            </w:pPr>
            <w:r w:rsidRPr="00377F3A">
              <w:rPr>
                <w:rFonts w:asciiTheme="minorHAnsi" w:hAnsiTheme="minorHAnsi"/>
              </w:rPr>
              <w:t>Not a mutagen.</w:t>
            </w:r>
          </w:p>
        </w:tc>
        <w:tc>
          <w:tcPr>
            <w:tcW w:w="2126" w:type="dxa"/>
            <w:tcBorders>
              <w:top w:val="nil"/>
              <w:left w:val="nil"/>
              <w:bottom w:val="single" w:sz="4" w:space="0" w:color="auto"/>
              <w:right w:val="single" w:sz="4" w:space="0" w:color="auto"/>
            </w:tcBorders>
            <w:noWrap/>
            <w:hideMark/>
          </w:tcPr>
          <w:p w14:paraId="0B735A45" w14:textId="77777777" w:rsidR="009D6ED6" w:rsidRPr="00377F3A" w:rsidRDefault="009D6ED6" w:rsidP="00377F3A">
            <w:pPr>
              <w:pStyle w:val="TableText"/>
            </w:pPr>
            <w:r w:rsidRPr="00377F3A">
              <w:t>Clare, C, 1996</w:t>
            </w:r>
          </w:p>
        </w:tc>
      </w:tr>
    </w:tbl>
    <w:p w14:paraId="155DD2E1" w14:textId="131CA475" w:rsidR="00F80D5B" w:rsidRDefault="00F80D5B" w:rsidP="00377F3A">
      <w:pPr>
        <w:pStyle w:val="APVMAAppendixH2"/>
      </w:pPr>
      <w:bookmarkStart w:id="2180" w:name="_Toc214025636"/>
      <w:bookmarkStart w:id="2181" w:name="_Toc216695658"/>
      <w:r>
        <w:t>Difethialone</w:t>
      </w:r>
      <w:bookmarkEnd w:id="2180"/>
      <w:bookmarkEnd w:id="2181"/>
    </w:p>
    <w:p w14:paraId="5D53EE2D" w14:textId="3EC446C1" w:rsidR="00F80D5B" w:rsidRDefault="00F80D5B" w:rsidP="00377F3A">
      <w:pPr>
        <w:pStyle w:val="Caption"/>
      </w:pPr>
      <w:bookmarkStart w:id="2182" w:name="_Toc213946126"/>
      <w:bookmarkStart w:id="2183" w:name="_Toc216695818"/>
      <w:r>
        <w:t xml:space="preserve">Table </w:t>
      </w:r>
      <w:r>
        <w:fldChar w:fldCharType="begin"/>
      </w:r>
      <w:r>
        <w:instrText xml:space="preserve"> SEQ Table \* ARABIC </w:instrText>
      </w:r>
      <w:r>
        <w:fldChar w:fldCharType="separate"/>
      </w:r>
      <w:r w:rsidR="003861AC">
        <w:rPr>
          <w:noProof/>
        </w:rPr>
        <w:t>156</w:t>
      </w:r>
      <w:r>
        <w:fldChar w:fldCharType="end"/>
      </w:r>
      <w:r>
        <w:t>: Toxicological endpoints for difethialone active constituents and formulated products</w:t>
      </w:r>
      <w:bookmarkEnd w:id="2182"/>
      <w:bookmarkEnd w:id="2183"/>
    </w:p>
    <w:tbl>
      <w:tblPr>
        <w:tblStyle w:val="TableGrid"/>
        <w:tblW w:w="5000" w:type="pct"/>
        <w:tblLook w:val="04A0" w:firstRow="1" w:lastRow="0" w:firstColumn="1" w:lastColumn="0" w:noHBand="0" w:noVBand="1"/>
      </w:tblPr>
      <w:tblGrid>
        <w:gridCol w:w="3169"/>
        <w:gridCol w:w="2672"/>
        <w:gridCol w:w="3787"/>
      </w:tblGrid>
      <w:tr w:rsidR="00F80D5B" w:rsidRPr="00F80D5B" w14:paraId="735F85B2" w14:textId="77777777" w:rsidTr="00377F3A">
        <w:trPr>
          <w:trHeight w:val="360"/>
        </w:trPr>
        <w:tc>
          <w:tcPr>
            <w:tcW w:w="1323" w:type="pct"/>
            <w:shd w:val="clear" w:color="auto" w:fill="53284F"/>
            <w:noWrap/>
          </w:tcPr>
          <w:p w14:paraId="306B5923" w14:textId="6A92FBEA" w:rsidR="00F80D5B" w:rsidRPr="00F80D5B" w:rsidRDefault="00F80D5B" w:rsidP="00377F3A">
            <w:pPr>
              <w:pStyle w:val="TableHead"/>
            </w:pPr>
            <w:r w:rsidRPr="00E078CC">
              <w:t>Study Type</w:t>
            </w:r>
          </w:p>
        </w:tc>
        <w:tc>
          <w:tcPr>
            <w:tcW w:w="1549" w:type="pct"/>
            <w:shd w:val="clear" w:color="auto" w:fill="53284F"/>
          </w:tcPr>
          <w:p w14:paraId="21475607" w14:textId="23D72E61" w:rsidR="00F80D5B" w:rsidRPr="00F80D5B" w:rsidRDefault="00F80D5B" w:rsidP="00377F3A">
            <w:pPr>
              <w:pStyle w:val="TableHead"/>
            </w:pPr>
            <w:r w:rsidRPr="00E078CC">
              <w:t>Endpoint</w:t>
            </w:r>
          </w:p>
        </w:tc>
        <w:tc>
          <w:tcPr>
            <w:tcW w:w="2128" w:type="pct"/>
            <w:shd w:val="clear" w:color="auto" w:fill="53284F"/>
            <w:noWrap/>
          </w:tcPr>
          <w:p w14:paraId="48BC1ADE" w14:textId="111B0812" w:rsidR="00F80D5B" w:rsidRPr="00F80D5B" w:rsidRDefault="00F80D5B" w:rsidP="00377F3A">
            <w:pPr>
              <w:pStyle w:val="TableHead"/>
            </w:pPr>
            <w:r w:rsidRPr="00E078CC">
              <w:t> </w:t>
            </w:r>
            <w:r>
              <w:tab/>
              <w:t>Reference</w:t>
            </w:r>
          </w:p>
        </w:tc>
      </w:tr>
      <w:tr w:rsidR="00F80D5B" w:rsidRPr="00F80D5B" w14:paraId="0435195B" w14:textId="77777777" w:rsidTr="00377F3A">
        <w:trPr>
          <w:trHeight w:val="864"/>
        </w:trPr>
        <w:tc>
          <w:tcPr>
            <w:tcW w:w="1323" w:type="pct"/>
            <w:noWrap/>
            <w:hideMark/>
          </w:tcPr>
          <w:p w14:paraId="3F126700" w14:textId="77777777" w:rsidR="00F80D5B" w:rsidRPr="00C867E4" w:rsidRDefault="00F80D5B" w:rsidP="00377F3A">
            <w:pPr>
              <w:pStyle w:val="TableText"/>
            </w:pPr>
            <w:r w:rsidRPr="00C867E4">
              <w:t>acute oral</w:t>
            </w:r>
          </w:p>
        </w:tc>
        <w:tc>
          <w:tcPr>
            <w:tcW w:w="1549" w:type="pct"/>
            <w:hideMark/>
          </w:tcPr>
          <w:p w14:paraId="40064045" w14:textId="77777777" w:rsidR="00F80D5B" w:rsidRPr="00C867E4" w:rsidRDefault="00F80D5B" w:rsidP="00377F3A">
            <w:pPr>
              <w:pStyle w:val="TableText"/>
            </w:pPr>
            <w:r w:rsidRPr="00C867E4">
              <w:t>Oral LD50 (mg/kg bw)</w:t>
            </w:r>
            <w:r w:rsidRPr="00C867E4">
              <w:br/>
              <w:t>&gt;5000 (M/F)</w:t>
            </w:r>
          </w:p>
        </w:tc>
        <w:tc>
          <w:tcPr>
            <w:tcW w:w="2128" w:type="pct"/>
            <w:noWrap/>
            <w:hideMark/>
          </w:tcPr>
          <w:p w14:paraId="4ADC65AA" w14:textId="77777777" w:rsidR="00F80D5B" w:rsidRPr="00C867E4" w:rsidRDefault="00F80D5B" w:rsidP="00377F3A">
            <w:pPr>
              <w:pStyle w:val="TableText"/>
            </w:pPr>
            <w:r w:rsidRPr="00C867E4">
              <w:t>Glaza, S M, 1993</w:t>
            </w:r>
          </w:p>
        </w:tc>
      </w:tr>
      <w:tr w:rsidR="00F80D5B" w:rsidRPr="00F80D5B" w14:paraId="481FA7D2" w14:textId="77777777" w:rsidTr="00377F3A">
        <w:trPr>
          <w:trHeight w:val="864"/>
        </w:trPr>
        <w:tc>
          <w:tcPr>
            <w:tcW w:w="1323" w:type="pct"/>
            <w:noWrap/>
            <w:hideMark/>
          </w:tcPr>
          <w:p w14:paraId="041A6F6F" w14:textId="77777777" w:rsidR="00F80D5B" w:rsidRPr="00C867E4" w:rsidRDefault="00F80D5B" w:rsidP="00377F3A">
            <w:pPr>
              <w:pStyle w:val="TableText"/>
            </w:pPr>
            <w:r w:rsidRPr="00C867E4">
              <w:t>Acute Dermal Studies, Product</w:t>
            </w:r>
          </w:p>
        </w:tc>
        <w:tc>
          <w:tcPr>
            <w:tcW w:w="1549" w:type="pct"/>
            <w:hideMark/>
          </w:tcPr>
          <w:p w14:paraId="0531B1B8" w14:textId="77777777" w:rsidR="00F80D5B" w:rsidRPr="006F78D3" w:rsidRDefault="00F80D5B" w:rsidP="00377F3A">
            <w:pPr>
              <w:pStyle w:val="TableText"/>
              <w:rPr>
                <w:lang w:val="de-CH"/>
              </w:rPr>
            </w:pPr>
            <w:r w:rsidRPr="006F78D3">
              <w:rPr>
                <w:lang w:val="de-CH"/>
              </w:rPr>
              <w:t>Dermal LD50 (mg/kg bw)</w:t>
            </w:r>
            <w:r w:rsidRPr="006F78D3">
              <w:rPr>
                <w:lang w:val="de-CH"/>
              </w:rPr>
              <w:br/>
              <w:t>&gt;2000 (M/F)</w:t>
            </w:r>
          </w:p>
        </w:tc>
        <w:tc>
          <w:tcPr>
            <w:tcW w:w="2128" w:type="pct"/>
            <w:noWrap/>
            <w:hideMark/>
          </w:tcPr>
          <w:p w14:paraId="5E7BA2C1" w14:textId="77777777" w:rsidR="00F80D5B" w:rsidRPr="00C867E4" w:rsidRDefault="00F80D5B" w:rsidP="00377F3A">
            <w:pPr>
              <w:pStyle w:val="TableText"/>
            </w:pPr>
            <w:r w:rsidRPr="00C867E4">
              <w:t>Glaza, S M, 1993</w:t>
            </w:r>
          </w:p>
        </w:tc>
      </w:tr>
      <w:tr w:rsidR="00F80D5B" w:rsidRPr="00F80D5B" w14:paraId="4BF97226" w14:textId="77777777" w:rsidTr="00377F3A">
        <w:trPr>
          <w:trHeight w:val="576"/>
        </w:trPr>
        <w:tc>
          <w:tcPr>
            <w:tcW w:w="1323" w:type="pct"/>
            <w:noWrap/>
            <w:hideMark/>
          </w:tcPr>
          <w:p w14:paraId="0175F7BD" w14:textId="77777777" w:rsidR="00F80D5B" w:rsidRPr="00C867E4" w:rsidRDefault="00F80D5B" w:rsidP="00377F3A">
            <w:pPr>
              <w:pStyle w:val="TableText"/>
            </w:pPr>
            <w:r w:rsidRPr="00C867E4">
              <w:t>eye irritation</w:t>
            </w:r>
          </w:p>
        </w:tc>
        <w:tc>
          <w:tcPr>
            <w:tcW w:w="1549" w:type="pct"/>
            <w:hideMark/>
          </w:tcPr>
          <w:p w14:paraId="25ADB5F9" w14:textId="77777777" w:rsidR="00F80D5B" w:rsidRPr="00C867E4" w:rsidRDefault="00F80D5B" w:rsidP="00377F3A">
            <w:pPr>
              <w:pStyle w:val="TableText"/>
            </w:pPr>
            <w:r w:rsidRPr="00C867E4">
              <w:t>Classified as a slight eye irritant.</w:t>
            </w:r>
          </w:p>
        </w:tc>
        <w:tc>
          <w:tcPr>
            <w:tcW w:w="2128" w:type="pct"/>
            <w:noWrap/>
            <w:hideMark/>
          </w:tcPr>
          <w:p w14:paraId="142AE0A9" w14:textId="77777777" w:rsidR="00F80D5B" w:rsidRPr="00C867E4" w:rsidRDefault="00F80D5B" w:rsidP="00377F3A">
            <w:pPr>
              <w:pStyle w:val="TableText"/>
            </w:pPr>
            <w:r w:rsidRPr="00C867E4">
              <w:t>Glaza, S M, 1993</w:t>
            </w:r>
          </w:p>
        </w:tc>
      </w:tr>
      <w:tr w:rsidR="00F80D5B" w:rsidRPr="00F80D5B" w14:paraId="4F66D5BC" w14:textId="77777777" w:rsidTr="00377F3A">
        <w:trPr>
          <w:trHeight w:val="576"/>
        </w:trPr>
        <w:tc>
          <w:tcPr>
            <w:tcW w:w="1323" w:type="pct"/>
            <w:noWrap/>
            <w:hideMark/>
          </w:tcPr>
          <w:p w14:paraId="3B9CE738" w14:textId="77777777" w:rsidR="00F80D5B" w:rsidRPr="00C867E4" w:rsidRDefault="00F80D5B" w:rsidP="00377F3A">
            <w:pPr>
              <w:pStyle w:val="TableText"/>
            </w:pPr>
            <w:r w:rsidRPr="00C867E4">
              <w:t>skin irritation</w:t>
            </w:r>
          </w:p>
        </w:tc>
        <w:tc>
          <w:tcPr>
            <w:tcW w:w="1549" w:type="pct"/>
            <w:hideMark/>
          </w:tcPr>
          <w:p w14:paraId="0D5F358D" w14:textId="77777777" w:rsidR="00F80D5B" w:rsidRPr="00C867E4" w:rsidRDefault="00F80D5B" w:rsidP="00377F3A">
            <w:pPr>
              <w:pStyle w:val="TableText"/>
            </w:pPr>
            <w:r w:rsidRPr="00C867E4">
              <w:t>Was not a skin irritant in rabbits</w:t>
            </w:r>
          </w:p>
        </w:tc>
        <w:tc>
          <w:tcPr>
            <w:tcW w:w="2128" w:type="pct"/>
            <w:noWrap/>
            <w:hideMark/>
          </w:tcPr>
          <w:p w14:paraId="18960C69" w14:textId="77777777" w:rsidR="00F80D5B" w:rsidRPr="00C867E4" w:rsidRDefault="00F80D5B" w:rsidP="00377F3A">
            <w:pPr>
              <w:pStyle w:val="TableText"/>
            </w:pPr>
            <w:r w:rsidRPr="00C867E4">
              <w:t>Glaza, S M, 1993</w:t>
            </w:r>
          </w:p>
        </w:tc>
      </w:tr>
      <w:tr w:rsidR="00F80D5B" w:rsidRPr="00F80D5B" w14:paraId="795F1751" w14:textId="77777777" w:rsidTr="00377F3A">
        <w:trPr>
          <w:trHeight w:val="1440"/>
        </w:trPr>
        <w:tc>
          <w:tcPr>
            <w:tcW w:w="1323" w:type="pct"/>
            <w:noWrap/>
            <w:hideMark/>
          </w:tcPr>
          <w:p w14:paraId="372272FA" w14:textId="77777777" w:rsidR="00F80D5B" w:rsidRPr="00C867E4" w:rsidRDefault="00F80D5B" w:rsidP="00377F3A">
            <w:pPr>
              <w:pStyle w:val="TableText"/>
            </w:pPr>
            <w:r w:rsidRPr="00C867E4">
              <w:t>skin irritation</w:t>
            </w:r>
          </w:p>
        </w:tc>
        <w:tc>
          <w:tcPr>
            <w:tcW w:w="1549" w:type="pct"/>
            <w:hideMark/>
          </w:tcPr>
          <w:p w14:paraId="3FA1A6F4" w14:textId="77777777" w:rsidR="00F80D5B" w:rsidRPr="00C867E4" w:rsidRDefault="00F80D5B" w:rsidP="00377F3A">
            <w:pPr>
              <w:pStyle w:val="TableText"/>
            </w:pPr>
            <w:r w:rsidRPr="00C867E4">
              <w:t>Based on the findings test substance was not a skin sensitiser in guinea pigs when treated by the closed patch technique. </w:t>
            </w:r>
          </w:p>
        </w:tc>
        <w:tc>
          <w:tcPr>
            <w:tcW w:w="2128" w:type="pct"/>
            <w:noWrap/>
            <w:hideMark/>
          </w:tcPr>
          <w:p w14:paraId="378EB914" w14:textId="77777777" w:rsidR="00F80D5B" w:rsidRPr="00C867E4" w:rsidRDefault="00F80D5B" w:rsidP="00377F3A">
            <w:pPr>
              <w:pStyle w:val="TableText"/>
            </w:pPr>
            <w:r w:rsidRPr="00C867E4">
              <w:t>Glaza, S M, 1993</w:t>
            </w:r>
          </w:p>
        </w:tc>
      </w:tr>
      <w:tr w:rsidR="00F80D5B" w:rsidRPr="00F80D5B" w14:paraId="6C099404" w14:textId="77777777" w:rsidTr="00377F3A">
        <w:trPr>
          <w:trHeight w:val="1152"/>
        </w:trPr>
        <w:tc>
          <w:tcPr>
            <w:tcW w:w="1323" w:type="pct"/>
            <w:noWrap/>
            <w:hideMark/>
          </w:tcPr>
          <w:p w14:paraId="500E8393" w14:textId="77777777" w:rsidR="00F80D5B" w:rsidRPr="00C867E4" w:rsidRDefault="00F80D5B" w:rsidP="00377F3A">
            <w:pPr>
              <w:pStyle w:val="TableText"/>
            </w:pPr>
            <w:r w:rsidRPr="00C867E4">
              <w:t>acute oral, product</w:t>
            </w:r>
          </w:p>
        </w:tc>
        <w:tc>
          <w:tcPr>
            <w:tcW w:w="1549" w:type="pct"/>
            <w:hideMark/>
          </w:tcPr>
          <w:p w14:paraId="57DA6FB3" w14:textId="77777777" w:rsidR="00F80D5B" w:rsidRPr="00C867E4" w:rsidRDefault="00F80D5B" w:rsidP="00377F3A">
            <w:pPr>
              <w:pStyle w:val="TableText"/>
            </w:pPr>
            <w:r w:rsidRPr="00C867E4">
              <w:t>Oral LD50 (mg/kg bw)</w:t>
            </w:r>
            <w:r w:rsidRPr="00C867E4">
              <w:br/>
              <w:t>&gt;5000 (M/F)</w:t>
            </w:r>
            <w:r w:rsidRPr="00C867E4">
              <w:br/>
              <w:t>&amp; Dermal LD50 (mg/kg bw)</w:t>
            </w:r>
            <w:r w:rsidRPr="00C867E4">
              <w:br/>
              <w:t>&gt;2000 (M/F)</w:t>
            </w:r>
          </w:p>
        </w:tc>
        <w:tc>
          <w:tcPr>
            <w:tcW w:w="2128" w:type="pct"/>
            <w:noWrap/>
            <w:hideMark/>
          </w:tcPr>
          <w:p w14:paraId="71FC02F0" w14:textId="77777777" w:rsidR="00F80D5B" w:rsidRPr="00C867E4" w:rsidRDefault="00F80D5B" w:rsidP="00377F3A">
            <w:pPr>
              <w:pStyle w:val="TableText"/>
            </w:pPr>
            <w:r w:rsidRPr="00C867E4">
              <w:t>Rutkowski, J V. , 1987</w:t>
            </w:r>
          </w:p>
        </w:tc>
      </w:tr>
      <w:tr w:rsidR="00F80D5B" w:rsidRPr="00F80D5B" w14:paraId="44664EC9" w14:textId="77777777" w:rsidTr="00377F3A">
        <w:trPr>
          <w:trHeight w:val="288"/>
        </w:trPr>
        <w:tc>
          <w:tcPr>
            <w:tcW w:w="1323" w:type="pct"/>
            <w:noWrap/>
            <w:hideMark/>
          </w:tcPr>
          <w:p w14:paraId="46804DC5" w14:textId="77777777" w:rsidR="00F80D5B" w:rsidRPr="00C867E4" w:rsidRDefault="00F80D5B" w:rsidP="00377F3A">
            <w:pPr>
              <w:pStyle w:val="TableText"/>
            </w:pPr>
            <w:r w:rsidRPr="00C867E4">
              <w:t>Acute Dermal Studies, Product</w:t>
            </w:r>
          </w:p>
        </w:tc>
        <w:tc>
          <w:tcPr>
            <w:tcW w:w="1549" w:type="pct"/>
            <w:hideMark/>
          </w:tcPr>
          <w:p w14:paraId="43346332" w14:textId="77777777" w:rsidR="00F80D5B" w:rsidRPr="00C867E4" w:rsidRDefault="00F80D5B" w:rsidP="00377F3A">
            <w:pPr>
              <w:pStyle w:val="TableText"/>
            </w:pPr>
            <w:r w:rsidRPr="00C867E4">
              <w:t>LD50 was &gt;2000 mg/kg</w:t>
            </w:r>
          </w:p>
        </w:tc>
        <w:tc>
          <w:tcPr>
            <w:tcW w:w="2128" w:type="pct"/>
            <w:noWrap/>
            <w:hideMark/>
          </w:tcPr>
          <w:p w14:paraId="4BCE4CD4" w14:textId="77777777" w:rsidR="00F80D5B" w:rsidRPr="00C867E4" w:rsidRDefault="00F80D5B" w:rsidP="00377F3A">
            <w:pPr>
              <w:pStyle w:val="TableText"/>
            </w:pPr>
            <w:r w:rsidRPr="00C867E4">
              <w:t>Glaza, S M, 1997</w:t>
            </w:r>
          </w:p>
        </w:tc>
      </w:tr>
      <w:tr w:rsidR="00F80D5B" w:rsidRPr="00F80D5B" w14:paraId="4D7840A5" w14:textId="77777777" w:rsidTr="00377F3A">
        <w:trPr>
          <w:trHeight w:val="288"/>
        </w:trPr>
        <w:tc>
          <w:tcPr>
            <w:tcW w:w="1323" w:type="pct"/>
            <w:noWrap/>
            <w:hideMark/>
          </w:tcPr>
          <w:p w14:paraId="23E952D5" w14:textId="77777777" w:rsidR="00F80D5B" w:rsidRPr="00C867E4" w:rsidRDefault="00F80D5B" w:rsidP="00377F3A">
            <w:pPr>
              <w:pStyle w:val="TableText"/>
            </w:pPr>
            <w:r w:rsidRPr="00C867E4">
              <w:t>Acute Eye Irritation Studies, Product</w:t>
            </w:r>
          </w:p>
        </w:tc>
        <w:tc>
          <w:tcPr>
            <w:tcW w:w="1549" w:type="pct"/>
            <w:hideMark/>
          </w:tcPr>
          <w:p w14:paraId="491B78BD" w14:textId="77777777" w:rsidR="00F80D5B" w:rsidRPr="00C867E4" w:rsidRDefault="00F80D5B" w:rsidP="00377F3A">
            <w:pPr>
              <w:pStyle w:val="TableText"/>
            </w:pPr>
            <w:r w:rsidRPr="00C867E4">
              <w:t xml:space="preserve">Slight eye irritant </w:t>
            </w:r>
          </w:p>
        </w:tc>
        <w:tc>
          <w:tcPr>
            <w:tcW w:w="2128" w:type="pct"/>
            <w:noWrap/>
            <w:hideMark/>
          </w:tcPr>
          <w:p w14:paraId="3DF3CFD0" w14:textId="77777777" w:rsidR="00F80D5B" w:rsidRPr="00C867E4" w:rsidRDefault="00F80D5B" w:rsidP="00377F3A">
            <w:pPr>
              <w:pStyle w:val="TableText"/>
            </w:pPr>
            <w:r w:rsidRPr="00C867E4">
              <w:t>Myers, R C &amp; Christopher, S M, 1992</w:t>
            </w:r>
          </w:p>
        </w:tc>
      </w:tr>
      <w:tr w:rsidR="00F80D5B" w:rsidRPr="00F80D5B" w14:paraId="7FA85660" w14:textId="77777777" w:rsidTr="00377F3A">
        <w:trPr>
          <w:trHeight w:val="288"/>
        </w:trPr>
        <w:tc>
          <w:tcPr>
            <w:tcW w:w="1323" w:type="pct"/>
            <w:noWrap/>
            <w:hideMark/>
          </w:tcPr>
          <w:p w14:paraId="1954CADE" w14:textId="77777777" w:rsidR="00F80D5B" w:rsidRPr="00C867E4" w:rsidRDefault="00F80D5B" w:rsidP="00377F3A">
            <w:pPr>
              <w:pStyle w:val="TableText"/>
            </w:pPr>
            <w:r w:rsidRPr="00C867E4">
              <w:t>skin irritation</w:t>
            </w:r>
          </w:p>
        </w:tc>
        <w:tc>
          <w:tcPr>
            <w:tcW w:w="1549" w:type="pct"/>
            <w:hideMark/>
          </w:tcPr>
          <w:p w14:paraId="64F760B7" w14:textId="77777777" w:rsidR="00F80D5B" w:rsidRPr="00C867E4" w:rsidRDefault="00F80D5B" w:rsidP="00377F3A">
            <w:pPr>
              <w:pStyle w:val="TableText"/>
            </w:pPr>
            <w:r w:rsidRPr="00C867E4">
              <w:t xml:space="preserve">Slight skin irritant </w:t>
            </w:r>
          </w:p>
        </w:tc>
        <w:tc>
          <w:tcPr>
            <w:tcW w:w="2128" w:type="pct"/>
            <w:noWrap/>
            <w:hideMark/>
          </w:tcPr>
          <w:p w14:paraId="014643EC" w14:textId="77777777" w:rsidR="00F80D5B" w:rsidRPr="00C867E4" w:rsidRDefault="00F80D5B" w:rsidP="00377F3A">
            <w:pPr>
              <w:pStyle w:val="TableText"/>
            </w:pPr>
            <w:r w:rsidRPr="00C867E4">
              <w:t>Glaza, S M, 1997</w:t>
            </w:r>
          </w:p>
        </w:tc>
      </w:tr>
      <w:tr w:rsidR="00F80D5B" w:rsidRPr="00F80D5B" w14:paraId="795575FE" w14:textId="77777777" w:rsidTr="00377F3A">
        <w:trPr>
          <w:trHeight w:val="576"/>
        </w:trPr>
        <w:tc>
          <w:tcPr>
            <w:tcW w:w="1323" w:type="pct"/>
            <w:noWrap/>
            <w:hideMark/>
          </w:tcPr>
          <w:p w14:paraId="78069011" w14:textId="77777777" w:rsidR="00F80D5B" w:rsidRPr="00C867E4" w:rsidRDefault="00F80D5B" w:rsidP="00377F3A">
            <w:pPr>
              <w:pStyle w:val="TableText"/>
            </w:pPr>
            <w:r w:rsidRPr="00C867E4">
              <w:t>oral developmental toxicity</w:t>
            </w:r>
          </w:p>
        </w:tc>
        <w:tc>
          <w:tcPr>
            <w:tcW w:w="1549" w:type="pct"/>
            <w:hideMark/>
          </w:tcPr>
          <w:p w14:paraId="2ED1D6D6" w14:textId="77777777" w:rsidR="00F80D5B" w:rsidRPr="00C867E4" w:rsidRDefault="00F80D5B" w:rsidP="00377F3A">
            <w:pPr>
              <w:pStyle w:val="TableText"/>
            </w:pPr>
            <w:r w:rsidRPr="00C867E4">
              <w:t>NOEL 0.00125 mg/kg bw/day</w:t>
            </w:r>
          </w:p>
        </w:tc>
        <w:tc>
          <w:tcPr>
            <w:tcW w:w="2128" w:type="pct"/>
            <w:noWrap/>
            <w:hideMark/>
          </w:tcPr>
          <w:p w14:paraId="432B908E" w14:textId="77777777" w:rsidR="00F80D5B" w:rsidRPr="00C867E4" w:rsidRDefault="00F80D5B" w:rsidP="00377F3A">
            <w:pPr>
              <w:pStyle w:val="TableText"/>
            </w:pPr>
            <w:r w:rsidRPr="00C867E4">
              <w:t>Briffaux JP, 1986</w:t>
            </w:r>
          </w:p>
        </w:tc>
      </w:tr>
    </w:tbl>
    <w:p w14:paraId="1A62955F" w14:textId="77777777" w:rsidR="00F80D5B" w:rsidRPr="00A12A97" w:rsidRDefault="00F80D5B" w:rsidP="00A12A97"/>
    <w:p w14:paraId="68D76B29" w14:textId="0837E79D" w:rsidR="00A3791C" w:rsidRDefault="00A3791C" w:rsidP="00377F3A">
      <w:pPr>
        <w:pStyle w:val="APVMAAppendixH2"/>
      </w:pPr>
      <w:bookmarkStart w:id="2184" w:name="_Toc214025637"/>
      <w:bookmarkStart w:id="2185" w:name="_Toc216695659"/>
      <w:r>
        <w:lastRenderedPageBreak/>
        <w:t>Flocoumafen</w:t>
      </w:r>
      <w:bookmarkEnd w:id="2184"/>
      <w:bookmarkEnd w:id="2185"/>
    </w:p>
    <w:p w14:paraId="09672762" w14:textId="51C8C317" w:rsidR="00A12A97" w:rsidRDefault="00A3791C" w:rsidP="00377F3A">
      <w:pPr>
        <w:pStyle w:val="Caption"/>
        <w:rPr>
          <w:rFonts w:cs="Arial"/>
          <w:szCs w:val="26"/>
          <w:u w:color="000000"/>
        </w:rPr>
      </w:pPr>
      <w:bookmarkStart w:id="2186" w:name="_Toc213946127"/>
      <w:bookmarkStart w:id="2187" w:name="_Toc216695819"/>
      <w:r>
        <w:t xml:space="preserve">Table </w:t>
      </w:r>
      <w:r>
        <w:fldChar w:fldCharType="begin"/>
      </w:r>
      <w:r>
        <w:instrText xml:space="preserve"> SEQ Table \* ARABIC </w:instrText>
      </w:r>
      <w:r>
        <w:fldChar w:fldCharType="separate"/>
      </w:r>
      <w:r w:rsidR="003861AC">
        <w:rPr>
          <w:noProof/>
        </w:rPr>
        <w:t>157</w:t>
      </w:r>
      <w:r>
        <w:fldChar w:fldCharType="end"/>
      </w:r>
      <w:r>
        <w:t>: Toxicological endpoints for flocoumafen active constituents and formulated products</w:t>
      </w:r>
      <w:bookmarkEnd w:id="2186"/>
      <w:bookmarkEnd w:id="2187"/>
    </w:p>
    <w:tbl>
      <w:tblPr>
        <w:tblW w:w="9350" w:type="dxa"/>
        <w:tblLook w:val="04A0" w:firstRow="1" w:lastRow="0" w:firstColumn="1" w:lastColumn="0" w:noHBand="0" w:noVBand="1"/>
      </w:tblPr>
      <w:tblGrid>
        <w:gridCol w:w="3555"/>
        <w:gridCol w:w="2008"/>
        <w:gridCol w:w="3982"/>
      </w:tblGrid>
      <w:tr w:rsidR="00C867E4" w:rsidRPr="00C867E4" w14:paraId="5C51BE83" w14:textId="77777777" w:rsidTr="00377F3A">
        <w:trPr>
          <w:trHeight w:val="288"/>
        </w:trPr>
        <w:tc>
          <w:tcPr>
            <w:tcW w:w="3555" w:type="dxa"/>
            <w:tcBorders>
              <w:top w:val="single" w:sz="4" w:space="0" w:color="auto"/>
              <w:left w:val="single" w:sz="4" w:space="0" w:color="auto"/>
              <w:bottom w:val="nil"/>
              <w:right w:val="single" w:sz="4" w:space="0" w:color="auto"/>
            </w:tcBorders>
            <w:shd w:val="clear" w:color="auto" w:fill="53284F"/>
            <w:hideMark/>
          </w:tcPr>
          <w:p w14:paraId="073F28BD" w14:textId="77777777" w:rsidR="00C867E4" w:rsidRPr="00377F3A" w:rsidRDefault="00C867E4" w:rsidP="00377F3A">
            <w:pPr>
              <w:pStyle w:val="TableHead"/>
            </w:pPr>
            <w:r w:rsidRPr="00377F3A">
              <w:t>Study type</w:t>
            </w:r>
          </w:p>
        </w:tc>
        <w:tc>
          <w:tcPr>
            <w:tcW w:w="1813" w:type="dxa"/>
            <w:tcBorders>
              <w:top w:val="single" w:sz="4" w:space="0" w:color="auto"/>
              <w:left w:val="nil"/>
              <w:bottom w:val="single" w:sz="4" w:space="0" w:color="auto"/>
              <w:right w:val="single" w:sz="4" w:space="0" w:color="auto"/>
            </w:tcBorders>
            <w:shd w:val="clear" w:color="auto" w:fill="53284F"/>
            <w:hideMark/>
          </w:tcPr>
          <w:p w14:paraId="1D0A9016" w14:textId="77777777" w:rsidR="00C867E4" w:rsidRPr="00377F3A" w:rsidRDefault="00C867E4" w:rsidP="00377F3A">
            <w:pPr>
              <w:pStyle w:val="TableHead"/>
            </w:pPr>
            <w:r w:rsidRPr="00377F3A">
              <w:t>Endpoint</w:t>
            </w:r>
          </w:p>
        </w:tc>
        <w:tc>
          <w:tcPr>
            <w:tcW w:w="3982" w:type="dxa"/>
            <w:tcBorders>
              <w:top w:val="single" w:sz="4" w:space="0" w:color="auto"/>
              <w:left w:val="nil"/>
              <w:bottom w:val="nil"/>
              <w:right w:val="single" w:sz="4" w:space="0" w:color="auto"/>
            </w:tcBorders>
            <w:shd w:val="clear" w:color="auto" w:fill="53284F"/>
            <w:hideMark/>
          </w:tcPr>
          <w:p w14:paraId="39466306" w14:textId="77777777" w:rsidR="00C867E4" w:rsidRPr="00377F3A" w:rsidRDefault="00C867E4" w:rsidP="00377F3A">
            <w:pPr>
              <w:pStyle w:val="TableHead"/>
            </w:pPr>
            <w:r w:rsidRPr="00377F3A">
              <w:t>Reference</w:t>
            </w:r>
          </w:p>
        </w:tc>
      </w:tr>
      <w:tr w:rsidR="00C867E4" w:rsidRPr="00C867E4" w14:paraId="51A1DDAE" w14:textId="77777777" w:rsidTr="00377F3A">
        <w:trPr>
          <w:trHeight w:val="288"/>
        </w:trPr>
        <w:tc>
          <w:tcPr>
            <w:tcW w:w="3555" w:type="dxa"/>
            <w:tcBorders>
              <w:top w:val="single" w:sz="4" w:space="0" w:color="auto"/>
              <w:left w:val="single" w:sz="4" w:space="0" w:color="auto"/>
              <w:bottom w:val="single" w:sz="4" w:space="0" w:color="auto"/>
              <w:right w:val="single" w:sz="4" w:space="0" w:color="auto"/>
            </w:tcBorders>
            <w:noWrap/>
            <w:hideMark/>
          </w:tcPr>
          <w:p w14:paraId="47067F8E" w14:textId="0DA76E17" w:rsidR="00C867E4" w:rsidRPr="00377F3A" w:rsidRDefault="00C867E4" w:rsidP="00377F3A">
            <w:pPr>
              <w:pStyle w:val="TableText"/>
              <w:rPr>
                <w:rFonts w:asciiTheme="minorHAnsi" w:hAnsiTheme="minorHAnsi"/>
              </w:rPr>
            </w:pPr>
            <w:r w:rsidRPr="00377F3A">
              <w:rPr>
                <w:rFonts w:asciiTheme="minorHAnsi" w:hAnsiTheme="minorHAnsi"/>
              </w:rPr>
              <w:t>Animal Commodity Residue Direct Application</w:t>
            </w:r>
          </w:p>
        </w:tc>
        <w:tc>
          <w:tcPr>
            <w:tcW w:w="1813" w:type="dxa"/>
            <w:tcBorders>
              <w:top w:val="nil"/>
              <w:left w:val="nil"/>
              <w:bottom w:val="single" w:sz="4" w:space="0" w:color="auto"/>
              <w:right w:val="single" w:sz="4" w:space="0" w:color="auto"/>
            </w:tcBorders>
            <w:noWrap/>
            <w:hideMark/>
          </w:tcPr>
          <w:p w14:paraId="5F584DDD" w14:textId="77777777" w:rsidR="00C867E4" w:rsidRPr="00377F3A" w:rsidRDefault="00C867E4" w:rsidP="00377F3A">
            <w:pPr>
              <w:pStyle w:val="TableText"/>
              <w:rPr>
                <w:rFonts w:asciiTheme="minorHAnsi" w:hAnsiTheme="minorHAnsi"/>
              </w:rPr>
            </w:pPr>
            <w:r w:rsidRPr="00377F3A">
              <w:rPr>
                <w:rFonts w:asciiTheme="minorHAnsi" w:hAnsiTheme="minorHAnsi"/>
              </w:rPr>
              <w:t>Not applicable </w:t>
            </w:r>
          </w:p>
        </w:tc>
        <w:tc>
          <w:tcPr>
            <w:tcW w:w="3982" w:type="dxa"/>
            <w:tcBorders>
              <w:top w:val="single" w:sz="4" w:space="0" w:color="auto"/>
              <w:left w:val="nil"/>
              <w:bottom w:val="single" w:sz="4" w:space="0" w:color="auto"/>
              <w:right w:val="single" w:sz="4" w:space="0" w:color="auto"/>
            </w:tcBorders>
            <w:noWrap/>
            <w:hideMark/>
          </w:tcPr>
          <w:p w14:paraId="59B00AF9" w14:textId="77777777" w:rsidR="00C867E4" w:rsidRPr="00377F3A" w:rsidRDefault="00C867E4" w:rsidP="00377F3A">
            <w:pPr>
              <w:pStyle w:val="TableText"/>
              <w:rPr>
                <w:rFonts w:asciiTheme="minorHAnsi" w:hAnsiTheme="minorHAnsi"/>
              </w:rPr>
            </w:pPr>
            <w:r w:rsidRPr="00377F3A">
              <w:rPr>
                <w:rFonts w:asciiTheme="minorHAnsi" w:hAnsiTheme="minorHAnsi"/>
              </w:rPr>
              <w:t>Huckle, K.R. , 1988</w:t>
            </w:r>
          </w:p>
        </w:tc>
      </w:tr>
      <w:tr w:rsidR="00C867E4" w:rsidRPr="00C867E4" w14:paraId="2FE1DA5A" w14:textId="77777777" w:rsidTr="00377F3A">
        <w:trPr>
          <w:trHeight w:val="288"/>
        </w:trPr>
        <w:tc>
          <w:tcPr>
            <w:tcW w:w="3555" w:type="dxa"/>
            <w:tcBorders>
              <w:top w:val="nil"/>
              <w:left w:val="single" w:sz="4" w:space="0" w:color="auto"/>
              <w:bottom w:val="single" w:sz="4" w:space="0" w:color="auto"/>
              <w:right w:val="single" w:sz="4" w:space="0" w:color="auto"/>
            </w:tcBorders>
            <w:noWrap/>
            <w:hideMark/>
          </w:tcPr>
          <w:p w14:paraId="49C23347" w14:textId="6B372BF0" w:rsidR="00C867E4" w:rsidRPr="00377F3A" w:rsidRDefault="00C867E4" w:rsidP="00377F3A">
            <w:pPr>
              <w:pStyle w:val="TableText"/>
              <w:rPr>
                <w:rFonts w:asciiTheme="minorHAnsi" w:hAnsiTheme="minorHAnsi"/>
              </w:rPr>
            </w:pPr>
            <w:r w:rsidRPr="00377F3A">
              <w:rPr>
                <w:rFonts w:asciiTheme="minorHAnsi" w:hAnsiTheme="minorHAnsi"/>
              </w:rPr>
              <w:t>Animal Commodity Residue Direct Application</w:t>
            </w:r>
          </w:p>
        </w:tc>
        <w:tc>
          <w:tcPr>
            <w:tcW w:w="1813" w:type="dxa"/>
            <w:tcBorders>
              <w:top w:val="nil"/>
              <w:left w:val="nil"/>
              <w:bottom w:val="single" w:sz="4" w:space="0" w:color="auto"/>
              <w:right w:val="single" w:sz="4" w:space="0" w:color="auto"/>
            </w:tcBorders>
            <w:noWrap/>
            <w:hideMark/>
          </w:tcPr>
          <w:p w14:paraId="3A36072E" w14:textId="77777777" w:rsidR="00C867E4" w:rsidRPr="00377F3A" w:rsidRDefault="00C867E4" w:rsidP="00377F3A">
            <w:pPr>
              <w:pStyle w:val="TableText"/>
              <w:rPr>
                <w:rFonts w:asciiTheme="minorHAnsi" w:hAnsiTheme="minorHAnsi"/>
              </w:rPr>
            </w:pPr>
            <w:r w:rsidRPr="00377F3A">
              <w:rPr>
                <w:rFonts w:asciiTheme="minorHAnsi" w:hAnsiTheme="minorHAnsi"/>
              </w:rPr>
              <w:t>Not applicable </w:t>
            </w:r>
          </w:p>
        </w:tc>
        <w:tc>
          <w:tcPr>
            <w:tcW w:w="3982" w:type="dxa"/>
            <w:tcBorders>
              <w:top w:val="nil"/>
              <w:left w:val="nil"/>
              <w:bottom w:val="single" w:sz="4" w:space="0" w:color="auto"/>
              <w:right w:val="single" w:sz="4" w:space="0" w:color="auto"/>
            </w:tcBorders>
            <w:noWrap/>
            <w:hideMark/>
          </w:tcPr>
          <w:p w14:paraId="45BE4820" w14:textId="77777777" w:rsidR="00C867E4" w:rsidRPr="00377F3A" w:rsidRDefault="00C867E4" w:rsidP="00377F3A">
            <w:pPr>
              <w:pStyle w:val="TableText"/>
              <w:rPr>
                <w:rFonts w:asciiTheme="minorHAnsi" w:hAnsiTheme="minorHAnsi"/>
              </w:rPr>
            </w:pPr>
            <w:r w:rsidRPr="00377F3A">
              <w:rPr>
                <w:rFonts w:asciiTheme="minorHAnsi" w:hAnsiTheme="minorHAnsi"/>
              </w:rPr>
              <w:t>Eadsforth CV, Gray A, Huckle KR, Inglesfield C , 1993</w:t>
            </w:r>
          </w:p>
        </w:tc>
      </w:tr>
      <w:tr w:rsidR="00C867E4" w:rsidRPr="00C867E4" w14:paraId="17C8A152" w14:textId="77777777" w:rsidTr="00377F3A">
        <w:trPr>
          <w:trHeight w:val="576"/>
        </w:trPr>
        <w:tc>
          <w:tcPr>
            <w:tcW w:w="3555" w:type="dxa"/>
            <w:tcBorders>
              <w:top w:val="nil"/>
              <w:left w:val="single" w:sz="4" w:space="0" w:color="auto"/>
              <w:bottom w:val="single" w:sz="4" w:space="0" w:color="auto"/>
              <w:right w:val="single" w:sz="4" w:space="0" w:color="auto"/>
            </w:tcBorders>
            <w:noWrap/>
            <w:hideMark/>
          </w:tcPr>
          <w:p w14:paraId="068289A9" w14:textId="77777777" w:rsidR="00C867E4" w:rsidRPr="00377F3A" w:rsidRDefault="00C867E4" w:rsidP="00377F3A">
            <w:pPr>
              <w:pStyle w:val="TableText"/>
              <w:rPr>
                <w:rFonts w:asciiTheme="minorHAnsi" w:hAnsiTheme="minorHAnsi"/>
              </w:rPr>
            </w:pPr>
            <w:r w:rsidRPr="00377F3A">
              <w:rPr>
                <w:rFonts w:asciiTheme="minorHAnsi" w:hAnsiTheme="minorHAnsi"/>
              </w:rPr>
              <w:t>Sub-chronic Studies</w:t>
            </w:r>
          </w:p>
        </w:tc>
        <w:tc>
          <w:tcPr>
            <w:tcW w:w="1813" w:type="dxa"/>
            <w:tcBorders>
              <w:top w:val="nil"/>
              <w:left w:val="nil"/>
              <w:bottom w:val="single" w:sz="4" w:space="0" w:color="auto"/>
              <w:right w:val="single" w:sz="4" w:space="0" w:color="auto"/>
            </w:tcBorders>
            <w:hideMark/>
          </w:tcPr>
          <w:p w14:paraId="58E7DF80" w14:textId="77777777" w:rsidR="00C867E4" w:rsidRPr="00377F3A" w:rsidRDefault="00C867E4" w:rsidP="00377F3A">
            <w:pPr>
              <w:pStyle w:val="TableText"/>
              <w:rPr>
                <w:rFonts w:asciiTheme="minorHAnsi" w:hAnsiTheme="minorHAnsi"/>
              </w:rPr>
            </w:pPr>
            <w:r w:rsidRPr="00377F3A">
              <w:rPr>
                <w:rFonts w:asciiTheme="minorHAnsi" w:hAnsiTheme="minorHAnsi"/>
              </w:rPr>
              <w:t>A NOEL was established at 0.02 ppm (0.0014 mg/kg bw/day).</w:t>
            </w:r>
          </w:p>
        </w:tc>
        <w:tc>
          <w:tcPr>
            <w:tcW w:w="3982" w:type="dxa"/>
            <w:tcBorders>
              <w:top w:val="nil"/>
              <w:left w:val="nil"/>
              <w:bottom w:val="single" w:sz="4" w:space="0" w:color="auto"/>
              <w:right w:val="single" w:sz="4" w:space="0" w:color="auto"/>
            </w:tcBorders>
            <w:noWrap/>
            <w:hideMark/>
          </w:tcPr>
          <w:p w14:paraId="527619CD" w14:textId="77777777" w:rsidR="00C867E4" w:rsidRPr="00377F3A" w:rsidRDefault="00C867E4" w:rsidP="00377F3A">
            <w:pPr>
              <w:pStyle w:val="TableText"/>
              <w:rPr>
                <w:rFonts w:asciiTheme="minorHAnsi" w:hAnsiTheme="minorHAnsi"/>
              </w:rPr>
            </w:pPr>
            <w:r w:rsidRPr="00377F3A">
              <w:rPr>
                <w:rFonts w:asciiTheme="minorHAnsi" w:hAnsiTheme="minorHAnsi"/>
              </w:rPr>
              <w:t>Clark, D.G., Esdaile, D.J. , 1989</w:t>
            </w:r>
          </w:p>
        </w:tc>
      </w:tr>
      <w:tr w:rsidR="00C867E4" w:rsidRPr="00C867E4" w14:paraId="4632C97E" w14:textId="77777777" w:rsidTr="00377F3A">
        <w:trPr>
          <w:trHeight w:val="576"/>
        </w:trPr>
        <w:tc>
          <w:tcPr>
            <w:tcW w:w="3555" w:type="dxa"/>
            <w:tcBorders>
              <w:top w:val="nil"/>
              <w:left w:val="single" w:sz="4" w:space="0" w:color="auto"/>
              <w:bottom w:val="single" w:sz="4" w:space="0" w:color="auto"/>
              <w:right w:val="single" w:sz="4" w:space="0" w:color="auto"/>
            </w:tcBorders>
            <w:noWrap/>
            <w:hideMark/>
          </w:tcPr>
          <w:p w14:paraId="06E18416" w14:textId="77777777" w:rsidR="00C867E4" w:rsidRPr="00377F3A" w:rsidRDefault="00C867E4" w:rsidP="00377F3A">
            <w:pPr>
              <w:pStyle w:val="TableText"/>
              <w:rPr>
                <w:rFonts w:asciiTheme="minorHAnsi" w:hAnsiTheme="minorHAnsi"/>
              </w:rPr>
            </w:pPr>
            <w:r w:rsidRPr="00377F3A">
              <w:rPr>
                <w:rFonts w:asciiTheme="minorHAnsi" w:hAnsiTheme="minorHAnsi"/>
              </w:rPr>
              <w:t>Developmental (Teratology) Studies</w:t>
            </w:r>
          </w:p>
        </w:tc>
        <w:tc>
          <w:tcPr>
            <w:tcW w:w="1813" w:type="dxa"/>
            <w:tcBorders>
              <w:top w:val="nil"/>
              <w:left w:val="nil"/>
              <w:bottom w:val="single" w:sz="4" w:space="0" w:color="auto"/>
              <w:right w:val="single" w:sz="4" w:space="0" w:color="auto"/>
            </w:tcBorders>
            <w:hideMark/>
          </w:tcPr>
          <w:p w14:paraId="1494E370" w14:textId="77777777" w:rsidR="00C867E4" w:rsidRPr="00377F3A" w:rsidRDefault="00C867E4" w:rsidP="00377F3A">
            <w:pPr>
              <w:pStyle w:val="TableText"/>
              <w:rPr>
                <w:rFonts w:asciiTheme="minorHAnsi" w:hAnsiTheme="minorHAnsi"/>
              </w:rPr>
            </w:pPr>
            <w:r w:rsidRPr="00377F3A">
              <w:rPr>
                <w:rFonts w:asciiTheme="minorHAnsi" w:hAnsiTheme="minorHAnsi"/>
              </w:rPr>
              <w:t>Maternal NOEL was 0.002 mg/kg bw/day in rabbits</w:t>
            </w:r>
          </w:p>
        </w:tc>
        <w:tc>
          <w:tcPr>
            <w:tcW w:w="3982" w:type="dxa"/>
            <w:tcBorders>
              <w:top w:val="nil"/>
              <w:left w:val="nil"/>
              <w:bottom w:val="single" w:sz="4" w:space="0" w:color="auto"/>
              <w:right w:val="single" w:sz="4" w:space="0" w:color="auto"/>
            </w:tcBorders>
            <w:noWrap/>
            <w:hideMark/>
          </w:tcPr>
          <w:p w14:paraId="2EE5EFF1" w14:textId="77777777" w:rsidR="00C867E4" w:rsidRPr="00377F3A" w:rsidRDefault="00C867E4" w:rsidP="00377F3A">
            <w:pPr>
              <w:pStyle w:val="TableText"/>
              <w:rPr>
                <w:rFonts w:asciiTheme="minorHAnsi" w:hAnsiTheme="minorHAnsi"/>
              </w:rPr>
            </w:pPr>
            <w:r w:rsidRPr="00377F3A">
              <w:rPr>
                <w:rFonts w:asciiTheme="minorHAnsi" w:hAnsiTheme="minorHAnsi"/>
              </w:rPr>
              <w:t>James P., Jones K., Masters R.E. , 1989</w:t>
            </w:r>
          </w:p>
        </w:tc>
      </w:tr>
      <w:tr w:rsidR="00C867E4" w:rsidRPr="00C867E4" w14:paraId="6E2FADE8" w14:textId="77777777" w:rsidTr="00377F3A">
        <w:trPr>
          <w:trHeight w:val="288"/>
        </w:trPr>
        <w:tc>
          <w:tcPr>
            <w:tcW w:w="3555" w:type="dxa"/>
            <w:tcBorders>
              <w:top w:val="nil"/>
              <w:left w:val="single" w:sz="4" w:space="0" w:color="auto"/>
              <w:bottom w:val="single" w:sz="4" w:space="0" w:color="auto"/>
              <w:right w:val="single" w:sz="4" w:space="0" w:color="auto"/>
            </w:tcBorders>
            <w:noWrap/>
            <w:hideMark/>
          </w:tcPr>
          <w:p w14:paraId="2568B18E" w14:textId="77777777" w:rsidR="00C867E4" w:rsidRPr="00377F3A" w:rsidRDefault="00C867E4" w:rsidP="00377F3A">
            <w:pPr>
              <w:pStyle w:val="TableText"/>
              <w:rPr>
                <w:rFonts w:asciiTheme="minorHAnsi" w:hAnsiTheme="minorHAnsi"/>
              </w:rPr>
            </w:pPr>
            <w:r w:rsidRPr="00377F3A">
              <w:rPr>
                <w:rFonts w:asciiTheme="minorHAnsi" w:hAnsiTheme="minorHAnsi"/>
              </w:rPr>
              <w:t>Acute Oral Studies, Active</w:t>
            </w:r>
          </w:p>
        </w:tc>
        <w:tc>
          <w:tcPr>
            <w:tcW w:w="1813" w:type="dxa"/>
            <w:tcBorders>
              <w:top w:val="nil"/>
              <w:left w:val="nil"/>
              <w:bottom w:val="single" w:sz="4" w:space="0" w:color="auto"/>
              <w:right w:val="single" w:sz="4" w:space="0" w:color="auto"/>
            </w:tcBorders>
            <w:hideMark/>
          </w:tcPr>
          <w:p w14:paraId="3C7052B4" w14:textId="77777777" w:rsidR="00C867E4" w:rsidRPr="00377F3A" w:rsidRDefault="00C867E4" w:rsidP="00377F3A">
            <w:pPr>
              <w:pStyle w:val="TableText"/>
              <w:rPr>
                <w:rFonts w:asciiTheme="minorHAnsi" w:hAnsiTheme="minorHAnsi"/>
              </w:rPr>
            </w:pPr>
            <w:r w:rsidRPr="00377F3A">
              <w:rPr>
                <w:rFonts w:asciiTheme="minorHAnsi" w:hAnsiTheme="minorHAnsi"/>
              </w:rPr>
              <w:t>The NEL was 0.1 ppm (0.0025 mg/kg/day). </w:t>
            </w:r>
          </w:p>
        </w:tc>
        <w:tc>
          <w:tcPr>
            <w:tcW w:w="3982" w:type="dxa"/>
            <w:tcBorders>
              <w:top w:val="nil"/>
              <w:left w:val="nil"/>
              <w:bottom w:val="single" w:sz="4" w:space="0" w:color="auto"/>
              <w:right w:val="single" w:sz="4" w:space="0" w:color="auto"/>
            </w:tcBorders>
            <w:noWrap/>
            <w:hideMark/>
          </w:tcPr>
          <w:p w14:paraId="3C218D1F" w14:textId="77777777" w:rsidR="00C867E4" w:rsidRPr="00377F3A" w:rsidRDefault="00C867E4" w:rsidP="00377F3A">
            <w:pPr>
              <w:pStyle w:val="TableText"/>
              <w:rPr>
                <w:rFonts w:asciiTheme="minorHAnsi" w:hAnsiTheme="minorHAnsi"/>
              </w:rPr>
            </w:pPr>
            <w:r w:rsidRPr="00377F3A">
              <w:rPr>
                <w:rFonts w:asciiTheme="minorHAnsi" w:hAnsiTheme="minorHAnsi"/>
              </w:rPr>
              <w:t>Price, J.B. , 1984</w:t>
            </w:r>
          </w:p>
        </w:tc>
      </w:tr>
      <w:tr w:rsidR="00C867E4" w:rsidRPr="00C867E4" w14:paraId="1FB67B86" w14:textId="77777777" w:rsidTr="00377F3A">
        <w:trPr>
          <w:trHeight w:val="288"/>
        </w:trPr>
        <w:tc>
          <w:tcPr>
            <w:tcW w:w="3555" w:type="dxa"/>
            <w:tcBorders>
              <w:top w:val="nil"/>
              <w:left w:val="single" w:sz="4" w:space="0" w:color="auto"/>
              <w:bottom w:val="single" w:sz="4" w:space="0" w:color="auto"/>
              <w:right w:val="single" w:sz="4" w:space="0" w:color="auto"/>
            </w:tcBorders>
            <w:noWrap/>
            <w:hideMark/>
          </w:tcPr>
          <w:p w14:paraId="362FA0B5" w14:textId="77777777" w:rsidR="00C867E4" w:rsidRPr="00377F3A" w:rsidRDefault="00C867E4" w:rsidP="00377F3A">
            <w:pPr>
              <w:pStyle w:val="TableText"/>
              <w:rPr>
                <w:rFonts w:asciiTheme="minorHAnsi" w:hAnsiTheme="minorHAnsi"/>
              </w:rPr>
            </w:pPr>
            <w:r w:rsidRPr="00377F3A">
              <w:rPr>
                <w:rFonts w:asciiTheme="minorHAnsi" w:hAnsiTheme="minorHAnsi"/>
              </w:rPr>
              <w:t>Worker Exposure</w:t>
            </w:r>
          </w:p>
        </w:tc>
        <w:tc>
          <w:tcPr>
            <w:tcW w:w="1813" w:type="dxa"/>
            <w:tcBorders>
              <w:top w:val="nil"/>
              <w:left w:val="nil"/>
              <w:bottom w:val="single" w:sz="4" w:space="0" w:color="auto"/>
              <w:right w:val="single" w:sz="4" w:space="0" w:color="auto"/>
            </w:tcBorders>
            <w:hideMark/>
          </w:tcPr>
          <w:p w14:paraId="5C350A4E" w14:textId="77777777" w:rsidR="00C867E4" w:rsidRPr="00377F3A" w:rsidRDefault="00C867E4" w:rsidP="00377F3A">
            <w:pPr>
              <w:pStyle w:val="TableText"/>
              <w:rPr>
                <w:rFonts w:asciiTheme="minorHAnsi" w:hAnsiTheme="minorHAnsi"/>
              </w:rPr>
            </w:pPr>
            <w:r w:rsidRPr="00377F3A">
              <w:rPr>
                <w:rFonts w:asciiTheme="minorHAnsi" w:hAnsiTheme="minorHAnsi"/>
              </w:rPr>
              <w:t>Not applicable </w:t>
            </w:r>
          </w:p>
        </w:tc>
        <w:tc>
          <w:tcPr>
            <w:tcW w:w="3982" w:type="dxa"/>
            <w:tcBorders>
              <w:top w:val="nil"/>
              <w:left w:val="nil"/>
              <w:bottom w:val="single" w:sz="4" w:space="0" w:color="auto"/>
              <w:right w:val="single" w:sz="4" w:space="0" w:color="auto"/>
            </w:tcBorders>
            <w:noWrap/>
            <w:hideMark/>
          </w:tcPr>
          <w:p w14:paraId="79D94845" w14:textId="77777777" w:rsidR="00C867E4" w:rsidRPr="00377F3A" w:rsidRDefault="00C867E4" w:rsidP="00377F3A">
            <w:pPr>
              <w:pStyle w:val="TableText"/>
              <w:rPr>
                <w:rFonts w:asciiTheme="minorHAnsi" w:hAnsiTheme="minorHAnsi"/>
              </w:rPr>
            </w:pPr>
            <w:r w:rsidRPr="00377F3A">
              <w:rPr>
                <w:rFonts w:asciiTheme="minorHAnsi" w:hAnsiTheme="minorHAnsi"/>
              </w:rPr>
              <w:t>Chambers, J.G., Snowdon, P.J. , 2004</w:t>
            </w:r>
          </w:p>
        </w:tc>
      </w:tr>
    </w:tbl>
    <w:p w14:paraId="2DE86F62" w14:textId="77777777" w:rsidR="00EE5679" w:rsidRDefault="00EE5679" w:rsidP="00377F3A">
      <w:pPr>
        <w:spacing w:after="0" w:line="240" w:lineRule="auto"/>
        <w:rPr>
          <w:rFonts w:ascii="Franklin Gothic Medium" w:hAnsi="Franklin Gothic Medium" w:cs="Arial"/>
          <w:color w:val="5C2946"/>
          <w:szCs w:val="26"/>
          <w:u w:color="000000"/>
        </w:rPr>
        <w:sectPr w:rsidR="00EE5679">
          <w:headerReference w:type="even" r:id="rId40"/>
          <w:pgSz w:w="11906" w:h="16838" w:code="9"/>
          <w:pgMar w:top="2835" w:right="1134" w:bottom="1134" w:left="1134" w:header="1701" w:footer="680" w:gutter="0"/>
          <w:cols w:space="708"/>
          <w:docGrid w:linePitch="360"/>
        </w:sectPr>
      </w:pPr>
    </w:p>
    <w:p w14:paraId="3CE4C5F0" w14:textId="7D58FCC4" w:rsidR="002E20AC" w:rsidRDefault="008B550C" w:rsidP="00377F3A">
      <w:pPr>
        <w:pStyle w:val="APVMAAppendixH1"/>
      </w:pPr>
      <w:bookmarkStart w:id="2188" w:name="_Toc135232603"/>
      <w:bookmarkStart w:id="2189" w:name="_Toc214025638"/>
      <w:bookmarkStart w:id="2190" w:name="_Toc216695660"/>
      <w:bookmarkEnd w:id="2122"/>
      <w:r>
        <w:lastRenderedPageBreak/>
        <w:t>A</w:t>
      </w:r>
      <w:r w:rsidR="005720AA">
        <w:rPr>
          <w:caps w:val="0"/>
        </w:rPr>
        <w:t>cronyms and Abbreviations</w:t>
      </w:r>
      <w:bookmarkEnd w:id="2188"/>
      <w:bookmarkEnd w:id="2189"/>
      <w:bookmarkEnd w:id="219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6D2452" w14:paraId="7551D3D0" w14:textId="77777777" w:rsidTr="00DC0950">
        <w:trPr>
          <w:tblHeader/>
        </w:trPr>
        <w:tc>
          <w:tcPr>
            <w:tcW w:w="1111" w:type="pct"/>
            <w:shd w:val="clear" w:color="auto" w:fill="53284F"/>
          </w:tcPr>
          <w:p w14:paraId="6C16541A" w14:textId="77777777" w:rsidR="006D2452" w:rsidRPr="00572D44" w:rsidRDefault="006D2452" w:rsidP="00BA7F4F">
            <w:pPr>
              <w:pStyle w:val="TableHead"/>
            </w:pPr>
            <w:r w:rsidRPr="00572D44">
              <w:t>Shortened term</w:t>
            </w:r>
          </w:p>
        </w:tc>
        <w:tc>
          <w:tcPr>
            <w:tcW w:w="3889" w:type="pct"/>
            <w:shd w:val="clear" w:color="auto" w:fill="53284F"/>
          </w:tcPr>
          <w:p w14:paraId="2FA558F1" w14:textId="77777777" w:rsidR="006D2452" w:rsidRPr="00572D44" w:rsidRDefault="006D2452" w:rsidP="00BA7F4F">
            <w:pPr>
              <w:pStyle w:val="TableHead"/>
            </w:pPr>
            <w:r w:rsidRPr="00572D44">
              <w:t>Full term</w:t>
            </w:r>
          </w:p>
        </w:tc>
      </w:tr>
      <w:tr w:rsidR="006D2452" w14:paraId="08539D17" w14:textId="77777777" w:rsidTr="002A3239">
        <w:tc>
          <w:tcPr>
            <w:tcW w:w="1111" w:type="pct"/>
          </w:tcPr>
          <w:p w14:paraId="2DEDC07F" w14:textId="77777777" w:rsidR="006D2452" w:rsidRDefault="006D2452" w:rsidP="00BA7F4F">
            <w:pPr>
              <w:pStyle w:val="TableText"/>
            </w:pPr>
            <w:r>
              <w:t xml:space="preserve">ac </w:t>
            </w:r>
          </w:p>
        </w:tc>
        <w:tc>
          <w:tcPr>
            <w:tcW w:w="3889" w:type="pct"/>
          </w:tcPr>
          <w:p w14:paraId="14FEA6D9" w14:textId="77777777" w:rsidR="006D2452" w:rsidRDefault="006D2452" w:rsidP="00BA7F4F">
            <w:pPr>
              <w:pStyle w:val="TableText"/>
            </w:pPr>
            <w:r>
              <w:t xml:space="preserve">active constituent </w:t>
            </w:r>
          </w:p>
        </w:tc>
      </w:tr>
      <w:tr w:rsidR="006D2452" w14:paraId="3CCA84EA" w14:textId="77777777" w:rsidTr="002A3239">
        <w:tc>
          <w:tcPr>
            <w:tcW w:w="1111" w:type="pct"/>
          </w:tcPr>
          <w:p w14:paraId="3FEE7E5E" w14:textId="77777777" w:rsidR="006D2452" w:rsidRDefault="006D2452" w:rsidP="00BA7F4F">
            <w:pPr>
              <w:pStyle w:val="TableText"/>
            </w:pPr>
            <w:r>
              <w:t xml:space="preserve">AF </w:t>
            </w:r>
          </w:p>
        </w:tc>
        <w:tc>
          <w:tcPr>
            <w:tcW w:w="3889" w:type="pct"/>
          </w:tcPr>
          <w:p w14:paraId="3B72C3B3" w14:textId="77777777" w:rsidR="006D2452" w:rsidRDefault="006D2452" w:rsidP="00BA7F4F">
            <w:pPr>
              <w:pStyle w:val="TableText"/>
            </w:pPr>
            <w:r>
              <w:t xml:space="preserve">assessment factor </w:t>
            </w:r>
          </w:p>
        </w:tc>
      </w:tr>
      <w:tr w:rsidR="006D2452" w14:paraId="2B1DF1C1" w14:textId="77777777" w:rsidTr="002A3239">
        <w:tc>
          <w:tcPr>
            <w:tcW w:w="1111" w:type="pct"/>
          </w:tcPr>
          <w:p w14:paraId="1C603F43" w14:textId="77777777" w:rsidR="006D2452" w:rsidRDefault="006D2452" w:rsidP="00BA7F4F">
            <w:pPr>
              <w:pStyle w:val="TableText"/>
            </w:pPr>
            <w:r>
              <w:t xml:space="preserve">APVMA </w:t>
            </w:r>
          </w:p>
        </w:tc>
        <w:tc>
          <w:tcPr>
            <w:tcW w:w="3889" w:type="pct"/>
          </w:tcPr>
          <w:p w14:paraId="3367AB28" w14:textId="77777777" w:rsidR="006D2452" w:rsidRDefault="006D2452" w:rsidP="00BA7F4F">
            <w:pPr>
              <w:pStyle w:val="TableText"/>
            </w:pPr>
            <w:r>
              <w:t xml:space="preserve">Australian Pesticide and Veterinary Medicines Authority </w:t>
            </w:r>
          </w:p>
        </w:tc>
      </w:tr>
      <w:tr w:rsidR="006D2452" w14:paraId="26E408F6" w14:textId="77777777" w:rsidTr="002A3239">
        <w:tc>
          <w:tcPr>
            <w:tcW w:w="1111" w:type="pct"/>
          </w:tcPr>
          <w:p w14:paraId="7D39B9ED" w14:textId="77777777" w:rsidR="006D2452" w:rsidRDefault="006D2452" w:rsidP="00BA7F4F">
            <w:pPr>
              <w:pStyle w:val="TableText"/>
            </w:pPr>
            <w:r>
              <w:t xml:space="preserve">BCF </w:t>
            </w:r>
          </w:p>
        </w:tc>
        <w:tc>
          <w:tcPr>
            <w:tcW w:w="3889" w:type="pct"/>
          </w:tcPr>
          <w:p w14:paraId="2A9EBDCC" w14:textId="77777777" w:rsidR="006D2452" w:rsidRDefault="006D2452" w:rsidP="00BA7F4F">
            <w:pPr>
              <w:pStyle w:val="TableText"/>
            </w:pPr>
            <w:r>
              <w:t xml:space="preserve">bioconcentration factor </w:t>
            </w:r>
          </w:p>
        </w:tc>
      </w:tr>
      <w:tr w:rsidR="006D2452" w14:paraId="663E0B43" w14:textId="77777777" w:rsidTr="002A3239">
        <w:tc>
          <w:tcPr>
            <w:tcW w:w="1111" w:type="pct"/>
          </w:tcPr>
          <w:p w14:paraId="67D0CEA4" w14:textId="77777777" w:rsidR="006D2452" w:rsidRDefault="006D2452" w:rsidP="00BA7F4F">
            <w:pPr>
              <w:pStyle w:val="TableText"/>
            </w:pPr>
            <w:r>
              <w:t xml:space="preserve">bw </w:t>
            </w:r>
          </w:p>
        </w:tc>
        <w:tc>
          <w:tcPr>
            <w:tcW w:w="3889" w:type="pct"/>
          </w:tcPr>
          <w:p w14:paraId="50945998" w14:textId="77777777" w:rsidR="006D2452" w:rsidRDefault="006D2452" w:rsidP="00BA7F4F">
            <w:pPr>
              <w:pStyle w:val="TableText"/>
            </w:pPr>
            <w:r>
              <w:t xml:space="preserve">body weight </w:t>
            </w:r>
          </w:p>
        </w:tc>
      </w:tr>
      <w:tr w:rsidR="006D2452" w14:paraId="65586B46" w14:textId="77777777" w:rsidTr="002A3239">
        <w:tc>
          <w:tcPr>
            <w:tcW w:w="1111" w:type="pct"/>
          </w:tcPr>
          <w:p w14:paraId="7542EA85" w14:textId="77777777" w:rsidR="006D2452" w:rsidRDefault="006D2452" w:rsidP="00BA7F4F">
            <w:pPr>
              <w:pStyle w:val="TableText"/>
            </w:pPr>
            <w:r>
              <w:t xml:space="preserve">cm </w:t>
            </w:r>
          </w:p>
        </w:tc>
        <w:tc>
          <w:tcPr>
            <w:tcW w:w="3889" w:type="pct"/>
          </w:tcPr>
          <w:p w14:paraId="232BE0B6" w14:textId="77777777" w:rsidR="006D2452" w:rsidRDefault="006D2452" w:rsidP="00BA7F4F">
            <w:pPr>
              <w:pStyle w:val="TableText"/>
            </w:pPr>
            <w:r>
              <w:t xml:space="preserve">centimetre(s) </w:t>
            </w:r>
          </w:p>
        </w:tc>
      </w:tr>
      <w:tr w:rsidR="006D2452" w14:paraId="6A3DC205" w14:textId="77777777" w:rsidTr="002A3239">
        <w:tc>
          <w:tcPr>
            <w:tcW w:w="1111" w:type="pct"/>
          </w:tcPr>
          <w:p w14:paraId="5FF96658" w14:textId="77777777" w:rsidR="006D2452" w:rsidRDefault="006D2452" w:rsidP="00BA7F4F">
            <w:pPr>
              <w:pStyle w:val="TableText"/>
            </w:pPr>
            <w:r>
              <w:t xml:space="preserve">d </w:t>
            </w:r>
          </w:p>
        </w:tc>
        <w:tc>
          <w:tcPr>
            <w:tcW w:w="3889" w:type="pct"/>
          </w:tcPr>
          <w:p w14:paraId="7DD83387" w14:textId="77777777" w:rsidR="006D2452" w:rsidRDefault="006D2452" w:rsidP="00BA7F4F">
            <w:pPr>
              <w:pStyle w:val="TableText"/>
            </w:pPr>
            <w:r>
              <w:t xml:space="preserve">day(s) </w:t>
            </w:r>
          </w:p>
        </w:tc>
      </w:tr>
      <w:tr w:rsidR="006D2452" w14:paraId="672AF002" w14:textId="77777777" w:rsidTr="002A3239">
        <w:tc>
          <w:tcPr>
            <w:tcW w:w="1111" w:type="pct"/>
          </w:tcPr>
          <w:p w14:paraId="7164B706" w14:textId="77777777" w:rsidR="006D2452" w:rsidRDefault="006D2452" w:rsidP="00BA7F4F">
            <w:pPr>
              <w:pStyle w:val="TableText"/>
            </w:pPr>
            <w:r>
              <w:t xml:space="preserve">DMSO </w:t>
            </w:r>
          </w:p>
        </w:tc>
        <w:tc>
          <w:tcPr>
            <w:tcW w:w="3889" w:type="pct"/>
          </w:tcPr>
          <w:p w14:paraId="3FCE449C" w14:textId="77777777" w:rsidR="006D2452" w:rsidRDefault="006D2452" w:rsidP="00BA7F4F">
            <w:pPr>
              <w:pStyle w:val="TableText"/>
            </w:pPr>
            <w:r>
              <w:t xml:space="preserve">dimethyl sulphoxide </w:t>
            </w:r>
          </w:p>
        </w:tc>
      </w:tr>
      <w:tr w:rsidR="006D2452" w14:paraId="0FC91669" w14:textId="77777777" w:rsidTr="002A3239">
        <w:tc>
          <w:tcPr>
            <w:tcW w:w="1111" w:type="pct"/>
          </w:tcPr>
          <w:p w14:paraId="7ECB6FE5" w14:textId="77777777" w:rsidR="006D2452" w:rsidRDefault="006D2452" w:rsidP="00BA7F4F">
            <w:pPr>
              <w:pStyle w:val="TableText"/>
            </w:pPr>
            <w:r>
              <w:t xml:space="preserve">ds </w:t>
            </w:r>
          </w:p>
        </w:tc>
        <w:tc>
          <w:tcPr>
            <w:tcW w:w="3889" w:type="pct"/>
          </w:tcPr>
          <w:p w14:paraId="5D909C4D" w14:textId="77777777" w:rsidR="006D2452" w:rsidRDefault="006D2452" w:rsidP="00BA7F4F">
            <w:pPr>
              <w:pStyle w:val="TableText"/>
            </w:pPr>
            <w:r>
              <w:t xml:space="preserve">dry soil or sediment </w:t>
            </w:r>
          </w:p>
        </w:tc>
      </w:tr>
      <w:tr w:rsidR="006D2452" w14:paraId="68E1FE14" w14:textId="77777777" w:rsidTr="002A3239">
        <w:tc>
          <w:tcPr>
            <w:tcW w:w="1111" w:type="pct"/>
          </w:tcPr>
          <w:p w14:paraId="3D43CFB1" w14:textId="77777777" w:rsidR="006D2452" w:rsidRDefault="006D2452" w:rsidP="00BA7F4F">
            <w:pPr>
              <w:pStyle w:val="TableText"/>
            </w:pPr>
            <w:r>
              <w:t>DT</w:t>
            </w:r>
            <w:r>
              <w:rPr>
                <w:sz w:val="11"/>
                <w:szCs w:val="11"/>
              </w:rPr>
              <w:t xml:space="preserve">50 </w:t>
            </w:r>
          </w:p>
        </w:tc>
        <w:tc>
          <w:tcPr>
            <w:tcW w:w="3889" w:type="pct"/>
          </w:tcPr>
          <w:p w14:paraId="6D838068" w14:textId="77777777" w:rsidR="006D2452" w:rsidRDefault="006D2452" w:rsidP="00BA7F4F">
            <w:pPr>
              <w:pStyle w:val="TableText"/>
            </w:pPr>
            <w:r>
              <w:t xml:space="preserve">period required for 50% dissipation </w:t>
            </w:r>
          </w:p>
        </w:tc>
      </w:tr>
      <w:tr w:rsidR="006D2452" w14:paraId="566098D7" w14:textId="77777777" w:rsidTr="002A3239">
        <w:tc>
          <w:tcPr>
            <w:tcW w:w="1111" w:type="pct"/>
          </w:tcPr>
          <w:p w14:paraId="40DD3F79" w14:textId="77777777" w:rsidR="006D2452" w:rsidRDefault="006D2452" w:rsidP="00BA7F4F">
            <w:pPr>
              <w:pStyle w:val="TableText"/>
            </w:pPr>
            <w:r>
              <w:t xml:space="preserve">ECHA </w:t>
            </w:r>
          </w:p>
        </w:tc>
        <w:tc>
          <w:tcPr>
            <w:tcW w:w="3889" w:type="pct"/>
          </w:tcPr>
          <w:p w14:paraId="02D8E89E" w14:textId="77777777" w:rsidR="006D2452" w:rsidRDefault="006D2452" w:rsidP="00BA7F4F">
            <w:pPr>
              <w:pStyle w:val="TableText"/>
            </w:pPr>
            <w:r>
              <w:t xml:space="preserve">European Chemicals Agency </w:t>
            </w:r>
          </w:p>
        </w:tc>
      </w:tr>
      <w:tr w:rsidR="006D2452" w14:paraId="70632B59" w14:textId="77777777" w:rsidTr="002A3239">
        <w:tc>
          <w:tcPr>
            <w:tcW w:w="1111" w:type="pct"/>
          </w:tcPr>
          <w:p w14:paraId="492D410B" w14:textId="77777777" w:rsidR="006D2452" w:rsidRDefault="006D2452" w:rsidP="00BA7F4F">
            <w:pPr>
              <w:pStyle w:val="TableText"/>
            </w:pPr>
            <w:r>
              <w:t>EC</w:t>
            </w:r>
            <w:r>
              <w:rPr>
                <w:sz w:val="11"/>
                <w:szCs w:val="11"/>
              </w:rPr>
              <w:t xml:space="preserve">X </w:t>
            </w:r>
          </w:p>
        </w:tc>
        <w:tc>
          <w:tcPr>
            <w:tcW w:w="3889" w:type="pct"/>
          </w:tcPr>
          <w:p w14:paraId="68250CA6" w14:textId="77777777" w:rsidR="006D2452" w:rsidRDefault="006D2452" w:rsidP="00BA7F4F">
            <w:pPr>
              <w:pStyle w:val="TableText"/>
            </w:pPr>
            <w:r>
              <w:t>concentration causing X% effect (E</w:t>
            </w:r>
            <w:r>
              <w:rPr>
                <w:sz w:val="11"/>
                <w:szCs w:val="11"/>
              </w:rPr>
              <w:t>r</w:t>
            </w:r>
            <w:r>
              <w:t>C</w:t>
            </w:r>
            <w:r>
              <w:rPr>
                <w:sz w:val="11"/>
                <w:szCs w:val="11"/>
              </w:rPr>
              <w:t xml:space="preserve">X </w:t>
            </w:r>
            <w:r>
              <w:t>is used for growth rate; E</w:t>
            </w:r>
            <w:r>
              <w:rPr>
                <w:sz w:val="11"/>
                <w:szCs w:val="11"/>
              </w:rPr>
              <w:t>b</w:t>
            </w:r>
            <w:r>
              <w:t>C</w:t>
            </w:r>
            <w:r>
              <w:rPr>
                <w:sz w:val="11"/>
                <w:szCs w:val="11"/>
              </w:rPr>
              <w:t xml:space="preserve">X </w:t>
            </w:r>
            <w:r>
              <w:t>is used for biomass; E</w:t>
            </w:r>
            <w:r>
              <w:rPr>
                <w:sz w:val="11"/>
                <w:szCs w:val="11"/>
              </w:rPr>
              <w:t>y</w:t>
            </w:r>
            <w:r>
              <w:t>C</w:t>
            </w:r>
            <w:r>
              <w:rPr>
                <w:sz w:val="11"/>
                <w:szCs w:val="11"/>
              </w:rPr>
              <w:t xml:space="preserve">50 </w:t>
            </w:r>
            <w:r>
              <w:t xml:space="preserve">is used for yield) </w:t>
            </w:r>
          </w:p>
        </w:tc>
      </w:tr>
      <w:tr w:rsidR="006D2452" w14:paraId="066D42D0" w14:textId="77777777" w:rsidTr="002A3239">
        <w:tc>
          <w:tcPr>
            <w:tcW w:w="1111" w:type="pct"/>
          </w:tcPr>
          <w:p w14:paraId="0A64C98D" w14:textId="77777777" w:rsidR="006D2452" w:rsidRDefault="006D2452" w:rsidP="00BA7F4F">
            <w:pPr>
              <w:pStyle w:val="TableText"/>
            </w:pPr>
            <w:r>
              <w:t xml:space="preserve">EFSA </w:t>
            </w:r>
          </w:p>
        </w:tc>
        <w:tc>
          <w:tcPr>
            <w:tcW w:w="3889" w:type="pct"/>
          </w:tcPr>
          <w:p w14:paraId="5794E6F6" w14:textId="77777777" w:rsidR="006D2452" w:rsidRDefault="006D2452" w:rsidP="00BA7F4F">
            <w:pPr>
              <w:pStyle w:val="TableText"/>
            </w:pPr>
            <w:r>
              <w:t xml:space="preserve">European Food Safety Authority </w:t>
            </w:r>
          </w:p>
        </w:tc>
      </w:tr>
      <w:tr w:rsidR="006D2452" w14:paraId="62ADB559" w14:textId="77777777" w:rsidTr="002A3239">
        <w:tc>
          <w:tcPr>
            <w:tcW w:w="1111" w:type="pct"/>
          </w:tcPr>
          <w:p w14:paraId="3B673629" w14:textId="77777777" w:rsidR="006D2452" w:rsidRDefault="006D2452" w:rsidP="00BA7F4F">
            <w:pPr>
              <w:pStyle w:val="TableText"/>
            </w:pPr>
            <w:r>
              <w:t>ER</w:t>
            </w:r>
            <w:r>
              <w:rPr>
                <w:sz w:val="11"/>
                <w:szCs w:val="11"/>
              </w:rPr>
              <w:t xml:space="preserve">X </w:t>
            </w:r>
          </w:p>
        </w:tc>
        <w:tc>
          <w:tcPr>
            <w:tcW w:w="3889" w:type="pct"/>
          </w:tcPr>
          <w:p w14:paraId="01959625" w14:textId="77777777" w:rsidR="006D2452" w:rsidRDefault="006D2452" w:rsidP="00BA7F4F">
            <w:pPr>
              <w:pStyle w:val="TableText"/>
            </w:pPr>
            <w:r>
              <w:t xml:space="preserve">rate causing X% effect </w:t>
            </w:r>
          </w:p>
        </w:tc>
      </w:tr>
      <w:tr w:rsidR="006D2452" w14:paraId="6D76ABEC" w14:textId="77777777" w:rsidTr="002A3239">
        <w:tc>
          <w:tcPr>
            <w:tcW w:w="1111" w:type="pct"/>
          </w:tcPr>
          <w:p w14:paraId="3D13021B" w14:textId="77777777" w:rsidR="006D2452" w:rsidRDefault="006D2452" w:rsidP="00BA7F4F">
            <w:pPr>
              <w:pStyle w:val="TableText"/>
            </w:pPr>
            <w:r>
              <w:t xml:space="preserve">g </w:t>
            </w:r>
          </w:p>
        </w:tc>
        <w:tc>
          <w:tcPr>
            <w:tcW w:w="3889" w:type="pct"/>
          </w:tcPr>
          <w:p w14:paraId="1D44A4E5" w14:textId="77777777" w:rsidR="006D2452" w:rsidRDefault="006D2452" w:rsidP="00BA7F4F">
            <w:pPr>
              <w:pStyle w:val="TableText"/>
            </w:pPr>
            <w:r>
              <w:t xml:space="preserve">gram(s) </w:t>
            </w:r>
          </w:p>
        </w:tc>
      </w:tr>
      <w:tr w:rsidR="006D2452" w14:paraId="2EAE714D" w14:textId="77777777" w:rsidTr="002A3239">
        <w:tc>
          <w:tcPr>
            <w:tcW w:w="1111" w:type="pct"/>
          </w:tcPr>
          <w:p w14:paraId="75B32745" w14:textId="77777777" w:rsidR="006D2452" w:rsidRDefault="006D2452" w:rsidP="00BA7F4F">
            <w:pPr>
              <w:pStyle w:val="TableText"/>
            </w:pPr>
            <w:r>
              <w:t xml:space="preserve">GLP </w:t>
            </w:r>
          </w:p>
        </w:tc>
        <w:tc>
          <w:tcPr>
            <w:tcW w:w="3889" w:type="pct"/>
          </w:tcPr>
          <w:p w14:paraId="74F679E0" w14:textId="77777777" w:rsidR="006D2452" w:rsidRDefault="006D2452" w:rsidP="00BA7F4F">
            <w:pPr>
              <w:pStyle w:val="TableText"/>
            </w:pPr>
            <w:r>
              <w:t xml:space="preserve">good laboratory practice </w:t>
            </w:r>
          </w:p>
        </w:tc>
      </w:tr>
      <w:tr w:rsidR="006D2452" w14:paraId="0B497A09" w14:textId="77777777" w:rsidTr="002A3239">
        <w:tc>
          <w:tcPr>
            <w:tcW w:w="1111" w:type="pct"/>
          </w:tcPr>
          <w:p w14:paraId="4ABB7C47" w14:textId="77777777" w:rsidR="006D2452" w:rsidRDefault="006D2452" w:rsidP="00BA7F4F">
            <w:pPr>
              <w:pStyle w:val="TableText"/>
            </w:pPr>
            <w:r>
              <w:t xml:space="preserve">h </w:t>
            </w:r>
          </w:p>
        </w:tc>
        <w:tc>
          <w:tcPr>
            <w:tcW w:w="3889" w:type="pct"/>
          </w:tcPr>
          <w:p w14:paraId="159B8BA8" w14:textId="77777777" w:rsidR="006D2452" w:rsidRDefault="006D2452" w:rsidP="00BA7F4F">
            <w:pPr>
              <w:pStyle w:val="TableText"/>
            </w:pPr>
            <w:r>
              <w:t xml:space="preserve">hour(s) </w:t>
            </w:r>
          </w:p>
        </w:tc>
      </w:tr>
      <w:tr w:rsidR="006D2452" w14:paraId="47A2298C" w14:textId="77777777" w:rsidTr="002A3239">
        <w:tc>
          <w:tcPr>
            <w:tcW w:w="1111" w:type="pct"/>
          </w:tcPr>
          <w:p w14:paraId="00B1E6C7" w14:textId="77777777" w:rsidR="006D2452" w:rsidRDefault="006D2452" w:rsidP="00BA7F4F">
            <w:pPr>
              <w:pStyle w:val="TableText"/>
            </w:pPr>
            <w:r>
              <w:t xml:space="preserve">ha </w:t>
            </w:r>
          </w:p>
        </w:tc>
        <w:tc>
          <w:tcPr>
            <w:tcW w:w="3889" w:type="pct"/>
          </w:tcPr>
          <w:p w14:paraId="43EF1FC2" w14:textId="77777777" w:rsidR="006D2452" w:rsidRDefault="006D2452" w:rsidP="00BA7F4F">
            <w:pPr>
              <w:pStyle w:val="TableText"/>
            </w:pPr>
            <w:r>
              <w:t xml:space="preserve">hectare(s) </w:t>
            </w:r>
          </w:p>
        </w:tc>
      </w:tr>
      <w:tr w:rsidR="006D2452" w14:paraId="273399D8" w14:textId="77777777" w:rsidTr="002A3239">
        <w:tc>
          <w:tcPr>
            <w:tcW w:w="1111" w:type="pct"/>
          </w:tcPr>
          <w:p w14:paraId="3320BD85" w14:textId="77777777" w:rsidR="006D2452" w:rsidRDefault="006D2452" w:rsidP="00BA7F4F">
            <w:pPr>
              <w:pStyle w:val="TableText"/>
            </w:pPr>
            <w:r>
              <w:t xml:space="preserve">HPLC </w:t>
            </w:r>
          </w:p>
        </w:tc>
        <w:tc>
          <w:tcPr>
            <w:tcW w:w="3889" w:type="pct"/>
          </w:tcPr>
          <w:p w14:paraId="0A13731B" w14:textId="77777777" w:rsidR="006D2452" w:rsidRDefault="006D2452" w:rsidP="00BA7F4F">
            <w:pPr>
              <w:pStyle w:val="TableText"/>
            </w:pPr>
            <w:r>
              <w:t xml:space="preserve">high performance liquid chromatography </w:t>
            </w:r>
          </w:p>
        </w:tc>
      </w:tr>
      <w:tr w:rsidR="006D2452" w14:paraId="5210A7F3" w14:textId="77777777" w:rsidTr="002A3239">
        <w:tc>
          <w:tcPr>
            <w:tcW w:w="1111" w:type="pct"/>
          </w:tcPr>
          <w:p w14:paraId="01A1AE71" w14:textId="77777777" w:rsidR="006D2452" w:rsidRDefault="006D2452" w:rsidP="00BA7F4F">
            <w:pPr>
              <w:pStyle w:val="TableText"/>
            </w:pPr>
            <w:r>
              <w:t xml:space="preserve">Kd or Kf </w:t>
            </w:r>
          </w:p>
        </w:tc>
        <w:tc>
          <w:tcPr>
            <w:tcW w:w="3889" w:type="pct"/>
          </w:tcPr>
          <w:p w14:paraId="32ADD6A8" w14:textId="77777777" w:rsidR="006D2452" w:rsidRDefault="006D2452" w:rsidP="00BA7F4F">
            <w:pPr>
              <w:pStyle w:val="TableText"/>
            </w:pPr>
            <w:r>
              <w:t xml:space="preserve">(Freundlich) adsorption constant </w:t>
            </w:r>
          </w:p>
        </w:tc>
      </w:tr>
      <w:tr w:rsidR="006D2452" w14:paraId="68426BF8" w14:textId="77777777" w:rsidTr="002A3239">
        <w:tc>
          <w:tcPr>
            <w:tcW w:w="1111" w:type="pct"/>
          </w:tcPr>
          <w:p w14:paraId="6407EE1A" w14:textId="77777777" w:rsidR="006D2452" w:rsidRDefault="006D2452" w:rsidP="00BA7F4F">
            <w:pPr>
              <w:pStyle w:val="TableText"/>
            </w:pPr>
            <w:r>
              <w:t xml:space="preserve">kg </w:t>
            </w:r>
          </w:p>
        </w:tc>
        <w:tc>
          <w:tcPr>
            <w:tcW w:w="3889" w:type="pct"/>
          </w:tcPr>
          <w:p w14:paraId="1F465548" w14:textId="77777777" w:rsidR="006D2452" w:rsidRDefault="006D2452" w:rsidP="00BA7F4F">
            <w:pPr>
              <w:pStyle w:val="TableText"/>
            </w:pPr>
            <w:r>
              <w:t xml:space="preserve">kilogram(s) </w:t>
            </w:r>
          </w:p>
        </w:tc>
      </w:tr>
      <w:tr w:rsidR="006D2452" w14:paraId="147199EB" w14:textId="77777777" w:rsidTr="002A3239">
        <w:tc>
          <w:tcPr>
            <w:tcW w:w="1111" w:type="pct"/>
          </w:tcPr>
          <w:p w14:paraId="62E014A7" w14:textId="77777777" w:rsidR="006D2452" w:rsidRDefault="006D2452" w:rsidP="00BA7F4F">
            <w:pPr>
              <w:pStyle w:val="TableText"/>
            </w:pPr>
            <w:r>
              <w:t xml:space="preserve">Koc or Kfoc </w:t>
            </w:r>
          </w:p>
        </w:tc>
        <w:tc>
          <w:tcPr>
            <w:tcW w:w="3889" w:type="pct"/>
          </w:tcPr>
          <w:p w14:paraId="4985288E" w14:textId="77777777" w:rsidR="006D2452" w:rsidRDefault="006D2452" w:rsidP="00BA7F4F">
            <w:pPr>
              <w:pStyle w:val="TableText"/>
            </w:pPr>
            <w:r>
              <w:t xml:space="preserve">(Freundlich) organic carbon partition coefficient </w:t>
            </w:r>
          </w:p>
        </w:tc>
      </w:tr>
      <w:tr w:rsidR="006D2452" w14:paraId="1EE4D8C2" w14:textId="77777777" w:rsidTr="002A3239">
        <w:tc>
          <w:tcPr>
            <w:tcW w:w="1111" w:type="pct"/>
          </w:tcPr>
          <w:p w14:paraId="652A870A" w14:textId="77777777" w:rsidR="006D2452" w:rsidRDefault="006D2452" w:rsidP="00BA7F4F">
            <w:pPr>
              <w:pStyle w:val="TableText"/>
            </w:pPr>
            <w:r>
              <w:t xml:space="preserve">L </w:t>
            </w:r>
          </w:p>
        </w:tc>
        <w:tc>
          <w:tcPr>
            <w:tcW w:w="3889" w:type="pct"/>
          </w:tcPr>
          <w:p w14:paraId="2B8B6D17" w14:textId="77777777" w:rsidR="006D2452" w:rsidRDefault="006D2452" w:rsidP="00BA7F4F">
            <w:pPr>
              <w:pStyle w:val="TableText"/>
            </w:pPr>
            <w:r>
              <w:t xml:space="preserve">litre(s) </w:t>
            </w:r>
          </w:p>
        </w:tc>
      </w:tr>
      <w:tr w:rsidR="006D2452" w14:paraId="400DD9D3" w14:textId="77777777" w:rsidTr="002A3239">
        <w:tc>
          <w:tcPr>
            <w:tcW w:w="1111" w:type="pct"/>
          </w:tcPr>
          <w:p w14:paraId="367AEB45" w14:textId="77777777" w:rsidR="006D2452" w:rsidRDefault="006D2452" w:rsidP="00BA7F4F">
            <w:pPr>
              <w:pStyle w:val="TableText"/>
            </w:pPr>
            <w:r>
              <w:t>LC</w:t>
            </w:r>
            <w:r>
              <w:rPr>
                <w:sz w:val="11"/>
                <w:szCs w:val="11"/>
              </w:rPr>
              <w:t xml:space="preserve">X </w:t>
            </w:r>
          </w:p>
        </w:tc>
        <w:tc>
          <w:tcPr>
            <w:tcW w:w="3889" w:type="pct"/>
          </w:tcPr>
          <w:p w14:paraId="24A098AD" w14:textId="77777777" w:rsidR="006D2452" w:rsidRDefault="006D2452" w:rsidP="00BA7F4F">
            <w:pPr>
              <w:pStyle w:val="TableText"/>
            </w:pPr>
            <w:r>
              <w:t xml:space="preserve">lethal concentration to X% of the tested population </w:t>
            </w:r>
          </w:p>
        </w:tc>
      </w:tr>
      <w:tr w:rsidR="006D2452" w14:paraId="42CA39C6" w14:textId="77777777" w:rsidTr="002A3239">
        <w:tc>
          <w:tcPr>
            <w:tcW w:w="1111" w:type="pct"/>
          </w:tcPr>
          <w:p w14:paraId="3C7B3340" w14:textId="77777777" w:rsidR="006D2452" w:rsidRDefault="006D2452" w:rsidP="00BA7F4F">
            <w:pPr>
              <w:pStyle w:val="TableText"/>
            </w:pPr>
            <w:r>
              <w:t>LD</w:t>
            </w:r>
            <w:r>
              <w:rPr>
                <w:sz w:val="11"/>
                <w:szCs w:val="11"/>
              </w:rPr>
              <w:t xml:space="preserve">X </w:t>
            </w:r>
          </w:p>
        </w:tc>
        <w:tc>
          <w:tcPr>
            <w:tcW w:w="3889" w:type="pct"/>
          </w:tcPr>
          <w:p w14:paraId="5D69E6DB" w14:textId="77777777" w:rsidR="006D2452" w:rsidRDefault="006D2452" w:rsidP="00BA7F4F">
            <w:pPr>
              <w:pStyle w:val="TableText"/>
            </w:pPr>
            <w:r>
              <w:t xml:space="preserve">lethal dose to X% of the tested population </w:t>
            </w:r>
          </w:p>
        </w:tc>
      </w:tr>
      <w:tr w:rsidR="00E52A56" w14:paraId="6DA0769C" w14:textId="77777777" w:rsidTr="002A3239">
        <w:tc>
          <w:tcPr>
            <w:tcW w:w="1111" w:type="pct"/>
          </w:tcPr>
          <w:p w14:paraId="0ABE1761" w14:textId="50867330" w:rsidR="00E52A56" w:rsidRDefault="00E52A56" w:rsidP="00BA7F4F">
            <w:pPr>
              <w:pStyle w:val="TableText"/>
            </w:pPr>
            <w:r>
              <w:lastRenderedPageBreak/>
              <w:t>LDD</w:t>
            </w:r>
            <w:r>
              <w:rPr>
                <w:sz w:val="11"/>
                <w:szCs w:val="11"/>
              </w:rPr>
              <w:t>X</w:t>
            </w:r>
          </w:p>
        </w:tc>
        <w:tc>
          <w:tcPr>
            <w:tcW w:w="3889" w:type="pct"/>
          </w:tcPr>
          <w:p w14:paraId="399393F8" w14:textId="3B21ACB7" w:rsidR="00E52A56" w:rsidRDefault="00E52A56" w:rsidP="00BA7F4F">
            <w:pPr>
              <w:pStyle w:val="TableText"/>
            </w:pPr>
            <w:r>
              <w:t>lethal daily dose to X% of the tested population</w:t>
            </w:r>
          </w:p>
        </w:tc>
      </w:tr>
      <w:tr w:rsidR="006D2452" w14:paraId="48879B9B" w14:textId="77777777" w:rsidTr="002A3239">
        <w:tc>
          <w:tcPr>
            <w:tcW w:w="1111" w:type="pct"/>
          </w:tcPr>
          <w:p w14:paraId="63172F14" w14:textId="77777777" w:rsidR="006D2452" w:rsidRDefault="006D2452" w:rsidP="00BA7F4F">
            <w:pPr>
              <w:pStyle w:val="TableText"/>
            </w:pPr>
            <w:r>
              <w:t xml:space="preserve">LSC </w:t>
            </w:r>
          </w:p>
        </w:tc>
        <w:tc>
          <w:tcPr>
            <w:tcW w:w="3889" w:type="pct"/>
          </w:tcPr>
          <w:p w14:paraId="0B75FD6B" w14:textId="77777777" w:rsidR="006D2452" w:rsidRDefault="006D2452" w:rsidP="00BA7F4F">
            <w:pPr>
              <w:pStyle w:val="TableText"/>
            </w:pPr>
            <w:r>
              <w:t xml:space="preserve">liquid scintillation counting </w:t>
            </w:r>
          </w:p>
        </w:tc>
      </w:tr>
      <w:tr w:rsidR="006D2452" w14:paraId="019B43FC" w14:textId="77777777" w:rsidTr="002A3239">
        <w:tc>
          <w:tcPr>
            <w:tcW w:w="1111" w:type="pct"/>
          </w:tcPr>
          <w:p w14:paraId="156969D2" w14:textId="77777777" w:rsidR="006D2452" w:rsidRDefault="006D2452" w:rsidP="00BA7F4F">
            <w:pPr>
              <w:pStyle w:val="TableText"/>
            </w:pPr>
            <w:r>
              <w:t xml:space="preserve">m </w:t>
            </w:r>
          </w:p>
        </w:tc>
        <w:tc>
          <w:tcPr>
            <w:tcW w:w="3889" w:type="pct"/>
          </w:tcPr>
          <w:p w14:paraId="080D4EF8" w14:textId="77777777" w:rsidR="006D2452" w:rsidRDefault="006D2452" w:rsidP="00BA7F4F">
            <w:pPr>
              <w:pStyle w:val="TableText"/>
            </w:pPr>
            <w:r>
              <w:t xml:space="preserve">metre(s) </w:t>
            </w:r>
          </w:p>
        </w:tc>
      </w:tr>
      <w:tr w:rsidR="006D2452" w14:paraId="4A1DF552" w14:textId="77777777" w:rsidTr="002A3239">
        <w:tc>
          <w:tcPr>
            <w:tcW w:w="1111" w:type="pct"/>
          </w:tcPr>
          <w:p w14:paraId="3C8BBD64" w14:textId="77777777" w:rsidR="006D2452" w:rsidRDefault="006D2452" w:rsidP="00BA7F4F">
            <w:pPr>
              <w:pStyle w:val="TableText"/>
            </w:pPr>
            <w:r>
              <w:t xml:space="preserve">max </w:t>
            </w:r>
          </w:p>
        </w:tc>
        <w:tc>
          <w:tcPr>
            <w:tcW w:w="3889" w:type="pct"/>
          </w:tcPr>
          <w:p w14:paraId="57ED6A90" w14:textId="77777777" w:rsidR="006D2452" w:rsidRDefault="006D2452" w:rsidP="00BA7F4F">
            <w:pPr>
              <w:pStyle w:val="TableText"/>
            </w:pPr>
            <w:r>
              <w:t xml:space="preserve">maximum </w:t>
            </w:r>
          </w:p>
        </w:tc>
      </w:tr>
      <w:tr w:rsidR="006D2452" w14:paraId="54180280" w14:textId="77777777" w:rsidTr="002A3239">
        <w:tc>
          <w:tcPr>
            <w:tcW w:w="1111" w:type="pct"/>
          </w:tcPr>
          <w:p w14:paraId="7A5930EA" w14:textId="77777777" w:rsidR="006D2452" w:rsidRDefault="006D2452" w:rsidP="00BA7F4F">
            <w:pPr>
              <w:pStyle w:val="TableText"/>
            </w:pPr>
            <w:r>
              <w:t xml:space="preserve">mg </w:t>
            </w:r>
          </w:p>
        </w:tc>
        <w:tc>
          <w:tcPr>
            <w:tcW w:w="3889" w:type="pct"/>
          </w:tcPr>
          <w:p w14:paraId="4AB670F3" w14:textId="77777777" w:rsidR="006D2452" w:rsidRDefault="006D2452" w:rsidP="00BA7F4F">
            <w:pPr>
              <w:pStyle w:val="TableText"/>
            </w:pPr>
            <w:r>
              <w:t xml:space="preserve">milligram(s) </w:t>
            </w:r>
          </w:p>
        </w:tc>
      </w:tr>
      <w:tr w:rsidR="006D2452" w14:paraId="5EE9C9F0" w14:textId="77777777" w:rsidTr="002A3239">
        <w:tc>
          <w:tcPr>
            <w:tcW w:w="1111" w:type="pct"/>
          </w:tcPr>
          <w:p w14:paraId="02CA01DE" w14:textId="77777777" w:rsidR="006D2452" w:rsidRDefault="006D2452" w:rsidP="00BA7F4F">
            <w:pPr>
              <w:pStyle w:val="TableText"/>
            </w:pPr>
            <w:r>
              <w:t xml:space="preserve">mL </w:t>
            </w:r>
          </w:p>
        </w:tc>
        <w:tc>
          <w:tcPr>
            <w:tcW w:w="3889" w:type="pct"/>
          </w:tcPr>
          <w:p w14:paraId="1AB64E62" w14:textId="77777777" w:rsidR="006D2452" w:rsidRDefault="006D2452" w:rsidP="00BA7F4F">
            <w:pPr>
              <w:pStyle w:val="TableText"/>
            </w:pPr>
            <w:r>
              <w:t xml:space="preserve">millilitres(s) </w:t>
            </w:r>
          </w:p>
        </w:tc>
      </w:tr>
      <w:tr w:rsidR="006D2452" w14:paraId="6954F30B" w14:textId="77777777" w:rsidTr="002A3239">
        <w:tc>
          <w:tcPr>
            <w:tcW w:w="1111" w:type="pct"/>
          </w:tcPr>
          <w:p w14:paraId="49F4DFD8" w14:textId="77777777" w:rsidR="006D2452" w:rsidRDefault="006D2452" w:rsidP="00BA7F4F">
            <w:pPr>
              <w:pStyle w:val="TableText"/>
            </w:pPr>
            <w:r>
              <w:t xml:space="preserve">mm </w:t>
            </w:r>
          </w:p>
        </w:tc>
        <w:tc>
          <w:tcPr>
            <w:tcW w:w="3889" w:type="pct"/>
          </w:tcPr>
          <w:p w14:paraId="523C2B46" w14:textId="77777777" w:rsidR="006D2452" w:rsidRDefault="006D2452" w:rsidP="00BA7F4F">
            <w:pPr>
              <w:pStyle w:val="TableText"/>
            </w:pPr>
            <w:r>
              <w:t xml:space="preserve">millimetre(s) </w:t>
            </w:r>
          </w:p>
        </w:tc>
      </w:tr>
      <w:tr w:rsidR="006D2452" w14:paraId="320A62F9" w14:textId="77777777" w:rsidTr="002A3239">
        <w:tc>
          <w:tcPr>
            <w:tcW w:w="1111" w:type="pct"/>
          </w:tcPr>
          <w:p w14:paraId="339422E5" w14:textId="77777777" w:rsidR="006D2452" w:rsidRDefault="006D2452" w:rsidP="00BA7F4F">
            <w:pPr>
              <w:pStyle w:val="TableText"/>
            </w:pPr>
            <w:r>
              <w:t xml:space="preserve">mPa </w:t>
            </w:r>
          </w:p>
        </w:tc>
        <w:tc>
          <w:tcPr>
            <w:tcW w:w="3889" w:type="pct"/>
          </w:tcPr>
          <w:p w14:paraId="550B6ABB" w14:textId="77777777" w:rsidR="006D2452" w:rsidRDefault="006D2452" w:rsidP="00BA7F4F">
            <w:pPr>
              <w:pStyle w:val="TableText"/>
            </w:pPr>
            <w:r>
              <w:t xml:space="preserve">millipascal(s) </w:t>
            </w:r>
          </w:p>
        </w:tc>
      </w:tr>
      <w:tr w:rsidR="006D2452" w14:paraId="7FBAD7B5" w14:textId="77777777" w:rsidTr="002A3239">
        <w:tc>
          <w:tcPr>
            <w:tcW w:w="1111" w:type="pct"/>
          </w:tcPr>
          <w:p w14:paraId="5383B888" w14:textId="77777777" w:rsidR="006D2452" w:rsidRDefault="006D2452" w:rsidP="00BA7F4F">
            <w:pPr>
              <w:pStyle w:val="TableText"/>
            </w:pPr>
            <w:r>
              <w:t xml:space="preserve">MWHC </w:t>
            </w:r>
          </w:p>
        </w:tc>
        <w:tc>
          <w:tcPr>
            <w:tcW w:w="3889" w:type="pct"/>
          </w:tcPr>
          <w:p w14:paraId="7F4B1D95" w14:textId="77777777" w:rsidR="006D2452" w:rsidRDefault="006D2452" w:rsidP="00BA7F4F">
            <w:pPr>
              <w:pStyle w:val="TableText"/>
            </w:pPr>
            <w:r>
              <w:t xml:space="preserve">maximum water holding capacity </w:t>
            </w:r>
          </w:p>
        </w:tc>
      </w:tr>
      <w:tr w:rsidR="006D2452" w14:paraId="437456EC" w14:textId="77777777" w:rsidTr="002A3239">
        <w:tc>
          <w:tcPr>
            <w:tcW w:w="1111" w:type="pct"/>
          </w:tcPr>
          <w:p w14:paraId="3DF24140" w14:textId="77777777" w:rsidR="006D2452" w:rsidRDefault="006D2452" w:rsidP="00BA7F4F">
            <w:pPr>
              <w:pStyle w:val="TableText"/>
            </w:pPr>
            <w:r>
              <w:t xml:space="preserve">n/a </w:t>
            </w:r>
          </w:p>
        </w:tc>
        <w:tc>
          <w:tcPr>
            <w:tcW w:w="3889" w:type="pct"/>
          </w:tcPr>
          <w:p w14:paraId="11BE0FE4" w14:textId="77777777" w:rsidR="006D2452" w:rsidRDefault="006D2452" w:rsidP="00BA7F4F">
            <w:pPr>
              <w:pStyle w:val="TableText"/>
            </w:pPr>
            <w:r>
              <w:t xml:space="preserve">not applicable </w:t>
            </w:r>
          </w:p>
        </w:tc>
      </w:tr>
      <w:tr w:rsidR="006D2452" w14:paraId="38D8A473" w14:textId="77777777" w:rsidTr="002A3239">
        <w:tc>
          <w:tcPr>
            <w:tcW w:w="1111" w:type="pct"/>
          </w:tcPr>
          <w:p w14:paraId="10E02A0E" w14:textId="77777777" w:rsidR="006D2452" w:rsidRDefault="006D2452" w:rsidP="00BA7F4F">
            <w:pPr>
              <w:pStyle w:val="TableText"/>
            </w:pPr>
            <w:r>
              <w:t xml:space="preserve">nm </w:t>
            </w:r>
          </w:p>
        </w:tc>
        <w:tc>
          <w:tcPr>
            <w:tcW w:w="3889" w:type="pct"/>
          </w:tcPr>
          <w:p w14:paraId="02BA1C34" w14:textId="77777777" w:rsidR="006D2452" w:rsidRDefault="006D2452" w:rsidP="00BA7F4F">
            <w:pPr>
              <w:pStyle w:val="TableText"/>
            </w:pPr>
            <w:r>
              <w:t xml:space="preserve">nanometre(s) </w:t>
            </w:r>
          </w:p>
        </w:tc>
      </w:tr>
      <w:tr w:rsidR="006D2452" w14:paraId="09E1B7B8" w14:textId="77777777" w:rsidTr="002A3239">
        <w:tc>
          <w:tcPr>
            <w:tcW w:w="1111" w:type="pct"/>
          </w:tcPr>
          <w:p w14:paraId="6A29940A" w14:textId="77777777" w:rsidR="006D2452" w:rsidRDefault="006D2452" w:rsidP="00BA7F4F">
            <w:pPr>
              <w:pStyle w:val="TableText"/>
            </w:pPr>
            <w:r>
              <w:t xml:space="preserve">NOAEL </w:t>
            </w:r>
          </w:p>
        </w:tc>
        <w:tc>
          <w:tcPr>
            <w:tcW w:w="3889" w:type="pct"/>
          </w:tcPr>
          <w:p w14:paraId="58212051" w14:textId="77777777" w:rsidR="006D2452" w:rsidRDefault="006D2452" w:rsidP="00BA7F4F">
            <w:pPr>
              <w:pStyle w:val="TableText"/>
            </w:pPr>
            <w:r>
              <w:t xml:space="preserve">No observable adverse effect level </w:t>
            </w:r>
          </w:p>
        </w:tc>
      </w:tr>
      <w:tr w:rsidR="006D2452" w14:paraId="41A972B3" w14:textId="77777777" w:rsidTr="002A3239">
        <w:tc>
          <w:tcPr>
            <w:tcW w:w="1111" w:type="pct"/>
          </w:tcPr>
          <w:p w14:paraId="4F9781D7" w14:textId="77777777" w:rsidR="006D2452" w:rsidRDefault="006D2452" w:rsidP="00BA7F4F">
            <w:pPr>
              <w:pStyle w:val="TableText"/>
            </w:pPr>
            <w:r>
              <w:t xml:space="preserve">NOEC </w:t>
            </w:r>
          </w:p>
        </w:tc>
        <w:tc>
          <w:tcPr>
            <w:tcW w:w="3889" w:type="pct"/>
          </w:tcPr>
          <w:p w14:paraId="025CEAD4" w14:textId="77777777" w:rsidR="006D2452" w:rsidRDefault="006D2452" w:rsidP="00BA7F4F">
            <w:pPr>
              <w:pStyle w:val="TableText"/>
            </w:pPr>
            <w:r>
              <w:t xml:space="preserve">no observed effect concentration </w:t>
            </w:r>
          </w:p>
        </w:tc>
      </w:tr>
      <w:tr w:rsidR="006D2452" w14:paraId="107AF346" w14:textId="77777777" w:rsidTr="002A3239">
        <w:tc>
          <w:tcPr>
            <w:tcW w:w="1111" w:type="pct"/>
          </w:tcPr>
          <w:p w14:paraId="1CA212E6" w14:textId="77777777" w:rsidR="006D2452" w:rsidRDefault="006D2452" w:rsidP="00BA7F4F">
            <w:pPr>
              <w:pStyle w:val="TableText"/>
            </w:pPr>
            <w:r>
              <w:t xml:space="preserve">NOEC </w:t>
            </w:r>
          </w:p>
        </w:tc>
        <w:tc>
          <w:tcPr>
            <w:tcW w:w="3889" w:type="pct"/>
          </w:tcPr>
          <w:p w14:paraId="10BBD22E" w14:textId="77777777" w:rsidR="006D2452" w:rsidRDefault="006D2452" w:rsidP="00BA7F4F">
            <w:pPr>
              <w:pStyle w:val="TableText"/>
            </w:pPr>
            <w:r>
              <w:t xml:space="preserve">no observable effect concentration </w:t>
            </w:r>
          </w:p>
        </w:tc>
      </w:tr>
      <w:tr w:rsidR="006D2452" w14:paraId="46D094C5" w14:textId="77777777" w:rsidTr="002A3239">
        <w:tc>
          <w:tcPr>
            <w:tcW w:w="1111" w:type="pct"/>
          </w:tcPr>
          <w:p w14:paraId="57D37F9F" w14:textId="77777777" w:rsidR="006D2452" w:rsidRDefault="006D2452" w:rsidP="00BA7F4F">
            <w:pPr>
              <w:pStyle w:val="TableText"/>
            </w:pPr>
            <w:r>
              <w:t xml:space="preserve">NOEL </w:t>
            </w:r>
          </w:p>
        </w:tc>
        <w:tc>
          <w:tcPr>
            <w:tcW w:w="3889" w:type="pct"/>
          </w:tcPr>
          <w:p w14:paraId="67D3E3A1" w14:textId="77777777" w:rsidR="006D2452" w:rsidRDefault="006D2452" w:rsidP="00BA7F4F">
            <w:pPr>
              <w:pStyle w:val="TableText"/>
            </w:pPr>
            <w:r>
              <w:t xml:space="preserve">no observable effect level </w:t>
            </w:r>
          </w:p>
        </w:tc>
      </w:tr>
      <w:tr w:rsidR="006D2452" w14:paraId="2C3D6DF9" w14:textId="77777777" w:rsidTr="002A3239">
        <w:tc>
          <w:tcPr>
            <w:tcW w:w="1111" w:type="pct"/>
          </w:tcPr>
          <w:p w14:paraId="41C78DD0" w14:textId="77777777" w:rsidR="006D2452" w:rsidRDefault="006D2452" w:rsidP="00BA7F4F">
            <w:pPr>
              <w:pStyle w:val="TableText"/>
            </w:pPr>
            <w:r>
              <w:t xml:space="preserve">OC </w:t>
            </w:r>
          </w:p>
        </w:tc>
        <w:tc>
          <w:tcPr>
            <w:tcW w:w="3889" w:type="pct"/>
          </w:tcPr>
          <w:p w14:paraId="1F982E85" w14:textId="77777777" w:rsidR="006D2452" w:rsidRDefault="006D2452" w:rsidP="00BA7F4F">
            <w:pPr>
              <w:pStyle w:val="TableText"/>
            </w:pPr>
            <w:r>
              <w:t xml:space="preserve">organic carbon </w:t>
            </w:r>
          </w:p>
        </w:tc>
      </w:tr>
      <w:tr w:rsidR="006D2452" w14:paraId="50844695" w14:textId="77777777" w:rsidTr="002A3239">
        <w:tc>
          <w:tcPr>
            <w:tcW w:w="1111" w:type="pct"/>
          </w:tcPr>
          <w:p w14:paraId="4BB0B223" w14:textId="77777777" w:rsidR="006D2452" w:rsidRDefault="006D2452" w:rsidP="00BA7F4F">
            <w:pPr>
              <w:pStyle w:val="TableText"/>
            </w:pPr>
            <w:r>
              <w:t xml:space="preserve">OECD </w:t>
            </w:r>
          </w:p>
        </w:tc>
        <w:tc>
          <w:tcPr>
            <w:tcW w:w="3889" w:type="pct"/>
          </w:tcPr>
          <w:p w14:paraId="54AEC9E5" w14:textId="77777777" w:rsidR="006D2452" w:rsidRDefault="006D2452" w:rsidP="00BA7F4F">
            <w:pPr>
              <w:pStyle w:val="TableText"/>
            </w:pPr>
            <w:r>
              <w:t xml:space="preserve">Organisation for Economic Co-operation and Development </w:t>
            </w:r>
          </w:p>
        </w:tc>
      </w:tr>
      <w:tr w:rsidR="006D2452" w14:paraId="791F8AFD" w14:textId="77777777" w:rsidTr="002A3239">
        <w:tc>
          <w:tcPr>
            <w:tcW w:w="1111" w:type="pct"/>
          </w:tcPr>
          <w:p w14:paraId="5A4A96A7" w14:textId="77777777" w:rsidR="006D2452" w:rsidRDefault="006D2452" w:rsidP="00BA7F4F">
            <w:pPr>
              <w:pStyle w:val="TableText"/>
            </w:pPr>
            <w:r>
              <w:t xml:space="preserve">Pa </w:t>
            </w:r>
          </w:p>
        </w:tc>
        <w:tc>
          <w:tcPr>
            <w:tcW w:w="3889" w:type="pct"/>
          </w:tcPr>
          <w:p w14:paraId="7A82706A" w14:textId="77777777" w:rsidR="006D2452" w:rsidRDefault="006D2452" w:rsidP="00BA7F4F">
            <w:pPr>
              <w:pStyle w:val="TableText"/>
            </w:pPr>
            <w:r>
              <w:t xml:space="preserve">pascals </w:t>
            </w:r>
          </w:p>
        </w:tc>
      </w:tr>
      <w:tr w:rsidR="006D2452" w14:paraId="7EB9E423" w14:textId="77777777" w:rsidTr="002A3239">
        <w:tc>
          <w:tcPr>
            <w:tcW w:w="1111" w:type="pct"/>
          </w:tcPr>
          <w:p w14:paraId="4A240F1C" w14:textId="77777777" w:rsidR="006D2452" w:rsidRDefault="006D2452" w:rsidP="00BA7F4F">
            <w:pPr>
              <w:pStyle w:val="TableText"/>
            </w:pPr>
            <w:r>
              <w:t xml:space="preserve">PBT </w:t>
            </w:r>
          </w:p>
        </w:tc>
        <w:tc>
          <w:tcPr>
            <w:tcW w:w="3889" w:type="pct"/>
          </w:tcPr>
          <w:p w14:paraId="6464811B" w14:textId="77777777" w:rsidR="006D2452" w:rsidRDefault="006D2452" w:rsidP="00BA7F4F">
            <w:pPr>
              <w:pStyle w:val="TableText"/>
            </w:pPr>
            <w:r>
              <w:t xml:space="preserve">persistent – bioaccumulative – toxic </w:t>
            </w:r>
          </w:p>
        </w:tc>
      </w:tr>
      <w:tr w:rsidR="006D2452" w14:paraId="68F4A359" w14:textId="77777777" w:rsidTr="002A3239">
        <w:tc>
          <w:tcPr>
            <w:tcW w:w="1111" w:type="pct"/>
          </w:tcPr>
          <w:p w14:paraId="3C72122B" w14:textId="77777777" w:rsidR="006D2452" w:rsidRDefault="006D2452" w:rsidP="00BA7F4F">
            <w:pPr>
              <w:pStyle w:val="TableText"/>
            </w:pPr>
            <w:r>
              <w:t xml:space="preserve">PEC </w:t>
            </w:r>
          </w:p>
        </w:tc>
        <w:tc>
          <w:tcPr>
            <w:tcW w:w="3889" w:type="pct"/>
          </w:tcPr>
          <w:p w14:paraId="7F2FD468" w14:textId="77777777" w:rsidR="006D2452" w:rsidRDefault="006D2452" w:rsidP="00BA7F4F">
            <w:pPr>
              <w:pStyle w:val="TableText"/>
            </w:pPr>
            <w:r>
              <w:t xml:space="preserve">predicted environmental concentration </w:t>
            </w:r>
          </w:p>
        </w:tc>
      </w:tr>
      <w:tr w:rsidR="006D2452" w14:paraId="00270F0F" w14:textId="77777777" w:rsidTr="002A3239">
        <w:tc>
          <w:tcPr>
            <w:tcW w:w="1111" w:type="pct"/>
          </w:tcPr>
          <w:p w14:paraId="540392A1" w14:textId="77777777" w:rsidR="006D2452" w:rsidRDefault="006D2452" w:rsidP="00BA7F4F">
            <w:pPr>
              <w:pStyle w:val="TableText"/>
            </w:pPr>
            <w:r>
              <w:t xml:space="preserve">POP </w:t>
            </w:r>
          </w:p>
        </w:tc>
        <w:tc>
          <w:tcPr>
            <w:tcW w:w="3889" w:type="pct"/>
          </w:tcPr>
          <w:p w14:paraId="281D1E7B" w14:textId="77777777" w:rsidR="006D2452" w:rsidRDefault="006D2452" w:rsidP="00BA7F4F">
            <w:pPr>
              <w:pStyle w:val="TableText"/>
            </w:pPr>
            <w:r>
              <w:t xml:space="preserve">persistent organic pollutant </w:t>
            </w:r>
          </w:p>
        </w:tc>
      </w:tr>
      <w:tr w:rsidR="006D2452" w14:paraId="2A884D85" w14:textId="77777777" w:rsidTr="002A3239">
        <w:tc>
          <w:tcPr>
            <w:tcW w:w="1111" w:type="pct"/>
          </w:tcPr>
          <w:p w14:paraId="757952AA" w14:textId="77777777" w:rsidR="006D2452" w:rsidRDefault="006D2452" w:rsidP="00BA7F4F">
            <w:pPr>
              <w:pStyle w:val="TableText"/>
            </w:pPr>
            <w:r>
              <w:t xml:space="preserve">Pow </w:t>
            </w:r>
          </w:p>
        </w:tc>
        <w:tc>
          <w:tcPr>
            <w:tcW w:w="3889" w:type="pct"/>
          </w:tcPr>
          <w:p w14:paraId="4A654802" w14:textId="77777777" w:rsidR="006D2452" w:rsidRDefault="006D2452" w:rsidP="00BA7F4F">
            <w:pPr>
              <w:pStyle w:val="TableText"/>
            </w:pPr>
            <w:r>
              <w:t xml:space="preserve">octanol-water partition coefficient </w:t>
            </w:r>
          </w:p>
        </w:tc>
      </w:tr>
      <w:tr w:rsidR="000A5DDA" w14:paraId="6B3D9093" w14:textId="77777777" w:rsidTr="002A3239">
        <w:tc>
          <w:tcPr>
            <w:tcW w:w="1111" w:type="pct"/>
          </w:tcPr>
          <w:p w14:paraId="45718944" w14:textId="57E0D701" w:rsidR="000A5DDA" w:rsidRDefault="000A5DDA" w:rsidP="00BA7F4F">
            <w:pPr>
              <w:pStyle w:val="TableText"/>
            </w:pPr>
            <w:r w:rsidRPr="00623659">
              <w:t>QSAR</w:t>
            </w:r>
          </w:p>
        </w:tc>
        <w:tc>
          <w:tcPr>
            <w:tcW w:w="3889" w:type="pct"/>
          </w:tcPr>
          <w:p w14:paraId="2FABC1FB" w14:textId="5F9475DA" w:rsidR="000A5DDA" w:rsidRDefault="000A5DDA" w:rsidP="00BA7F4F">
            <w:pPr>
              <w:pStyle w:val="TableText"/>
            </w:pPr>
            <w:r>
              <w:t>q</w:t>
            </w:r>
            <w:r w:rsidRPr="000A5DDA">
              <w:t>uantitative structure–activity relationship</w:t>
            </w:r>
          </w:p>
        </w:tc>
      </w:tr>
      <w:tr w:rsidR="006D2452" w14:paraId="352B023F" w14:textId="77777777" w:rsidTr="002A3239">
        <w:tc>
          <w:tcPr>
            <w:tcW w:w="1111" w:type="pct"/>
          </w:tcPr>
          <w:p w14:paraId="070D02EA" w14:textId="77777777" w:rsidR="006D2452" w:rsidRDefault="006D2452" w:rsidP="00BA7F4F">
            <w:pPr>
              <w:pStyle w:val="TableText"/>
            </w:pPr>
            <w:r>
              <w:t xml:space="preserve">RAL </w:t>
            </w:r>
          </w:p>
        </w:tc>
        <w:tc>
          <w:tcPr>
            <w:tcW w:w="3889" w:type="pct"/>
          </w:tcPr>
          <w:p w14:paraId="1935848E" w14:textId="77777777" w:rsidR="006D2452" w:rsidRDefault="006D2452" w:rsidP="00BA7F4F">
            <w:pPr>
              <w:pStyle w:val="TableText"/>
            </w:pPr>
            <w:r>
              <w:t xml:space="preserve">regulatory acceptable level </w:t>
            </w:r>
          </w:p>
        </w:tc>
      </w:tr>
      <w:tr w:rsidR="006D2452" w14:paraId="01489AD3" w14:textId="77777777" w:rsidTr="002A3239">
        <w:tc>
          <w:tcPr>
            <w:tcW w:w="1111" w:type="pct"/>
          </w:tcPr>
          <w:p w14:paraId="4E01E960" w14:textId="77777777" w:rsidR="006D2452" w:rsidRDefault="006D2452" w:rsidP="00BA7F4F">
            <w:pPr>
              <w:pStyle w:val="TableText"/>
            </w:pPr>
            <w:r>
              <w:t xml:space="preserve">RQ </w:t>
            </w:r>
          </w:p>
        </w:tc>
        <w:tc>
          <w:tcPr>
            <w:tcW w:w="3889" w:type="pct"/>
          </w:tcPr>
          <w:p w14:paraId="3A62F472" w14:textId="77777777" w:rsidR="006D2452" w:rsidRDefault="006D2452" w:rsidP="00BA7F4F">
            <w:pPr>
              <w:pStyle w:val="TableText"/>
            </w:pPr>
            <w:r>
              <w:t xml:space="preserve">risk quotient </w:t>
            </w:r>
          </w:p>
        </w:tc>
      </w:tr>
      <w:tr w:rsidR="006D2452" w14:paraId="475193D0" w14:textId="77777777" w:rsidTr="002A3239">
        <w:tc>
          <w:tcPr>
            <w:tcW w:w="1111" w:type="pct"/>
          </w:tcPr>
          <w:p w14:paraId="59684939" w14:textId="77777777" w:rsidR="006D2452" w:rsidRDefault="006D2452" w:rsidP="00BA7F4F">
            <w:pPr>
              <w:pStyle w:val="TableText"/>
            </w:pPr>
            <w:r>
              <w:t xml:space="preserve">SFO </w:t>
            </w:r>
          </w:p>
        </w:tc>
        <w:tc>
          <w:tcPr>
            <w:tcW w:w="3889" w:type="pct"/>
          </w:tcPr>
          <w:p w14:paraId="10CDEEDF" w14:textId="77777777" w:rsidR="006D2452" w:rsidRDefault="006D2452" w:rsidP="00BA7F4F">
            <w:pPr>
              <w:pStyle w:val="TableText"/>
            </w:pPr>
            <w:r>
              <w:t xml:space="preserve">single first order </w:t>
            </w:r>
          </w:p>
        </w:tc>
      </w:tr>
      <w:tr w:rsidR="006D2452" w14:paraId="181EF838" w14:textId="77777777" w:rsidTr="002A3239">
        <w:tc>
          <w:tcPr>
            <w:tcW w:w="1111" w:type="pct"/>
          </w:tcPr>
          <w:p w14:paraId="1FA07240" w14:textId="77777777" w:rsidR="006D2452" w:rsidRDefault="006D2452" w:rsidP="00BA7F4F">
            <w:pPr>
              <w:pStyle w:val="TableText"/>
            </w:pPr>
            <w:r>
              <w:t xml:space="preserve">SL </w:t>
            </w:r>
          </w:p>
        </w:tc>
        <w:tc>
          <w:tcPr>
            <w:tcW w:w="3889" w:type="pct"/>
          </w:tcPr>
          <w:p w14:paraId="694BB300" w14:textId="77777777" w:rsidR="006D2452" w:rsidRDefault="006D2452" w:rsidP="00BA7F4F">
            <w:pPr>
              <w:pStyle w:val="TableText"/>
            </w:pPr>
            <w:r>
              <w:t xml:space="preserve">soluble concentrate </w:t>
            </w:r>
          </w:p>
        </w:tc>
      </w:tr>
      <w:tr w:rsidR="006D2452" w14:paraId="58A65723" w14:textId="77777777" w:rsidTr="002A3239">
        <w:tc>
          <w:tcPr>
            <w:tcW w:w="1111" w:type="pct"/>
          </w:tcPr>
          <w:p w14:paraId="7725416D" w14:textId="77777777" w:rsidR="006D2452" w:rsidRDefault="006D2452" w:rsidP="00BA7F4F">
            <w:pPr>
              <w:pStyle w:val="TableText"/>
            </w:pPr>
            <w:r>
              <w:lastRenderedPageBreak/>
              <w:t xml:space="preserve">TLC </w:t>
            </w:r>
          </w:p>
        </w:tc>
        <w:tc>
          <w:tcPr>
            <w:tcW w:w="3889" w:type="pct"/>
          </w:tcPr>
          <w:p w14:paraId="6B4BDE91" w14:textId="77777777" w:rsidR="006D2452" w:rsidRDefault="006D2452" w:rsidP="00BA7F4F">
            <w:pPr>
              <w:pStyle w:val="TableText"/>
            </w:pPr>
            <w:r>
              <w:t xml:space="preserve">thin layer chromatography </w:t>
            </w:r>
          </w:p>
        </w:tc>
      </w:tr>
      <w:tr w:rsidR="006D2452" w14:paraId="34159787" w14:textId="77777777" w:rsidTr="002A3239">
        <w:tc>
          <w:tcPr>
            <w:tcW w:w="1111" w:type="pct"/>
          </w:tcPr>
          <w:p w14:paraId="0069BA4D" w14:textId="77777777" w:rsidR="006D2452" w:rsidRDefault="006D2452" w:rsidP="00BA7F4F">
            <w:pPr>
              <w:pStyle w:val="TableText"/>
            </w:pPr>
            <w:r>
              <w:t xml:space="preserve">unk </w:t>
            </w:r>
          </w:p>
        </w:tc>
        <w:tc>
          <w:tcPr>
            <w:tcW w:w="3889" w:type="pct"/>
          </w:tcPr>
          <w:p w14:paraId="731CD49E" w14:textId="77777777" w:rsidR="006D2452" w:rsidRDefault="006D2452" w:rsidP="00BA7F4F">
            <w:pPr>
              <w:pStyle w:val="TableText"/>
            </w:pPr>
            <w:r>
              <w:t xml:space="preserve">unknown </w:t>
            </w:r>
          </w:p>
        </w:tc>
      </w:tr>
      <w:tr w:rsidR="006D2452" w14:paraId="0EA0D1F2" w14:textId="77777777" w:rsidTr="002A3239">
        <w:tc>
          <w:tcPr>
            <w:tcW w:w="1111" w:type="pct"/>
          </w:tcPr>
          <w:p w14:paraId="3B62EE16" w14:textId="77777777" w:rsidR="006D2452" w:rsidRDefault="006D2452" w:rsidP="00BA7F4F">
            <w:pPr>
              <w:pStyle w:val="TableText"/>
            </w:pPr>
            <w:r>
              <w:t xml:space="preserve">USEPA </w:t>
            </w:r>
          </w:p>
        </w:tc>
        <w:tc>
          <w:tcPr>
            <w:tcW w:w="3889" w:type="pct"/>
          </w:tcPr>
          <w:p w14:paraId="5D5485E0" w14:textId="77777777" w:rsidR="006D2452" w:rsidRDefault="006D2452" w:rsidP="00BA7F4F">
            <w:pPr>
              <w:pStyle w:val="TableText"/>
            </w:pPr>
            <w:r>
              <w:t xml:space="preserve">United States Environmental Protection Agency </w:t>
            </w:r>
          </w:p>
        </w:tc>
      </w:tr>
      <w:tr w:rsidR="006D2452" w14:paraId="505A89FF" w14:textId="77777777" w:rsidTr="002A3239">
        <w:tc>
          <w:tcPr>
            <w:tcW w:w="1111" w:type="pct"/>
          </w:tcPr>
          <w:p w14:paraId="690B862D" w14:textId="77777777" w:rsidR="006D2452" w:rsidRDefault="006D2452" w:rsidP="00BA7F4F">
            <w:pPr>
              <w:pStyle w:val="TableText"/>
            </w:pPr>
            <w:r>
              <w:t xml:space="preserve">UV </w:t>
            </w:r>
          </w:p>
        </w:tc>
        <w:tc>
          <w:tcPr>
            <w:tcW w:w="3889" w:type="pct"/>
          </w:tcPr>
          <w:p w14:paraId="7A274A4E" w14:textId="77777777" w:rsidR="006D2452" w:rsidRDefault="006D2452" w:rsidP="00BA7F4F">
            <w:pPr>
              <w:pStyle w:val="TableText"/>
            </w:pPr>
            <w:r>
              <w:t xml:space="preserve">ultraviolet </w:t>
            </w:r>
          </w:p>
        </w:tc>
      </w:tr>
      <w:tr w:rsidR="006D2452" w14:paraId="60769B12" w14:textId="77777777" w:rsidTr="002A3239">
        <w:tc>
          <w:tcPr>
            <w:tcW w:w="1111" w:type="pct"/>
          </w:tcPr>
          <w:p w14:paraId="3C6CD8A0" w14:textId="77777777" w:rsidR="006D2452" w:rsidRDefault="006D2452" w:rsidP="00BA7F4F">
            <w:pPr>
              <w:pStyle w:val="TableText"/>
            </w:pPr>
            <w:r>
              <w:t xml:space="preserve">VIS </w:t>
            </w:r>
          </w:p>
        </w:tc>
        <w:tc>
          <w:tcPr>
            <w:tcW w:w="3889" w:type="pct"/>
          </w:tcPr>
          <w:p w14:paraId="36BF3590" w14:textId="77777777" w:rsidR="006D2452" w:rsidRDefault="006D2452" w:rsidP="00BA7F4F">
            <w:pPr>
              <w:pStyle w:val="TableText"/>
            </w:pPr>
            <w:r>
              <w:t xml:space="preserve">visible </w:t>
            </w:r>
          </w:p>
        </w:tc>
      </w:tr>
      <w:tr w:rsidR="006D2452" w14:paraId="2E962906" w14:textId="77777777" w:rsidTr="002A3239">
        <w:tc>
          <w:tcPr>
            <w:tcW w:w="1111" w:type="pct"/>
          </w:tcPr>
          <w:p w14:paraId="4127DF80" w14:textId="77777777" w:rsidR="006D2452" w:rsidRDefault="006D2452" w:rsidP="00BA7F4F">
            <w:pPr>
              <w:pStyle w:val="TableText"/>
            </w:pPr>
            <w:r>
              <w:t xml:space="preserve">w/w </w:t>
            </w:r>
          </w:p>
        </w:tc>
        <w:tc>
          <w:tcPr>
            <w:tcW w:w="3889" w:type="pct"/>
          </w:tcPr>
          <w:p w14:paraId="31B602CC" w14:textId="77777777" w:rsidR="006D2452" w:rsidRDefault="006D2452" w:rsidP="00BA7F4F">
            <w:pPr>
              <w:pStyle w:val="TableText"/>
            </w:pPr>
            <w:r>
              <w:t xml:space="preserve">weight per weight </w:t>
            </w:r>
          </w:p>
        </w:tc>
      </w:tr>
      <w:tr w:rsidR="006D2452" w14:paraId="3F43A9A9" w14:textId="77777777" w:rsidTr="002A3239">
        <w:tc>
          <w:tcPr>
            <w:tcW w:w="1111" w:type="pct"/>
          </w:tcPr>
          <w:p w14:paraId="51B087A5" w14:textId="77777777" w:rsidR="006D2452" w:rsidRDefault="006D2452" w:rsidP="00BA7F4F">
            <w:pPr>
              <w:pStyle w:val="TableText"/>
            </w:pPr>
            <w:r>
              <w:t xml:space="preserve">w/w </w:t>
            </w:r>
          </w:p>
        </w:tc>
        <w:tc>
          <w:tcPr>
            <w:tcW w:w="3889" w:type="pct"/>
          </w:tcPr>
          <w:p w14:paraId="7C50B52E" w14:textId="77777777" w:rsidR="006D2452" w:rsidRDefault="006D2452" w:rsidP="00BA7F4F">
            <w:pPr>
              <w:pStyle w:val="TableText"/>
            </w:pPr>
            <w:r>
              <w:t xml:space="preserve">weight per weight </w:t>
            </w:r>
          </w:p>
        </w:tc>
      </w:tr>
      <w:tr w:rsidR="006D2452" w14:paraId="3C6FF5E3" w14:textId="77777777" w:rsidTr="002A3239">
        <w:tc>
          <w:tcPr>
            <w:tcW w:w="1111" w:type="pct"/>
          </w:tcPr>
          <w:p w14:paraId="249FCC2B" w14:textId="77777777" w:rsidR="006D2452" w:rsidRDefault="006D2452" w:rsidP="00BA7F4F">
            <w:pPr>
              <w:pStyle w:val="TableText"/>
            </w:pPr>
            <w:r>
              <w:t xml:space="preserve">μg </w:t>
            </w:r>
          </w:p>
        </w:tc>
        <w:tc>
          <w:tcPr>
            <w:tcW w:w="3889" w:type="pct"/>
          </w:tcPr>
          <w:p w14:paraId="21686178" w14:textId="77777777" w:rsidR="006D2452" w:rsidRDefault="006D2452" w:rsidP="00BA7F4F">
            <w:pPr>
              <w:pStyle w:val="TableText"/>
            </w:pPr>
            <w:r>
              <w:t xml:space="preserve">micrograms </w:t>
            </w:r>
          </w:p>
        </w:tc>
      </w:tr>
    </w:tbl>
    <w:p w14:paraId="517CEFC3" w14:textId="77777777" w:rsidR="009D452E" w:rsidRDefault="009D452E">
      <w:pPr>
        <w:pStyle w:val="NormalText"/>
        <w:tabs>
          <w:tab w:val="left" w:pos="1361"/>
        </w:tabs>
        <w:sectPr w:rsidR="009D452E">
          <w:headerReference w:type="even" r:id="rId41"/>
          <w:pgSz w:w="11906" w:h="16838" w:code="9"/>
          <w:pgMar w:top="2835" w:right="1134" w:bottom="1134" w:left="1134" w:header="1701" w:footer="680" w:gutter="0"/>
          <w:cols w:space="708"/>
          <w:docGrid w:linePitch="360"/>
        </w:sectPr>
      </w:pPr>
    </w:p>
    <w:p w14:paraId="40559981" w14:textId="4D5D2A96" w:rsidR="002E20AC" w:rsidRDefault="002E20AC" w:rsidP="00377F3A">
      <w:pPr>
        <w:pStyle w:val="APVMAAppendixH1"/>
      </w:pPr>
      <w:bookmarkStart w:id="2191" w:name="_Toc414373849"/>
      <w:bookmarkStart w:id="2192" w:name="_Toc135232604"/>
      <w:bookmarkStart w:id="2193" w:name="_Toc214025639"/>
      <w:bookmarkStart w:id="2194" w:name="_Toc216695661"/>
      <w:r>
        <w:lastRenderedPageBreak/>
        <w:t>G</w:t>
      </w:r>
      <w:r w:rsidR="005720AA">
        <w:rPr>
          <w:caps w:val="0"/>
        </w:rPr>
        <w:t>lossary</w:t>
      </w:r>
      <w:bookmarkEnd w:id="2123"/>
      <w:bookmarkEnd w:id="2191"/>
      <w:bookmarkEnd w:id="2192"/>
      <w:bookmarkEnd w:id="2193"/>
      <w:bookmarkEnd w:id="219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754A76" w14:paraId="77421843" w14:textId="77777777" w:rsidTr="00DC0950">
        <w:trPr>
          <w:tblHeader/>
        </w:trPr>
        <w:tc>
          <w:tcPr>
            <w:tcW w:w="1111" w:type="pct"/>
            <w:shd w:val="clear" w:color="auto" w:fill="53284F"/>
          </w:tcPr>
          <w:p w14:paraId="7036488F" w14:textId="77777777" w:rsidR="00754A76" w:rsidRPr="00572D44" w:rsidRDefault="00754A76" w:rsidP="00BA7F4F">
            <w:pPr>
              <w:pStyle w:val="TableHead"/>
            </w:pPr>
            <w:r w:rsidRPr="00572D44">
              <w:t>Term</w:t>
            </w:r>
          </w:p>
        </w:tc>
        <w:tc>
          <w:tcPr>
            <w:tcW w:w="3889" w:type="pct"/>
            <w:shd w:val="clear" w:color="auto" w:fill="53284F"/>
          </w:tcPr>
          <w:p w14:paraId="6D8A8CA2" w14:textId="77777777" w:rsidR="00754A76" w:rsidRPr="00572D44" w:rsidRDefault="00754A76" w:rsidP="00BA7F4F">
            <w:pPr>
              <w:pStyle w:val="TableHead"/>
            </w:pPr>
            <w:r w:rsidRPr="00572D44">
              <w:t>Description</w:t>
            </w:r>
          </w:p>
        </w:tc>
      </w:tr>
      <w:tr w:rsidR="00754A76" w14:paraId="661A76FA" w14:textId="77777777" w:rsidTr="002A3239">
        <w:tc>
          <w:tcPr>
            <w:tcW w:w="1111" w:type="pct"/>
          </w:tcPr>
          <w:p w14:paraId="3BE26C24" w14:textId="77777777" w:rsidR="00754A76" w:rsidRDefault="00754A76" w:rsidP="00BA7F4F">
            <w:pPr>
              <w:pStyle w:val="TableText"/>
            </w:pPr>
            <w:r>
              <w:t xml:space="preserve">active constituent </w:t>
            </w:r>
          </w:p>
        </w:tc>
        <w:tc>
          <w:tcPr>
            <w:tcW w:w="3889" w:type="pct"/>
          </w:tcPr>
          <w:p w14:paraId="785B6ABB" w14:textId="77777777" w:rsidR="00754A76" w:rsidRDefault="00754A76" w:rsidP="00BA7F4F">
            <w:pPr>
              <w:pStyle w:val="TableText"/>
            </w:pPr>
            <w:r>
              <w:t xml:space="preserve">The substance that is primarily responsible for the effect produced by a chemical product </w:t>
            </w:r>
          </w:p>
        </w:tc>
      </w:tr>
      <w:tr w:rsidR="00754A76" w14:paraId="512F51A1" w14:textId="77777777" w:rsidTr="002A3239">
        <w:tc>
          <w:tcPr>
            <w:tcW w:w="1111" w:type="pct"/>
          </w:tcPr>
          <w:p w14:paraId="20533628" w14:textId="77777777" w:rsidR="00754A76" w:rsidRDefault="00754A76" w:rsidP="00BA7F4F">
            <w:pPr>
              <w:pStyle w:val="TableText"/>
            </w:pPr>
            <w:r>
              <w:t xml:space="preserve">acute exposure </w:t>
            </w:r>
          </w:p>
        </w:tc>
        <w:tc>
          <w:tcPr>
            <w:tcW w:w="3889" w:type="pct"/>
          </w:tcPr>
          <w:p w14:paraId="33514E23" w14:textId="77777777" w:rsidR="00754A76" w:rsidRDefault="00754A76" w:rsidP="00BA7F4F">
            <w:pPr>
              <w:pStyle w:val="TableText"/>
            </w:pPr>
            <w:r>
              <w:t xml:space="preserve">Contact between a pesticide and a target occurring over a short time (e.g., less than a day) </w:t>
            </w:r>
          </w:p>
        </w:tc>
      </w:tr>
      <w:tr w:rsidR="00DA7D5E" w14:paraId="07F03F69" w14:textId="77777777" w:rsidTr="002A3239">
        <w:tc>
          <w:tcPr>
            <w:tcW w:w="1111" w:type="pct"/>
          </w:tcPr>
          <w:p w14:paraId="61DFE240" w14:textId="61B41D5D" w:rsidR="00DA7D5E" w:rsidRDefault="00DA7D5E" w:rsidP="00BA7F4F">
            <w:pPr>
              <w:pStyle w:val="TableText"/>
            </w:pPr>
            <w:r>
              <w:t>a</w:t>
            </w:r>
            <w:r w:rsidRPr="00DA7D5E">
              <w:t>cute tolerable intake</w:t>
            </w:r>
          </w:p>
        </w:tc>
        <w:tc>
          <w:tcPr>
            <w:tcW w:w="3889" w:type="pct"/>
          </w:tcPr>
          <w:p w14:paraId="64F78D2F" w14:textId="66334C93" w:rsidR="00DA7D5E" w:rsidRDefault="00DA7D5E" w:rsidP="00BA7F4F">
            <w:pPr>
              <w:pStyle w:val="TableText"/>
            </w:pPr>
            <w:r>
              <w:t>For humans: t</w:t>
            </w:r>
            <w:r w:rsidRPr="00DA7D5E">
              <w:t>he amount of a chemical contaminant in food or drinking-water, (expressed as mg/kg of body weight), that can be ingested or absorbed over 24 hours or less, without appreciable health risk.</w:t>
            </w:r>
          </w:p>
        </w:tc>
      </w:tr>
      <w:tr w:rsidR="00754A76" w14:paraId="25C4787F" w14:textId="77777777" w:rsidTr="002A3239">
        <w:tc>
          <w:tcPr>
            <w:tcW w:w="1111" w:type="pct"/>
          </w:tcPr>
          <w:p w14:paraId="67C3F631" w14:textId="77777777" w:rsidR="00754A76" w:rsidRDefault="00754A76" w:rsidP="00BA7F4F">
            <w:pPr>
              <w:pStyle w:val="TableText"/>
            </w:pPr>
            <w:r>
              <w:t xml:space="preserve">acute toxicity </w:t>
            </w:r>
          </w:p>
        </w:tc>
        <w:tc>
          <w:tcPr>
            <w:tcW w:w="3889" w:type="pct"/>
          </w:tcPr>
          <w:p w14:paraId="63C8B494" w14:textId="77777777" w:rsidR="00754A76" w:rsidRDefault="00754A76" w:rsidP="00BA7F4F">
            <w:pPr>
              <w:pStyle w:val="TableText"/>
            </w:pPr>
            <w:r>
              <w:t xml:space="preserve">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 </w:t>
            </w:r>
          </w:p>
        </w:tc>
      </w:tr>
      <w:tr w:rsidR="00754A76" w14:paraId="1433E528" w14:textId="77777777" w:rsidTr="002A3239">
        <w:tc>
          <w:tcPr>
            <w:tcW w:w="1111" w:type="pct"/>
          </w:tcPr>
          <w:p w14:paraId="39EF1894" w14:textId="6791BDF4" w:rsidR="00754A76" w:rsidRDefault="00754A76" w:rsidP="00BA7F4F">
            <w:pPr>
              <w:pStyle w:val="TableText"/>
            </w:pPr>
            <w:r>
              <w:t xml:space="preserve">adsorption constant </w:t>
            </w:r>
          </w:p>
        </w:tc>
        <w:tc>
          <w:tcPr>
            <w:tcW w:w="3889" w:type="pct"/>
          </w:tcPr>
          <w:p w14:paraId="248EC54D" w14:textId="5D312A1B" w:rsidR="00754A76" w:rsidRDefault="00754A76" w:rsidP="00BA7F4F">
            <w:pPr>
              <w:pStyle w:val="TableText"/>
            </w:pPr>
            <w:r>
              <w:t xml:space="preserve">A measure of the tendency of a chemical to bind to soils </w:t>
            </w:r>
          </w:p>
        </w:tc>
      </w:tr>
      <w:tr w:rsidR="00754A76" w14:paraId="28960949" w14:textId="77777777" w:rsidTr="002A3239">
        <w:tc>
          <w:tcPr>
            <w:tcW w:w="1111" w:type="pct"/>
          </w:tcPr>
          <w:p w14:paraId="25EADC44" w14:textId="77777777" w:rsidR="00754A76" w:rsidRDefault="00754A76" w:rsidP="00BA7F4F">
            <w:pPr>
              <w:pStyle w:val="TableText"/>
            </w:pPr>
            <w:r>
              <w:t xml:space="preserve">adverse effect </w:t>
            </w:r>
          </w:p>
        </w:tc>
        <w:tc>
          <w:tcPr>
            <w:tcW w:w="3889" w:type="pct"/>
          </w:tcPr>
          <w:p w14:paraId="3E10E10A" w14:textId="77777777" w:rsidR="00754A76" w:rsidRDefault="00754A76" w:rsidP="00BA7F4F">
            <w:pPr>
              <w:pStyle w:val="TableText"/>
            </w:pPr>
            <w:r>
              <w:t xml:space="preserve">Change in the morphology, physiology, growth, development, reproduction or life span of an organism, system, or subpopulation that results in impairment of the capacity to compensate for additional stress, or an increase in susceptibility to other influences </w:t>
            </w:r>
          </w:p>
        </w:tc>
      </w:tr>
      <w:tr w:rsidR="00754A76" w14:paraId="0F566F08" w14:textId="77777777" w:rsidTr="002A3239">
        <w:tc>
          <w:tcPr>
            <w:tcW w:w="1111" w:type="pct"/>
          </w:tcPr>
          <w:p w14:paraId="7AF34589" w14:textId="77777777" w:rsidR="00754A76" w:rsidRDefault="00754A76" w:rsidP="00BA7F4F">
            <w:pPr>
              <w:pStyle w:val="TableText"/>
            </w:pPr>
            <w:r>
              <w:t xml:space="preserve">aged residue </w:t>
            </w:r>
          </w:p>
        </w:tc>
        <w:tc>
          <w:tcPr>
            <w:tcW w:w="3889" w:type="pct"/>
          </w:tcPr>
          <w:p w14:paraId="61BF9F7D" w14:textId="77777777" w:rsidR="00754A76" w:rsidRDefault="00754A76" w:rsidP="00BA7F4F">
            <w:pPr>
              <w:pStyle w:val="TableText"/>
            </w:pPr>
            <w:r>
              <w:t xml:space="preserve">Residues of a pesticide or its degradates in soil that have diffused into intra-particulate regions following application and have become less accessible to mass transfer and bioabsorption processes, although still amenable to solvent extraction </w:t>
            </w:r>
          </w:p>
        </w:tc>
      </w:tr>
      <w:tr w:rsidR="00754A76" w14:paraId="3F2E327E" w14:textId="77777777" w:rsidTr="002A3239">
        <w:tc>
          <w:tcPr>
            <w:tcW w:w="1111" w:type="pct"/>
          </w:tcPr>
          <w:p w14:paraId="01EE399C" w14:textId="77777777" w:rsidR="00754A76" w:rsidRDefault="00754A76" w:rsidP="00BA7F4F">
            <w:pPr>
              <w:pStyle w:val="TableText"/>
            </w:pPr>
            <w:r>
              <w:t xml:space="preserve">agricultural crop </w:t>
            </w:r>
          </w:p>
        </w:tc>
        <w:tc>
          <w:tcPr>
            <w:tcW w:w="3889" w:type="pct"/>
          </w:tcPr>
          <w:p w14:paraId="2B24D5E3" w14:textId="77777777" w:rsidR="00754A76" w:rsidRDefault="00754A76" w:rsidP="00BA7F4F">
            <w:pPr>
              <w:pStyle w:val="TableText"/>
            </w:pPr>
            <w:r>
              <w:t xml:space="preserve">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 </w:t>
            </w:r>
          </w:p>
        </w:tc>
      </w:tr>
      <w:tr w:rsidR="00754A76" w14:paraId="51B98C66" w14:textId="77777777" w:rsidTr="002A3239">
        <w:tc>
          <w:tcPr>
            <w:tcW w:w="1111" w:type="pct"/>
          </w:tcPr>
          <w:p w14:paraId="69AE5E5F" w14:textId="77777777" w:rsidR="00754A76" w:rsidRDefault="00754A76" w:rsidP="00BA7F4F">
            <w:pPr>
              <w:pStyle w:val="TableText"/>
            </w:pPr>
            <w:r>
              <w:t xml:space="preserve">aquatic </w:t>
            </w:r>
          </w:p>
        </w:tc>
        <w:tc>
          <w:tcPr>
            <w:tcW w:w="3889" w:type="pct"/>
          </w:tcPr>
          <w:p w14:paraId="61674471" w14:textId="77777777" w:rsidR="00754A76" w:rsidRDefault="00754A76" w:rsidP="00BA7F4F">
            <w:pPr>
              <w:pStyle w:val="TableText"/>
            </w:pPr>
            <w:r>
              <w:t xml:space="preserve">Relating to water or sediment, as distinct from land or air </w:t>
            </w:r>
          </w:p>
        </w:tc>
      </w:tr>
      <w:tr w:rsidR="00754A76" w14:paraId="22FFA607" w14:textId="77777777" w:rsidTr="002A3239">
        <w:tc>
          <w:tcPr>
            <w:tcW w:w="1111" w:type="pct"/>
          </w:tcPr>
          <w:p w14:paraId="564C0DBA" w14:textId="77777777" w:rsidR="00754A76" w:rsidRDefault="00754A76" w:rsidP="00BA7F4F">
            <w:pPr>
              <w:pStyle w:val="TableText"/>
            </w:pPr>
            <w:r>
              <w:t xml:space="preserve">assessment factor </w:t>
            </w:r>
          </w:p>
        </w:tc>
        <w:tc>
          <w:tcPr>
            <w:tcW w:w="3889" w:type="pct"/>
          </w:tcPr>
          <w:p w14:paraId="3EB78F42" w14:textId="77777777" w:rsidR="00754A76" w:rsidRDefault="00754A76" w:rsidP="00BA7F4F">
            <w:pPr>
              <w:pStyle w:val="TableText"/>
            </w:pPr>
            <w:r>
              <w:t xml:space="preserve">Reductive factor by which an observed or estimated endpoint of a pesticide is divided to arrive at a regulatory acceptable level </w:t>
            </w:r>
          </w:p>
        </w:tc>
      </w:tr>
      <w:tr w:rsidR="00754A76" w14:paraId="4AC8AFA1" w14:textId="77777777" w:rsidTr="002A3239">
        <w:tc>
          <w:tcPr>
            <w:tcW w:w="1111" w:type="pct"/>
          </w:tcPr>
          <w:p w14:paraId="11963CF4" w14:textId="77777777" w:rsidR="00754A76" w:rsidRDefault="00754A76" w:rsidP="00BA7F4F">
            <w:pPr>
              <w:pStyle w:val="TableText"/>
            </w:pPr>
            <w:r>
              <w:t xml:space="preserve">bioaccumulation </w:t>
            </w:r>
          </w:p>
        </w:tc>
        <w:tc>
          <w:tcPr>
            <w:tcW w:w="3889" w:type="pct"/>
          </w:tcPr>
          <w:p w14:paraId="4BAD19EE" w14:textId="77777777" w:rsidR="00754A76" w:rsidRDefault="00754A76" w:rsidP="00BA7F4F">
            <w:pPr>
              <w:pStyle w:val="TableText"/>
            </w:pPr>
            <w:r>
              <w:t xml:space="preserve">Progressive increase in the amount of a substance in an organism or part of an organism that occurs because the rate of intake exceeds the organism’s ability to remove the substance from the body </w:t>
            </w:r>
          </w:p>
        </w:tc>
      </w:tr>
      <w:tr w:rsidR="00754A76" w14:paraId="5128BE87" w14:textId="77777777" w:rsidTr="002A3239">
        <w:tc>
          <w:tcPr>
            <w:tcW w:w="1111" w:type="pct"/>
          </w:tcPr>
          <w:p w14:paraId="10068A1C" w14:textId="77777777" w:rsidR="00754A76" w:rsidRDefault="00754A76" w:rsidP="00BA7F4F">
            <w:pPr>
              <w:pStyle w:val="TableText"/>
            </w:pPr>
            <w:r>
              <w:t xml:space="preserve">bioconcentration </w:t>
            </w:r>
          </w:p>
        </w:tc>
        <w:tc>
          <w:tcPr>
            <w:tcW w:w="3889" w:type="pct"/>
          </w:tcPr>
          <w:p w14:paraId="65ED06BF" w14:textId="77777777" w:rsidR="00754A76" w:rsidRDefault="00754A76" w:rsidP="00BA7F4F">
            <w:pPr>
              <w:pStyle w:val="TableText"/>
            </w:pPr>
            <w:r>
              <w:t xml:space="preserve">Uptake of a pesticide residue from an environmental matrix, usually through partitioning across body surfaces to a concentration in the organism that is usually higher than in the environmental matrix </w:t>
            </w:r>
          </w:p>
        </w:tc>
      </w:tr>
      <w:tr w:rsidR="00754A76" w14:paraId="2E4856D6" w14:textId="77777777" w:rsidTr="002A3239">
        <w:tc>
          <w:tcPr>
            <w:tcW w:w="1111" w:type="pct"/>
          </w:tcPr>
          <w:p w14:paraId="3F72CEE2" w14:textId="77777777" w:rsidR="00754A76" w:rsidRDefault="00754A76" w:rsidP="00BA7F4F">
            <w:pPr>
              <w:pStyle w:val="TableText"/>
            </w:pPr>
            <w:r>
              <w:t xml:space="preserve">bioconcentration factor </w:t>
            </w:r>
          </w:p>
        </w:tc>
        <w:tc>
          <w:tcPr>
            <w:tcW w:w="3889" w:type="pct"/>
          </w:tcPr>
          <w:p w14:paraId="3277857A" w14:textId="77777777" w:rsidR="00754A76" w:rsidRDefault="00754A76" w:rsidP="00BA7F4F">
            <w:pPr>
              <w:pStyle w:val="TableText"/>
            </w:pPr>
            <w:r>
              <w:t xml:space="preserve">Ratio between the concentration of pesticide in an organism or tissue and the concentration in the environmental matrix (usually water) at apparent equilibrium during the uptake phase </w:t>
            </w:r>
          </w:p>
        </w:tc>
      </w:tr>
      <w:tr w:rsidR="00754A76" w14:paraId="5220DCDD" w14:textId="77777777" w:rsidTr="002A3239">
        <w:tc>
          <w:tcPr>
            <w:tcW w:w="1111" w:type="pct"/>
          </w:tcPr>
          <w:p w14:paraId="17F1D0B1" w14:textId="1B048D72" w:rsidR="00754A76" w:rsidRDefault="00754A76" w:rsidP="00BA7F4F">
            <w:pPr>
              <w:pStyle w:val="TableText"/>
            </w:pPr>
            <w:r>
              <w:t xml:space="preserve">bound residue </w:t>
            </w:r>
          </w:p>
        </w:tc>
        <w:tc>
          <w:tcPr>
            <w:tcW w:w="3889" w:type="pct"/>
          </w:tcPr>
          <w:p w14:paraId="32DFE354" w14:textId="394049C8" w:rsidR="00754A76" w:rsidRDefault="00754A76" w:rsidP="00BA7F4F">
            <w:pPr>
              <w:pStyle w:val="TableText"/>
            </w:pPr>
            <w:r>
              <w:t xml:space="preserve">Residue associated with one or more classes of endogenous macromolecules that cannot be disassociated by extraction or digestion without alteration </w:t>
            </w:r>
          </w:p>
        </w:tc>
      </w:tr>
      <w:tr w:rsidR="00754A76" w14:paraId="53F17AA8" w14:textId="77777777" w:rsidTr="002A3239">
        <w:tc>
          <w:tcPr>
            <w:tcW w:w="1111" w:type="pct"/>
          </w:tcPr>
          <w:p w14:paraId="6B310554" w14:textId="77777777" w:rsidR="00754A76" w:rsidRDefault="00754A76" w:rsidP="00BA7F4F">
            <w:pPr>
              <w:pStyle w:val="TableText"/>
            </w:pPr>
            <w:r>
              <w:t xml:space="preserve">cation </w:t>
            </w:r>
          </w:p>
        </w:tc>
        <w:tc>
          <w:tcPr>
            <w:tcW w:w="3889" w:type="pct"/>
          </w:tcPr>
          <w:p w14:paraId="52A66159" w14:textId="77777777" w:rsidR="00754A76" w:rsidRDefault="00754A76" w:rsidP="00BA7F4F">
            <w:pPr>
              <w:pStyle w:val="TableText"/>
            </w:pPr>
            <w:r>
              <w:t xml:space="preserve">Monatomic or polyatomic species having one or more elementary charges of the proton </w:t>
            </w:r>
          </w:p>
        </w:tc>
      </w:tr>
      <w:tr w:rsidR="00754A76" w14:paraId="5CD9DD8C" w14:textId="77777777" w:rsidTr="002A3239">
        <w:tc>
          <w:tcPr>
            <w:tcW w:w="1111" w:type="pct"/>
          </w:tcPr>
          <w:p w14:paraId="4FF571E9" w14:textId="77777777" w:rsidR="00754A76" w:rsidRDefault="00754A76" w:rsidP="00BA7F4F">
            <w:pPr>
              <w:pStyle w:val="TableText"/>
            </w:pPr>
            <w:r>
              <w:t xml:space="preserve">chronic exposure </w:t>
            </w:r>
          </w:p>
        </w:tc>
        <w:tc>
          <w:tcPr>
            <w:tcW w:w="3889" w:type="pct"/>
          </w:tcPr>
          <w:p w14:paraId="161FCBCB" w14:textId="77777777" w:rsidR="00754A76" w:rsidRDefault="00754A76" w:rsidP="00BA7F4F">
            <w:pPr>
              <w:pStyle w:val="TableText"/>
            </w:pPr>
            <w:r>
              <w:t xml:space="preserve">Continued or intermittent long-term contact between an agent and a target </w:t>
            </w:r>
          </w:p>
        </w:tc>
      </w:tr>
      <w:tr w:rsidR="00754A76" w14:paraId="4D8A4A6C" w14:textId="77777777" w:rsidTr="002A3239">
        <w:tc>
          <w:tcPr>
            <w:tcW w:w="1111" w:type="pct"/>
          </w:tcPr>
          <w:p w14:paraId="169417EA" w14:textId="77777777" w:rsidR="00754A76" w:rsidRDefault="00754A76" w:rsidP="00BA7F4F">
            <w:pPr>
              <w:pStyle w:val="TableText"/>
            </w:pPr>
            <w:r>
              <w:lastRenderedPageBreak/>
              <w:t xml:space="preserve">chronic toxicity </w:t>
            </w:r>
          </w:p>
        </w:tc>
        <w:tc>
          <w:tcPr>
            <w:tcW w:w="3889" w:type="pct"/>
          </w:tcPr>
          <w:p w14:paraId="4A66319E" w14:textId="77777777" w:rsidR="00754A76" w:rsidRDefault="00754A76" w:rsidP="00BA7F4F">
            <w:pPr>
              <w:pStyle w:val="TableText"/>
            </w:pPr>
            <w:r>
              <w:t xml:space="preserve">Adverse effects following chronic exposure </w:t>
            </w:r>
          </w:p>
        </w:tc>
      </w:tr>
      <w:tr w:rsidR="00754A76" w14:paraId="05EA7E3C" w14:textId="77777777" w:rsidTr="002A3239">
        <w:tc>
          <w:tcPr>
            <w:tcW w:w="1111" w:type="pct"/>
          </w:tcPr>
          <w:p w14:paraId="4D55EAC6" w14:textId="77777777" w:rsidR="00754A76" w:rsidRDefault="00754A76" w:rsidP="00BA7F4F">
            <w:pPr>
              <w:pStyle w:val="TableText"/>
            </w:pPr>
            <w:r>
              <w:t xml:space="preserve">concentration </w:t>
            </w:r>
          </w:p>
        </w:tc>
        <w:tc>
          <w:tcPr>
            <w:tcW w:w="3889" w:type="pct"/>
          </w:tcPr>
          <w:p w14:paraId="741C8A17" w14:textId="77777777" w:rsidR="00754A76" w:rsidRDefault="00754A76" w:rsidP="00BA7F4F">
            <w:pPr>
              <w:pStyle w:val="TableText"/>
            </w:pPr>
            <w:r>
              <w:t xml:space="preserve">Amount of a material, agent (e.g., pesticide) dissolved or contained in unit quantity in a given medium or system </w:t>
            </w:r>
          </w:p>
        </w:tc>
      </w:tr>
      <w:tr w:rsidR="00754A76" w14:paraId="6B4298D9" w14:textId="77777777" w:rsidTr="002A3239">
        <w:tc>
          <w:tcPr>
            <w:tcW w:w="1111" w:type="pct"/>
          </w:tcPr>
          <w:p w14:paraId="640EBCC2" w14:textId="75B23392" w:rsidR="00754A76" w:rsidRDefault="00754A76" w:rsidP="00BA7F4F">
            <w:pPr>
              <w:pStyle w:val="TableText"/>
            </w:pPr>
            <w:r>
              <w:t xml:space="preserve">degradate </w:t>
            </w:r>
          </w:p>
        </w:tc>
        <w:tc>
          <w:tcPr>
            <w:tcW w:w="3889" w:type="pct"/>
          </w:tcPr>
          <w:p w14:paraId="246C5697" w14:textId="6FD2820F" w:rsidR="00754A76" w:rsidRDefault="00754A76" w:rsidP="00BA7F4F">
            <w:pPr>
              <w:pStyle w:val="TableText"/>
            </w:pPr>
            <w:r>
              <w:t xml:space="preserve">Chemical that is formed when a substance breaks down </w:t>
            </w:r>
          </w:p>
        </w:tc>
      </w:tr>
      <w:tr w:rsidR="00754A76" w14:paraId="27CDA0D9" w14:textId="77777777" w:rsidTr="002A3239">
        <w:tc>
          <w:tcPr>
            <w:tcW w:w="1111" w:type="pct"/>
          </w:tcPr>
          <w:p w14:paraId="74EEAD4C" w14:textId="713DE228" w:rsidR="00754A76" w:rsidRDefault="00754A76" w:rsidP="00BA7F4F">
            <w:pPr>
              <w:pStyle w:val="TableText"/>
            </w:pPr>
            <w:r>
              <w:t xml:space="preserve">dissipation </w:t>
            </w:r>
          </w:p>
        </w:tc>
        <w:tc>
          <w:tcPr>
            <w:tcW w:w="3889" w:type="pct"/>
          </w:tcPr>
          <w:p w14:paraId="037B2F2E" w14:textId="080BCF6F" w:rsidR="00754A76" w:rsidRDefault="00754A76" w:rsidP="00BA7F4F">
            <w:pPr>
              <w:pStyle w:val="TableText"/>
            </w:pPr>
            <w:r>
              <w:t xml:space="preserve">Loss of pesticide residues from an environmental compartment due to degradation and transfer to another environmental compartment </w:t>
            </w:r>
          </w:p>
        </w:tc>
      </w:tr>
      <w:tr w:rsidR="00754A76" w14:paraId="5C5BD78E" w14:textId="77777777" w:rsidTr="002A3239">
        <w:tc>
          <w:tcPr>
            <w:tcW w:w="1111" w:type="pct"/>
          </w:tcPr>
          <w:p w14:paraId="16A073F6" w14:textId="4392A44B" w:rsidR="00754A76" w:rsidRDefault="00754A76" w:rsidP="00BA7F4F">
            <w:pPr>
              <w:pStyle w:val="TableText"/>
            </w:pPr>
            <w:r>
              <w:t xml:space="preserve">dissociation constant </w:t>
            </w:r>
          </w:p>
        </w:tc>
        <w:tc>
          <w:tcPr>
            <w:tcW w:w="3889" w:type="pct"/>
          </w:tcPr>
          <w:p w14:paraId="248D50A7" w14:textId="60A31148" w:rsidR="00754A76" w:rsidRDefault="00754A76" w:rsidP="00BA7F4F">
            <w:pPr>
              <w:pStyle w:val="TableText"/>
            </w:pPr>
            <w:r>
              <w:t xml:space="preserve">The ratio of concentration of dissociated ions to the concentration of original acid </w:t>
            </w:r>
          </w:p>
        </w:tc>
      </w:tr>
      <w:tr w:rsidR="00754A76" w14:paraId="00C02A9F" w14:textId="77777777" w:rsidTr="002A3239">
        <w:tc>
          <w:tcPr>
            <w:tcW w:w="1111" w:type="pct"/>
          </w:tcPr>
          <w:p w14:paraId="4A6947F7" w14:textId="77777777" w:rsidR="00754A76" w:rsidRDefault="00754A76" w:rsidP="00BA7F4F">
            <w:pPr>
              <w:pStyle w:val="TableText"/>
            </w:pPr>
            <w:r>
              <w:t xml:space="preserve">dose </w:t>
            </w:r>
          </w:p>
        </w:tc>
        <w:tc>
          <w:tcPr>
            <w:tcW w:w="3889" w:type="pct"/>
          </w:tcPr>
          <w:p w14:paraId="43FA9F5A" w14:textId="77777777" w:rsidR="00754A76" w:rsidRDefault="00754A76" w:rsidP="00BA7F4F">
            <w:pPr>
              <w:pStyle w:val="TableText"/>
            </w:pPr>
            <w:r>
              <w:t xml:space="preserve">Total amount of a pesticide or agent administered to, taken up or absorbed by an organism, system, or (sub-) population </w:t>
            </w:r>
          </w:p>
        </w:tc>
      </w:tr>
      <w:tr w:rsidR="00754A76" w14:paraId="5A98E8DD" w14:textId="77777777" w:rsidTr="002A3239">
        <w:tc>
          <w:tcPr>
            <w:tcW w:w="1111" w:type="pct"/>
          </w:tcPr>
          <w:p w14:paraId="3E06E2E4" w14:textId="77777777" w:rsidR="00754A76" w:rsidRDefault="00754A76" w:rsidP="00BA7F4F">
            <w:pPr>
              <w:pStyle w:val="TableText"/>
            </w:pPr>
            <w:r>
              <w:t xml:space="preserve">dry weight basis </w:t>
            </w:r>
          </w:p>
        </w:tc>
        <w:tc>
          <w:tcPr>
            <w:tcW w:w="3889" w:type="pct"/>
          </w:tcPr>
          <w:p w14:paraId="293B14C7" w14:textId="77777777" w:rsidR="00754A76" w:rsidRDefault="00754A76" w:rsidP="00BA7F4F">
            <w:pPr>
              <w:pStyle w:val="TableText"/>
            </w:pPr>
            <w:r>
              <w:t xml:space="preserve">Pesticide residue concentration reported as if the residue were wholly contained in the dry matter of the sample </w:t>
            </w:r>
          </w:p>
        </w:tc>
      </w:tr>
      <w:tr w:rsidR="00754A76" w14:paraId="5AE01898" w14:textId="77777777" w:rsidTr="002A3239">
        <w:tc>
          <w:tcPr>
            <w:tcW w:w="1111" w:type="pct"/>
          </w:tcPr>
          <w:p w14:paraId="372A4692" w14:textId="77777777" w:rsidR="00754A76" w:rsidRDefault="00754A76" w:rsidP="00BA7F4F">
            <w:pPr>
              <w:pStyle w:val="TableText"/>
            </w:pPr>
            <w:r>
              <w:t xml:space="preserve">effect assessment </w:t>
            </w:r>
          </w:p>
        </w:tc>
        <w:tc>
          <w:tcPr>
            <w:tcW w:w="3889" w:type="pct"/>
          </w:tcPr>
          <w:p w14:paraId="6BE2122C" w14:textId="77777777" w:rsidR="00754A76" w:rsidRDefault="00754A76" w:rsidP="00BA7F4F">
            <w:pPr>
              <w:pStyle w:val="TableText"/>
            </w:pPr>
            <w:r>
              <w:t xml:space="preserve">Combination of analysis and inference of possible consequences of the exposure to a pesticide based on knowledge of the dose–effect relationship associated with that agent in a specific target organism, system, or (sub-) population </w:t>
            </w:r>
          </w:p>
        </w:tc>
      </w:tr>
      <w:tr w:rsidR="00754A76" w14:paraId="67694955" w14:textId="77777777" w:rsidTr="002A3239">
        <w:tc>
          <w:tcPr>
            <w:tcW w:w="1111" w:type="pct"/>
          </w:tcPr>
          <w:p w14:paraId="25B0CF70" w14:textId="77777777" w:rsidR="00754A76" w:rsidRDefault="00754A76" w:rsidP="00BA7F4F">
            <w:pPr>
              <w:pStyle w:val="TableText"/>
            </w:pPr>
            <w:r>
              <w:t xml:space="preserve">endpoint </w:t>
            </w:r>
          </w:p>
        </w:tc>
        <w:tc>
          <w:tcPr>
            <w:tcW w:w="3889" w:type="pct"/>
          </w:tcPr>
          <w:p w14:paraId="0B12B2FD" w14:textId="77777777" w:rsidR="00754A76" w:rsidRDefault="00754A76" w:rsidP="00BA7F4F">
            <w:pPr>
              <w:pStyle w:val="TableText"/>
            </w:pPr>
            <w:r>
              <w:t xml:space="preserve">Measurable ecological or toxicological characteristic or parameter of the test system (usually an organism) that is chosen as the most relevant assessment criterion (e.g., death in an acute test or tumor incidence in a chronic study) </w:t>
            </w:r>
          </w:p>
        </w:tc>
      </w:tr>
      <w:tr w:rsidR="00754A76" w14:paraId="6B5A1DCE" w14:textId="77777777" w:rsidTr="002A3239">
        <w:tc>
          <w:tcPr>
            <w:tcW w:w="1111" w:type="pct"/>
          </w:tcPr>
          <w:p w14:paraId="4D2F2F46" w14:textId="77777777" w:rsidR="00754A76" w:rsidRDefault="00754A76" w:rsidP="00BA7F4F">
            <w:pPr>
              <w:pStyle w:val="TableText"/>
            </w:pPr>
            <w:r>
              <w:t xml:space="preserve">endpoint </w:t>
            </w:r>
          </w:p>
        </w:tc>
        <w:tc>
          <w:tcPr>
            <w:tcW w:w="3889" w:type="pct"/>
          </w:tcPr>
          <w:p w14:paraId="263571C3" w14:textId="77777777" w:rsidR="00754A76" w:rsidRDefault="00754A76" w:rsidP="00BA7F4F">
            <w:pPr>
              <w:pStyle w:val="TableText"/>
            </w:pPr>
            <w:r>
              <w:t xml:space="preserve">Measurable ecological or toxicological characteristic or parameter of the test system that is chosen as the most relevant assessment criterion </w:t>
            </w:r>
          </w:p>
        </w:tc>
      </w:tr>
      <w:tr w:rsidR="00754A76" w14:paraId="49A8D4E0" w14:textId="77777777" w:rsidTr="002A3239">
        <w:tc>
          <w:tcPr>
            <w:tcW w:w="1111" w:type="pct"/>
          </w:tcPr>
          <w:p w14:paraId="7B364B1D" w14:textId="7AC3D0D6" w:rsidR="00754A76" w:rsidRDefault="00754A76" w:rsidP="00BA7F4F">
            <w:pPr>
              <w:pStyle w:val="TableText"/>
            </w:pPr>
            <w:r>
              <w:t xml:space="preserve">environmental fate </w:t>
            </w:r>
          </w:p>
        </w:tc>
        <w:tc>
          <w:tcPr>
            <w:tcW w:w="3889" w:type="pct"/>
          </w:tcPr>
          <w:p w14:paraId="6CEC8B4C" w14:textId="541CD6FD" w:rsidR="00754A76" w:rsidRDefault="00754A76" w:rsidP="00BA7F4F">
            <w:pPr>
              <w:pStyle w:val="TableText"/>
            </w:pPr>
            <w:r>
              <w:t xml:space="preserve">Destiny of a pesticide or chemical after release to the environment involving considerations such as transport through air, soil, or water, bioconcentration, degradation, etc. </w:t>
            </w:r>
          </w:p>
        </w:tc>
      </w:tr>
      <w:tr w:rsidR="00754A76" w14:paraId="71F04DD6" w14:textId="77777777" w:rsidTr="002A3239">
        <w:tc>
          <w:tcPr>
            <w:tcW w:w="1111" w:type="pct"/>
          </w:tcPr>
          <w:p w14:paraId="6CFB6F5D" w14:textId="77777777" w:rsidR="00754A76" w:rsidRDefault="00754A76" w:rsidP="00BA7F4F">
            <w:pPr>
              <w:pStyle w:val="TableText"/>
            </w:pPr>
            <w:r>
              <w:t xml:space="preserve">environmental risk </w:t>
            </w:r>
          </w:p>
        </w:tc>
        <w:tc>
          <w:tcPr>
            <w:tcW w:w="3889" w:type="pct"/>
          </w:tcPr>
          <w:p w14:paraId="04EC2266" w14:textId="77777777" w:rsidR="00754A76" w:rsidRDefault="00754A76" w:rsidP="00BA7F4F">
            <w:pPr>
              <w:pStyle w:val="TableText"/>
            </w:pPr>
            <w:r>
              <w:t xml:space="preserve">Probability that an adverse effect on humans an environmental system/receptor will be observed for a given exposure to a pesticide based on the probability of that exposure and the sensitivity of the system/receptor </w:t>
            </w:r>
          </w:p>
        </w:tc>
      </w:tr>
      <w:tr w:rsidR="00754A76" w14:paraId="51048DAB" w14:textId="77777777" w:rsidTr="002A3239">
        <w:tc>
          <w:tcPr>
            <w:tcW w:w="1111" w:type="pct"/>
          </w:tcPr>
          <w:p w14:paraId="7DA609B2" w14:textId="77777777" w:rsidR="00754A76" w:rsidRDefault="00754A76" w:rsidP="00BA7F4F">
            <w:pPr>
              <w:pStyle w:val="TableText"/>
            </w:pPr>
            <w:r>
              <w:t xml:space="preserve">exposure </w:t>
            </w:r>
          </w:p>
        </w:tc>
        <w:tc>
          <w:tcPr>
            <w:tcW w:w="3889" w:type="pct"/>
          </w:tcPr>
          <w:p w14:paraId="65CEFE74" w14:textId="77777777" w:rsidR="00754A76" w:rsidRDefault="00754A76" w:rsidP="00BA7F4F">
            <w:pPr>
              <w:pStyle w:val="TableText"/>
            </w:pPr>
            <w:r>
              <w:t xml:space="preserve">Concentration or amount of a particular substance that is taken in by an individual, population or ecosystem in a specific frequency over a certain amount of time </w:t>
            </w:r>
          </w:p>
        </w:tc>
      </w:tr>
      <w:tr w:rsidR="00754A76" w14:paraId="5931BD22" w14:textId="77777777" w:rsidTr="002A3239">
        <w:tc>
          <w:tcPr>
            <w:tcW w:w="1111" w:type="pct"/>
          </w:tcPr>
          <w:p w14:paraId="36BBB7AE" w14:textId="77777777" w:rsidR="00754A76" w:rsidRDefault="00754A76" w:rsidP="00BA7F4F">
            <w:pPr>
              <w:pStyle w:val="TableText"/>
            </w:pPr>
            <w:r>
              <w:t xml:space="preserve">exposure assessment </w:t>
            </w:r>
          </w:p>
        </w:tc>
        <w:tc>
          <w:tcPr>
            <w:tcW w:w="3889" w:type="pct"/>
          </w:tcPr>
          <w:p w14:paraId="5A8270E4" w14:textId="77777777" w:rsidR="00754A76" w:rsidRDefault="00754A76" w:rsidP="00BA7F4F">
            <w:pPr>
              <w:pStyle w:val="TableText"/>
            </w:pPr>
            <w:r>
              <w:t xml:space="preserve">Evaluation of the exposure of an organism, system, or (sub-) population to a pesticide or agent (and its derivatives) </w:t>
            </w:r>
          </w:p>
        </w:tc>
      </w:tr>
      <w:tr w:rsidR="00754A76" w14:paraId="4AEBC1DA" w14:textId="77777777" w:rsidTr="002A3239">
        <w:tc>
          <w:tcPr>
            <w:tcW w:w="1111" w:type="pct"/>
          </w:tcPr>
          <w:p w14:paraId="6431A72D" w14:textId="77777777" w:rsidR="00754A76" w:rsidRDefault="00754A76" w:rsidP="00BA7F4F">
            <w:pPr>
              <w:pStyle w:val="TableText"/>
            </w:pPr>
            <w:r>
              <w:t xml:space="preserve">formulation </w:t>
            </w:r>
          </w:p>
        </w:tc>
        <w:tc>
          <w:tcPr>
            <w:tcW w:w="3889" w:type="pct"/>
          </w:tcPr>
          <w:p w14:paraId="5FE763C7" w14:textId="77777777" w:rsidR="00754A76" w:rsidRDefault="00754A76" w:rsidP="00BA7F4F">
            <w:pPr>
              <w:pStyle w:val="TableText"/>
            </w:pPr>
            <w:r>
              <w:t xml:space="preserve">A combination of both active and inactive constituents to form the end use product </w:t>
            </w:r>
          </w:p>
        </w:tc>
      </w:tr>
      <w:tr w:rsidR="00754A76" w14:paraId="39786E66" w14:textId="77777777" w:rsidTr="002A3239">
        <w:tc>
          <w:tcPr>
            <w:tcW w:w="1111" w:type="pct"/>
          </w:tcPr>
          <w:p w14:paraId="5178AC00" w14:textId="77777777" w:rsidR="00754A76" w:rsidRDefault="00754A76" w:rsidP="00BA7F4F">
            <w:pPr>
              <w:pStyle w:val="TableText"/>
            </w:pPr>
            <w:r>
              <w:t xml:space="preserve">Freundlich isotherm </w:t>
            </w:r>
          </w:p>
        </w:tc>
        <w:tc>
          <w:tcPr>
            <w:tcW w:w="3889" w:type="pct"/>
          </w:tcPr>
          <w:p w14:paraId="1D6B53BE" w14:textId="77777777" w:rsidR="00754A76" w:rsidRDefault="00754A76" w:rsidP="00BA7F4F">
            <w:pPr>
              <w:pStyle w:val="TableText"/>
            </w:pPr>
            <w:r>
              <w:t xml:space="preserve">Empirical relationship describing the adsorption of a solute from a liquid or gaseous phase to a solid in which the quantity of material adsorbed per unit mass of adsorbent is expressed as a function of the equilibrium concentration of the sorbate </w:t>
            </w:r>
          </w:p>
        </w:tc>
      </w:tr>
      <w:tr w:rsidR="00754A76" w14:paraId="694755E4" w14:textId="77777777" w:rsidTr="002A3239">
        <w:tc>
          <w:tcPr>
            <w:tcW w:w="1111" w:type="pct"/>
          </w:tcPr>
          <w:p w14:paraId="5C3018BE" w14:textId="77777777" w:rsidR="00754A76" w:rsidRDefault="00754A76" w:rsidP="00BA7F4F">
            <w:pPr>
              <w:pStyle w:val="TableText"/>
            </w:pPr>
            <w:r>
              <w:t xml:space="preserve">good laboratory practice </w:t>
            </w:r>
          </w:p>
        </w:tc>
        <w:tc>
          <w:tcPr>
            <w:tcW w:w="3889" w:type="pct"/>
          </w:tcPr>
          <w:p w14:paraId="3C321B1F" w14:textId="77777777" w:rsidR="00754A76" w:rsidRDefault="00754A76" w:rsidP="00BA7F4F">
            <w:pPr>
              <w:pStyle w:val="TableText"/>
            </w:pPr>
            <w:r>
              <w:t xml:space="preserve">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 </w:t>
            </w:r>
          </w:p>
        </w:tc>
      </w:tr>
      <w:tr w:rsidR="00754A76" w14:paraId="327B290D" w14:textId="77777777" w:rsidTr="002A3239">
        <w:tc>
          <w:tcPr>
            <w:tcW w:w="1111" w:type="pct"/>
          </w:tcPr>
          <w:p w14:paraId="3591E62C" w14:textId="77777777" w:rsidR="00754A76" w:rsidRDefault="00754A76" w:rsidP="00BA7F4F">
            <w:pPr>
              <w:pStyle w:val="TableText"/>
            </w:pPr>
            <w:r>
              <w:t xml:space="preserve">half-life </w:t>
            </w:r>
          </w:p>
        </w:tc>
        <w:tc>
          <w:tcPr>
            <w:tcW w:w="3889" w:type="pct"/>
          </w:tcPr>
          <w:p w14:paraId="3937F33C" w14:textId="77777777" w:rsidR="00754A76" w:rsidRDefault="00754A76" w:rsidP="00BA7F4F">
            <w:pPr>
              <w:pStyle w:val="TableText"/>
            </w:pPr>
            <w:r>
              <w:t xml:space="preserve">The time taken for the reactant concentration to fall to one-half its initial value </w:t>
            </w:r>
          </w:p>
        </w:tc>
      </w:tr>
      <w:tr w:rsidR="00754A76" w14:paraId="314CB8F8" w14:textId="77777777" w:rsidTr="002A3239">
        <w:tc>
          <w:tcPr>
            <w:tcW w:w="1111" w:type="pct"/>
          </w:tcPr>
          <w:p w14:paraId="39E2B2E9" w14:textId="77777777" w:rsidR="00754A76" w:rsidRDefault="00754A76" w:rsidP="00BA7F4F">
            <w:pPr>
              <w:pStyle w:val="TableText"/>
            </w:pPr>
            <w:r>
              <w:lastRenderedPageBreak/>
              <w:t xml:space="preserve">hazard </w:t>
            </w:r>
          </w:p>
        </w:tc>
        <w:tc>
          <w:tcPr>
            <w:tcW w:w="3889" w:type="pct"/>
          </w:tcPr>
          <w:p w14:paraId="48F670A8" w14:textId="77777777" w:rsidR="00754A76" w:rsidRDefault="00754A76" w:rsidP="00BA7F4F">
            <w:pPr>
              <w:pStyle w:val="TableText"/>
            </w:pPr>
            <w:r>
              <w:t xml:space="preserve">Inherent property of a pesticide having the potential to cause adverse effects when an organism, system, or (sub-) population is exposed to that agent or situation </w:t>
            </w:r>
          </w:p>
        </w:tc>
      </w:tr>
      <w:tr w:rsidR="00754A76" w14:paraId="45B0CBA2" w14:textId="77777777" w:rsidTr="002A3239">
        <w:tc>
          <w:tcPr>
            <w:tcW w:w="1111" w:type="pct"/>
          </w:tcPr>
          <w:p w14:paraId="6760D70F" w14:textId="77777777" w:rsidR="00754A76" w:rsidRDefault="00754A76" w:rsidP="00BA7F4F">
            <w:pPr>
              <w:pStyle w:val="TableText"/>
            </w:pPr>
            <w:r>
              <w:t xml:space="preserve">Henry’s law constant </w:t>
            </w:r>
          </w:p>
        </w:tc>
        <w:tc>
          <w:tcPr>
            <w:tcW w:w="3889" w:type="pct"/>
          </w:tcPr>
          <w:p w14:paraId="092759E8" w14:textId="68DE285B" w:rsidR="00754A76" w:rsidRDefault="00754A76" w:rsidP="00BA7F4F">
            <w:pPr>
              <w:pStyle w:val="TableText"/>
            </w:pPr>
            <w:r>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w:t>
            </w:r>
            <w:r w:rsidR="00D63DEA">
              <w:t>,</w:t>
            </w:r>
            <w:r>
              <w:t xml:space="preserve"> its volatility </w:t>
            </w:r>
          </w:p>
        </w:tc>
      </w:tr>
      <w:tr w:rsidR="00754A76" w14:paraId="7D061858" w14:textId="77777777" w:rsidTr="002A3239">
        <w:tc>
          <w:tcPr>
            <w:tcW w:w="1111" w:type="pct"/>
          </w:tcPr>
          <w:p w14:paraId="2A80E217" w14:textId="77777777" w:rsidR="00754A76" w:rsidRDefault="00754A76" w:rsidP="00BA7F4F">
            <w:pPr>
              <w:pStyle w:val="TableText"/>
            </w:pPr>
            <w:r>
              <w:t xml:space="preserve">herbicide </w:t>
            </w:r>
          </w:p>
        </w:tc>
        <w:tc>
          <w:tcPr>
            <w:tcW w:w="3889" w:type="pct"/>
          </w:tcPr>
          <w:p w14:paraId="2D6E56D6" w14:textId="77777777" w:rsidR="00754A76" w:rsidRDefault="00754A76" w:rsidP="00BA7F4F">
            <w:pPr>
              <w:pStyle w:val="TableText"/>
            </w:pPr>
            <w:r>
              <w:t xml:space="preserve">Pesticide used for the control of unwanted plants or weeds </w:t>
            </w:r>
          </w:p>
        </w:tc>
      </w:tr>
      <w:tr w:rsidR="00754A76" w14:paraId="630764F2" w14:textId="77777777" w:rsidTr="002A3239">
        <w:tc>
          <w:tcPr>
            <w:tcW w:w="1111" w:type="pct"/>
          </w:tcPr>
          <w:p w14:paraId="6DE0E88B" w14:textId="77777777" w:rsidR="00754A76" w:rsidRDefault="00754A76" w:rsidP="00BA7F4F">
            <w:pPr>
              <w:pStyle w:val="TableText"/>
            </w:pPr>
            <w:r>
              <w:t xml:space="preserve">hydrolysis </w:t>
            </w:r>
          </w:p>
        </w:tc>
        <w:tc>
          <w:tcPr>
            <w:tcW w:w="3889" w:type="pct"/>
          </w:tcPr>
          <w:p w14:paraId="68461102" w14:textId="77777777" w:rsidR="00754A76" w:rsidRDefault="00754A76" w:rsidP="00BA7F4F">
            <w:pPr>
              <w:pStyle w:val="TableText"/>
            </w:pPr>
            <w:r>
              <w:t xml:space="preserve">Chemical decomposition induced by water </w:t>
            </w:r>
          </w:p>
        </w:tc>
      </w:tr>
      <w:tr w:rsidR="00754A76" w14:paraId="2846D47A" w14:textId="77777777" w:rsidTr="002A3239">
        <w:tc>
          <w:tcPr>
            <w:tcW w:w="1111" w:type="pct"/>
          </w:tcPr>
          <w:p w14:paraId="2DB89558" w14:textId="77777777" w:rsidR="00754A76" w:rsidRDefault="00754A76" w:rsidP="00BA7F4F">
            <w:pPr>
              <w:pStyle w:val="TableText"/>
            </w:pPr>
            <w:r>
              <w:t xml:space="preserve">immobilisation </w:t>
            </w:r>
          </w:p>
        </w:tc>
        <w:tc>
          <w:tcPr>
            <w:tcW w:w="3889" w:type="pct"/>
          </w:tcPr>
          <w:p w14:paraId="1D462D5C" w14:textId="77777777" w:rsidR="00754A76" w:rsidRDefault="00754A76" w:rsidP="00BA7F4F">
            <w:pPr>
              <w:pStyle w:val="TableText"/>
            </w:pPr>
            <w:r>
              <w:t xml:space="preserve">Process leading to restricted mobility of a pesticide in a plant or soil due to strong binding </w:t>
            </w:r>
          </w:p>
        </w:tc>
      </w:tr>
      <w:tr w:rsidR="00754A76" w14:paraId="4C93253D" w14:textId="77777777" w:rsidTr="002A3239">
        <w:tc>
          <w:tcPr>
            <w:tcW w:w="1111" w:type="pct"/>
          </w:tcPr>
          <w:p w14:paraId="40520CAF" w14:textId="77777777" w:rsidR="00754A76" w:rsidRDefault="00754A76" w:rsidP="00BA7F4F">
            <w:pPr>
              <w:pStyle w:val="TableText"/>
            </w:pPr>
            <w:r>
              <w:t xml:space="preserve">indicator species </w:t>
            </w:r>
          </w:p>
        </w:tc>
        <w:tc>
          <w:tcPr>
            <w:tcW w:w="3889" w:type="pct"/>
          </w:tcPr>
          <w:p w14:paraId="26BD708A" w14:textId="77777777" w:rsidR="00754A76" w:rsidRDefault="00754A76" w:rsidP="00BA7F4F">
            <w:pPr>
              <w:pStyle w:val="TableText"/>
            </w:pPr>
            <w:r>
              <w:t xml:space="preserve">Species whose presence shows the occurrence of defined environmental conditions </w:t>
            </w:r>
          </w:p>
        </w:tc>
      </w:tr>
      <w:tr w:rsidR="00754A76" w14:paraId="6E7C88C5" w14:textId="77777777" w:rsidTr="002A3239">
        <w:tc>
          <w:tcPr>
            <w:tcW w:w="1111" w:type="pct"/>
          </w:tcPr>
          <w:p w14:paraId="44087D76" w14:textId="77777777" w:rsidR="00754A76" w:rsidRDefault="00754A76" w:rsidP="00BA7F4F">
            <w:pPr>
              <w:pStyle w:val="TableText"/>
            </w:pPr>
            <w:r>
              <w:t xml:space="preserve">intake </w:t>
            </w:r>
          </w:p>
        </w:tc>
        <w:tc>
          <w:tcPr>
            <w:tcW w:w="3889" w:type="pct"/>
          </w:tcPr>
          <w:p w14:paraId="14C1EBB7" w14:textId="77777777" w:rsidR="00754A76" w:rsidRDefault="00754A76" w:rsidP="00BA7F4F">
            <w:pPr>
              <w:pStyle w:val="TableText"/>
            </w:pPr>
            <w:r>
              <w:t xml:space="preserve">Process by which a pesticide or agent crosses an outer exposure surface of a target without passing an absorption barrier, i.e., through ingestion or inhalation </w:t>
            </w:r>
          </w:p>
        </w:tc>
      </w:tr>
      <w:tr w:rsidR="00754A76" w14:paraId="11CA08D2" w14:textId="77777777" w:rsidTr="002A3239">
        <w:tc>
          <w:tcPr>
            <w:tcW w:w="1111" w:type="pct"/>
          </w:tcPr>
          <w:p w14:paraId="3A97DDBC" w14:textId="77777777" w:rsidR="00754A76" w:rsidRDefault="00754A76" w:rsidP="00BA7F4F">
            <w:pPr>
              <w:pStyle w:val="TableText"/>
            </w:pPr>
            <w:r>
              <w:t xml:space="preserve">larva </w:t>
            </w:r>
          </w:p>
        </w:tc>
        <w:tc>
          <w:tcPr>
            <w:tcW w:w="3889" w:type="pct"/>
          </w:tcPr>
          <w:p w14:paraId="6F224BFD" w14:textId="77777777" w:rsidR="00754A76" w:rsidRDefault="00754A76" w:rsidP="00BA7F4F">
            <w:pPr>
              <w:pStyle w:val="TableText"/>
            </w:pPr>
            <w:r>
              <w:t xml:space="preserve">Recently hatched insect, fish, or other organism that has different physical characteristics than those seen in the adult, requiring metamorphosis to reach the adult body structure </w:t>
            </w:r>
          </w:p>
        </w:tc>
      </w:tr>
      <w:tr w:rsidR="00754A76" w14:paraId="50AAA9C6" w14:textId="77777777" w:rsidTr="002A3239">
        <w:tc>
          <w:tcPr>
            <w:tcW w:w="1111" w:type="pct"/>
          </w:tcPr>
          <w:p w14:paraId="0EC126F3" w14:textId="77777777" w:rsidR="00754A76" w:rsidRDefault="00754A76" w:rsidP="00BA7F4F">
            <w:pPr>
              <w:pStyle w:val="TableText"/>
            </w:pPr>
            <w:r>
              <w:t xml:space="preserve">median effective concentration </w:t>
            </w:r>
          </w:p>
        </w:tc>
        <w:tc>
          <w:tcPr>
            <w:tcW w:w="3889" w:type="pct"/>
          </w:tcPr>
          <w:p w14:paraId="22FFF6C5" w14:textId="77777777" w:rsidR="00754A76" w:rsidRDefault="00754A76" w:rsidP="00BA7F4F">
            <w:pPr>
              <w:pStyle w:val="TableText"/>
            </w:pPr>
            <w:r>
              <w:t xml:space="preserve">Statistically derived concentration of a pesticide in an environmental medium expected to produce a certain effect in 50 % of the test organisms in a given population under defined conditions </w:t>
            </w:r>
          </w:p>
        </w:tc>
      </w:tr>
      <w:tr w:rsidR="00754A76" w14:paraId="6A1A1981" w14:textId="77777777" w:rsidTr="002A3239">
        <w:tc>
          <w:tcPr>
            <w:tcW w:w="1111" w:type="pct"/>
          </w:tcPr>
          <w:p w14:paraId="3E3FF256" w14:textId="77777777" w:rsidR="00754A76" w:rsidRDefault="00754A76" w:rsidP="00BA7F4F">
            <w:pPr>
              <w:pStyle w:val="TableText"/>
            </w:pPr>
            <w:r>
              <w:t xml:space="preserve">median lethal concentration </w:t>
            </w:r>
          </w:p>
        </w:tc>
        <w:tc>
          <w:tcPr>
            <w:tcW w:w="3889" w:type="pct"/>
          </w:tcPr>
          <w:p w14:paraId="3640AC2D" w14:textId="77777777" w:rsidR="00754A76" w:rsidRDefault="00754A76" w:rsidP="00BA7F4F">
            <w:pPr>
              <w:pStyle w:val="TableText"/>
            </w:pPr>
            <w:r>
              <w:t xml:space="preserve">Statistically derived concentration of a substance in an environmental medium expected to kill 50 % of test organisms in a given population under defined conditions </w:t>
            </w:r>
          </w:p>
        </w:tc>
      </w:tr>
      <w:tr w:rsidR="00754A76" w14:paraId="162F5EF0" w14:textId="77777777" w:rsidTr="002A3239">
        <w:tc>
          <w:tcPr>
            <w:tcW w:w="1111" w:type="pct"/>
          </w:tcPr>
          <w:p w14:paraId="06515DEE" w14:textId="77777777" w:rsidR="00754A76" w:rsidRDefault="00754A76" w:rsidP="00BA7F4F">
            <w:pPr>
              <w:pStyle w:val="TableText"/>
            </w:pPr>
            <w:r>
              <w:t xml:space="preserve">median lethal dose </w:t>
            </w:r>
          </w:p>
        </w:tc>
        <w:tc>
          <w:tcPr>
            <w:tcW w:w="3889" w:type="pct"/>
          </w:tcPr>
          <w:p w14:paraId="7A8D34CC" w14:textId="77777777" w:rsidR="00754A76" w:rsidRDefault="00754A76" w:rsidP="00BA7F4F">
            <w:pPr>
              <w:pStyle w:val="TableText"/>
            </w:pPr>
            <w:r>
              <w:t xml:space="preserve">Statistically derived dose of a chemical or physical agent (radiation) expected to kill 50 % of test organisms in a given population under a defined set of conditions </w:t>
            </w:r>
          </w:p>
        </w:tc>
      </w:tr>
      <w:tr w:rsidR="00754A76" w14:paraId="6542A8C6" w14:textId="77777777" w:rsidTr="002A3239">
        <w:tc>
          <w:tcPr>
            <w:tcW w:w="1111" w:type="pct"/>
          </w:tcPr>
          <w:p w14:paraId="36F3EB16" w14:textId="77777777" w:rsidR="00754A76" w:rsidRDefault="00754A76" w:rsidP="00BA7F4F">
            <w:pPr>
              <w:pStyle w:val="TableText"/>
            </w:pPr>
            <w:r>
              <w:t xml:space="preserve">metabolite </w:t>
            </w:r>
          </w:p>
        </w:tc>
        <w:tc>
          <w:tcPr>
            <w:tcW w:w="3889" w:type="pct"/>
          </w:tcPr>
          <w:p w14:paraId="468E89A0" w14:textId="486A0461" w:rsidR="00754A76" w:rsidRDefault="00754A76" w:rsidP="00BA7F4F">
            <w:pPr>
              <w:pStyle w:val="TableText"/>
            </w:pPr>
            <w:r>
              <w:t xml:space="preserve">Any intermediate or product resulting from metabolism </w:t>
            </w:r>
            <w:r w:rsidR="00926248">
              <w:t>in an organism</w:t>
            </w:r>
          </w:p>
        </w:tc>
      </w:tr>
      <w:tr w:rsidR="00754A76" w14:paraId="37764B35" w14:textId="77777777" w:rsidTr="002A3239">
        <w:tc>
          <w:tcPr>
            <w:tcW w:w="1111" w:type="pct"/>
          </w:tcPr>
          <w:p w14:paraId="4951921D" w14:textId="77777777" w:rsidR="00754A76" w:rsidRDefault="00754A76" w:rsidP="00BA7F4F">
            <w:pPr>
              <w:pStyle w:val="TableText"/>
            </w:pPr>
            <w:r>
              <w:t xml:space="preserve">microcosm </w:t>
            </w:r>
          </w:p>
        </w:tc>
        <w:tc>
          <w:tcPr>
            <w:tcW w:w="3889" w:type="pct"/>
          </w:tcPr>
          <w:p w14:paraId="595F48BC" w14:textId="77777777" w:rsidR="00754A76" w:rsidRDefault="00754A76" w:rsidP="00BA7F4F">
            <w:pPr>
              <w:pStyle w:val="TableText"/>
            </w:pPr>
            <w:r>
              <w:t xml:space="preserve">Man-made study system containing associated organism and abiotic components that is large enough to be representative of a natural ecosystem, yet small enough to be experimentally manipulated </w:t>
            </w:r>
          </w:p>
        </w:tc>
      </w:tr>
      <w:tr w:rsidR="00754A76" w14:paraId="6A0A08F4" w14:textId="77777777" w:rsidTr="002A3239">
        <w:tc>
          <w:tcPr>
            <w:tcW w:w="1111" w:type="pct"/>
          </w:tcPr>
          <w:p w14:paraId="50301435" w14:textId="77777777" w:rsidR="00754A76" w:rsidRDefault="00754A76" w:rsidP="00BA7F4F">
            <w:pPr>
              <w:pStyle w:val="TableText"/>
            </w:pPr>
            <w:r>
              <w:t xml:space="preserve">mineralisation </w:t>
            </w:r>
          </w:p>
        </w:tc>
        <w:tc>
          <w:tcPr>
            <w:tcW w:w="3889" w:type="pct"/>
          </w:tcPr>
          <w:p w14:paraId="5F841AEE" w14:textId="77777777" w:rsidR="00754A76" w:rsidRDefault="00754A76" w:rsidP="00BA7F4F">
            <w:pPr>
              <w:pStyle w:val="TableText"/>
            </w:pPr>
            <w:r>
              <w:t xml:space="preserve">Conversion of an element from an organic form to an inorganic form. Mineralisation of pesticides most commonly refers to the microbial degradation to carbon dioxide as a terminal metabolite </w:t>
            </w:r>
          </w:p>
        </w:tc>
      </w:tr>
      <w:tr w:rsidR="00754A76" w14:paraId="037C3599" w14:textId="77777777" w:rsidTr="002A3239">
        <w:tc>
          <w:tcPr>
            <w:tcW w:w="1111" w:type="pct"/>
          </w:tcPr>
          <w:p w14:paraId="1E067972" w14:textId="77777777" w:rsidR="00754A76" w:rsidRDefault="00754A76" w:rsidP="00BA7F4F">
            <w:pPr>
              <w:pStyle w:val="TableText"/>
            </w:pPr>
            <w:r>
              <w:t xml:space="preserve">mode of action </w:t>
            </w:r>
          </w:p>
        </w:tc>
        <w:tc>
          <w:tcPr>
            <w:tcW w:w="3889" w:type="pct"/>
          </w:tcPr>
          <w:p w14:paraId="796DC71A" w14:textId="77777777" w:rsidR="00754A76" w:rsidRDefault="00754A76" w:rsidP="00BA7F4F">
            <w:pPr>
              <w:pStyle w:val="TableText"/>
            </w:pPr>
            <w:r>
              <w:t xml:space="preserve">Biochemical effect that occurs at the lowest dose or concentration or is the earliest among a number of biochemical effects that could, understandably, lead to the death of the pest </w:t>
            </w:r>
          </w:p>
        </w:tc>
      </w:tr>
      <w:tr w:rsidR="00754A76" w14:paraId="1660F61E" w14:textId="77777777" w:rsidTr="002A3239">
        <w:tc>
          <w:tcPr>
            <w:tcW w:w="1111" w:type="pct"/>
          </w:tcPr>
          <w:p w14:paraId="4F20D984" w14:textId="77777777" w:rsidR="00754A76" w:rsidRDefault="00754A76" w:rsidP="00BA7F4F">
            <w:pPr>
              <w:pStyle w:val="TableText"/>
            </w:pPr>
            <w:r>
              <w:t xml:space="preserve">necrosis </w:t>
            </w:r>
          </w:p>
        </w:tc>
        <w:tc>
          <w:tcPr>
            <w:tcW w:w="3889" w:type="pct"/>
          </w:tcPr>
          <w:p w14:paraId="3A4579DD" w14:textId="77777777" w:rsidR="00754A76" w:rsidRDefault="00754A76" w:rsidP="00BA7F4F">
            <w:pPr>
              <w:pStyle w:val="TableText"/>
            </w:pPr>
            <w:r>
              <w:t xml:space="preserve">Sum of morphological changes resulting from cell death by lysis and/or enzymatic degradation, usually affecting groups of cells in a tissue </w:t>
            </w:r>
          </w:p>
        </w:tc>
      </w:tr>
      <w:tr w:rsidR="00754A76" w14:paraId="7C78758E" w14:textId="77777777" w:rsidTr="002A3239">
        <w:tc>
          <w:tcPr>
            <w:tcW w:w="1111" w:type="pct"/>
          </w:tcPr>
          <w:p w14:paraId="20CEA6C8" w14:textId="77777777" w:rsidR="00754A76" w:rsidRDefault="00754A76" w:rsidP="00BA7F4F">
            <w:pPr>
              <w:pStyle w:val="TableText"/>
            </w:pPr>
            <w:r>
              <w:t xml:space="preserve">no observed effect level </w:t>
            </w:r>
          </w:p>
        </w:tc>
        <w:tc>
          <w:tcPr>
            <w:tcW w:w="3889" w:type="pct"/>
          </w:tcPr>
          <w:p w14:paraId="32E0FDE1" w14:textId="77777777" w:rsidR="00754A76" w:rsidRDefault="00754A76" w:rsidP="00BA7F4F">
            <w:pPr>
              <w:pStyle w:val="TableText"/>
            </w:pPr>
            <w:r>
              <w:t xml:space="preserve">Greatest concentration or amount of a substance, found by experiment or observation, which causes no detectable adverse alteration of morphology, functional capacity, growth, development, or life span of the target organism under defined conditions of exposure </w:t>
            </w:r>
          </w:p>
        </w:tc>
      </w:tr>
      <w:tr w:rsidR="00754A76" w14:paraId="02D58160" w14:textId="77777777" w:rsidTr="002A3239">
        <w:tc>
          <w:tcPr>
            <w:tcW w:w="1111" w:type="pct"/>
          </w:tcPr>
          <w:p w14:paraId="66AFF9D7" w14:textId="77777777" w:rsidR="00754A76" w:rsidRDefault="00754A76" w:rsidP="00BA7F4F">
            <w:pPr>
              <w:pStyle w:val="TableText"/>
            </w:pPr>
            <w:r>
              <w:lastRenderedPageBreak/>
              <w:t xml:space="preserve">non-target species </w:t>
            </w:r>
          </w:p>
        </w:tc>
        <w:tc>
          <w:tcPr>
            <w:tcW w:w="3889" w:type="pct"/>
          </w:tcPr>
          <w:p w14:paraId="0810AD50" w14:textId="77777777" w:rsidR="00754A76" w:rsidRDefault="00754A76" w:rsidP="00BA7F4F">
            <w:pPr>
              <w:pStyle w:val="TableText"/>
            </w:pPr>
            <w:r>
              <w:t xml:space="preserve">Organism affected by a pesticide or exposed to a pesticide although not an intended object of its use </w:t>
            </w:r>
          </w:p>
        </w:tc>
      </w:tr>
      <w:tr w:rsidR="00754A76" w14:paraId="6BCDF422" w14:textId="77777777" w:rsidTr="002A3239">
        <w:tc>
          <w:tcPr>
            <w:tcW w:w="1111" w:type="pct"/>
          </w:tcPr>
          <w:p w14:paraId="7236E370" w14:textId="77777777" w:rsidR="00754A76" w:rsidRDefault="00754A76" w:rsidP="00BA7F4F">
            <w:pPr>
              <w:pStyle w:val="TableText"/>
            </w:pPr>
            <w:r>
              <w:t xml:space="preserve">partition coefficient </w:t>
            </w:r>
          </w:p>
        </w:tc>
        <w:tc>
          <w:tcPr>
            <w:tcW w:w="3889" w:type="pct"/>
          </w:tcPr>
          <w:p w14:paraId="3EC02165" w14:textId="77777777" w:rsidR="00754A76" w:rsidRDefault="00754A76" w:rsidP="00BA7F4F">
            <w:pPr>
              <w:pStyle w:val="TableText"/>
            </w:pPr>
            <w:r>
              <w:t xml:space="preserve">log Pow is the logarithm (base-10) of the partition coefficient between n-octanol and water </w:t>
            </w:r>
          </w:p>
        </w:tc>
      </w:tr>
      <w:tr w:rsidR="00754A76" w14:paraId="79CC8C65" w14:textId="77777777" w:rsidTr="002A3239">
        <w:tc>
          <w:tcPr>
            <w:tcW w:w="1111" w:type="pct"/>
          </w:tcPr>
          <w:p w14:paraId="571BB163" w14:textId="77777777" w:rsidR="00754A76" w:rsidRDefault="00754A76" w:rsidP="00BA7F4F">
            <w:pPr>
              <w:pStyle w:val="TableText"/>
            </w:pPr>
            <w:r>
              <w:t xml:space="preserve">persistence </w:t>
            </w:r>
          </w:p>
        </w:tc>
        <w:tc>
          <w:tcPr>
            <w:tcW w:w="3889" w:type="pct"/>
          </w:tcPr>
          <w:p w14:paraId="5C7118AD" w14:textId="77777777" w:rsidR="00754A76" w:rsidRDefault="00754A76" w:rsidP="00BA7F4F">
            <w:pPr>
              <w:pStyle w:val="TableText"/>
            </w:pPr>
            <w:r>
              <w:t xml:space="preserve">Residence time of a chemical species (pesticide and/or metabolites) subjected to degradation or physical removal in a soil, crop, animal, or other defined environmental compartment </w:t>
            </w:r>
          </w:p>
        </w:tc>
      </w:tr>
      <w:tr w:rsidR="00754A76" w14:paraId="00C56A05" w14:textId="77777777" w:rsidTr="002A3239">
        <w:tc>
          <w:tcPr>
            <w:tcW w:w="1111" w:type="pct"/>
          </w:tcPr>
          <w:p w14:paraId="3732FFF2" w14:textId="77777777" w:rsidR="00754A76" w:rsidRDefault="00754A76" w:rsidP="00BA7F4F">
            <w:pPr>
              <w:pStyle w:val="TableText"/>
            </w:pPr>
            <w:r>
              <w:t xml:space="preserve">photolysis </w:t>
            </w:r>
          </w:p>
        </w:tc>
        <w:tc>
          <w:tcPr>
            <w:tcW w:w="3889" w:type="pct"/>
          </w:tcPr>
          <w:p w14:paraId="3A91A721" w14:textId="77777777" w:rsidR="00754A76" w:rsidRDefault="00754A76" w:rsidP="00BA7F4F">
            <w:pPr>
              <w:pStyle w:val="TableText"/>
            </w:pPr>
            <w:r>
              <w:t xml:space="preserve">Chemical decomposition induced by light or other radiant energy </w:t>
            </w:r>
          </w:p>
        </w:tc>
      </w:tr>
      <w:tr w:rsidR="00754A76" w14:paraId="4BA0A692" w14:textId="77777777" w:rsidTr="002A3239">
        <w:tc>
          <w:tcPr>
            <w:tcW w:w="1111" w:type="pct"/>
          </w:tcPr>
          <w:p w14:paraId="3080EACE" w14:textId="77777777" w:rsidR="00754A76" w:rsidRDefault="00754A76" w:rsidP="00BA7F4F">
            <w:pPr>
              <w:pStyle w:val="TableText"/>
            </w:pPr>
            <w:r>
              <w:t xml:space="preserve">regulatory acceptable level </w:t>
            </w:r>
          </w:p>
        </w:tc>
        <w:tc>
          <w:tcPr>
            <w:tcW w:w="3889" w:type="pct"/>
          </w:tcPr>
          <w:p w14:paraId="5CBCA206" w14:textId="77777777" w:rsidR="00754A76" w:rsidRDefault="00754A76" w:rsidP="00BA7F4F">
            <w:pPr>
              <w:pStyle w:val="TableText"/>
            </w:pPr>
            <w:r>
              <w:t xml:space="preserve">Criterion or standard that is considered safe or without appreciable risk </w:t>
            </w:r>
          </w:p>
        </w:tc>
      </w:tr>
      <w:tr w:rsidR="00754A76" w14:paraId="2A18B827" w14:textId="77777777" w:rsidTr="002A3239">
        <w:tc>
          <w:tcPr>
            <w:tcW w:w="1111" w:type="pct"/>
          </w:tcPr>
          <w:p w14:paraId="4F700222" w14:textId="77777777" w:rsidR="00754A76" w:rsidRDefault="00754A76" w:rsidP="00BA7F4F">
            <w:pPr>
              <w:pStyle w:val="TableText"/>
            </w:pPr>
            <w:r>
              <w:t xml:space="preserve">soil incorporation </w:t>
            </w:r>
          </w:p>
        </w:tc>
        <w:tc>
          <w:tcPr>
            <w:tcW w:w="3889" w:type="pct"/>
          </w:tcPr>
          <w:p w14:paraId="170EB3E9" w14:textId="77777777" w:rsidR="00754A76" w:rsidRDefault="00754A76" w:rsidP="00BA7F4F">
            <w:pPr>
              <w:pStyle w:val="TableText"/>
            </w:pPr>
            <w:r>
              <w:t xml:space="preserve">Application of a pesticide to soil by mixing or injection into the soil body </w:t>
            </w:r>
          </w:p>
        </w:tc>
      </w:tr>
      <w:tr w:rsidR="00754A76" w14:paraId="3BED40B5" w14:textId="77777777" w:rsidTr="002A3239">
        <w:tc>
          <w:tcPr>
            <w:tcW w:w="1111" w:type="pct"/>
          </w:tcPr>
          <w:p w14:paraId="115D8717" w14:textId="77777777" w:rsidR="00754A76" w:rsidRDefault="00754A76" w:rsidP="00BA7F4F">
            <w:pPr>
              <w:pStyle w:val="TableText"/>
            </w:pPr>
            <w:r>
              <w:t xml:space="preserve">solubility in water </w:t>
            </w:r>
          </w:p>
        </w:tc>
        <w:tc>
          <w:tcPr>
            <w:tcW w:w="3889" w:type="pct"/>
          </w:tcPr>
          <w:p w14:paraId="4C142571" w14:textId="77777777" w:rsidR="00754A76" w:rsidRDefault="00754A76" w:rsidP="00BA7F4F">
            <w:pPr>
              <w:pStyle w:val="TableText"/>
            </w:pPr>
            <w:r>
              <w:t xml:space="preserve">The mass of a given substance (the solute) that can dissolve in a given volume of water </w:t>
            </w:r>
          </w:p>
        </w:tc>
      </w:tr>
      <w:tr w:rsidR="00754A76" w14:paraId="6A15FF81" w14:textId="77777777" w:rsidTr="002A3239">
        <w:tc>
          <w:tcPr>
            <w:tcW w:w="1111" w:type="pct"/>
          </w:tcPr>
          <w:p w14:paraId="17D845BC" w14:textId="77777777" w:rsidR="00754A76" w:rsidRDefault="00754A76" w:rsidP="00BA7F4F">
            <w:pPr>
              <w:pStyle w:val="TableText"/>
            </w:pPr>
            <w:r>
              <w:t xml:space="preserve">soluble concentrate </w:t>
            </w:r>
          </w:p>
        </w:tc>
        <w:tc>
          <w:tcPr>
            <w:tcW w:w="3889" w:type="pct"/>
          </w:tcPr>
          <w:p w14:paraId="5EF7F8F0" w14:textId="77777777" w:rsidR="00754A76" w:rsidRDefault="00754A76" w:rsidP="00BA7F4F">
            <w:pPr>
              <w:pStyle w:val="TableText"/>
            </w:pPr>
            <w:r>
              <w:t xml:space="preserve">A liquid homogenous preparation to be applied as a true solution of the active constituent after dilution with water </w:t>
            </w:r>
          </w:p>
        </w:tc>
      </w:tr>
      <w:tr w:rsidR="00754A76" w14:paraId="48DB3D91" w14:textId="77777777" w:rsidTr="002A3239">
        <w:tc>
          <w:tcPr>
            <w:tcW w:w="1111" w:type="pct"/>
          </w:tcPr>
          <w:p w14:paraId="68F7DC6A" w14:textId="77777777" w:rsidR="00754A76" w:rsidRDefault="00754A76" w:rsidP="00BA7F4F">
            <w:pPr>
              <w:pStyle w:val="TableText"/>
            </w:pPr>
            <w:r>
              <w:t xml:space="preserve">terrestrial </w:t>
            </w:r>
          </w:p>
        </w:tc>
        <w:tc>
          <w:tcPr>
            <w:tcW w:w="3889" w:type="pct"/>
          </w:tcPr>
          <w:p w14:paraId="07CFC593" w14:textId="77777777" w:rsidR="00754A76" w:rsidRDefault="00754A76" w:rsidP="00BA7F4F">
            <w:pPr>
              <w:pStyle w:val="TableText"/>
            </w:pPr>
            <w:r>
              <w:t xml:space="preserve">Relating to land, as distinct from water or air </w:t>
            </w:r>
          </w:p>
        </w:tc>
      </w:tr>
      <w:tr w:rsidR="00DA7D5E" w14:paraId="1C329D67" w14:textId="77777777" w:rsidTr="002A3239">
        <w:tc>
          <w:tcPr>
            <w:tcW w:w="1111" w:type="pct"/>
          </w:tcPr>
          <w:p w14:paraId="674BF37C" w14:textId="6571F445" w:rsidR="00DA7D5E" w:rsidRDefault="00DA7D5E" w:rsidP="00BA7F4F">
            <w:pPr>
              <w:pStyle w:val="TableText"/>
            </w:pPr>
            <w:r>
              <w:t>tolerable daily intake (TDI)</w:t>
            </w:r>
          </w:p>
        </w:tc>
        <w:tc>
          <w:tcPr>
            <w:tcW w:w="3889" w:type="pct"/>
          </w:tcPr>
          <w:p w14:paraId="67C8C4CB" w14:textId="2839C25F" w:rsidR="00DA7D5E" w:rsidRDefault="00DA7D5E" w:rsidP="00BA7F4F">
            <w:pPr>
              <w:pStyle w:val="TableText"/>
            </w:pPr>
            <w:r>
              <w:t>F</w:t>
            </w:r>
            <w:r w:rsidRPr="00DA7D5E">
              <w:t>or humans: a level of intake of a chemical contaminant (expressed mg/kg bw/day; milligrams per kilogram of body weight per day) that can be ingested daily over an entire lifetime without any appreciable risk to health,</w:t>
            </w:r>
          </w:p>
        </w:tc>
      </w:tr>
      <w:tr w:rsidR="00754A76" w14:paraId="79AD6ABC" w14:textId="77777777" w:rsidTr="002A3239">
        <w:tc>
          <w:tcPr>
            <w:tcW w:w="1111" w:type="pct"/>
          </w:tcPr>
          <w:p w14:paraId="7925D18C" w14:textId="77777777" w:rsidR="00754A76" w:rsidRDefault="00754A76" w:rsidP="00BA7F4F">
            <w:pPr>
              <w:pStyle w:val="TableText"/>
            </w:pPr>
            <w:r>
              <w:t xml:space="preserve">translocation </w:t>
            </w:r>
          </w:p>
        </w:tc>
        <w:tc>
          <w:tcPr>
            <w:tcW w:w="3889" w:type="pct"/>
          </w:tcPr>
          <w:p w14:paraId="3AE4E18B" w14:textId="77777777" w:rsidR="00754A76" w:rsidRDefault="00754A76" w:rsidP="00BA7F4F">
            <w:pPr>
              <w:pStyle w:val="TableText"/>
            </w:pPr>
            <w:r>
              <w:t xml:space="preserve">Movement of a substance within the test system or organism </w:t>
            </w:r>
          </w:p>
        </w:tc>
      </w:tr>
      <w:tr w:rsidR="00754A76" w14:paraId="17F0C267" w14:textId="77777777" w:rsidTr="002A3239">
        <w:tc>
          <w:tcPr>
            <w:tcW w:w="1111" w:type="pct"/>
          </w:tcPr>
          <w:p w14:paraId="0CE494F4" w14:textId="77777777" w:rsidR="00754A76" w:rsidRDefault="00754A76" w:rsidP="00BA7F4F">
            <w:pPr>
              <w:pStyle w:val="TableText"/>
            </w:pPr>
            <w:r>
              <w:t xml:space="preserve">vapour pressure </w:t>
            </w:r>
          </w:p>
        </w:tc>
        <w:tc>
          <w:tcPr>
            <w:tcW w:w="3889" w:type="pct"/>
          </w:tcPr>
          <w:p w14:paraId="3833026C" w14:textId="77777777" w:rsidR="00754A76" w:rsidRDefault="00754A76" w:rsidP="00BA7F4F">
            <w:pPr>
              <w:pStyle w:val="TableText"/>
            </w:pPr>
            <w:r>
              <w:t xml:space="preserve">The pressure at which a liquid is in equilibrium with its vapour at a given temperature. It is a measure of the tendency of a material to vaporise. The higher the vapour pressure the greater the potential </w:t>
            </w:r>
          </w:p>
        </w:tc>
      </w:tr>
      <w:tr w:rsidR="00754A76" w14:paraId="75421125" w14:textId="77777777" w:rsidTr="002A3239">
        <w:tc>
          <w:tcPr>
            <w:tcW w:w="1111" w:type="pct"/>
          </w:tcPr>
          <w:p w14:paraId="0A5EA2BE" w14:textId="77777777" w:rsidR="00754A76" w:rsidRDefault="00754A76" w:rsidP="00BA7F4F">
            <w:pPr>
              <w:pStyle w:val="TableText"/>
            </w:pPr>
            <w:r>
              <w:t xml:space="preserve">volatile </w:t>
            </w:r>
          </w:p>
        </w:tc>
        <w:tc>
          <w:tcPr>
            <w:tcW w:w="3889" w:type="pct"/>
          </w:tcPr>
          <w:p w14:paraId="6B9604C6" w14:textId="77777777" w:rsidR="00754A76" w:rsidRDefault="00754A76" w:rsidP="00BA7F4F">
            <w:pPr>
              <w:pStyle w:val="TableText"/>
            </w:pPr>
            <w:r>
              <w:t xml:space="preserve">Any substance which evaporates quickly </w:t>
            </w:r>
          </w:p>
        </w:tc>
      </w:tr>
      <w:tr w:rsidR="00754A76" w14:paraId="635BFF6F" w14:textId="77777777" w:rsidTr="002A3239">
        <w:tc>
          <w:tcPr>
            <w:tcW w:w="1111" w:type="pct"/>
          </w:tcPr>
          <w:p w14:paraId="0298A3F8" w14:textId="77777777" w:rsidR="00754A76" w:rsidRDefault="00754A76" w:rsidP="00BA7F4F">
            <w:pPr>
              <w:pStyle w:val="TableText"/>
            </w:pPr>
            <w:r>
              <w:t xml:space="preserve">watercourse </w:t>
            </w:r>
          </w:p>
        </w:tc>
        <w:tc>
          <w:tcPr>
            <w:tcW w:w="3889" w:type="pct"/>
          </w:tcPr>
          <w:p w14:paraId="34D70762" w14:textId="77777777" w:rsidR="00754A76" w:rsidRDefault="00754A76" w:rsidP="00377F3A">
            <w:pPr>
              <w:pStyle w:val="TableText"/>
            </w:pPr>
            <w:r>
              <w:t xml:space="preserve">A river, creek or other natural watercourse (whether modified or not) in which water is contained or flows (whether permanently or from time to time); and includes: </w:t>
            </w:r>
          </w:p>
          <w:p w14:paraId="38430D7A" w14:textId="77777777" w:rsidR="00754A76" w:rsidRDefault="00754A76" w:rsidP="00377F3A">
            <w:pPr>
              <w:pStyle w:val="TableText"/>
            </w:pPr>
            <w:r>
              <w:t xml:space="preserve">• a dam or reservoir that collects water flowing in a watercourse </w:t>
            </w:r>
          </w:p>
          <w:p w14:paraId="7F68C7C0" w14:textId="77777777" w:rsidR="00754A76" w:rsidRDefault="00754A76" w:rsidP="00377F3A">
            <w:pPr>
              <w:pStyle w:val="TableText"/>
            </w:pPr>
            <w:r>
              <w:t xml:space="preserve">• a lake or ‘wetland’ through which water flows </w:t>
            </w:r>
          </w:p>
          <w:p w14:paraId="71C4070F" w14:textId="77777777" w:rsidR="00754A76" w:rsidRDefault="00754A76" w:rsidP="00377F3A">
            <w:pPr>
              <w:pStyle w:val="TableText"/>
            </w:pPr>
            <w:r>
              <w:t xml:space="preserve">• a channel into which the water of a watercourse has been diverted </w:t>
            </w:r>
          </w:p>
          <w:p w14:paraId="084FC376" w14:textId="77777777" w:rsidR="00754A76" w:rsidRDefault="00754A76" w:rsidP="00377F3A">
            <w:pPr>
              <w:pStyle w:val="TableText"/>
            </w:pPr>
            <w:r>
              <w:t xml:space="preserve">• part of a watercourse </w:t>
            </w:r>
          </w:p>
          <w:p w14:paraId="770A46D4" w14:textId="77777777" w:rsidR="00754A76" w:rsidRDefault="00754A76" w:rsidP="00377F3A">
            <w:pPr>
              <w:pStyle w:val="TableText"/>
            </w:pPr>
          </w:p>
          <w:p w14:paraId="604C1F5C" w14:textId="77777777" w:rsidR="00754A76" w:rsidRDefault="00754A76" w:rsidP="00BA7F4F">
            <w:pPr>
              <w:pStyle w:val="TableText"/>
            </w:pPr>
            <w:r>
              <w:t xml:space="preserve">an estuary through which water flows. </w:t>
            </w:r>
          </w:p>
        </w:tc>
      </w:tr>
      <w:tr w:rsidR="00754A76" w14:paraId="1F083D18" w14:textId="77777777" w:rsidTr="002A3239">
        <w:tc>
          <w:tcPr>
            <w:tcW w:w="1111" w:type="pct"/>
          </w:tcPr>
          <w:p w14:paraId="08AF5FCB" w14:textId="77777777" w:rsidR="00754A76" w:rsidRDefault="00754A76" w:rsidP="00BA7F4F">
            <w:pPr>
              <w:pStyle w:val="TableText"/>
            </w:pPr>
            <w:r>
              <w:t xml:space="preserve">wetland </w:t>
            </w:r>
          </w:p>
        </w:tc>
        <w:tc>
          <w:tcPr>
            <w:tcW w:w="3889" w:type="pct"/>
          </w:tcPr>
          <w:p w14:paraId="4AFA9FAD" w14:textId="77777777" w:rsidR="00754A76" w:rsidRDefault="00754A76" w:rsidP="00377F3A">
            <w:pPr>
              <w:pStyle w:val="TableText"/>
            </w:pPr>
            <w:r>
              <w:t xml:space="preserve">An area of land where water covers the soil—all year or just at certain times of the year. They include: </w:t>
            </w:r>
          </w:p>
          <w:p w14:paraId="0BCC7AC8" w14:textId="77777777" w:rsidR="00754A76" w:rsidRDefault="00754A76" w:rsidP="00377F3A">
            <w:pPr>
              <w:pStyle w:val="TableText"/>
            </w:pPr>
            <w:r>
              <w:t xml:space="preserve">• swamps, marshes </w:t>
            </w:r>
          </w:p>
          <w:p w14:paraId="3E8EF058" w14:textId="77777777" w:rsidR="00754A76" w:rsidRDefault="00754A76" w:rsidP="00377F3A">
            <w:pPr>
              <w:pStyle w:val="TableText"/>
            </w:pPr>
            <w:r>
              <w:t xml:space="preserve">• billabongs, lakes, lagoons </w:t>
            </w:r>
          </w:p>
          <w:p w14:paraId="0CA747D3" w14:textId="77777777" w:rsidR="00754A76" w:rsidRDefault="00754A76" w:rsidP="00377F3A">
            <w:pPr>
              <w:pStyle w:val="TableText"/>
            </w:pPr>
            <w:r>
              <w:t xml:space="preserve">• saltmarshes, mudflats </w:t>
            </w:r>
          </w:p>
          <w:p w14:paraId="087B13B1" w14:textId="77777777" w:rsidR="00754A76" w:rsidRDefault="00754A76" w:rsidP="00377F3A">
            <w:pPr>
              <w:pStyle w:val="TableText"/>
            </w:pPr>
            <w:r>
              <w:lastRenderedPageBreak/>
              <w:t xml:space="preserve">• mangroves, coral reefs </w:t>
            </w:r>
          </w:p>
          <w:p w14:paraId="74AF1CF4" w14:textId="77777777" w:rsidR="00754A76" w:rsidRDefault="00754A76" w:rsidP="00377F3A">
            <w:pPr>
              <w:pStyle w:val="TableText"/>
            </w:pPr>
            <w:r>
              <w:t xml:space="preserve">• bogs, fens, and peatlands. </w:t>
            </w:r>
          </w:p>
          <w:p w14:paraId="7CF6AA8F" w14:textId="77777777" w:rsidR="00754A76" w:rsidRDefault="00754A76" w:rsidP="00377F3A">
            <w:pPr>
              <w:pStyle w:val="TableText"/>
            </w:pPr>
          </w:p>
          <w:p w14:paraId="1DFA1BC6" w14:textId="77777777" w:rsidR="00754A76" w:rsidRDefault="00754A76" w:rsidP="00BA7F4F">
            <w:pPr>
              <w:pStyle w:val="TableText"/>
            </w:pPr>
            <w:r>
              <w:t xml:space="preserve">A ‘wetland’ may be natural or artificial and its water may be static or flowing, fresh, brackish or saline. </w:t>
            </w:r>
          </w:p>
        </w:tc>
      </w:tr>
      <w:tr w:rsidR="00754A76" w14:paraId="7BBCCB5F" w14:textId="77777777" w:rsidTr="002A3239">
        <w:tc>
          <w:tcPr>
            <w:tcW w:w="1111" w:type="pct"/>
          </w:tcPr>
          <w:p w14:paraId="1A1C841C" w14:textId="77777777" w:rsidR="00754A76" w:rsidRDefault="00754A76" w:rsidP="00BA7F4F">
            <w:pPr>
              <w:pStyle w:val="TableText"/>
            </w:pPr>
            <w:r>
              <w:lastRenderedPageBreak/>
              <w:t xml:space="preserve">xylem </w:t>
            </w:r>
          </w:p>
        </w:tc>
        <w:tc>
          <w:tcPr>
            <w:tcW w:w="3889" w:type="pct"/>
          </w:tcPr>
          <w:p w14:paraId="5304D719" w14:textId="77777777" w:rsidR="00754A76" w:rsidRDefault="00754A76" w:rsidP="00BA7F4F">
            <w:pPr>
              <w:pStyle w:val="TableText"/>
            </w:pPr>
            <w:r>
              <w:t xml:space="preserve">Part of the plant’s vascular system adapted to the transport of water and solutes from the roots to aerial parts </w:t>
            </w:r>
          </w:p>
        </w:tc>
      </w:tr>
    </w:tbl>
    <w:p w14:paraId="12DC4223" w14:textId="77777777" w:rsidR="002E20AC" w:rsidRDefault="002E20AC" w:rsidP="002A3239">
      <w:pPr>
        <w:pStyle w:val="NormalText"/>
        <w:tabs>
          <w:tab w:val="left" w:pos="1980"/>
        </w:tabs>
        <w:sectPr w:rsidR="002E20AC">
          <w:headerReference w:type="even" r:id="rId42"/>
          <w:headerReference w:type="default" r:id="rId43"/>
          <w:pgSz w:w="11906" w:h="16838" w:code="9"/>
          <w:pgMar w:top="2835" w:right="1134" w:bottom="1134" w:left="1134" w:header="1701" w:footer="680" w:gutter="0"/>
          <w:cols w:space="708"/>
          <w:docGrid w:linePitch="360"/>
        </w:sectPr>
      </w:pPr>
    </w:p>
    <w:p w14:paraId="26E1F57C" w14:textId="0B07AA09" w:rsidR="009D452E" w:rsidRPr="00A167A9" w:rsidRDefault="002E20AC" w:rsidP="00377F3A">
      <w:pPr>
        <w:pStyle w:val="APVMAAppendixH1"/>
      </w:pPr>
      <w:bookmarkStart w:id="2195" w:name="_Toc231963196"/>
      <w:bookmarkStart w:id="2196" w:name="_Toc414373850"/>
      <w:bookmarkStart w:id="2197" w:name="_Toc135232605"/>
      <w:bookmarkStart w:id="2198" w:name="_Toc214025640"/>
      <w:bookmarkStart w:id="2199" w:name="_Toc216695662"/>
      <w:r w:rsidRPr="00A167A9">
        <w:lastRenderedPageBreak/>
        <w:t>R</w:t>
      </w:r>
      <w:r w:rsidR="005720AA" w:rsidRPr="00A167A9">
        <w:rPr>
          <w:caps w:val="0"/>
        </w:rPr>
        <w:t>eference</w:t>
      </w:r>
      <w:bookmarkEnd w:id="2195"/>
      <w:bookmarkEnd w:id="2196"/>
      <w:r w:rsidR="005720AA" w:rsidRPr="00A167A9">
        <w:rPr>
          <w:caps w:val="0"/>
        </w:rPr>
        <w:t>s</w:t>
      </w:r>
      <w:bookmarkEnd w:id="2197"/>
      <w:bookmarkEnd w:id="2198"/>
      <w:bookmarkEnd w:id="2199"/>
    </w:p>
    <w:p w14:paraId="138976D4" w14:textId="77777777" w:rsidR="00A167A9" w:rsidRPr="00A167A9" w:rsidRDefault="00A167A9" w:rsidP="00377F3A">
      <w:pPr>
        <w:pStyle w:val="NormalText"/>
      </w:pPr>
      <w:r w:rsidRPr="00A167A9">
        <w:t>Abernathy EV, Hull JM, Fish AM, Briggs CW, 2018. Secondary anticoagulant rodenticide exposure in migrating juvenile red-tailed hawks (Buteo jamaicensis) in relationship to body condition. J Raptor Res 52(2): 225-230</w:t>
      </w:r>
    </w:p>
    <w:p w14:paraId="1BA06B40" w14:textId="77777777" w:rsidR="00A167A9" w:rsidRPr="00A167A9" w:rsidRDefault="00A167A9" w:rsidP="00377F3A">
      <w:pPr>
        <w:pStyle w:val="NormalText"/>
      </w:pPr>
      <w:r w:rsidRPr="00A167A9">
        <w:t>Alabau E, Mentaberre G, Camarero PR, Catillo-Contreras R, Sánchez- Barbudo IS, Conejero C, Fernández-Bocharán MS, Lópoz-Olvera JR, Mateo R, 2020. Accumulation of diastereoisomers of anticoagulant rodenticides in wild boar from suburban areas: implications for human consumers. Sci Total Environ 738: 139828</w:t>
      </w:r>
    </w:p>
    <w:p w14:paraId="743F2D9F" w14:textId="77777777" w:rsidR="00A167A9" w:rsidRPr="00A167A9" w:rsidRDefault="00A167A9" w:rsidP="00377F3A">
      <w:pPr>
        <w:pStyle w:val="NormalText"/>
      </w:pPr>
      <w:r w:rsidRPr="00A167A9">
        <w:t>Albert CA, Wilson LK, Mineau P, Trudeau S, Elliott JE, 2010. Anticoagulant rodenticides in three owl species from Western Canada, 1988-2003. Arch Environ Contam Toxicol 58: 451-459</w:t>
      </w:r>
    </w:p>
    <w:p w14:paraId="36C60F85" w14:textId="77777777" w:rsidR="00A167A9" w:rsidRPr="00A167A9" w:rsidRDefault="00A167A9" w:rsidP="00377F3A">
      <w:pPr>
        <w:pStyle w:val="NormalText"/>
      </w:pPr>
      <w:r w:rsidRPr="00A167A9">
        <w:t>Allen J. Rogers, -, Acute Oral Limit Test of Contrac Rodenticide Kills Rats and Mice in Young Adult Wistar Rats</w:t>
      </w:r>
    </w:p>
    <w:p w14:paraId="674E2460" w14:textId="77777777" w:rsidR="00A167A9" w:rsidRPr="00A167A9" w:rsidRDefault="00A167A9" w:rsidP="00377F3A">
      <w:pPr>
        <w:pStyle w:val="NormalText"/>
      </w:pPr>
      <w:r w:rsidRPr="00A167A9">
        <w:t>Allen J. Rogers, -, Primary Dermal Irritation Eval. of Contrac Rodenticide in Young Adult Zew Zealand White Rabbits</w:t>
      </w:r>
    </w:p>
    <w:p w14:paraId="3BD66685" w14:textId="77777777" w:rsidR="00A167A9" w:rsidRPr="00A167A9" w:rsidRDefault="00A167A9" w:rsidP="00377F3A">
      <w:pPr>
        <w:pStyle w:val="NormalText"/>
      </w:pPr>
      <w:r w:rsidRPr="00A167A9">
        <w:t>Allen J. Rogers, -, Primary Eye Irritation Eval. of Contrac Blox in Young Adult Rabbits</w:t>
      </w:r>
    </w:p>
    <w:p w14:paraId="2B27C885" w14:textId="77777777" w:rsidR="00A167A9" w:rsidRPr="00A167A9" w:rsidRDefault="00A167A9" w:rsidP="00377F3A">
      <w:pPr>
        <w:pStyle w:val="NormalText"/>
      </w:pPr>
      <w:r w:rsidRPr="00A167A9">
        <w:t>Allen J. Rogers, -, Primary Eye Irritation Eval. of Contrac Rodenticide Kills Rats and Mice in Young Adult Rabbits</w:t>
      </w:r>
    </w:p>
    <w:p w14:paraId="304465BE" w14:textId="77777777" w:rsidR="00A167A9" w:rsidRPr="00A167A9" w:rsidRDefault="00A167A9" w:rsidP="00377F3A">
      <w:pPr>
        <w:pStyle w:val="NormalText"/>
      </w:pPr>
      <w:r w:rsidRPr="00A167A9">
        <w:t>Allen J. Rogers, 1992, Acute Dermal Limit Test of Contrac Rodenticide Kills Rats and Mice in Young Adult Rabbits</w:t>
      </w:r>
    </w:p>
    <w:p w14:paraId="4AFFF22E" w14:textId="77777777" w:rsidR="00A167A9" w:rsidRPr="00A167A9" w:rsidRDefault="00A167A9" w:rsidP="00377F3A">
      <w:pPr>
        <w:pStyle w:val="NormalText"/>
      </w:pPr>
      <w:r w:rsidRPr="00A167A9">
        <w:t>Alomar H, Chabert A, Coeudassier M, Vey D, Berny Ph, 2018. Accumulation of anticoagulant rodenticides (chlorophacinone, bromadiolone and brodifacoum) in a non-target invertebrate, the slug, Deroceras reiculatum. Sci Total Environ 610-611: 576-582</w:t>
      </w:r>
    </w:p>
    <w:p w14:paraId="57FAA57A" w14:textId="77777777" w:rsidR="00A167A9" w:rsidRPr="00A167A9" w:rsidRDefault="00A167A9" w:rsidP="00377F3A">
      <w:pPr>
        <w:pStyle w:val="NormalText"/>
      </w:pPr>
      <w:r w:rsidRPr="00A167A9">
        <w:t>Alterio N, 1996. Secondary poisoning of stoats (Mustela erminea), feral ferrets (Mustela furo), and feral house cats (Felis catus) by the anticoagulant poison, brodifacoum. NZ J Zool 23: 331-338</w:t>
      </w:r>
    </w:p>
    <w:p w14:paraId="45AB2032" w14:textId="77777777" w:rsidR="00A167A9" w:rsidRPr="00A167A9" w:rsidRDefault="00A167A9" w:rsidP="00377F3A">
      <w:pPr>
        <w:pStyle w:val="NormalText"/>
      </w:pPr>
      <w:r w:rsidRPr="00A167A9">
        <w:t>Anderson C, 1999b. Benzopyrene-[phenyl-UL-14C]-coumatetralyl: investigation of the biokinetic behaviour and the metabolism in the rat. Reference no. M-005760-01-1</w:t>
      </w:r>
    </w:p>
    <w:p w14:paraId="50FF0710" w14:textId="77777777" w:rsidR="00A167A9" w:rsidRPr="00A167A9" w:rsidRDefault="00A167A9" w:rsidP="00377F3A">
      <w:pPr>
        <w:pStyle w:val="NormalText"/>
      </w:pPr>
      <w:r w:rsidRPr="00A167A9">
        <w:t>Anderson W, 1999a. Technical bromadiolone product chemistry. Reference no. 4745-98</w:t>
      </w:r>
    </w:p>
    <w:p w14:paraId="62BED60A" w14:textId="77777777" w:rsidR="00A167A9" w:rsidRPr="00A167A9" w:rsidRDefault="00A167A9" w:rsidP="00377F3A">
      <w:pPr>
        <w:pStyle w:val="NormalText"/>
      </w:pPr>
      <w:r w:rsidRPr="00A167A9">
        <w:t>Andrew J. Marshall, 1996, Extract from Product Identity and Composition of Technical Brodifacoum</w:t>
      </w:r>
    </w:p>
    <w:p w14:paraId="4E2626AF" w14:textId="77777777" w:rsidR="00A167A9" w:rsidRPr="00A167A9" w:rsidRDefault="00A167A9" w:rsidP="00377F3A">
      <w:pPr>
        <w:pStyle w:val="NormalText"/>
      </w:pPr>
      <w:r w:rsidRPr="00A167A9">
        <w:t>Andrews P, 2001. Rodilone paste: study for acute oral toxicity in rats. APVMA data no. 9359</w:t>
      </w:r>
    </w:p>
    <w:p w14:paraId="28A6D461" w14:textId="77777777" w:rsidR="00A167A9" w:rsidRPr="00A167A9" w:rsidRDefault="00A167A9" w:rsidP="00377F3A">
      <w:pPr>
        <w:pStyle w:val="NormalText"/>
      </w:pPr>
      <w:r w:rsidRPr="00A167A9">
        <w:t>Andrews, P.; Romeike, A., 1997, Racumin 0.75% tracking powder (c.n.: Coumatetralyl) - Study for subchronic oral toxicity in rats (feeding study for 16 weeks). Study No. T 7059193, Report No. PH 26470</w:t>
      </w:r>
    </w:p>
    <w:p w14:paraId="232E47AF" w14:textId="2B2ABB7F" w:rsidR="00A167A9" w:rsidRPr="00A167A9" w:rsidRDefault="006F78D3" w:rsidP="00377F3A">
      <w:pPr>
        <w:pStyle w:val="NormalText"/>
      </w:pPr>
      <w:r>
        <w:t>A</w:t>
      </w:r>
      <w:r w:rsidRPr="00A167A9">
        <w:t>non</w:t>
      </w:r>
      <w:r w:rsidR="00A167A9" w:rsidRPr="00A167A9">
        <w:t>, 1995a, Brodifacoum – Skin Sensitization in Guinea Pigs of a 2.5% Concentrate</w:t>
      </w:r>
    </w:p>
    <w:p w14:paraId="4180D220" w14:textId="11596079" w:rsidR="00A167A9" w:rsidRPr="00A167A9" w:rsidRDefault="006F78D3" w:rsidP="00377F3A">
      <w:pPr>
        <w:pStyle w:val="NormalText"/>
      </w:pPr>
      <w:r>
        <w:t>A</w:t>
      </w:r>
      <w:r w:rsidRPr="00A167A9">
        <w:t>non</w:t>
      </w:r>
      <w:r w:rsidR="00A167A9" w:rsidRPr="00A167A9">
        <w:t>, 1995b, Brodifacoum 90-day Feeding Study in the Rat</w:t>
      </w:r>
    </w:p>
    <w:p w14:paraId="0609EF65" w14:textId="148CB52F" w:rsidR="00A167A9" w:rsidRPr="00A167A9" w:rsidRDefault="006F78D3" w:rsidP="00377F3A">
      <w:pPr>
        <w:pStyle w:val="NormalText"/>
      </w:pPr>
      <w:r>
        <w:t>A</w:t>
      </w:r>
      <w:r w:rsidRPr="00A167A9">
        <w:t>non</w:t>
      </w:r>
      <w:r w:rsidR="00A167A9" w:rsidRPr="00A167A9">
        <w:t>, 1995c, Brodifacoum – Development Toxicity to the Rat (Volume 1)</w:t>
      </w:r>
    </w:p>
    <w:p w14:paraId="46319A08" w14:textId="4D3115C0" w:rsidR="00A167A9" w:rsidRPr="00A167A9" w:rsidRDefault="006F78D3" w:rsidP="00377F3A">
      <w:pPr>
        <w:pStyle w:val="NormalText"/>
      </w:pPr>
      <w:r>
        <w:lastRenderedPageBreak/>
        <w:t>A</w:t>
      </w:r>
      <w:r w:rsidRPr="00A167A9">
        <w:t>non</w:t>
      </w:r>
      <w:r w:rsidR="00A167A9" w:rsidRPr="00A167A9">
        <w:t>, 1996a, Brodifacoum: Teratogenicity study in the Rat - Final Report</w:t>
      </w:r>
    </w:p>
    <w:p w14:paraId="77EF026A" w14:textId="10B3844E" w:rsidR="00A167A9" w:rsidRPr="00A167A9" w:rsidRDefault="006F78D3" w:rsidP="00377F3A">
      <w:pPr>
        <w:pStyle w:val="NormalText"/>
      </w:pPr>
      <w:r>
        <w:t>A</w:t>
      </w:r>
      <w:r w:rsidRPr="00A167A9">
        <w:t>non</w:t>
      </w:r>
      <w:r w:rsidR="00A167A9" w:rsidRPr="00A167A9">
        <w:t xml:space="preserve">, 1996b, Brodifacoum – Chromosome Aberration Test in Human Lymphocytes </w:t>
      </w:r>
      <w:r w:rsidR="00B0231D" w:rsidRPr="00B0231D">
        <w:rPr>
          <w:i/>
          <w:iCs/>
        </w:rPr>
        <w:t>in vitro</w:t>
      </w:r>
      <w:r w:rsidR="00A167A9" w:rsidRPr="00A167A9">
        <w:t>.</w:t>
      </w:r>
    </w:p>
    <w:p w14:paraId="273C90B9" w14:textId="51E75B1C" w:rsidR="00A167A9" w:rsidRPr="00A167A9" w:rsidRDefault="006F78D3" w:rsidP="00377F3A">
      <w:pPr>
        <w:pStyle w:val="NormalText"/>
      </w:pPr>
      <w:r>
        <w:t>A</w:t>
      </w:r>
      <w:r w:rsidRPr="00A167A9">
        <w:t>non</w:t>
      </w:r>
      <w:r w:rsidR="00A167A9" w:rsidRPr="00A167A9">
        <w:t>, 1996c, Brodifacoum – Acute Oral Toxicity in Rats of a 0.25% Concentrate</w:t>
      </w:r>
    </w:p>
    <w:p w14:paraId="5988D88E" w14:textId="14B54A16" w:rsidR="00A167A9" w:rsidRPr="00A167A9" w:rsidRDefault="006F78D3" w:rsidP="00377F3A">
      <w:pPr>
        <w:pStyle w:val="NormalText"/>
      </w:pPr>
      <w:r>
        <w:t>A</w:t>
      </w:r>
      <w:r w:rsidRPr="00A167A9">
        <w:t>non</w:t>
      </w:r>
      <w:r w:rsidR="00A167A9" w:rsidRPr="00A167A9">
        <w:t>, 1996d, Brodifacoum – Acute Dermal Irritation in Rabbits of a 0.25% Concentrate</w:t>
      </w:r>
    </w:p>
    <w:p w14:paraId="71E8A722" w14:textId="282BA64B" w:rsidR="00A167A9" w:rsidRPr="00A167A9" w:rsidRDefault="006F78D3" w:rsidP="00377F3A">
      <w:pPr>
        <w:pStyle w:val="NormalText"/>
      </w:pPr>
      <w:r>
        <w:t>A</w:t>
      </w:r>
      <w:r w:rsidRPr="00A167A9">
        <w:t>non</w:t>
      </w:r>
      <w:r w:rsidR="00A167A9" w:rsidRPr="00A167A9">
        <w:t>, 1996e, Brodifacoum – Acute Eye Irritation in Rabbits of a 2.5% Concentrate</w:t>
      </w:r>
    </w:p>
    <w:p w14:paraId="0560C49B" w14:textId="4F91F7E6" w:rsidR="00A167A9" w:rsidRPr="00A167A9" w:rsidRDefault="00A167A9" w:rsidP="00377F3A">
      <w:pPr>
        <w:pStyle w:val="NormalText"/>
      </w:pPr>
      <w:r w:rsidRPr="00A167A9">
        <w:t>Anon, 2004</w:t>
      </w:r>
      <w:r>
        <w:t>,</w:t>
      </w:r>
      <w:r w:rsidRPr="00A167A9">
        <w:t xml:space="preserve"> Difenacoum: QSAR estimation of bioconcentration factor. Reference no. A2482584</w:t>
      </w:r>
    </w:p>
    <w:p w14:paraId="6C632E85" w14:textId="10AB2832" w:rsidR="00A167A9" w:rsidRPr="00A167A9" w:rsidRDefault="006F78D3" w:rsidP="00377F3A">
      <w:pPr>
        <w:pStyle w:val="NormalText"/>
      </w:pPr>
      <w:r>
        <w:t>A</w:t>
      </w:r>
      <w:r w:rsidRPr="00A167A9">
        <w:t>non</w:t>
      </w:r>
      <w:r w:rsidR="00A167A9" w:rsidRPr="00A167A9">
        <w:t>, 2004, Acute Skin Irritation Study of Test Item Brodifacoum Technical in Rabbits</w:t>
      </w:r>
    </w:p>
    <w:p w14:paraId="33FC97B5" w14:textId="62B76942" w:rsidR="00A167A9" w:rsidRPr="00A167A9" w:rsidRDefault="006F78D3" w:rsidP="00377F3A">
      <w:pPr>
        <w:pStyle w:val="NormalText"/>
      </w:pPr>
      <w:r>
        <w:t>A</w:t>
      </w:r>
      <w:r w:rsidRPr="00A167A9">
        <w:t>non</w:t>
      </w:r>
      <w:r w:rsidR="00A167A9" w:rsidRPr="00A167A9">
        <w:t>, 2004, Brodifacoum – Local Lymph Node Assay in the Mouse</w:t>
      </w:r>
    </w:p>
    <w:p w14:paraId="7C54CA1A" w14:textId="1DA33372" w:rsidR="00A167A9" w:rsidRPr="00A167A9" w:rsidRDefault="00A167A9" w:rsidP="00377F3A">
      <w:pPr>
        <w:pStyle w:val="NormalText"/>
      </w:pPr>
      <w:r w:rsidRPr="00A167A9">
        <w:t>Anon, 2004. Difenacoum: QSAR estimation of dissociation constant. Reference no. A2480882</w:t>
      </w:r>
    </w:p>
    <w:p w14:paraId="5BDA2EFF" w14:textId="2E0C02D9" w:rsidR="00A167A9" w:rsidRPr="00A167A9" w:rsidRDefault="006F78D3" w:rsidP="00377F3A">
      <w:pPr>
        <w:pStyle w:val="NormalText"/>
      </w:pPr>
      <w:r>
        <w:t>A</w:t>
      </w:r>
      <w:r w:rsidRPr="00A167A9">
        <w:t>non</w:t>
      </w:r>
      <w:r w:rsidR="00A167A9" w:rsidRPr="00A167A9">
        <w:t>, 2004, Acute Oral Toxicty Study (Acute Toxic Class Method) of Test Item Brodifacoum Technical in Rats</w:t>
      </w:r>
    </w:p>
    <w:p w14:paraId="5C49C7AC" w14:textId="0CD153DA" w:rsidR="00A167A9" w:rsidRPr="00A167A9" w:rsidRDefault="006F78D3" w:rsidP="00377F3A">
      <w:pPr>
        <w:pStyle w:val="NormalText"/>
      </w:pPr>
      <w:r>
        <w:t>A</w:t>
      </w:r>
      <w:r w:rsidRPr="00A167A9">
        <w:t>non</w:t>
      </w:r>
      <w:r w:rsidR="00A167A9" w:rsidRPr="00A167A9">
        <w:t>, 2004, Brodifacoum – Acute Dermal Toxicity in Rats of a 0.25% Concentrate</w:t>
      </w:r>
    </w:p>
    <w:p w14:paraId="157E05ED" w14:textId="0C5304F3" w:rsidR="00A167A9" w:rsidRPr="00A167A9" w:rsidRDefault="00A167A9" w:rsidP="00377F3A">
      <w:pPr>
        <w:pStyle w:val="NormalText"/>
      </w:pPr>
      <w:r w:rsidRPr="00A167A9">
        <w:t>Anon, 2004</w:t>
      </w:r>
      <w:r>
        <w:t>,</w:t>
      </w:r>
      <w:r w:rsidRPr="00A167A9">
        <w:t xml:space="preserve"> Difenacoum: QSAR estimation of phototransformation in air. Reference no. A2482602</w:t>
      </w:r>
    </w:p>
    <w:p w14:paraId="1EB612EA" w14:textId="558A9D0C" w:rsidR="00A167A9" w:rsidRPr="00A167A9" w:rsidRDefault="006F78D3" w:rsidP="00377F3A">
      <w:pPr>
        <w:pStyle w:val="NormalText"/>
      </w:pPr>
      <w:r>
        <w:t>A</w:t>
      </w:r>
      <w:r w:rsidRPr="00A167A9">
        <w:t>non</w:t>
      </w:r>
      <w:r w:rsidR="00A167A9" w:rsidRPr="00A167A9">
        <w:t>, 2004, Acute Dermal Toxicity Study of Test Item Brodifacoum Technical in Rats</w:t>
      </w:r>
    </w:p>
    <w:p w14:paraId="4A006F3A" w14:textId="68F14248" w:rsidR="00A167A9" w:rsidRPr="00A167A9" w:rsidRDefault="006F78D3" w:rsidP="00377F3A">
      <w:pPr>
        <w:pStyle w:val="NormalText"/>
      </w:pPr>
      <w:r>
        <w:t>A</w:t>
      </w:r>
      <w:r w:rsidRPr="00A167A9">
        <w:t>non</w:t>
      </w:r>
      <w:r w:rsidR="00A167A9" w:rsidRPr="00A167A9">
        <w:t>, 2006, Brodifacoum – Development Toxicity to the Rabbit</w:t>
      </w:r>
    </w:p>
    <w:p w14:paraId="0DB7E435" w14:textId="1C776D82" w:rsidR="00A167A9" w:rsidRPr="00A167A9" w:rsidRDefault="006F78D3" w:rsidP="00377F3A">
      <w:pPr>
        <w:pStyle w:val="NormalText"/>
      </w:pPr>
      <w:r>
        <w:t>A</w:t>
      </w:r>
      <w:r w:rsidRPr="00A167A9">
        <w:t>non</w:t>
      </w:r>
      <w:r w:rsidR="00A167A9" w:rsidRPr="00A167A9">
        <w:t>, Acute Eye Irritation Study of Test Item Brodifacoum Technical in Rabbits</w:t>
      </w:r>
    </w:p>
    <w:p w14:paraId="62BA7A74" w14:textId="77777777" w:rsidR="00A167A9" w:rsidRPr="00A167A9" w:rsidRDefault="00A167A9" w:rsidP="00377F3A">
      <w:pPr>
        <w:pStyle w:val="NormalText"/>
      </w:pPr>
      <w:r w:rsidRPr="00A167A9">
        <w:t>Aparecido de Souza, R., 2016, Racumin Isca / Racumin Cebo - Acute oral toxicity study in rats (Rattus norvegicus). Study No. RL5326/2015TO-B (Racumin Paste 0.375 g/kg spec no. 102*31588)</w:t>
      </w:r>
    </w:p>
    <w:p w14:paraId="26F88CA2" w14:textId="77777777" w:rsidR="00A167A9" w:rsidRPr="00A167A9" w:rsidRDefault="00A167A9" w:rsidP="00377F3A">
      <w:pPr>
        <w:pStyle w:val="NormalText"/>
      </w:pPr>
      <w:r w:rsidRPr="00A167A9">
        <w:t>APVMA (2024a). Acceptable Daily intakes for Agricultural and Veterinary Chemicals https://apvma.gov.au/node/26596.</w:t>
      </w:r>
    </w:p>
    <w:p w14:paraId="2837EA2F" w14:textId="77777777" w:rsidR="00A167A9" w:rsidRPr="00A167A9" w:rsidRDefault="00A167A9" w:rsidP="00377F3A">
      <w:pPr>
        <w:pStyle w:val="NormalText"/>
      </w:pPr>
      <w:r w:rsidRPr="00A167A9">
        <w:t>APVMA (2024b). FAISD Handbook. https://apvma.gov.au/node/26586.</w:t>
      </w:r>
    </w:p>
    <w:p w14:paraId="041FE3EC" w14:textId="77777777" w:rsidR="00A167A9" w:rsidRPr="00A167A9" w:rsidRDefault="00A167A9" w:rsidP="00377F3A">
      <w:pPr>
        <w:pStyle w:val="NormalText"/>
      </w:pPr>
      <w:r w:rsidRPr="00A167A9">
        <w:t>Arnold DJ, Rapley JH, Weissler MS, 1978. Brodifacoum: the degradation of the pesticide in soil under laboratory conditions (summary). Reference no. RJ0040B</w:t>
      </w:r>
    </w:p>
    <w:p w14:paraId="567775DA" w14:textId="77777777" w:rsidR="00A167A9" w:rsidRPr="00A167A9" w:rsidRDefault="00A167A9" w:rsidP="00377F3A">
      <w:pPr>
        <w:pStyle w:val="NormalText"/>
      </w:pPr>
      <w:r w:rsidRPr="00A167A9">
        <w:t>Askam LR, 1986. Anticoagulant translocation and plant residue studies in crops. Proc Vertebr Pest Conf 12(6): 133-139</w:t>
      </w:r>
    </w:p>
    <w:p w14:paraId="3FF110F9" w14:textId="77777777" w:rsidR="00A167A9" w:rsidRPr="00A167A9" w:rsidRDefault="00A167A9" w:rsidP="00377F3A">
      <w:pPr>
        <w:pStyle w:val="NormalText"/>
      </w:pPr>
      <w:r w:rsidRPr="00A167A9">
        <w:t>Atterby H, Kerins GM, MacNicoll AD, 2005. Whole-carcass residues of the rodenticide difenacoum in anticoagulant-resistant and -susceptible rat strains (Rattus norvegicus). Environ Toxicol Chem 24(2): 318-323</w:t>
      </w:r>
    </w:p>
    <w:p w14:paraId="1E250610" w14:textId="77777777" w:rsidR="00A167A9" w:rsidRPr="00A167A9" w:rsidRDefault="00A167A9" w:rsidP="00377F3A">
      <w:pPr>
        <w:pStyle w:val="NormalText"/>
      </w:pPr>
      <w:r w:rsidRPr="00A167A9">
        <w:lastRenderedPageBreak/>
        <w:t>Aulerich RJ, Ringer RK, Safronoff J, 1987. Primary and secondary toxicity of warfarin, sodium monofluoroacetate, and methyl parathion in mink. Arch Environ Contam Toxicol 16: 357-366</w:t>
      </w:r>
    </w:p>
    <w:p w14:paraId="0D6652FB" w14:textId="77777777" w:rsidR="00A167A9" w:rsidRPr="00A167A9" w:rsidRDefault="00A167A9" w:rsidP="00377F3A">
      <w:pPr>
        <w:pStyle w:val="NormalText"/>
      </w:pPr>
      <w:r w:rsidRPr="00A167A9">
        <w:t>Badry A, Schenke D, Treu G, Krone O, 2021. Linking landscape composition and biological factors with exposure levels of rodenticides and agrochemicals in avian apex predators from Germany. Environ Res 193: 110602</w:t>
      </w:r>
    </w:p>
    <w:p w14:paraId="298A1F62" w14:textId="77777777" w:rsidR="00A167A9" w:rsidRPr="00A167A9" w:rsidRDefault="00A167A9" w:rsidP="00377F3A">
      <w:pPr>
        <w:pStyle w:val="NormalText"/>
      </w:pPr>
      <w:r w:rsidRPr="00A167A9">
        <w:t>Ballymore, M, 1995, Difenacoum. Reverse mutation in 5 histidine-requiring strains of Salmonella typhimurium.</w:t>
      </w:r>
    </w:p>
    <w:p w14:paraId="32E2AEEC" w14:textId="77777777" w:rsidR="00A167A9" w:rsidRPr="00A167A9" w:rsidRDefault="00A167A9" w:rsidP="00377F3A">
      <w:pPr>
        <w:pStyle w:val="NormalText"/>
      </w:pPr>
      <w:r w:rsidRPr="00A167A9">
        <w:t>Barfknecht R, 2004. Coumatetralyl: effects of a subchronic dietary exposure to Japanese quails including effects on reproduction and behaviour. Reference no. M-129370-01-1</w:t>
      </w:r>
    </w:p>
    <w:p w14:paraId="3D5D4FAD" w14:textId="77777777" w:rsidR="00A167A9" w:rsidRPr="00A167A9" w:rsidRDefault="00A167A9" w:rsidP="00377F3A">
      <w:pPr>
        <w:pStyle w:val="NormalText"/>
      </w:pPr>
      <w:r w:rsidRPr="00A167A9">
        <w:t>Barfknecht R, 2005a. Coumatetralyl: acceptance of Racumin Paste 0.0375 by chicken (Gallus gallus domesticus). Reference no. M-259338-01-1</w:t>
      </w:r>
    </w:p>
    <w:p w14:paraId="3FC685AD" w14:textId="77777777" w:rsidR="00A167A9" w:rsidRPr="00A167A9" w:rsidRDefault="00A167A9" w:rsidP="00377F3A">
      <w:pPr>
        <w:pStyle w:val="NormalText"/>
      </w:pPr>
      <w:r w:rsidRPr="00A167A9">
        <w:t>Barfknecht R, 2005b. Avoidance of coumatetralyl (Racumin Paste 0.0375) by chicken (Gallus gallus domesticus) no choice test over 24 hours. Reference no. M-260532-01-1</w:t>
      </w:r>
    </w:p>
    <w:p w14:paraId="3E0311EB" w14:textId="77777777" w:rsidR="00A167A9" w:rsidRPr="00A167A9" w:rsidRDefault="00A167A9" w:rsidP="00377F3A">
      <w:pPr>
        <w:pStyle w:val="NormalText"/>
      </w:pPr>
      <w:r w:rsidRPr="00A167A9">
        <w:t>Barnett EA, Fletcher MR, Hunter K, Sharp EA, 2002a. Pesticide poisoning of animals 2000: investigations of suspected incidents in the United Kingdom. Ministry of Agriculture, Fisheries and Food, Sand Hutton, York UK</w:t>
      </w:r>
    </w:p>
    <w:p w14:paraId="16D33692" w14:textId="77777777" w:rsidR="00A167A9" w:rsidRPr="00A167A9" w:rsidRDefault="00A167A9" w:rsidP="00377F3A">
      <w:pPr>
        <w:pStyle w:val="NormalText"/>
      </w:pPr>
      <w:r w:rsidRPr="00A167A9">
        <w:t>Barnett EA, Fletcher MR, Hunter K, Sharp EA, 2002b. Pesticide poisoning of animals 2001: investigations of suspected incidents in the United Kingdom. Ministry of Agriculture, Fisheries and Food, Sand Hutton, York UK</w:t>
      </w:r>
    </w:p>
    <w:p w14:paraId="3FE13C7B" w14:textId="77777777" w:rsidR="00A167A9" w:rsidRPr="00A167A9" w:rsidRDefault="00A167A9" w:rsidP="00377F3A">
      <w:pPr>
        <w:pStyle w:val="NormalText"/>
      </w:pPr>
      <w:r w:rsidRPr="00A167A9">
        <w:t>Barnett EA, Fletcher MR, Hunter K, Sharp EA, 2003. Pesticide poisoning of animals 2002: investigations of suspected incidents in the United Kingdom. Ministry of Agriculture, Fisheries and Food, Sand Hutton, York UK</w:t>
      </w:r>
    </w:p>
    <w:p w14:paraId="3EDA126D" w14:textId="77777777" w:rsidR="00A167A9" w:rsidRPr="00A167A9" w:rsidRDefault="00A167A9" w:rsidP="00377F3A">
      <w:pPr>
        <w:pStyle w:val="NormalText"/>
      </w:pPr>
      <w:r w:rsidRPr="00A167A9">
        <w:t>Barnett EA, Fletcher MR, Hunter K, Sharp EA, 2004. Pesticide poisoning of animals 2003: investigations of suspected incidents in the United Kingdom. Ministry of Agriculture, Fisheries and Food, Sand Hutton, York UK</w:t>
      </w:r>
    </w:p>
    <w:p w14:paraId="4F01ADF9" w14:textId="77777777" w:rsidR="00A167A9" w:rsidRPr="00A167A9" w:rsidRDefault="00A167A9" w:rsidP="00377F3A">
      <w:pPr>
        <w:pStyle w:val="NormalText"/>
      </w:pPr>
      <w:r w:rsidRPr="00A167A9">
        <w:t>Barnett EA, Fletcher MR, Hunter K, Sharp EA, 2005. Pesticide poisoning of animals 2004: investigations of suspected incidents in the United Kingdom. Ministry of Agriculture, Fisheries and Food, Sand Hutton, York UK</w:t>
      </w:r>
    </w:p>
    <w:p w14:paraId="0E7C0326" w14:textId="77777777" w:rsidR="00A167A9" w:rsidRPr="00A167A9" w:rsidRDefault="00A167A9" w:rsidP="00377F3A">
      <w:pPr>
        <w:pStyle w:val="NormalText"/>
      </w:pPr>
      <w:r w:rsidRPr="00A167A9">
        <w:t>Barnett EA, Fletcher MR, Hunter K, Sharp EA, 2006. Pesticide poisoning of animals 2005: investigations of suspected incidents in the United Kingdom. Ministry of Agriculture, Fisheries and Food, Sand Hutton, York UK</w:t>
      </w:r>
    </w:p>
    <w:p w14:paraId="46918C8A" w14:textId="77777777" w:rsidR="00A167A9" w:rsidRPr="00A167A9" w:rsidRDefault="00A167A9" w:rsidP="00377F3A">
      <w:pPr>
        <w:pStyle w:val="NormalText"/>
      </w:pPr>
      <w:r w:rsidRPr="00A167A9">
        <w:t>Barnett EA, Fletcher MR, Hunter K, Taylor MJ, Sharp EA, 2007. Pesticide poisoning of animals 2006: investigations of suspected incidents in the United Kingdom. Ministry of Agriculture, Fisheries and Food, Sand Hutton, York UK</w:t>
      </w:r>
    </w:p>
    <w:p w14:paraId="58C96BC3" w14:textId="77777777" w:rsidR="00A167A9" w:rsidRPr="00A167A9" w:rsidRDefault="00A167A9" w:rsidP="00377F3A">
      <w:pPr>
        <w:pStyle w:val="NormalText"/>
      </w:pPr>
      <w:r w:rsidRPr="00A167A9">
        <w:t>Bates EJ, 1997a. A trial of Neosorexa pellets for the control of the Norway rat Rattus norvegicus. Reference no. NP-RT-009</w:t>
      </w:r>
    </w:p>
    <w:p w14:paraId="42380BAE" w14:textId="77777777" w:rsidR="00A167A9" w:rsidRPr="00A167A9" w:rsidRDefault="00A167A9" w:rsidP="00377F3A">
      <w:pPr>
        <w:pStyle w:val="NormalText"/>
      </w:pPr>
      <w:r w:rsidRPr="00A167A9">
        <w:t>Bates EJ, 1997b. A trial of Neosorexa pellets for the control of the Norway rat Rattus norvegicus. Reference no. NP-RT-012</w:t>
      </w:r>
    </w:p>
    <w:p w14:paraId="7B24E501" w14:textId="77777777" w:rsidR="00A167A9" w:rsidRPr="00A167A9" w:rsidRDefault="00A167A9" w:rsidP="00377F3A">
      <w:pPr>
        <w:pStyle w:val="NormalText"/>
      </w:pPr>
      <w:r w:rsidRPr="00A167A9">
        <w:t>Bates EJ, 1997c. A trial of Neosorexa pellets for the control of the house mouse Mus domesticus at Gronwen (commercial site), Shropshire. Reference no. NP-MC-018</w:t>
      </w:r>
    </w:p>
    <w:p w14:paraId="51724C8D" w14:textId="77777777" w:rsidR="00A167A9" w:rsidRPr="00A167A9" w:rsidRDefault="00A167A9" w:rsidP="00377F3A">
      <w:pPr>
        <w:pStyle w:val="NormalText"/>
      </w:pPr>
      <w:r w:rsidRPr="00A167A9">
        <w:lastRenderedPageBreak/>
        <w:t>Bates EJ, 1997d. A trial of Neosorexa pellets for the control of the house mouse Mus domesticus at Gronwen (domestic site), Shropshire. Reference no. NP-MC-019</w:t>
      </w:r>
    </w:p>
    <w:p w14:paraId="28EF9A5C" w14:textId="77777777" w:rsidR="00A167A9" w:rsidRPr="00A167A9" w:rsidRDefault="00A167A9" w:rsidP="00377F3A">
      <w:pPr>
        <w:pStyle w:val="NormalText"/>
      </w:pPr>
      <w:r w:rsidRPr="00A167A9">
        <w:t>Batten P, Milburn G, Chart I, Godley M, Gore C, Simpson M, Swaine H, 1984, WBA8119 - 12 Week Feeding Study Rats</w:t>
      </w:r>
    </w:p>
    <w:p w14:paraId="0B018CCC" w14:textId="77777777" w:rsidR="00A167A9" w:rsidRPr="00A167A9" w:rsidRDefault="00A167A9" w:rsidP="00377F3A">
      <w:pPr>
        <w:pStyle w:val="NormalText"/>
      </w:pPr>
      <w:r w:rsidRPr="00A167A9">
        <w:t>Beavers J, Fink R, 1978. Technical brodifacoum: forty-day dietary LC50 mallard ducks. Reference no. 123-128</w:t>
      </w:r>
    </w:p>
    <w:p w14:paraId="55832BA0" w14:textId="77777777" w:rsidR="00A167A9" w:rsidRPr="00A167A9" w:rsidRDefault="00A167A9" w:rsidP="00377F3A">
      <w:pPr>
        <w:pStyle w:val="NormalText"/>
      </w:pPr>
      <w:r w:rsidRPr="00A167A9">
        <w:t>Becker, H.; Biedermann, K., 1996, Development toxicity study with Racumin in the rabbit. Study No. R6742</w:t>
      </w:r>
    </w:p>
    <w:p w14:paraId="242D77D6" w14:textId="77777777" w:rsidR="00A167A9" w:rsidRPr="00A167A9" w:rsidRDefault="00A167A9" w:rsidP="00377F3A">
      <w:pPr>
        <w:pStyle w:val="NormalText"/>
      </w:pPr>
      <w:r w:rsidRPr="00A167A9">
        <w:t>Becker, H.; Biedermann, K., 1996, Developmental toxicity study with Racumin in the rat. Study No. R6741</w:t>
      </w:r>
    </w:p>
    <w:p w14:paraId="7F5B16FE" w14:textId="77777777" w:rsidR="00A167A9" w:rsidRPr="00A167A9" w:rsidRDefault="00A167A9" w:rsidP="00377F3A">
      <w:pPr>
        <w:pStyle w:val="NormalText"/>
      </w:pPr>
      <w:r w:rsidRPr="00A167A9">
        <w:t>Bell Laboratories, Inc, 2022, Declaration Letter APVMA - Residues</w:t>
      </w:r>
    </w:p>
    <w:p w14:paraId="648E0EB3" w14:textId="77777777" w:rsidR="00A167A9" w:rsidRPr="00A167A9" w:rsidRDefault="00A167A9" w:rsidP="00377F3A">
      <w:pPr>
        <w:pStyle w:val="NormalText"/>
      </w:pPr>
      <w:r w:rsidRPr="00A167A9">
        <w:t>Bendig, P., 2015, Development and validation of an analytical method for the determination of coumatetralyl in foodstuffs of animal origin</w:t>
      </w:r>
    </w:p>
    <w:p w14:paraId="38D6CFC1" w14:textId="77777777" w:rsidR="00A167A9" w:rsidRPr="00A167A9" w:rsidRDefault="00A167A9" w:rsidP="00377F3A">
      <w:pPr>
        <w:pStyle w:val="NormalText"/>
      </w:pPr>
      <w:r w:rsidRPr="00A167A9">
        <w:t>Bendig, P., 2015, Development and validation of an analytical method for the determination of coumatetralyl in various crop types</w:t>
      </w:r>
    </w:p>
    <w:p w14:paraId="23ECFA14" w14:textId="77777777" w:rsidR="00A167A9" w:rsidRPr="00A167A9" w:rsidRDefault="00A167A9" w:rsidP="00377F3A">
      <w:pPr>
        <w:pStyle w:val="NormalText"/>
      </w:pPr>
      <w:r w:rsidRPr="00A167A9">
        <w:t>Bennison C, Friend JA, Button T, Mills H, Lambert C, Bencini R, 2016. Potential impacts of poison baiting for introduced house mice on native animals on islands in Jurien Bay, Western Australia. Wildl Res 43: 61–68</w:t>
      </w:r>
    </w:p>
    <w:p w14:paraId="5542985F" w14:textId="77777777" w:rsidR="00A167A9" w:rsidRPr="00A167A9" w:rsidRDefault="00A167A9" w:rsidP="00377F3A">
      <w:pPr>
        <w:pStyle w:val="NormalText"/>
      </w:pPr>
      <w:r w:rsidRPr="00A167A9">
        <w:t>Bentley RE, 1975. Acute toxicity of diphacinone technical to bluegill (Lepomis macrochirus), channel catfish (Ictalurus punctatus) and rainbow trout (Salmo gairdneri). Reference no. A1867594</w:t>
      </w:r>
    </w:p>
    <w:p w14:paraId="76DC5CCF" w14:textId="4394926E" w:rsidR="00A167A9" w:rsidRPr="00A167A9" w:rsidRDefault="00A167A9" w:rsidP="00377F3A">
      <w:pPr>
        <w:pStyle w:val="NormalText"/>
      </w:pPr>
      <w:r w:rsidRPr="00A167A9">
        <w:t xml:space="preserve">Béres E, 2002, Draft report: BROMADIOLONE: </w:t>
      </w:r>
      <w:r w:rsidR="00B0231D" w:rsidRPr="00B0231D">
        <w:rPr>
          <w:i/>
          <w:iCs/>
        </w:rPr>
        <w:t>In vitro</w:t>
      </w:r>
      <w:r w:rsidRPr="00A167A9">
        <w:t xml:space="preserve"> Mammalian Chromosomal Aberration study of Test item Bromadiolone Technical. </w:t>
      </w:r>
    </w:p>
    <w:p w14:paraId="7EE16B67" w14:textId="77777777" w:rsidR="00A167A9" w:rsidRPr="00A167A9" w:rsidRDefault="00A167A9" w:rsidP="00377F3A">
      <w:pPr>
        <w:pStyle w:val="NormalText"/>
      </w:pPr>
      <w:r w:rsidRPr="00A167A9">
        <w:t xml:space="preserve">Béres E, 2002, Draft report: BROMADIOLONE: Mutagenic Evaluation of Test Item Bromadiolone Technical in CHO/HPRT Assay. </w:t>
      </w:r>
    </w:p>
    <w:p w14:paraId="28E25883" w14:textId="77777777" w:rsidR="00A167A9" w:rsidRPr="00A167A9" w:rsidRDefault="00A167A9" w:rsidP="00377F3A">
      <w:pPr>
        <w:pStyle w:val="NormalText"/>
      </w:pPr>
      <w:r w:rsidRPr="00A167A9">
        <w:t xml:space="preserve">Béres E, 2006, Draft Report: 90-day repeated dose oral toxicity study of bromadiolone technical in rabbit, </w:t>
      </w:r>
    </w:p>
    <w:p w14:paraId="0E6A6A71" w14:textId="77777777" w:rsidR="00A167A9" w:rsidRPr="00A167A9" w:rsidRDefault="00A167A9" w:rsidP="00377F3A">
      <w:pPr>
        <w:pStyle w:val="NormalText"/>
      </w:pPr>
      <w:r w:rsidRPr="00A167A9">
        <w:t>Berny Ph, Esther A, Jacob J, Prescott C, 2014. Risk mitigation measures for anticoagulant rodenticides as biocidal products. European Commission contract no 07-0307/2012/638259/ETU/D3</w:t>
      </w:r>
    </w:p>
    <w:p w14:paraId="23822427" w14:textId="77777777" w:rsidR="00A167A9" w:rsidRPr="00A167A9" w:rsidRDefault="00A167A9" w:rsidP="00377F3A">
      <w:pPr>
        <w:pStyle w:val="NormalText"/>
      </w:pPr>
      <w:r w:rsidRPr="00A167A9">
        <w:t>Berny PJ, Buronfosse T, Buronfosse F, Lamarque F, Lorgue G, 1997. Field evidence of secondary poisoning of foxes (Vulpes vulpes) and buzzards (Buteo buteo) by bromadiolone, a 4-year survey. Chemosphere 35(8): 1817-1829</w:t>
      </w:r>
    </w:p>
    <w:p w14:paraId="52B1C15C" w14:textId="77777777" w:rsidR="00A167A9" w:rsidRPr="00A167A9" w:rsidRDefault="00A167A9" w:rsidP="00377F3A">
      <w:pPr>
        <w:pStyle w:val="NormalText"/>
      </w:pPr>
      <w:r w:rsidRPr="00A167A9">
        <w:t>Bettink K, 2015. Control and eradication of black rats (Rattus rattus) on Penguin Island, Western Australia, December 2012 – December 2014. Perth, Western Australia</w:t>
      </w:r>
    </w:p>
    <w:p w14:paraId="0853D46C" w14:textId="77777777" w:rsidR="00A167A9" w:rsidRPr="00A167A9" w:rsidRDefault="00A167A9" w:rsidP="00377F3A">
      <w:pPr>
        <w:pStyle w:val="NormalText"/>
      </w:pPr>
      <w:r w:rsidRPr="00A167A9">
        <w:t>Bhide MB, Naik PY, 1989a. Report on the acute oral toxicity (MLD) to the pigeon of Racumin tracking powder 0.75 percent of Bayer India Ltd Bombay. Reference no. M-108370-01-1</w:t>
      </w:r>
    </w:p>
    <w:p w14:paraId="1308D93A" w14:textId="77777777" w:rsidR="00A167A9" w:rsidRPr="00A167A9" w:rsidRDefault="00A167A9" w:rsidP="00377F3A">
      <w:pPr>
        <w:pStyle w:val="NormalText"/>
      </w:pPr>
      <w:r w:rsidRPr="00A167A9">
        <w:lastRenderedPageBreak/>
        <w:t>Bhide MB, Naik PY, 1989b. Report on the acute oral toxicity (MLD) to the chicken of Racumin tracking powder 0.75 percent of Bayer India Ltd Bombay. Reference no. M-108376-01-1</w:t>
      </w:r>
    </w:p>
    <w:p w14:paraId="55823D11" w14:textId="77777777" w:rsidR="00A167A9" w:rsidRPr="00A167A9" w:rsidRDefault="00A167A9" w:rsidP="00377F3A">
      <w:pPr>
        <w:pStyle w:val="NormalText"/>
      </w:pPr>
      <w:r w:rsidRPr="00A167A9">
        <w:t>Bhide MB, Naik PY, 1989c. Report on the acute toxicity (LD50) of Racumin tracking powder (0.75 percent) of Bayer India Ltd Bombay to honey bees (Apis indica). Reference no. M-108403-01-1</w:t>
      </w:r>
    </w:p>
    <w:p w14:paraId="006D9B75" w14:textId="77777777" w:rsidR="00A167A9" w:rsidRPr="00A167A9" w:rsidRDefault="00A167A9" w:rsidP="00377F3A">
      <w:pPr>
        <w:pStyle w:val="NormalText"/>
      </w:pPr>
      <w:r w:rsidRPr="00A167A9">
        <w:t>Bhide, M. B., 1984, Report on mucous membrane irritation test on rabbits with Racumin (tech.) of Bayer (India) LTD., Bombay</w:t>
      </w:r>
    </w:p>
    <w:p w14:paraId="07F188A9" w14:textId="77777777" w:rsidR="00A167A9" w:rsidRPr="00A167A9" w:rsidRDefault="00A167A9" w:rsidP="00377F3A">
      <w:pPr>
        <w:pStyle w:val="NormalText"/>
      </w:pPr>
      <w:r w:rsidRPr="00A167A9">
        <w:t>Bhide, M. B., 1984, Report on primary skin irritation test on rabbits with Racumin tech. of Bayer (India) LTD., Bombay</w:t>
      </w:r>
    </w:p>
    <w:p w14:paraId="581474DD" w14:textId="77777777" w:rsidR="00A167A9" w:rsidRPr="00A167A9" w:rsidRDefault="00A167A9" w:rsidP="00377F3A">
      <w:pPr>
        <w:pStyle w:val="NormalText"/>
      </w:pPr>
      <w:r w:rsidRPr="00A167A9">
        <w:t>Bhide, M. B., 1989, Report on acute inhalation toxicity in rats (4 hours) of Racumin tracking powder 0.75 percent of Bayer (India) Ltd., Bombay.</w:t>
      </w:r>
    </w:p>
    <w:p w14:paraId="23D433D7" w14:textId="77777777" w:rsidR="00A167A9" w:rsidRPr="00A167A9" w:rsidRDefault="00A167A9" w:rsidP="00377F3A">
      <w:pPr>
        <w:pStyle w:val="NormalText"/>
      </w:pPr>
      <w:r w:rsidRPr="00A167A9">
        <w:t>Bhide, M. B.; Naik, P. Y., 1989, Report on mucous membrane irritation test in rabbits with Racumin tracking powder 0.75 percent of Bayer (India) Ltd., Bombay</w:t>
      </w:r>
    </w:p>
    <w:p w14:paraId="1ED59055" w14:textId="77777777" w:rsidR="00A167A9" w:rsidRPr="00A167A9" w:rsidRDefault="00A167A9" w:rsidP="00377F3A">
      <w:pPr>
        <w:pStyle w:val="NormalText"/>
      </w:pPr>
      <w:r w:rsidRPr="00A167A9">
        <w:t>Bhide, M. B.; Naik, P. Y., 1989, Report on primary skin irritation test in rabbits with Racumin tracking powder 0.75 percent of Bayer (India) Ltd., Bombay</w:t>
      </w:r>
    </w:p>
    <w:p w14:paraId="020EBC76" w14:textId="77777777" w:rsidR="00A167A9" w:rsidRPr="00A167A9" w:rsidRDefault="00A167A9" w:rsidP="00377F3A">
      <w:pPr>
        <w:pStyle w:val="NormalText"/>
      </w:pPr>
      <w:r w:rsidRPr="00A167A9">
        <w:t>Bier C B &amp; Oliveira P H., 1979, Acute Dermal Sensitisation in Guinea Pigs Administered Test Article Diphacinone.</w:t>
      </w:r>
    </w:p>
    <w:p w14:paraId="0A60BB75" w14:textId="77777777" w:rsidR="00A167A9" w:rsidRPr="00A167A9" w:rsidRDefault="00A167A9" w:rsidP="00377F3A">
      <w:pPr>
        <w:pStyle w:val="NormalText"/>
      </w:pPr>
      <w:r w:rsidRPr="00A167A9">
        <w:t>Billeret, M, 2006, Tox Rationale.</w:t>
      </w:r>
    </w:p>
    <w:p w14:paraId="3C044103" w14:textId="77777777" w:rsidR="00A167A9" w:rsidRPr="00A167A9" w:rsidRDefault="00A167A9" w:rsidP="00377F3A">
      <w:pPr>
        <w:pStyle w:val="NormalText"/>
      </w:pPr>
      <w:r w:rsidRPr="00A167A9">
        <w:t>Birdlife Australia, 2022. Widespread poisoning of urban powerful owls across New South Wales by anticoagulant rodenticides. Reference no. A2497588</w:t>
      </w:r>
    </w:p>
    <w:p w14:paraId="0A3EE1D5" w14:textId="77777777" w:rsidR="00A167A9" w:rsidRPr="00A167A9" w:rsidRDefault="00A167A9" w:rsidP="00377F3A">
      <w:pPr>
        <w:pStyle w:val="NormalText"/>
      </w:pPr>
      <w:r w:rsidRPr="00A167A9">
        <w:t>Birks JDS, 1998. Secondary rodenticide poisoning risk arising from winter farmyard use by the European polecat Mustela putorius. Biol Conserv 85: 233-240</w:t>
      </w:r>
    </w:p>
    <w:p w14:paraId="296A5317" w14:textId="77777777" w:rsidR="00A167A9" w:rsidRPr="00A167A9" w:rsidRDefault="00A167A9" w:rsidP="00377F3A">
      <w:pPr>
        <w:pStyle w:val="NormalText"/>
      </w:pPr>
      <w:r w:rsidRPr="00A167A9">
        <w:t>Boeri RL, Ward TJ, 1991. Acute flow-through toxicity of bromadiolone to the daphnid Daphnia magna. Reference no. 90145-LI</w:t>
      </w:r>
    </w:p>
    <w:p w14:paraId="6F02615C" w14:textId="77777777" w:rsidR="00A167A9" w:rsidRPr="00A167A9" w:rsidRDefault="00A167A9" w:rsidP="00377F3A">
      <w:pPr>
        <w:pStyle w:val="NormalText"/>
      </w:pPr>
      <w:r w:rsidRPr="00A167A9">
        <w:t>Bomann, W., 1992, Racumin techn. - Investigations of acute dermal toxicity in rats. Study No. T 4040730, Report No. 21729</w:t>
      </w:r>
    </w:p>
    <w:p w14:paraId="495DF59D" w14:textId="77777777" w:rsidR="00A167A9" w:rsidRPr="00A167A9" w:rsidRDefault="00A167A9" w:rsidP="00377F3A">
      <w:pPr>
        <w:pStyle w:val="NormalText"/>
      </w:pPr>
      <w:r w:rsidRPr="00A167A9">
        <w:t>Bomann, W., 1992, Racumin techn. (c.n. Coumatetralyl) - Investigations of acute oral toxicity in rats. Report No. 21726, Study No. T 2040729</w:t>
      </w:r>
    </w:p>
    <w:p w14:paraId="34A47728" w14:textId="77777777" w:rsidR="00A167A9" w:rsidRPr="00A167A9" w:rsidRDefault="00A167A9" w:rsidP="00377F3A">
      <w:pPr>
        <w:pStyle w:val="NormalText"/>
      </w:pPr>
      <w:r w:rsidRPr="00A167A9">
        <w:t>Bomann, W., 1992, Racumin techn. (c.n.: Coumatetralyl) - Investigations of acute oral toxicity in rabbits. Study No. T 8040734, Report No. 21727</w:t>
      </w:r>
    </w:p>
    <w:p w14:paraId="247BFB52" w14:textId="77777777" w:rsidR="00A167A9" w:rsidRPr="00A167A9" w:rsidRDefault="00A167A9" w:rsidP="00377F3A">
      <w:pPr>
        <w:pStyle w:val="NormalText"/>
      </w:pPr>
      <w:r w:rsidRPr="00A167A9">
        <w:t>Bowmann W, 1992. Rachumin techn (c.n. coumatetralyl): investigations of acute oral toxicity in rats. Reference no. M-087412-01-1</w:t>
      </w:r>
    </w:p>
    <w:p w14:paraId="43653EB3" w14:textId="77777777" w:rsidR="00A167A9" w:rsidRPr="00A167A9" w:rsidRDefault="00A167A9" w:rsidP="00377F3A">
      <w:pPr>
        <w:pStyle w:val="NormalText"/>
      </w:pPr>
      <w:r w:rsidRPr="00A167A9">
        <w:t>Brakes CR, Smith RH, 2005. Exposure of non-target small mammals to rodenticides: short-term effects, recovery and implications for secondary poisoning. J Appl Ecol 42: 118-128</w:t>
      </w:r>
    </w:p>
    <w:p w14:paraId="1E231E90" w14:textId="77777777" w:rsidR="00A167A9" w:rsidRPr="00A167A9" w:rsidRDefault="00A167A9" w:rsidP="00377F3A">
      <w:pPr>
        <w:pStyle w:val="NormalText"/>
      </w:pPr>
      <w:r w:rsidRPr="00A167A9">
        <w:lastRenderedPageBreak/>
        <w:t>Brammer, A &amp; Leah, AM, 1991, Difenacoum. Acute dermal toxicity to the rat</w:t>
      </w:r>
    </w:p>
    <w:p w14:paraId="4458435E" w14:textId="77777777" w:rsidR="00A167A9" w:rsidRPr="00A167A9" w:rsidRDefault="00A167A9" w:rsidP="00377F3A">
      <w:pPr>
        <w:pStyle w:val="NormalText"/>
      </w:pPr>
      <w:r w:rsidRPr="00A167A9">
        <w:t>Brian V. Lindgren, 1992, Acute Limit Dermal Toxicity Eval. of Bromadiolone All-Weather Blox on Young Adult Sprague Dawley Rats</w:t>
      </w:r>
    </w:p>
    <w:p w14:paraId="091D4AD0" w14:textId="77777777" w:rsidR="00A167A9" w:rsidRPr="00A167A9" w:rsidRDefault="00A167A9" w:rsidP="00377F3A">
      <w:pPr>
        <w:pStyle w:val="NormalText"/>
      </w:pPr>
      <w:r w:rsidRPr="00A167A9">
        <w:t xml:space="preserve">Briffaux JP, 1986, LM 2219: Oral teratology study in the rabbit. </w:t>
      </w:r>
    </w:p>
    <w:p w14:paraId="43CBC2FD" w14:textId="77777777" w:rsidR="00A167A9" w:rsidRPr="00A167A9" w:rsidRDefault="00A167A9" w:rsidP="00377F3A">
      <w:pPr>
        <w:pStyle w:val="NormalText"/>
      </w:pPr>
      <w:r w:rsidRPr="00A167A9">
        <w:t>British Crop Production Council [BCPC], The Pesticide Manual, 18th edition, 2016</w:t>
      </w:r>
    </w:p>
    <w:p w14:paraId="7B042AF0" w14:textId="77777777" w:rsidR="00A167A9" w:rsidRPr="00A167A9" w:rsidRDefault="00A167A9" w:rsidP="00377F3A">
      <w:pPr>
        <w:pStyle w:val="NormalText"/>
      </w:pPr>
      <w:r w:rsidRPr="00A167A9">
        <w:t>Brodie A, Dyer B, 2002a. Non-target studies undertaken with 100 g Racumin (0.375 coumatetralyl) paste sachets in North Queensland sugarcane. Reference no. M-803841-01-1</w:t>
      </w:r>
    </w:p>
    <w:p w14:paraId="69F040E1" w14:textId="77777777" w:rsidR="00A167A9" w:rsidRPr="00A167A9" w:rsidRDefault="00A167A9" w:rsidP="00377F3A">
      <w:pPr>
        <w:pStyle w:val="NormalText"/>
      </w:pPr>
      <w:r w:rsidRPr="00A167A9">
        <w:t>Brodie A, Dyer B, 2002b. Non-target studies undertaken with Racumin (0.375 coumatetralyl) wax blocks in North Queensland sugarcane. Reference no. M-803842-01-1</w:t>
      </w:r>
    </w:p>
    <w:p w14:paraId="40F5F624" w14:textId="77777777" w:rsidR="00A167A9" w:rsidRPr="00A167A9" w:rsidRDefault="00A167A9" w:rsidP="00377F3A">
      <w:pPr>
        <w:pStyle w:val="NormalText"/>
      </w:pPr>
      <w:r w:rsidRPr="00A167A9">
        <w:t>Brooke MdeL, Cuthbert RJ, Harrison G, Gordon C, Taggart MA, 2013. Persistence of brodifacoum in cockroach and woodlice: implications for secondary poisoning during rodent eradications. Ecotoxicol Environ Saf 97: 183-188</w:t>
      </w:r>
    </w:p>
    <w:p w14:paraId="36F0AD54" w14:textId="77777777" w:rsidR="00A167A9" w:rsidRPr="006F78D3" w:rsidRDefault="00A167A9" w:rsidP="00377F3A">
      <w:pPr>
        <w:pStyle w:val="NormalText"/>
        <w:rPr>
          <w:lang w:val="de-CH"/>
        </w:rPr>
      </w:pPr>
      <w:r w:rsidRPr="00A167A9">
        <w:t xml:space="preserve">Brooks JE, Savarie PJ, Johnston JJ, 1998. The oral and dermal toxicity of selected chemicals to brown tree snakes (Boiga irregularis). </w:t>
      </w:r>
      <w:r w:rsidRPr="006F78D3">
        <w:rPr>
          <w:lang w:val="de-CH"/>
        </w:rPr>
        <w:t>Wildl Res 25: 427-435</w:t>
      </w:r>
    </w:p>
    <w:p w14:paraId="4A3638B8" w14:textId="77777777" w:rsidR="00A167A9" w:rsidRPr="00A167A9" w:rsidRDefault="00A167A9" w:rsidP="00377F3A">
      <w:pPr>
        <w:pStyle w:val="NormalText"/>
      </w:pPr>
      <w:r w:rsidRPr="006F78D3">
        <w:rPr>
          <w:lang w:val="de-CH"/>
        </w:rPr>
        <w:t xml:space="preserve">Brorson T, Björklund I, Svenstam G, Lantz R, 1994. </w:t>
      </w:r>
      <w:r w:rsidRPr="00A167A9">
        <w:t>Comparison of two strategies for assessing ecotoxicological aspects of complex wastewater from a chemical-pharmaceutical plant. Environ Toxicol Chem 13(4): 543-552</w:t>
      </w:r>
    </w:p>
    <w:p w14:paraId="1D2AD671" w14:textId="77777777" w:rsidR="00A167A9" w:rsidRPr="00A167A9" w:rsidRDefault="00A167A9" w:rsidP="00377F3A">
      <w:pPr>
        <w:pStyle w:val="NormalText"/>
      </w:pPr>
      <w:r w:rsidRPr="00A167A9">
        <w:t>Brunner H, Coman BJ, 1983. The ingestion of artificially coloured grain by birds, and its relevance to vertebrate pest control. Aust Wildl Res 10: 303-310</w:t>
      </w:r>
    </w:p>
    <w:p w14:paraId="0F718099" w14:textId="77777777" w:rsidR="00A167A9" w:rsidRPr="00A167A9" w:rsidRDefault="00A167A9" w:rsidP="00377F3A">
      <w:pPr>
        <w:pStyle w:val="NormalText"/>
      </w:pPr>
      <w:r w:rsidRPr="00A167A9">
        <w:t>Buch S, 1979, Brodifacoum: 4-Hour Acute Inhalation Toxicity Study in the Rat - Final Report</w:t>
      </w:r>
    </w:p>
    <w:p w14:paraId="105F355E" w14:textId="77777777" w:rsidR="00A167A9" w:rsidRPr="00A167A9" w:rsidRDefault="00A167A9" w:rsidP="00377F3A">
      <w:pPr>
        <w:pStyle w:val="NormalText"/>
      </w:pPr>
      <w:r w:rsidRPr="00A167A9">
        <w:t>Buckle AP, Eason CT, 2015. Control methods: chemicals. In: Buckle AP, Smith RH (ed). Rodent pests and their control. 2nd edition, CAB International Oxfordshire, Boston, pp 123-154</w:t>
      </w:r>
    </w:p>
    <w:p w14:paraId="2F8F0B13" w14:textId="77777777" w:rsidR="00A167A9" w:rsidRPr="00A167A9" w:rsidRDefault="00A167A9" w:rsidP="00377F3A">
      <w:pPr>
        <w:pStyle w:val="NormalText"/>
      </w:pPr>
      <w:r w:rsidRPr="00A167A9">
        <w:t>Bull JO, 1976. Laboratory and field investigations with difenacoum, a promising new rodenticide. Proc Vertebr Pest Conf 7: 72-84</w:t>
      </w:r>
    </w:p>
    <w:p w14:paraId="1DA8AD06" w14:textId="77777777" w:rsidR="00A167A9" w:rsidRPr="00A167A9" w:rsidRDefault="00A167A9" w:rsidP="00377F3A">
      <w:pPr>
        <w:pStyle w:val="NormalText"/>
      </w:pPr>
      <w:r w:rsidRPr="00A167A9">
        <w:t>Bullard RW, Thompson RD and Holguin G, 1976, Diphenadione Residues in Tissues of Cattle</w:t>
      </w:r>
    </w:p>
    <w:p w14:paraId="6B027FD7" w14:textId="77777777" w:rsidR="00A167A9" w:rsidRPr="00A167A9" w:rsidRDefault="00A167A9" w:rsidP="00377F3A">
      <w:pPr>
        <w:pStyle w:val="NormalText"/>
      </w:pPr>
      <w:r w:rsidRPr="00A167A9">
        <w:t>Bullard RW, Thompson RD, Holguin G, 1976, Diphenadione residues in tissues of cattle. J Agric Food Chem 24(2): 261-263</w:t>
      </w:r>
    </w:p>
    <w:p w14:paraId="59EF51F1" w14:textId="77777777" w:rsidR="00A167A9" w:rsidRPr="00A167A9" w:rsidRDefault="00A167A9" w:rsidP="00377F3A">
      <w:pPr>
        <w:pStyle w:val="NormalText"/>
      </w:pPr>
      <w:r w:rsidRPr="00A167A9">
        <w:t>Bullard RW, Thompson RD, Holguin G, 1976. Diphenadione residues in tissues of cattle. J Agric Food Chem 24(2): 261-263</w:t>
      </w:r>
    </w:p>
    <w:p w14:paraId="4D2767B0" w14:textId="77777777" w:rsidR="00A167A9" w:rsidRPr="00A167A9" w:rsidRDefault="00A167A9" w:rsidP="00377F3A">
      <w:pPr>
        <w:pStyle w:val="NormalText"/>
      </w:pPr>
      <w:r w:rsidRPr="00A167A9">
        <w:t>Burbridge A, 2004. Montelbello Renewal: Western Shield review – February 2003. Conservation Science Western Australia 5(2): 194-201</w:t>
      </w:r>
    </w:p>
    <w:p w14:paraId="7BC19C4E" w14:textId="77777777" w:rsidR="00A167A9" w:rsidRPr="00A167A9" w:rsidRDefault="00A167A9" w:rsidP="00377F3A">
      <w:pPr>
        <w:pStyle w:val="NormalText"/>
      </w:pPr>
      <w:r w:rsidRPr="00A167A9">
        <w:t>Burbridge A, 2004. Montelbello Renewal: Western Shield review – February 2003. Conservation Science Western Australia 5(2):194-201</w:t>
      </w:r>
    </w:p>
    <w:p w14:paraId="4D966694" w14:textId="77777777" w:rsidR="00A167A9" w:rsidRPr="00A167A9" w:rsidRDefault="00A167A9" w:rsidP="00377F3A">
      <w:pPr>
        <w:pStyle w:val="NormalText"/>
      </w:pPr>
      <w:r w:rsidRPr="00A167A9">
        <w:lastRenderedPageBreak/>
        <w:t>C. Noc, -, Cutaneous Sensitization of Contrac Rodenticide using the Magnusson and Kligman Maximization Test in guinea Pig</w:t>
      </w:r>
    </w:p>
    <w:p w14:paraId="1DEA1A8D" w14:textId="35C2523D" w:rsidR="00A167A9" w:rsidRPr="00A167A9" w:rsidRDefault="00A167A9" w:rsidP="00377F3A">
      <w:pPr>
        <w:pStyle w:val="NormalText"/>
      </w:pPr>
      <w:r w:rsidRPr="00A167A9">
        <w:t xml:space="preserve">Callander R, 1983, Brodifacoum: An Evaluation in the </w:t>
      </w:r>
      <w:r w:rsidR="00B0231D" w:rsidRPr="00B0231D">
        <w:rPr>
          <w:i/>
          <w:iCs/>
        </w:rPr>
        <w:t>In vitro</w:t>
      </w:r>
      <w:r w:rsidRPr="00A167A9">
        <w:t xml:space="preserve"> Cytogenetic Assay in Human Lymphocytes</w:t>
      </w:r>
    </w:p>
    <w:p w14:paraId="39096472" w14:textId="77777777" w:rsidR="00A167A9" w:rsidRPr="00A167A9" w:rsidRDefault="00A167A9" w:rsidP="00377F3A">
      <w:pPr>
        <w:pStyle w:val="NormalText"/>
      </w:pPr>
      <w:r w:rsidRPr="00A167A9">
        <w:t>Callander R, 1983, Spanish_Translat_PP581 : Acute Oral Toxicity and Skin Sensitisation</w:t>
      </w:r>
    </w:p>
    <w:p w14:paraId="385F3F5C" w14:textId="77777777" w:rsidR="00A167A9" w:rsidRPr="00A167A9" w:rsidRDefault="00A167A9" w:rsidP="00377F3A">
      <w:pPr>
        <w:pStyle w:val="NormalText"/>
      </w:pPr>
      <w:r w:rsidRPr="00A167A9">
        <w:t>Callander, RD, 1986, Difenacoum: An evaluation in the Salmonella Mutagenicity Assay.</w:t>
      </w:r>
    </w:p>
    <w:p w14:paraId="390E6D03" w14:textId="77777777" w:rsidR="00A167A9" w:rsidRPr="00A167A9" w:rsidRDefault="00A167A9" w:rsidP="00377F3A">
      <w:pPr>
        <w:pStyle w:val="NormalText"/>
      </w:pPr>
      <w:r w:rsidRPr="00A167A9">
        <w:t>Camilleri P, Weaver RC, 1985. Physico-chemical properties of the rodenticide WL108366. Reference no. SBRN.85.052</w:t>
      </w:r>
    </w:p>
    <w:p w14:paraId="7978D597" w14:textId="77777777" w:rsidR="00A167A9" w:rsidRPr="00A167A9" w:rsidRDefault="00A167A9" w:rsidP="00377F3A">
      <w:pPr>
        <w:pStyle w:val="NormalText"/>
      </w:pPr>
      <w:r w:rsidRPr="00A167A9">
        <w:t>Campbell S, Hoxter KA, Smith GJ, 1991. Diphacinone technical: an acute oral toxicity study with the northern bobwhite. Reference no. 284-103</w:t>
      </w:r>
    </w:p>
    <w:p w14:paraId="2BA70954" w14:textId="77777777" w:rsidR="00A167A9" w:rsidRPr="00A167A9" w:rsidRDefault="00A167A9" w:rsidP="00377F3A">
      <w:pPr>
        <w:pStyle w:val="NormalText"/>
      </w:pPr>
      <w:r w:rsidRPr="00A167A9">
        <w:t>Castro, L. M., 2021, Racumin Polvo (Coumatetralyl 0.75 CP) - Skin sensitization: Local lymph node assay (LLNA). Study No. RL24388/2020LLNA-B. Spec. no. 102*37657</w:t>
      </w:r>
    </w:p>
    <w:p w14:paraId="421D9E94" w14:textId="77777777" w:rsidR="00A167A9" w:rsidRPr="00A167A9" w:rsidRDefault="00A167A9" w:rsidP="00377F3A">
      <w:pPr>
        <w:pStyle w:val="NormalText"/>
      </w:pPr>
      <w:r w:rsidRPr="00A167A9">
        <w:t>Chambers, J.G., Snowdon, P.J. , 2004, Study to determine potential exposure to operators during simulated use of anticoagulant rodenticide baits</w:t>
      </w:r>
    </w:p>
    <w:p w14:paraId="05595D0D" w14:textId="77777777" w:rsidR="00A167A9" w:rsidRPr="00A167A9" w:rsidRDefault="00A167A9" w:rsidP="00377F3A">
      <w:pPr>
        <w:pStyle w:val="NormalText"/>
      </w:pPr>
      <w:r w:rsidRPr="00A167A9">
        <w:t>Chang, S., 2021, AE C518298 - Salmonella typhimurium reverse mutation assay. Study No. 2142500</w:t>
      </w:r>
    </w:p>
    <w:p w14:paraId="50536190" w14:textId="77777777" w:rsidR="00A167A9" w:rsidRPr="00A167A9" w:rsidRDefault="00A167A9" w:rsidP="00377F3A">
      <w:pPr>
        <w:pStyle w:val="NormalText"/>
      </w:pPr>
      <w:r w:rsidRPr="00A167A9">
        <w:t>Chart I, 1986, The Acute Oral Toxicity of the Anticoagulant Brodifacoum to Dogs</w:t>
      </w:r>
    </w:p>
    <w:p w14:paraId="29D2A0BD" w14:textId="77777777" w:rsidR="00A167A9" w:rsidRPr="00A167A9" w:rsidRDefault="00A167A9" w:rsidP="00377F3A">
      <w:pPr>
        <w:pStyle w:val="NormalText"/>
      </w:pPr>
      <w:r w:rsidRPr="006F78D3">
        <w:rPr>
          <w:lang w:val="de-CH"/>
        </w:rPr>
        <w:t xml:space="preserve">Christensen TK, Lassen P, Elmeros M, 2012. </w:t>
      </w:r>
      <w:r w:rsidRPr="00A167A9">
        <w:t>High exposure rates of anticoagulant rodenticides in predatory bird species in intensively managed landscapes in Denmark. Arch Environ Contam Toxicol 63: 437-444</w:t>
      </w:r>
    </w:p>
    <w:p w14:paraId="106D3AD2" w14:textId="67F40E1D" w:rsidR="00A167A9" w:rsidRPr="00A167A9" w:rsidRDefault="00A167A9" w:rsidP="00377F3A">
      <w:pPr>
        <w:pStyle w:val="NormalText"/>
      </w:pPr>
      <w:r w:rsidRPr="00A167A9">
        <w:t>Cifone, M.A., 1993, Mutagenicity test on Bromadiolone Technical in the CHO/HGPRT forward mutation assay.</w:t>
      </w:r>
    </w:p>
    <w:p w14:paraId="49763AB1" w14:textId="0F563FA0" w:rsidR="00A167A9" w:rsidRPr="00A167A9" w:rsidRDefault="00A167A9" w:rsidP="00377F3A">
      <w:pPr>
        <w:pStyle w:val="NormalText"/>
      </w:pPr>
      <w:r w:rsidRPr="00A167A9">
        <w:t xml:space="preserve">Clare, C, 1996, Difenacoum: Measurement of unscheduled DNA synthesis in rat liver using an </w:t>
      </w:r>
      <w:r w:rsidR="00B0231D" w:rsidRPr="00B0231D">
        <w:rPr>
          <w:i/>
          <w:iCs/>
        </w:rPr>
        <w:t>in vivo</w:t>
      </w:r>
      <w:r w:rsidRPr="00A167A9">
        <w:t>/</w:t>
      </w:r>
      <w:r w:rsidR="00B0231D" w:rsidRPr="00B0231D">
        <w:rPr>
          <w:i/>
          <w:iCs/>
        </w:rPr>
        <w:t>in vitro</w:t>
      </w:r>
      <w:r w:rsidRPr="00A167A9">
        <w:t xml:space="preserve"> procedure.</w:t>
      </w:r>
    </w:p>
    <w:p w14:paraId="57B67F2D" w14:textId="77777777" w:rsidR="00A167A9" w:rsidRPr="00A167A9" w:rsidRDefault="00A167A9" w:rsidP="00377F3A">
      <w:pPr>
        <w:pStyle w:val="NormalText"/>
      </w:pPr>
      <w:r w:rsidRPr="00A167A9">
        <w:t xml:space="preserve">Clark, D.G., Esdaile, D.J. , 1989, WL108366: A 90 day feeding study in rats </w:t>
      </w:r>
    </w:p>
    <w:p w14:paraId="0F39CA40" w14:textId="77777777" w:rsidR="00A167A9" w:rsidRPr="00A167A9" w:rsidRDefault="00A167A9" w:rsidP="00377F3A">
      <w:pPr>
        <w:pStyle w:val="NormalText"/>
      </w:pPr>
      <w:r w:rsidRPr="00A167A9">
        <w:t>Clarke N, 2003. Bromadiolone: assessment of ready biodegradability; CO2 evolution test. Reference no. 1840/018</w:t>
      </w:r>
    </w:p>
    <w:p w14:paraId="3710B81E" w14:textId="77777777" w:rsidR="00A167A9" w:rsidRPr="00A167A9" w:rsidRDefault="00A167A9" w:rsidP="00377F3A">
      <w:pPr>
        <w:pStyle w:val="NormalText"/>
      </w:pPr>
      <w:r w:rsidRPr="00A167A9">
        <w:t>Clements, J, 1995, Difenacoum. Mutation at the thymidine kinase (tk) locus of mouse lymphoma L5 178Y cells using the microtitre® fluctuation technique</w:t>
      </w:r>
    </w:p>
    <w:p w14:paraId="17741996" w14:textId="77777777" w:rsidR="00A167A9" w:rsidRPr="00A167A9" w:rsidRDefault="00A167A9" w:rsidP="00377F3A">
      <w:pPr>
        <w:pStyle w:val="NormalText"/>
      </w:pPr>
      <w:r w:rsidRPr="00A167A9">
        <w:t>Constable, B. G., 1988, Residues of coumatetralyl in rodents</w:t>
      </w:r>
    </w:p>
    <w:p w14:paraId="5C065C4B" w14:textId="77777777" w:rsidR="00A167A9" w:rsidRPr="00A167A9" w:rsidRDefault="00A167A9" w:rsidP="00377F3A">
      <w:pPr>
        <w:pStyle w:val="NormalText"/>
      </w:pPr>
      <w:r w:rsidRPr="00A167A9">
        <w:t>Cooke R, Whiteley P, Death C, Weston MA, Carter N, Scammell K, Yokochi K, Nguyen H, White JG, 2023. Silent killers? The widespread exposure of predatory nocturnal birds to anticoagulant rodenticides. Sci Total Environ 904: 166293</w:t>
      </w:r>
    </w:p>
    <w:p w14:paraId="7B0F8A0D" w14:textId="77777777" w:rsidR="00A167A9" w:rsidRPr="00A167A9" w:rsidRDefault="00A167A9" w:rsidP="00377F3A">
      <w:pPr>
        <w:pStyle w:val="NormalText"/>
      </w:pPr>
      <w:r w:rsidRPr="00A167A9">
        <w:t>Cox P, Smith RH, 1992. Rodenticide ecotoxicology: pre-lethal effects of anticoagulants on rat behaviour. Proceedings of the Fifteenth Vertebrate Pest Conference 86: 165-170</w:t>
      </w:r>
    </w:p>
    <w:p w14:paraId="1E3008A4" w14:textId="77777777" w:rsidR="00A167A9" w:rsidRPr="00A167A9" w:rsidRDefault="00A167A9" w:rsidP="00377F3A">
      <w:pPr>
        <w:pStyle w:val="NormalText"/>
      </w:pPr>
      <w:r w:rsidRPr="00A167A9">
        <w:lastRenderedPageBreak/>
        <w:t>Craddock P, 2003. Aspects of the ecology of forest invertebrates and the use of brodifacoum. PhD thesis, University of Auckland, New Zealand</w:t>
      </w:r>
    </w:p>
    <w:p w14:paraId="33C82F0E" w14:textId="77777777" w:rsidR="00A167A9" w:rsidRPr="00A167A9" w:rsidRDefault="00A167A9" w:rsidP="00377F3A">
      <w:pPr>
        <w:pStyle w:val="NormalText"/>
      </w:pPr>
      <w:r w:rsidRPr="00A167A9">
        <w:t>Craig A. Riekena, 1995, Tissue Residue Analysis of Technical Bromadiolone [Ducks]</w:t>
      </w:r>
    </w:p>
    <w:p w14:paraId="21C1FDC3" w14:textId="77777777" w:rsidR="00A167A9" w:rsidRPr="00A167A9" w:rsidRDefault="00A167A9" w:rsidP="00377F3A">
      <w:pPr>
        <w:pStyle w:val="NormalText"/>
      </w:pPr>
      <w:r w:rsidRPr="00A167A9">
        <w:t>Craig WJ, 2003a. The toxicity to rainbow trout (Oncorhynchus mykiss) of brodifacoum technical. Reference no. ENV5803/120140</w:t>
      </w:r>
    </w:p>
    <w:p w14:paraId="2A30D4DE" w14:textId="77777777" w:rsidR="00A167A9" w:rsidRPr="00A167A9" w:rsidRDefault="00A167A9" w:rsidP="00377F3A">
      <w:pPr>
        <w:pStyle w:val="NormalText"/>
      </w:pPr>
      <w:r w:rsidRPr="00A167A9">
        <w:t>Craig WJ, 2003b. The toxicity to Daphnia magna of brodifacoum technical. Reference no. ENV5802/120140</w:t>
      </w:r>
    </w:p>
    <w:p w14:paraId="2E6316E0" w14:textId="77777777" w:rsidR="00A167A9" w:rsidRPr="00A167A9" w:rsidRDefault="00A167A9" w:rsidP="00377F3A">
      <w:pPr>
        <w:pStyle w:val="NormalText"/>
      </w:pPr>
      <w:r w:rsidRPr="00A167A9">
        <w:t>Craig WJ, 2003c. The growth inhibition of the alga Selenastrum capricornutum by brodifacoum technical. Reference no. ENV5801/120140</w:t>
      </w:r>
    </w:p>
    <w:p w14:paraId="2A715B21" w14:textId="77777777" w:rsidR="00A167A9" w:rsidRPr="00A167A9" w:rsidRDefault="00A167A9" w:rsidP="00377F3A">
      <w:pPr>
        <w:pStyle w:val="NormalText"/>
      </w:pPr>
      <w:r w:rsidRPr="00A167A9">
        <w:t>Craig WJ, 2003d. The toxicity to rainbow trout (Oncorhynchus mykiss) of difenacoum technical. Reference no. ENV5794/120139</w:t>
      </w:r>
    </w:p>
    <w:p w14:paraId="59C1CCF7" w14:textId="77777777" w:rsidR="00A167A9" w:rsidRPr="00A167A9" w:rsidRDefault="00A167A9" w:rsidP="00377F3A">
      <w:pPr>
        <w:pStyle w:val="NormalText"/>
      </w:pPr>
      <w:r w:rsidRPr="00A167A9">
        <w:t>Craig WJ, 2003e. The toxicity to Daphnia magna of difenacoum technical. Reference no. ENV5793/120139</w:t>
      </w:r>
    </w:p>
    <w:p w14:paraId="7AE1009C" w14:textId="77777777" w:rsidR="00A167A9" w:rsidRPr="00A167A9" w:rsidRDefault="00A167A9" w:rsidP="00377F3A">
      <w:pPr>
        <w:pStyle w:val="NormalText"/>
      </w:pPr>
      <w:r w:rsidRPr="00A167A9">
        <w:t>Craig WJ, 2003f. The growth inhibition of the alga Selenastrum capricornutum by difenacoum technical. Reference no. ENV5792/120139</w:t>
      </w:r>
    </w:p>
    <w:p w14:paraId="24E15B8E" w14:textId="77777777" w:rsidR="00A167A9" w:rsidRPr="00A167A9" w:rsidRDefault="00A167A9" w:rsidP="00377F3A">
      <w:pPr>
        <w:pStyle w:val="NormalText"/>
      </w:pPr>
      <w:r w:rsidRPr="00A167A9">
        <w:t>Crowell M, Eason C, Hix S, Broome K, Fairweather A, Moltchanova E, Ross J, Murphy E, 2013, First generation anticoagulant rodenticide persistence in large mammals and implications for wildlife management. NZ J Zool 40(3): 205-216</w:t>
      </w:r>
    </w:p>
    <w:p w14:paraId="74822C3A" w14:textId="77777777" w:rsidR="00A167A9" w:rsidRPr="00A167A9" w:rsidRDefault="00A167A9" w:rsidP="00377F3A">
      <w:pPr>
        <w:pStyle w:val="NormalText"/>
      </w:pPr>
      <w:r w:rsidRPr="00A167A9">
        <w:t>Crowell M, Eason C, Hix S, Broome K, Fairweather A, Moltchanova E, Ross J, Murphy E, 2013. First generation anticoagulant rodenticide persistence in large mammals and implications for wildlife management. NZ J Zool 40(3): 205-216</w:t>
      </w:r>
    </w:p>
    <w:p w14:paraId="40E79E83" w14:textId="77777777" w:rsidR="00A167A9" w:rsidRPr="00A167A9" w:rsidRDefault="00A167A9" w:rsidP="00377F3A">
      <w:pPr>
        <w:pStyle w:val="NormalText"/>
      </w:pPr>
      <w:r w:rsidRPr="00A167A9">
        <w:t>CRRU (Campaign for Responsible Rodenticide Use), 2015. Best practice and guidance for rodent control and the safe use of rodenticides. Killgerm Chemicals Ltd, Ossett UK</w:t>
      </w:r>
    </w:p>
    <w:p w14:paraId="10B8E1BB" w14:textId="18CE4B13" w:rsidR="00A167A9" w:rsidRPr="00A167A9" w:rsidRDefault="00A167A9" w:rsidP="00377F3A">
      <w:pPr>
        <w:pStyle w:val="NormalText"/>
      </w:pPr>
      <w:r w:rsidRPr="00A167A9">
        <w:t>Curl M.G., TSGE, 2004, Project number TSGE 12-1-11.POD</w:t>
      </w:r>
    </w:p>
    <w:p w14:paraId="1FB88A1E" w14:textId="77777777" w:rsidR="00A167A9" w:rsidRPr="00A167A9" w:rsidRDefault="00A167A9" w:rsidP="00377F3A">
      <w:pPr>
        <w:pStyle w:val="NormalText"/>
      </w:pPr>
      <w:r w:rsidRPr="00A167A9">
        <w:t>Curl MG, 2003. The calculation of Henry's law constant for bromadiolone. Reference no. TSE 12-1-11.HL</w:t>
      </w:r>
    </w:p>
    <w:p w14:paraId="059769CF" w14:textId="77777777" w:rsidR="00A167A9" w:rsidRPr="00A167A9" w:rsidRDefault="00A167A9" w:rsidP="00377F3A">
      <w:pPr>
        <w:pStyle w:val="NormalText"/>
      </w:pPr>
      <w:r w:rsidRPr="00A167A9">
        <w:t>Curl MG, 2004a. The estimation of photochemical oxidative degradation of bromadionone. Reference no. TSGE 12-1.11.POD</w:t>
      </w:r>
    </w:p>
    <w:p w14:paraId="1CC2D390" w14:textId="77777777" w:rsidR="00A167A9" w:rsidRPr="00A167A9" w:rsidRDefault="00A167A9" w:rsidP="00377F3A">
      <w:pPr>
        <w:pStyle w:val="NormalText"/>
      </w:pPr>
      <w:r w:rsidRPr="00A167A9">
        <w:t>Curl MG, 2004b. The estimation of photochemical oxidative degradation of difethialone. APVMA data no. 12480</w:t>
      </w:r>
    </w:p>
    <w:p w14:paraId="793AF8FA" w14:textId="77777777" w:rsidR="00A167A9" w:rsidRPr="00A167A9" w:rsidRDefault="00A167A9" w:rsidP="00377F3A">
      <w:pPr>
        <w:pStyle w:val="NormalText"/>
      </w:pPr>
      <w:r w:rsidRPr="00A167A9">
        <w:t>Curl, M.G., TGSE, 2003, Project number TGSE 12-1-11.HL</w:t>
      </w:r>
    </w:p>
    <w:p w14:paraId="666E7B77" w14:textId="77777777" w:rsidR="00A167A9" w:rsidRPr="00A167A9" w:rsidRDefault="00A167A9" w:rsidP="00377F3A">
      <w:pPr>
        <w:pStyle w:val="NormalText"/>
      </w:pPr>
      <w:r w:rsidRPr="00A167A9">
        <w:t>Daniel E M., 1993, An Oral Teratology Study in Rats with Technical Diphacinone.</w:t>
      </w:r>
    </w:p>
    <w:p w14:paraId="37836CC2" w14:textId="77777777" w:rsidR="00A167A9" w:rsidRPr="00A167A9" w:rsidRDefault="00A167A9" w:rsidP="00377F3A">
      <w:pPr>
        <w:pStyle w:val="NormalText"/>
      </w:pPr>
      <w:r w:rsidRPr="00A167A9">
        <w:t>Daniel M, Swarbrick RH, 2003a. Difethialone: determination of 28-day ready biodegradability (CO2 headspace test). APVMA data no. 12484</w:t>
      </w:r>
    </w:p>
    <w:p w14:paraId="47F010DD" w14:textId="77777777" w:rsidR="00A167A9" w:rsidRPr="00A167A9" w:rsidRDefault="00A167A9" w:rsidP="00377F3A">
      <w:pPr>
        <w:pStyle w:val="NormalText"/>
      </w:pPr>
      <w:r w:rsidRPr="00A167A9">
        <w:lastRenderedPageBreak/>
        <w:t>Daniel M, Swarbrick RH, 2003b. Difethialone: determination of anaerobic biodegradability. APVMA data no. 12481</w:t>
      </w:r>
    </w:p>
    <w:p w14:paraId="5FC3C593" w14:textId="77777777" w:rsidR="00A167A9" w:rsidRPr="00A167A9" w:rsidRDefault="00A167A9" w:rsidP="00377F3A">
      <w:pPr>
        <w:pStyle w:val="NormalText"/>
      </w:pPr>
      <w:r w:rsidRPr="00A167A9">
        <w:t>Daum A, 2002a. Determination of the octanol/water partition coefficient at 20°C of flocoumafen (PAI). Reference no. 2002/1004233</w:t>
      </w:r>
    </w:p>
    <w:p w14:paraId="747F89B1" w14:textId="77777777" w:rsidR="00A167A9" w:rsidRPr="00A167A9" w:rsidRDefault="00A167A9" w:rsidP="00377F3A">
      <w:pPr>
        <w:pStyle w:val="NormalText"/>
      </w:pPr>
      <w:r w:rsidRPr="00A167A9">
        <w:t>Daum A, 2002b. Determination of the dissociation constant of flocoumafen (PAI). Reference no. 2002/1004543</w:t>
      </w:r>
    </w:p>
    <w:p w14:paraId="5BD23DB7" w14:textId="77777777" w:rsidR="00A167A9" w:rsidRPr="00A167A9" w:rsidRDefault="00A167A9" w:rsidP="00377F3A">
      <w:pPr>
        <w:pStyle w:val="NormalText"/>
      </w:pPr>
      <w:r w:rsidRPr="00A167A9">
        <w:t>Daum A, 2003. UV spectra of BAS 322 I (reg.no. 4060804 identical with CL183540). Reference no. 2003/1013886</w:t>
      </w:r>
    </w:p>
    <w:p w14:paraId="2B967D68" w14:textId="77777777" w:rsidR="00A167A9" w:rsidRPr="00A167A9" w:rsidRDefault="00A167A9" w:rsidP="00377F3A">
      <w:pPr>
        <w:pStyle w:val="NormalText"/>
      </w:pPr>
      <w:r w:rsidRPr="00A167A9">
        <w:t>Daum, A., BASF AG Agricultural Products Division, 2002, study number PCP06477, BASF DocID 2002/1004206</w:t>
      </w:r>
    </w:p>
    <w:p w14:paraId="4755D626" w14:textId="77777777" w:rsidR="00A167A9" w:rsidRPr="00A167A9" w:rsidRDefault="00A167A9" w:rsidP="00377F3A">
      <w:pPr>
        <w:pStyle w:val="NormalText"/>
      </w:pPr>
      <w:r w:rsidRPr="00A167A9">
        <w:t>Daum, A., BASF AG Agricultural Products Division, 2002, study number PCP06478, BASF DocID 2002/1004543</w:t>
      </w:r>
    </w:p>
    <w:p w14:paraId="430541B4" w14:textId="77777777" w:rsidR="00A167A9" w:rsidRPr="00A167A9" w:rsidRDefault="00A167A9" w:rsidP="00377F3A">
      <w:pPr>
        <w:pStyle w:val="NormalText"/>
      </w:pPr>
      <w:r w:rsidRPr="00A167A9">
        <w:t>Daum, A., BASF AG Agricultural Products Division, 2002, study number PCP06597, BASF DocID 2002/1004233</w:t>
      </w:r>
    </w:p>
    <w:p w14:paraId="3BB65E53" w14:textId="77777777" w:rsidR="00A167A9" w:rsidRPr="00A167A9" w:rsidRDefault="00A167A9" w:rsidP="00377F3A">
      <w:pPr>
        <w:pStyle w:val="NormalText"/>
      </w:pPr>
      <w:r w:rsidRPr="00A167A9">
        <w:t>Davis PJ, Rizzo JD, 1982. Microbial transformations of warfarin: stereoselective reduction by Nocardia carollina and Arthrobacter species. Appl Environ Microbiol 43(4): 884-890</w:t>
      </w:r>
    </w:p>
    <w:p w14:paraId="5E4D5803" w14:textId="77777777" w:rsidR="00A167A9" w:rsidRPr="00A167A9" w:rsidRDefault="00A167A9" w:rsidP="00377F3A">
      <w:pPr>
        <w:pStyle w:val="NormalText"/>
      </w:pPr>
      <w:r w:rsidRPr="00A167A9">
        <w:t>De Campos, L.F.J., Bioagri Laboratorios Ltda, 2007, study number A01675.016.315.07</w:t>
      </w:r>
    </w:p>
    <w:p w14:paraId="58365E54" w14:textId="77777777" w:rsidR="00A167A9" w:rsidRPr="00A167A9" w:rsidRDefault="00A167A9" w:rsidP="00377F3A">
      <w:pPr>
        <w:pStyle w:val="NormalText"/>
      </w:pPr>
      <w:r w:rsidRPr="006F78D3">
        <w:rPr>
          <w:lang w:val="de-CH"/>
        </w:rPr>
        <w:t xml:space="preserve">de Snoo GR, Scheidegger NMI, de Jong FMW, 1999. </w:t>
      </w:r>
      <w:r w:rsidRPr="00A167A9">
        <w:t>Vertebrate wildlife incidents with pesticides: a European survey. Pestic Sci 55: 47-54</w:t>
      </w:r>
    </w:p>
    <w:p w14:paraId="38CDA44B" w14:textId="77777777" w:rsidR="00A167A9" w:rsidRPr="00A167A9" w:rsidRDefault="00A167A9" w:rsidP="00377F3A">
      <w:pPr>
        <w:pStyle w:val="NormalText"/>
      </w:pPr>
      <w:r w:rsidRPr="00A167A9">
        <w:t>de Souza, R. A., 2021, Racumin Polvo (Coumatetralyl 0.75 CP) - Acute dermal toxicity study in rats (Rattus norvegicus) - Final report. Study No. RL23967/2020TC-B, spec. no. 102*37657</w:t>
      </w:r>
    </w:p>
    <w:p w14:paraId="44249AAD" w14:textId="77777777" w:rsidR="00A167A9" w:rsidRPr="00A167A9" w:rsidRDefault="00A167A9" w:rsidP="00377F3A">
      <w:pPr>
        <w:pStyle w:val="NormalText"/>
      </w:pPr>
      <w:r w:rsidRPr="00A167A9">
        <w:t>de Souza, R. A., 2021, Racumin Polvo (Coumatetralyl 0.75 CP) - Acute inhalation toxicity test in rats (Rattus novergicus) - Final report. Study No. RL23966/2020TI-B, Spec no. 102*37657</w:t>
      </w:r>
    </w:p>
    <w:p w14:paraId="4B4EB8FC" w14:textId="77777777" w:rsidR="00A167A9" w:rsidRPr="00A167A9" w:rsidRDefault="00A167A9" w:rsidP="00377F3A">
      <w:pPr>
        <w:pStyle w:val="NormalText"/>
      </w:pPr>
      <w:r w:rsidRPr="00A167A9">
        <w:t>de Souza, R. A., 2021, Racumin Polvo (Coumatetralyl 0.75 CP) - Acute oral toxicity study in rats (Rattus norvegicus) - Final report. Study No. RL23968/2020TO-B, spec no. 102*37657</w:t>
      </w:r>
    </w:p>
    <w:p w14:paraId="261B8918" w14:textId="77777777" w:rsidR="00A167A9" w:rsidRPr="00A167A9" w:rsidRDefault="00A167A9" w:rsidP="00377F3A">
      <w:pPr>
        <w:pStyle w:val="NormalText"/>
      </w:pPr>
      <w:r w:rsidRPr="00A167A9">
        <w:t>Dean, W P &amp; Jessup, C., 1976, Acute Toxicity Studies in Rats and Rabbits. Ramik Brown.</w:t>
      </w:r>
    </w:p>
    <w:p w14:paraId="096726A1" w14:textId="77777777" w:rsidR="00A167A9" w:rsidRPr="00A167A9" w:rsidRDefault="00A167A9" w:rsidP="00377F3A">
      <w:pPr>
        <w:pStyle w:val="NormalText"/>
      </w:pPr>
      <w:r w:rsidRPr="00A167A9">
        <w:t>Dean, W P &amp; Jessup, C., 1978, Acute Dermal Toxicity Study in the Albino Rabbit - Ramik Green Bait.</w:t>
      </w:r>
    </w:p>
    <w:p w14:paraId="554197D9" w14:textId="77777777" w:rsidR="00A167A9" w:rsidRPr="00A167A9" w:rsidRDefault="00A167A9" w:rsidP="00377F3A">
      <w:pPr>
        <w:pStyle w:val="NormalText"/>
      </w:pPr>
      <w:r w:rsidRPr="00A167A9">
        <w:t>Debus SJS, 1993. The mainland masked owl Tyto novaehollandiae: a review. Aust Bird Watch 15: 168-191</w:t>
      </w:r>
    </w:p>
    <w:p w14:paraId="506B43DC" w14:textId="77777777" w:rsidR="00A167A9" w:rsidRPr="00A167A9" w:rsidRDefault="00A167A9" w:rsidP="00377F3A">
      <w:pPr>
        <w:pStyle w:val="NormalText"/>
      </w:pPr>
      <w:r w:rsidRPr="00A167A9">
        <w:t>Debus SJS, 2012. Norfolk Island boobook chick deaths. Boobook 30(6)</w:t>
      </w:r>
    </w:p>
    <w:p w14:paraId="3E173B91" w14:textId="77777777" w:rsidR="00A167A9" w:rsidRPr="00A167A9" w:rsidRDefault="00A167A9" w:rsidP="00377F3A">
      <w:pPr>
        <w:pStyle w:val="NormalText"/>
      </w:pPr>
      <w:r w:rsidRPr="00A167A9">
        <w:t>Dengler D, 2004. Assessment of the read biodegradability of flocoumafen with the closed bottle test. Reference no. 2004/1009182</w:t>
      </w:r>
    </w:p>
    <w:p w14:paraId="1C55120E" w14:textId="77777777" w:rsidR="00A167A9" w:rsidRPr="00A167A9" w:rsidRDefault="00A167A9" w:rsidP="00377F3A">
      <w:pPr>
        <w:pStyle w:val="NormalText"/>
      </w:pPr>
      <w:r w:rsidRPr="00A167A9">
        <w:t>Derz K, 2006. Metabolism of focoumafen in soil. Reference no. 2006/1008092</w:t>
      </w:r>
    </w:p>
    <w:p w14:paraId="06A2578A" w14:textId="77777777" w:rsidR="00A167A9" w:rsidRPr="00A167A9" w:rsidRDefault="00A167A9" w:rsidP="00377F3A">
      <w:pPr>
        <w:pStyle w:val="NormalText"/>
      </w:pPr>
      <w:r w:rsidRPr="00A167A9">
        <w:t>Desmares-Koopmans M, 2001. Activated sludge respiration inhibition test with brodifacoum (contact time: 30 minutes). Reference no. BR-959-0097</w:t>
      </w:r>
    </w:p>
    <w:p w14:paraId="1D05024E" w14:textId="77777777" w:rsidR="00A167A9" w:rsidRPr="00A167A9" w:rsidRDefault="00A167A9" w:rsidP="00377F3A">
      <w:pPr>
        <w:pStyle w:val="NormalText"/>
      </w:pPr>
      <w:r w:rsidRPr="00F85D43">
        <w:lastRenderedPageBreak/>
        <w:t xml:space="preserve">Desmares-Koopmans MJE, van de Waart EJ, 2001a. </w:t>
      </w:r>
      <w:r w:rsidRPr="00A167A9">
        <w:t>Ready biodegradability closed bottle test with coumatetralyl. Reference no. M-084424-01-1</w:t>
      </w:r>
    </w:p>
    <w:p w14:paraId="64363483" w14:textId="77777777" w:rsidR="00A167A9" w:rsidRPr="00A167A9" w:rsidRDefault="00A167A9" w:rsidP="00377F3A">
      <w:pPr>
        <w:pStyle w:val="NormalText"/>
      </w:pPr>
      <w:r w:rsidRPr="00F85D43">
        <w:t xml:space="preserve">Desmares-Koopmans MJE, van de Waart EJ, 2001b. </w:t>
      </w:r>
      <w:r w:rsidRPr="00A167A9">
        <w:t>Inherent biodegradability Zahn-Wellness/EMPA test with coumatetralyl. Reference no. M-084496-01-1</w:t>
      </w:r>
    </w:p>
    <w:p w14:paraId="0E897F0D" w14:textId="77777777" w:rsidR="00A167A9" w:rsidRPr="00A167A9" w:rsidRDefault="00A167A9" w:rsidP="00377F3A">
      <w:pPr>
        <w:pStyle w:val="NormalText"/>
      </w:pPr>
      <w:r w:rsidRPr="00A167A9">
        <w:t>Donald, E, 1998, Neosorexa Pellets - acute dermal toxicity (limit) test in rats.</w:t>
      </w:r>
    </w:p>
    <w:p w14:paraId="4BDBDA0F" w14:textId="77777777" w:rsidR="00A167A9" w:rsidRPr="00A167A9" w:rsidRDefault="00A167A9" w:rsidP="00377F3A">
      <w:pPr>
        <w:pStyle w:val="NormalText"/>
      </w:pPr>
      <w:r w:rsidRPr="00A167A9">
        <w:t>Dowding CV, Shore RF, Worgan A, Baker PJ, Harris S, 2010. Accumulation of anticoagulant rodenticides in non-target insectivore, the European hedgehog (Erinaceus europaeus). Environ Pollut 158: 161-166</w:t>
      </w:r>
    </w:p>
    <w:p w14:paraId="4C493E1A" w14:textId="77777777" w:rsidR="00A167A9" w:rsidRPr="00A167A9" w:rsidRDefault="00A167A9" w:rsidP="00377F3A">
      <w:pPr>
        <w:pStyle w:val="NormalText"/>
      </w:pPr>
      <w:r w:rsidRPr="00A167A9">
        <w:t>Dowding JE, Lovegrove TG, Ritchie J, Kast SN, Puckett M, 2006. Mortality of northern New Zealand dotterels (Charadrius obscurus aquilonius) following an aerial poisoning operation. Notornis 53: 235-239</w:t>
      </w:r>
    </w:p>
    <w:p w14:paraId="30E03E51" w14:textId="77777777" w:rsidR="00A167A9" w:rsidRPr="00A167A9" w:rsidRDefault="00A167A9" w:rsidP="00377F3A">
      <w:pPr>
        <w:pStyle w:val="NormalText"/>
      </w:pPr>
      <w:r w:rsidRPr="00A167A9">
        <w:t>Dowding JE, Murphy EC, Veitch CR, 1999. Brodifacoum residues in target and non-target species following an aerial poisoning operation on Motuihe Island, Hauraki Gulf, New Zealand</w:t>
      </w:r>
    </w:p>
    <w:p w14:paraId="25C37F38" w14:textId="77777777" w:rsidR="00A167A9" w:rsidRPr="00A167A9" w:rsidRDefault="00A167A9" w:rsidP="00377F3A">
      <w:pPr>
        <w:pStyle w:val="NormalText"/>
      </w:pPr>
      <w:r w:rsidRPr="00A167A9">
        <w:t>Drake RM, 2003a. Determination of the ready biodegradability of brodifacoum technical. Reference no. ENV5807/120140</w:t>
      </w:r>
    </w:p>
    <w:p w14:paraId="57F4605C" w14:textId="77777777" w:rsidR="00A167A9" w:rsidRPr="00A167A9" w:rsidRDefault="00A167A9" w:rsidP="00377F3A">
      <w:pPr>
        <w:pStyle w:val="NormalText"/>
      </w:pPr>
      <w:r w:rsidRPr="00A167A9">
        <w:t>Drake RM, 2003b. Determination of the ready biodegradability of difenacoum technical. Reference no. ENV5798/120139</w:t>
      </w:r>
    </w:p>
    <w:p w14:paraId="55217B2B" w14:textId="77777777" w:rsidR="00A167A9" w:rsidRPr="00A167A9" w:rsidRDefault="00A167A9" w:rsidP="00377F3A">
      <w:pPr>
        <w:pStyle w:val="NormalText"/>
      </w:pPr>
      <w:r w:rsidRPr="00A167A9">
        <w:t>Drake RM, 2004a. Determination of the direct photolysis rate in water by sunlight of brodifacoum. Reference no. ENV6768/120140</w:t>
      </w:r>
    </w:p>
    <w:p w14:paraId="007F00FC" w14:textId="77777777" w:rsidR="00A167A9" w:rsidRPr="00A167A9" w:rsidRDefault="00A167A9" w:rsidP="00377F3A">
      <w:pPr>
        <w:pStyle w:val="NormalText"/>
      </w:pPr>
      <w:r w:rsidRPr="00A167A9">
        <w:t>Drake RM, 2004b. Determination of the direct photolysis rate in water by sunlight of difenacoum. Reference no. ENV6767/120139</w:t>
      </w:r>
    </w:p>
    <w:p w14:paraId="2355674A" w14:textId="77777777" w:rsidR="00A167A9" w:rsidRPr="00A167A9" w:rsidRDefault="00A167A9" w:rsidP="00377F3A">
      <w:pPr>
        <w:pStyle w:val="NormalText"/>
      </w:pPr>
      <w:r w:rsidRPr="00A167A9">
        <w:t>Drake RM, 2005a. Determination of the direct photolysis rate in water by sunlight of bromadiolone. Reference no. ENV6766/080319</w:t>
      </w:r>
    </w:p>
    <w:p w14:paraId="1E684E03" w14:textId="77777777" w:rsidR="00A167A9" w:rsidRPr="00A167A9" w:rsidRDefault="00A167A9" w:rsidP="00377F3A">
      <w:pPr>
        <w:pStyle w:val="NormalText"/>
      </w:pPr>
      <w:r w:rsidRPr="00A167A9">
        <w:t>Drake RM, 2005b. The estimation of the adsorption coefficient (Koc) of brodifacoum. Reference no. ENV7008/120140</w:t>
      </w:r>
    </w:p>
    <w:p w14:paraId="22859D0D" w14:textId="77777777" w:rsidR="00A167A9" w:rsidRPr="00A167A9" w:rsidRDefault="00A167A9" w:rsidP="00377F3A">
      <w:pPr>
        <w:pStyle w:val="NormalText"/>
      </w:pPr>
      <w:r w:rsidRPr="00A167A9">
        <w:t>Drake RM, 2005c. The estimation of the adsorption coefficient (Koc) of difenacoum. Reference no. ENV7005/120139</w:t>
      </w:r>
    </w:p>
    <w:p w14:paraId="7AE6B048" w14:textId="77777777" w:rsidR="00A167A9" w:rsidRPr="00A167A9" w:rsidRDefault="00A167A9" w:rsidP="00377F3A">
      <w:pPr>
        <w:pStyle w:val="NormalText"/>
      </w:pPr>
      <w:r w:rsidRPr="00A167A9">
        <w:t>Drake RM, 2005d. Determination of the inherent biodegradability of brodifacoum. Reference no. ENV7146/120140</w:t>
      </w:r>
    </w:p>
    <w:p w14:paraId="7F05B752" w14:textId="77777777" w:rsidR="00A167A9" w:rsidRPr="00A167A9" w:rsidRDefault="00A167A9" w:rsidP="00377F3A">
      <w:pPr>
        <w:pStyle w:val="NormalText"/>
      </w:pPr>
      <w:r w:rsidRPr="00A167A9">
        <w:t>Drake RM, 2005e. Determination of the anaerobic biodegradability of brodifacoum. Reference no. ENV7145/120140</w:t>
      </w:r>
    </w:p>
    <w:p w14:paraId="1956C272" w14:textId="77777777" w:rsidR="00A167A9" w:rsidRPr="00A167A9" w:rsidRDefault="00A167A9" w:rsidP="00377F3A">
      <w:pPr>
        <w:pStyle w:val="NormalText"/>
      </w:pPr>
      <w:r w:rsidRPr="00A167A9">
        <w:t>Drake RM, 2005f. Determination of the inherent biodegradability of bromadiolone. Reference no. ENV6988/080319</w:t>
      </w:r>
    </w:p>
    <w:p w14:paraId="306E5A6B" w14:textId="77777777" w:rsidR="00A167A9" w:rsidRPr="00A167A9" w:rsidRDefault="00A167A9" w:rsidP="00377F3A">
      <w:pPr>
        <w:pStyle w:val="NormalText"/>
      </w:pPr>
      <w:r w:rsidRPr="00A167A9">
        <w:t>Drake RM, 2005g. Determination of the anaerobic biodegradability of bromadiolone. Reference no. ENV6989/110414</w:t>
      </w:r>
    </w:p>
    <w:p w14:paraId="148F8DE5" w14:textId="77777777" w:rsidR="00A167A9" w:rsidRPr="00A167A9" w:rsidRDefault="00A167A9" w:rsidP="00377F3A">
      <w:pPr>
        <w:pStyle w:val="NormalText"/>
      </w:pPr>
      <w:r w:rsidRPr="00A167A9">
        <w:lastRenderedPageBreak/>
        <w:t>Drake RM, 2005h. Breakdown products with retention times for difenacoum from the photolysis study. Reference no. ENV6767/120139</w:t>
      </w:r>
    </w:p>
    <w:p w14:paraId="6243478E" w14:textId="77777777" w:rsidR="00A167A9" w:rsidRPr="00A167A9" w:rsidRDefault="00A167A9" w:rsidP="00377F3A">
      <w:pPr>
        <w:pStyle w:val="NormalText"/>
      </w:pPr>
      <w:r w:rsidRPr="00A167A9">
        <w:t>Drake RM, 2005i. Determination of the inherent biodegradability of difenacoum. Reference no. ENV7148/120139</w:t>
      </w:r>
    </w:p>
    <w:p w14:paraId="4A1D09B9" w14:textId="77777777" w:rsidR="00A167A9" w:rsidRPr="00A167A9" w:rsidRDefault="00A167A9" w:rsidP="00377F3A">
      <w:pPr>
        <w:pStyle w:val="NormalText"/>
      </w:pPr>
      <w:r w:rsidRPr="00A167A9">
        <w:t>Drake RM, 2005j. Determination of the anaerobic biodegradability of difenacoum. Reference no. ENV7147/120139</w:t>
      </w:r>
    </w:p>
    <w:p w14:paraId="570AD0B4" w14:textId="6C686803" w:rsidR="00A167A9" w:rsidRPr="00A167A9" w:rsidRDefault="00A167A9" w:rsidP="00377F3A">
      <w:pPr>
        <w:pStyle w:val="NormalText"/>
      </w:pPr>
      <w:r w:rsidRPr="00A167A9">
        <w:t>Druga A, 2004</w:t>
      </w:r>
      <w:r w:rsidR="00113DD4">
        <w:t>a</w:t>
      </w:r>
      <w:r w:rsidRPr="00A167A9">
        <w:t xml:space="preserve">, Draft report: Teratology Study with test item Bromadiolone Technical in Rabbits. </w:t>
      </w:r>
    </w:p>
    <w:p w14:paraId="2AC404F7" w14:textId="77777777" w:rsidR="00113DD4" w:rsidRPr="00A167A9" w:rsidRDefault="00113DD4" w:rsidP="00113DD4">
      <w:pPr>
        <w:pStyle w:val="NormalText"/>
      </w:pPr>
      <w:r w:rsidRPr="00A167A9">
        <w:t>Druga A, 2004</w:t>
      </w:r>
      <w:r>
        <w:t>a,</w:t>
      </w:r>
      <w:r w:rsidRPr="00A167A9">
        <w:t xml:space="preserve"> Teratology study of the test item bromadiolone technical in rabbits. Reference no. 03/735-105N</w:t>
      </w:r>
    </w:p>
    <w:p w14:paraId="54F562B4" w14:textId="3B19A928" w:rsidR="00A167A9" w:rsidRPr="00A167A9" w:rsidRDefault="00A167A9" w:rsidP="00377F3A">
      <w:pPr>
        <w:pStyle w:val="NormalText"/>
      </w:pPr>
      <w:r w:rsidRPr="00A167A9">
        <w:t>Druga A, 2004</w:t>
      </w:r>
      <w:r w:rsidR="00113DD4">
        <w:t>b</w:t>
      </w:r>
      <w:r w:rsidRPr="00A167A9">
        <w:t>, Teratology Study of the Test Item Difenacoum Technical in Rabbits .</w:t>
      </w:r>
    </w:p>
    <w:p w14:paraId="60DA1FF6" w14:textId="77777777" w:rsidR="00A167A9" w:rsidRPr="00A167A9" w:rsidRDefault="00A167A9" w:rsidP="00377F3A">
      <w:pPr>
        <w:pStyle w:val="NormalText"/>
      </w:pPr>
      <w:r w:rsidRPr="00A167A9">
        <w:t>Duerden L, 1993, Brodifacoum : Acute Oral Toxicity to the Rat</w:t>
      </w:r>
    </w:p>
    <w:p w14:paraId="2B091256" w14:textId="77777777" w:rsidR="00A167A9" w:rsidRPr="00A167A9" w:rsidRDefault="00A167A9" w:rsidP="00377F3A">
      <w:pPr>
        <w:pStyle w:val="NormalText"/>
      </w:pPr>
      <w:r w:rsidRPr="00A167A9">
        <w:t>Duerden L, 1993, Brodifacoum block (A12720G) - Acute oral toxicity study in rats (Rattus norvegicus)</w:t>
      </w:r>
    </w:p>
    <w:p w14:paraId="16112B49" w14:textId="77777777" w:rsidR="00A167A9" w:rsidRPr="00A167A9" w:rsidRDefault="00A167A9" w:rsidP="00377F3A">
      <w:pPr>
        <w:pStyle w:val="NormalText"/>
      </w:pPr>
      <w:r w:rsidRPr="00A167A9">
        <w:t>Duerden L, 1993, PP581: Genetic Toxicology Screening</w:t>
      </w:r>
    </w:p>
    <w:p w14:paraId="2BB65248" w14:textId="77777777" w:rsidR="00A167A9" w:rsidRPr="00A167A9" w:rsidRDefault="00A167A9" w:rsidP="00377F3A">
      <w:pPr>
        <w:pStyle w:val="NormalText"/>
      </w:pPr>
      <w:r w:rsidRPr="00A167A9">
        <w:t>Duerden L, 1993, WBA 8119 - Acute Oral Toxicity (cat and dog)</w:t>
      </w:r>
    </w:p>
    <w:p w14:paraId="0C7F67EE" w14:textId="77777777" w:rsidR="00A167A9" w:rsidRPr="00A167A9" w:rsidRDefault="00A167A9" w:rsidP="00377F3A">
      <w:pPr>
        <w:pStyle w:val="NormalText"/>
      </w:pPr>
      <w:r w:rsidRPr="00A167A9">
        <w:t>Durward R, 2004, Difenacoum – L5178Y TK+/- Mouse Lymphoma Assay</w:t>
      </w:r>
    </w:p>
    <w:p w14:paraId="0EC2CBCA" w14:textId="77777777" w:rsidR="00A167A9" w:rsidRPr="00A167A9" w:rsidRDefault="00A167A9" w:rsidP="00377F3A">
      <w:pPr>
        <w:pStyle w:val="NormalText"/>
      </w:pPr>
      <w:r w:rsidRPr="00A167A9">
        <w:t>Dutton AJ, Eadsforth CV, 1990. A study to examine the relationship between consumption of 14C-flocoumafen fed mice by barn owls (Tyto alba) and levels of 14C-flocoumafen in subsequently regurgitated pellets. Reference no. FL-549-009</w:t>
      </w:r>
    </w:p>
    <w:p w14:paraId="6210ABF1" w14:textId="77777777" w:rsidR="00A167A9" w:rsidRPr="00A167A9" w:rsidRDefault="00A167A9" w:rsidP="00377F3A">
      <w:pPr>
        <w:pStyle w:val="NormalText"/>
      </w:pPr>
      <w:r w:rsidRPr="00A167A9">
        <w:t>Eadsforth CV, Dutton AJ, Harrison EG, 1991. A barn owl feeding study with 14C-flocoumafen-dosed mice: validation of a non-invasive method of monitoring exposure of barn owls to anticoagulant rodenticides in their prey. Pestic Sci 32: 105-119</w:t>
      </w:r>
    </w:p>
    <w:p w14:paraId="34A13928" w14:textId="77777777" w:rsidR="00A167A9" w:rsidRPr="00A167A9" w:rsidRDefault="00A167A9" w:rsidP="00377F3A">
      <w:pPr>
        <w:pStyle w:val="NormalText"/>
      </w:pPr>
      <w:r w:rsidRPr="00A167A9">
        <w:t>Eadsforth CV, Gray A, Harrison EG, 1996. Monitoring the exposure of barn owls to second-generation rodenticides in Southern Eire. Pestic Sci 47: 225-233</w:t>
      </w:r>
    </w:p>
    <w:p w14:paraId="281A8FFF" w14:textId="77777777" w:rsidR="00A167A9" w:rsidRPr="00A167A9" w:rsidRDefault="00A167A9" w:rsidP="00377F3A">
      <w:pPr>
        <w:pStyle w:val="NormalText"/>
      </w:pPr>
      <w:r w:rsidRPr="00A167A9">
        <w:t>Eadsforth CV, Gray A, Huckle KR, Inglesfield C , 1993, The dietary toxicity of Flocoumafen to hens: elimination and accumulation following oral administration.</w:t>
      </w:r>
    </w:p>
    <w:p w14:paraId="1E12E2A9" w14:textId="77777777" w:rsidR="00A167A9" w:rsidRPr="00A167A9" w:rsidRDefault="00A167A9" w:rsidP="00377F3A">
      <w:pPr>
        <w:pStyle w:val="NormalText"/>
      </w:pPr>
      <w:r w:rsidRPr="00A167A9">
        <w:t>Eadsforth CV, Gray A, Huckle KR, Inglesfield C, 1993. The dietary toxicity of flocoumafen to hens: elimination and accumulation following repeated oral administration. Pestic Sci 38: 17-25</w:t>
      </w:r>
    </w:p>
    <w:p w14:paraId="558E29A3" w14:textId="77777777" w:rsidR="00A167A9" w:rsidRPr="00A167A9" w:rsidRDefault="00A167A9" w:rsidP="00377F3A">
      <w:pPr>
        <w:pStyle w:val="NormalText"/>
      </w:pPr>
      <w:r w:rsidRPr="00A167A9">
        <w:t>Eason CT, Milne L, Potts M, Morriss G, Wright GRG, Sutherland ORW, 1999. Secondary and tertiary poisoning risks associated with brodifacoum. NZ J Ecol 23(2): 219-224</w:t>
      </w:r>
    </w:p>
    <w:p w14:paraId="49E02D8D" w14:textId="77777777" w:rsidR="00A167A9" w:rsidRPr="00A167A9" w:rsidRDefault="00A167A9" w:rsidP="00377F3A">
      <w:pPr>
        <w:pStyle w:val="NormalText"/>
      </w:pPr>
      <w:r w:rsidRPr="00A167A9">
        <w:t>Eason CT, Murphy EC, Wright GRG, Spurr EB, 2002. Assessment of risks of brodifacoum to non-target birds and mammals in New Zealand. Ecotoxicol 11: 35-48</w:t>
      </w:r>
    </w:p>
    <w:p w14:paraId="3840642C" w14:textId="77777777" w:rsidR="00A167A9" w:rsidRPr="00A167A9" w:rsidRDefault="00A167A9" w:rsidP="00377F3A">
      <w:pPr>
        <w:pStyle w:val="NormalText"/>
      </w:pPr>
      <w:r w:rsidRPr="00A167A9">
        <w:t>Eason CT, Spurr EB, 1995a. Review of the toxicity and impacts of brodifacoum on non-target wildlife in New Zealand. NZ J Zool 22(4): 371-379</w:t>
      </w:r>
    </w:p>
    <w:p w14:paraId="194FBFAF" w14:textId="77777777" w:rsidR="00A167A9" w:rsidRPr="00A167A9" w:rsidRDefault="00A167A9" w:rsidP="00377F3A">
      <w:pPr>
        <w:pStyle w:val="NormalText"/>
      </w:pPr>
      <w:r w:rsidRPr="00A167A9">
        <w:lastRenderedPageBreak/>
        <w:t>Eason CT, Wright GR, Batcheler D, 1996. Anticoagulant effects and the peristence of brodifacoum in possums (Trichosurus vulpecula). NZJ Agric Res 39(3): 397-400</w:t>
      </w:r>
    </w:p>
    <w:p w14:paraId="23794BEE" w14:textId="77777777" w:rsidR="00A167A9" w:rsidRPr="00A167A9" w:rsidRDefault="00A167A9" w:rsidP="00377F3A">
      <w:pPr>
        <w:pStyle w:val="NormalText"/>
      </w:pPr>
      <w:r w:rsidRPr="00A167A9">
        <w:t>Ebbert S, Burek-Huntington K, 2010. Anticoagulant residual concentration and poisoning in birds following a large-scale aerial broadcast of 25 ppm brodifacoum bait for rat eradication on Rat Island, Alaska. Proceedings of the 24th Vertebrate Pest Conference, US Agriculture and Natural Resources, pp. 153-160</w:t>
      </w:r>
    </w:p>
    <w:p w14:paraId="7F62BB81" w14:textId="77777777" w:rsidR="00A167A9" w:rsidRPr="00A167A9" w:rsidRDefault="00A167A9" w:rsidP="00377F3A">
      <w:pPr>
        <w:pStyle w:val="NormalText"/>
      </w:pPr>
      <w:r w:rsidRPr="00A167A9">
        <w:t xml:space="preserve">ECHA (2009). Assessment Report: Flocoumafen. https://echa.europa.eu/documents/10162/c01e3abe-557f-c3d9-dd10-8f6fa21d75bf </w:t>
      </w:r>
    </w:p>
    <w:p w14:paraId="09C04019" w14:textId="77777777" w:rsidR="00A167A9" w:rsidRPr="00A167A9" w:rsidRDefault="00A167A9" w:rsidP="00377F3A">
      <w:pPr>
        <w:pStyle w:val="NormalText"/>
      </w:pPr>
      <w:r w:rsidRPr="00A167A9">
        <w:t xml:space="preserve">ECHA (2011). Competent Authority Report on Bromadiolone. Section 6: Toxicological and Metabolic studies. https://echa.europa.eu/documents/10162/1a177c86-426c-2788-030e-7640b81509c5 </w:t>
      </w:r>
    </w:p>
    <w:p w14:paraId="2F67B8DA" w14:textId="77777777" w:rsidR="00A167A9" w:rsidRPr="00A167A9" w:rsidRDefault="00A167A9" w:rsidP="00377F3A">
      <w:pPr>
        <w:pStyle w:val="NormalText"/>
      </w:pPr>
      <w:r w:rsidRPr="00A167A9">
        <w:t xml:space="preserve">ECHA (2014a). Committee for risk assessment. Opinion proposing harmonised classification and labelling at community level of coumatetralyl. https://echa.europa.eu/documents/10162/8222fd05-0570-00ff-e7e7-73d9bcd33433 </w:t>
      </w:r>
    </w:p>
    <w:p w14:paraId="392B5EC2" w14:textId="77777777" w:rsidR="00A167A9" w:rsidRPr="00A167A9" w:rsidRDefault="00A167A9" w:rsidP="00377F3A">
      <w:pPr>
        <w:pStyle w:val="NormalText"/>
      </w:pPr>
      <w:r w:rsidRPr="00A167A9">
        <w:t xml:space="preserve">ECHA (2014b). Committee for risk assessment. Opinion proposing harmonised classification and labelling at community level of brodifacoum. https://echa.europa.eu/documents/10162/7ae94d11-5448-4b82-6bd4-5aa1ca3f8654 </w:t>
      </w:r>
    </w:p>
    <w:p w14:paraId="4FDF10F7" w14:textId="77777777" w:rsidR="00A167A9" w:rsidRPr="00A167A9" w:rsidRDefault="00A167A9" w:rsidP="00377F3A">
      <w:pPr>
        <w:pStyle w:val="NormalText"/>
      </w:pPr>
      <w:r w:rsidRPr="00A167A9">
        <w:t>ECHA (European Chemicals Agency), 2018. Revised emission scenario document for product type 14 (rodenticides). Helsinki, Finland</w:t>
      </w:r>
    </w:p>
    <w:p w14:paraId="3B9AC16D" w14:textId="77777777" w:rsidR="00A167A9" w:rsidRPr="00A167A9" w:rsidRDefault="00A167A9" w:rsidP="00377F3A">
      <w:pPr>
        <w:pStyle w:val="NormalText"/>
      </w:pPr>
      <w:r w:rsidRPr="00A167A9">
        <w:t>Edgar, F &amp; Donald, E, 1998, Neosorexa Bait Block - acute dermal toxicity (limit) test in rats.</w:t>
      </w:r>
    </w:p>
    <w:p w14:paraId="3AFB4971" w14:textId="3D22D7E4" w:rsidR="00A167A9" w:rsidRPr="00A167A9" w:rsidRDefault="00A167A9" w:rsidP="00377F3A">
      <w:pPr>
        <w:pStyle w:val="NormalText"/>
      </w:pPr>
      <w:r w:rsidRPr="00A167A9">
        <w:t xml:space="preserve">EFSA (2014) Guidance on the assessment of exposure of operators, workers, residents and bystanders in risk assessment for plant protection products. EFSA Journal 12(10):3874. https://efsa.onlinelibrary.wiley.com/doi/epdf/10.2903/j.efsa.2014.3874 </w:t>
      </w:r>
    </w:p>
    <w:p w14:paraId="553D3B88" w14:textId="77777777" w:rsidR="00A167A9" w:rsidRPr="00A167A9" w:rsidRDefault="00A167A9" w:rsidP="00377F3A">
      <w:pPr>
        <w:pStyle w:val="NormalText"/>
      </w:pPr>
      <w:r w:rsidRPr="00A167A9">
        <w:t>Elliott JE, Hindmarch S, Albert CA, Emery J, Mineau P, Maisonneuve F, 2014. Exposure pathways of anticoagulant rodenticides to nontarget wildlife. Environ Monit Assess 186: 895-906</w:t>
      </w:r>
    </w:p>
    <w:p w14:paraId="2921B530" w14:textId="77777777" w:rsidR="00A167A9" w:rsidRPr="00A167A9" w:rsidRDefault="00A167A9" w:rsidP="00377F3A">
      <w:pPr>
        <w:pStyle w:val="NormalText"/>
      </w:pPr>
      <w:r w:rsidRPr="00A167A9">
        <w:t>Elliott JE, Silverthorn V, English SG, Mineau P, Hindmarsh S, Thomas PJ, Lee S, Bowes V, Redford T, Maisonneuve F, Okoniewski J, 2024. Anticoagulant rodenticide toxicity in terrestrial raptors: tools to estimate the impact on populations in North America and globally. Environ Toxicol Chem 43(5): 988-998</w:t>
      </w:r>
    </w:p>
    <w:p w14:paraId="0D30B1AE" w14:textId="77777777" w:rsidR="00A167A9" w:rsidRPr="00A167A9" w:rsidRDefault="00A167A9" w:rsidP="00377F3A">
      <w:pPr>
        <w:pStyle w:val="NormalText"/>
      </w:pPr>
      <w:r w:rsidRPr="00A167A9">
        <w:t>Elliott JE, Silverthorn V, Hindmarch S, Lee S, Bowes V, Redford T, Maisonneuve F, 2022. Anticoagulant rodenticide contamination of terrestrial birds of prey from Western Canada: patterns and trends, 1988-2018. Environ Toxicol Chem 41(8): 1903-1917</w:t>
      </w:r>
    </w:p>
    <w:p w14:paraId="201D1F61" w14:textId="77777777" w:rsidR="00A167A9" w:rsidRPr="00A167A9" w:rsidRDefault="00A167A9" w:rsidP="00377F3A">
      <w:pPr>
        <w:pStyle w:val="NormalText"/>
      </w:pPr>
      <w:r w:rsidRPr="00A167A9">
        <w:t>Ells SJ, 1976. Kinetics of 'aged' diphacinone in a model aquatic ecosystem. Reference no. 40172</w:t>
      </w:r>
    </w:p>
    <w:p w14:paraId="18498470" w14:textId="77777777" w:rsidR="00A167A9" w:rsidRPr="00A167A9" w:rsidRDefault="00A167A9" w:rsidP="00377F3A">
      <w:pPr>
        <w:pStyle w:val="NormalText"/>
      </w:pPr>
      <w:r w:rsidRPr="00A167A9">
        <w:t>Elmeros M, Bossi R, Christensen TK, Kjær LJ, Lassen P, Topping CJ, 2019. Exposure of non-target small mammals to anticoagulant rodenticide during chemical rodent control operations. Environ Sci Pollut Res 26: 6133-6140</w:t>
      </w:r>
    </w:p>
    <w:p w14:paraId="576A7901" w14:textId="77777777" w:rsidR="00A167A9" w:rsidRPr="00A167A9" w:rsidRDefault="00A167A9" w:rsidP="00377F3A">
      <w:pPr>
        <w:pStyle w:val="NormalText"/>
      </w:pPr>
      <w:r w:rsidRPr="00A167A9">
        <w:lastRenderedPageBreak/>
        <w:t>Empson RA, Miskelly CM, 1999. The risks, cost and benefits of using brodifacoum to eradicate rats from Kapiti Island, New Zealand. New Zealand Journal of Ecology 23(2): 241-251</w:t>
      </w:r>
    </w:p>
    <w:p w14:paraId="2AB0FDAC" w14:textId="77777777" w:rsidR="00A167A9" w:rsidRPr="00A167A9" w:rsidRDefault="00A167A9" w:rsidP="00377F3A">
      <w:pPr>
        <w:pStyle w:val="NormalText"/>
      </w:pPr>
      <w:r w:rsidRPr="00A167A9">
        <w:t>Erstling K, Jungheim R, 2002a. Racumin S technical (coumatetralyl): water solubility. Reference no. M-106635-01-1</w:t>
      </w:r>
    </w:p>
    <w:p w14:paraId="63006EF2" w14:textId="77777777" w:rsidR="00A167A9" w:rsidRPr="00A167A9" w:rsidRDefault="00A167A9" w:rsidP="00377F3A">
      <w:pPr>
        <w:pStyle w:val="NormalText"/>
      </w:pPr>
      <w:r w:rsidRPr="00136C92">
        <w:t xml:space="preserve">Erstling K, Jungheim R, 2002b. </w:t>
      </w:r>
      <w:r w:rsidRPr="00A167A9">
        <w:t>Racumin S technical (coumatetralyl): partition coefficient (n-octanol/ water). Reference no. M-104800-01-1</w:t>
      </w:r>
    </w:p>
    <w:p w14:paraId="22AD3459" w14:textId="77777777" w:rsidR="00A167A9" w:rsidRPr="00A167A9" w:rsidRDefault="00A167A9" w:rsidP="00377F3A">
      <w:pPr>
        <w:pStyle w:val="NormalText"/>
      </w:pPr>
      <w:r w:rsidRPr="00A167A9">
        <w:t>Fabbrini R, 1997a. Bromadiolone: determination of the vapour pressure. Reference no. CH-14/96-C-BDL</w:t>
      </w:r>
    </w:p>
    <w:p w14:paraId="69BE0C87" w14:textId="77777777" w:rsidR="00A167A9" w:rsidRPr="00A167A9" w:rsidRDefault="00A167A9" w:rsidP="00377F3A">
      <w:pPr>
        <w:pStyle w:val="NormalText"/>
      </w:pPr>
      <w:r w:rsidRPr="00A167A9">
        <w:t>Fabbrini R, 1997b. Difenacoum: determination of the vapour pressure. Reference no. CH-14/96-C-DIF</w:t>
      </w:r>
    </w:p>
    <w:p w14:paraId="3AF37AD9" w14:textId="77777777" w:rsidR="00A167A9" w:rsidRPr="00A167A9" w:rsidRDefault="00A167A9" w:rsidP="00377F3A">
      <w:pPr>
        <w:pStyle w:val="NormalText"/>
      </w:pPr>
      <w:r w:rsidRPr="00A167A9">
        <w:t>Fabbrini R, 1997c. Brodifacoum: hydrolysis as a function of pH. Reference no. CH-15/96-B-BDF</w:t>
      </w:r>
    </w:p>
    <w:p w14:paraId="29BCAE93" w14:textId="77777777" w:rsidR="00A167A9" w:rsidRPr="00A167A9" w:rsidRDefault="00A167A9" w:rsidP="00377F3A">
      <w:pPr>
        <w:pStyle w:val="NormalText"/>
      </w:pPr>
      <w:r w:rsidRPr="00A167A9">
        <w:t>Fabbrini R, 1997d. Difenacoum: determination of abiotic degradation hydrolysis as a function of pH. Reference no. CH-15/96-B-DIF</w:t>
      </w:r>
    </w:p>
    <w:p w14:paraId="46820BC7" w14:textId="77777777" w:rsidR="00A167A9" w:rsidRPr="00A167A9" w:rsidRDefault="00A167A9" w:rsidP="00377F3A">
      <w:pPr>
        <w:pStyle w:val="NormalText"/>
      </w:pPr>
      <w:r w:rsidRPr="00A167A9">
        <w:t>Farrell M.S., LiphaTec Inc, 2002(a), Project number 02117</w:t>
      </w:r>
    </w:p>
    <w:p w14:paraId="060AAAFC" w14:textId="77777777" w:rsidR="00A167A9" w:rsidRPr="00A167A9" w:rsidRDefault="00A167A9" w:rsidP="00377F3A">
      <w:pPr>
        <w:pStyle w:val="NormalText"/>
      </w:pPr>
      <w:r w:rsidRPr="00A167A9">
        <w:t>Farrell M.S., LiphaTec Inc, 2002(b), Project number 02116</w:t>
      </w:r>
    </w:p>
    <w:p w14:paraId="624E4948" w14:textId="77777777" w:rsidR="00A167A9" w:rsidRPr="00A167A9" w:rsidRDefault="00A167A9" w:rsidP="00377F3A">
      <w:pPr>
        <w:pStyle w:val="NormalText"/>
      </w:pPr>
      <w:r w:rsidRPr="00A167A9">
        <w:t>Fink R, 1975a. Diphacinone: eight-day dietary LC50 bobwhite quail. Reference no. 107-117</w:t>
      </w:r>
    </w:p>
    <w:p w14:paraId="705E30C9" w14:textId="77777777" w:rsidR="00A167A9" w:rsidRPr="00A167A9" w:rsidRDefault="00A167A9" w:rsidP="00377F3A">
      <w:pPr>
        <w:pStyle w:val="NormalText"/>
      </w:pPr>
      <w:r w:rsidRPr="00A167A9">
        <w:t>Fink R, 1975b. Diphacinone: eight-day dietary LC50 mallard duck. Reference no. 107-118</w:t>
      </w:r>
    </w:p>
    <w:p w14:paraId="688282DB" w14:textId="77777777" w:rsidR="00A167A9" w:rsidRPr="00A167A9" w:rsidRDefault="00A167A9" w:rsidP="00377F3A">
      <w:pPr>
        <w:pStyle w:val="NormalText"/>
      </w:pPr>
      <w:r w:rsidRPr="00A167A9">
        <w:t>Fink R, 1976a. Diphacinone technical: acute oral LD50 mallard duck. Reference no. 107-122</w:t>
      </w:r>
    </w:p>
    <w:p w14:paraId="71E304DD" w14:textId="77777777" w:rsidR="00A167A9" w:rsidRPr="00A167A9" w:rsidRDefault="00A167A9" w:rsidP="00377F3A">
      <w:pPr>
        <w:pStyle w:val="NormalText"/>
      </w:pPr>
      <w:r w:rsidRPr="00A167A9">
        <w:t>Fink R, 1976b. Diphacinone technical: eight-day dietary LC50 bobwhite quail. Reference no. 107-120</w:t>
      </w:r>
    </w:p>
    <w:p w14:paraId="2D3E9569" w14:textId="77777777" w:rsidR="00A167A9" w:rsidRPr="00A167A9" w:rsidRDefault="00A167A9" w:rsidP="00377F3A">
      <w:pPr>
        <w:pStyle w:val="NormalText"/>
      </w:pPr>
      <w:r w:rsidRPr="00A167A9">
        <w:t>Fink R, 1976c. Diphacinone technical: eight-day dietary LC50 mallard duck. Reference no. 107-121</w:t>
      </w:r>
    </w:p>
    <w:p w14:paraId="54F6B230" w14:textId="77777777" w:rsidR="00A167A9" w:rsidRPr="00A167A9" w:rsidRDefault="00A167A9" w:rsidP="00377F3A">
      <w:pPr>
        <w:pStyle w:val="NormalText"/>
      </w:pPr>
      <w:r w:rsidRPr="00A167A9">
        <w:t>Fink R, 1976d. PP581 technical: eight-day dietary LC50 bobwhite quail. Reference no. 123-114</w:t>
      </w:r>
    </w:p>
    <w:p w14:paraId="171EBB80" w14:textId="77777777" w:rsidR="00A167A9" w:rsidRPr="00A167A9" w:rsidRDefault="00A167A9" w:rsidP="00377F3A">
      <w:pPr>
        <w:pStyle w:val="NormalText"/>
      </w:pPr>
      <w:r w:rsidRPr="00A167A9">
        <w:t>Fink R, 1976e. PP581 technical: eight-day dietary LC50 mallard duck. Reference no. 123-115</w:t>
      </w:r>
    </w:p>
    <w:p w14:paraId="110BCBBC" w14:textId="77777777" w:rsidR="00A167A9" w:rsidRPr="00A167A9" w:rsidRDefault="00A167A9" w:rsidP="00377F3A">
      <w:pPr>
        <w:pStyle w:val="NormalText"/>
      </w:pPr>
      <w:r w:rsidRPr="00A167A9">
        <w:t>Fisher PJ, Eason CT, O'Connor CE, Lee CH, Smith GB, Endepols S, 2003. Coumatetralyl residues in rodents and secondary poisoning hazard to barn owls. Reference no. M-082703-01-1</w:t>
      </w:r>
    </w:p>
    <w:p w14:paraId="0C93A18C" w14:textId="77777777" w:rsidR="00A167A9" w:rsidRPr="00A167A9" w:rsidRDefault="00A167A9" w:rsidP="00377F3A">
      <w:pPr>
        <w:pStyle w:val="NormalText"/>
      </w:pPr>
      <w:r w:rsidRPr="00A167A9">
        <w:t>Fisher PJ, O'Connor CE, Wright G, Eason CT, 2003. Persistence of four anticoagulant rodenticides in the livers of laboratory rats. DOC science internal series 139. Department of Conservation, Wellington NJ</w:t>
      </w:r>
    </w:p>
    <w:p w14:paraId="16A93ED2" w14:textId="77777777" w:rsidR="00A167A9" w:rsidRPr="00A167A9" w:rsidRDefault="00A167A9" w:rsidP="00377F3A">
      <w:pPr>
        <w:pStyle w:val="NormalText"/>
      </w:pPr>
      <w:r w:rsidRPr="00A167A9">
        <w:t>Fisher PJ, O'Connor CE, Wright G, Eason CT, 2004. Anticoagulant residues in rats and secondary non-target risk. DOC science internal series 188. Department of Conservation, Wellington NJ</w:t>
      </w:r>
    </w:p>
    <w:p w14:paraId="75DBB249" w14:textId="77777777" w:rsidR="00A167A9" w:rsidRPr="00A167A9" w:rsidRDefault="00A167A9" w:rsidP="00377F3A">
      <w:pPr>
        <w:pStyle w:val="NormalText"/>
      </w:pPr>
      <w:r w:rsidRPr="00A167A9">
        <w:t>FitzGerald G B., 1992, Acute Dermal Study.</w:t>
      </w:r>
    </w:p>
    <w:p w14:paraId="08539CF9" w14:textId="77777777" w:rsidR="00A167A9" w:rsidRPr="00A167A9" w:rsidRDefault="00A167A9" w:rsidP="00377F3A">
      <w:pPr>
        <w:pStyle w:val="NormalText"/>
      </w:pPr>
      <w:r w:rsidRPr="00A167A9">
        <w:t>Flack I, 1999. Diphacinone: physical and chemical properties. Reference no. UNA 001/984651</w:t>
      </w:r>
    </w:p>
    <w:p w14:paraId="0AB9B914" w14:textId="77777777" w:rsidR="00A167A9" w:rsidRPr="00A167A9" w:rsidRDefault="00A167A9" w:rsidP="00377F3A">
      <w:pPr>
        <w:pStyle w:val="NormalText"/>
      </w:pPr>
      <w:r w:rsidRPr="00A167A9">
        <w:lastRenderedPageBreak/>
        <w:t>Fletcher DW, 1986. 30-day dietary LC50 study with LM2219 technical in mallard ducklings. APVMA data no. 12495</w:t>
      </w:r>
    </w:p>
    <w:p w14:paraId="11FDE5B9" w14:textId="77777777" w:rsidR="00A167A9" w:rsidRPr="00A167A9" w:rsidRDefault="00A167A9" w:rsidP="00377F3A">
      <w:pPr>
        <w:pStyle w:val="NormalText"/>
      </w:pPr>
      <w:r w:rsidRPr="00A167A9">
        <w:t>Fletcher DW, 1987. 37-day secondary toxicity study with bromadiolone in great horned owls. Reference no. 86 OSE 1</w:t>
      </w:r>
    </w:p>
    <w:p w14:paraId="54629930" w14:textId="77777777" w:rsidR="00A167A9" w:rsidRPr="00A167A9" w:rsidRDefault="00A167A9" w:rsidP="00377F3A">
      <w:pPr>
        <w:pStyle w:val="NormalText"/>
      </w:pPr>
      <w:r w:rsidRPr="00A167A9">
        <w:t>Fletcher DW, 1988a. 30-day acute oral toxicity study with LM2219 technical in bobwhite quail. APVMA data no. 12494</w:t>
      </w:r>
    </w:p>
    <w:p w14:paraId="659B9C01" w14:textId="77777777" w:rsidR="00A167A9" w:rsidRPr="00A167A9" w:rsidRDefault="00A167A9" w:rsidP="00377F3A">
      <w:pPr>
        <w:pStyle w:val="NormalText"/>
      </w:pPr>
      <w:r w:rsidRPr="00A167A9">
        <w:t>Fletcher DW, 1988b. 30-day dietary LC50 study with LM2219 technical in bobwhite quail. APVMA data no. 12496</w:t>
      </w:r>
    </w:p>
    <w:p w14:paraId="1DBCBCD7" w14:textId="77777777" w:rsidR="00A167A9" w:rsidRPr="00A167A9" w:rsidRDefault="00A167A9" w:rsidP="00377F3A">
      <w:pPr>
        <w:pStyle w:val="NormalText"/>
      </w:pPr>
      <w:r w:rsidRPr="00A167A9">
        <w:t>Fletcher MR, Hunter K, Barnett EA, Sharp EA, 1999. Pesticide poisoning of animals 1998: investigations of suspected incidents in the United Kingdom. Ministry of Agriculture, Fisheries and Food, Sand Hutton, York UK</w:t>
      </w:r>
    </w:p>
    <w:p w14:paraId="6CA53BDA" w14:textId="77777777" w:rsidR="00A167A9" w:rsidRPr="00A167A9" w:rsidRDefault="00A167A9" w:rsidP="00377F3A">
      <w:pPr>
        <w:pStyle w:val="NormalText"/>
      </w:pPr>
      <w:r w:rsidRPr="00A167A9">
        <w:t>Fletcher MR, Hunter K, Barnett EA, Sharp EA, 2000. Pesticide poisoning of animals 1999: investigations of suspected incidents in the United Kingdom. Ministry of Agriculture, Fisheries and Food, Sand Hutton, York UK</w:t>
      </w:r>
    </w:p>
    <w:p w14:paraId="19F5F96F" w14:textId="77777777" w:rsidR="00A167A9" w:rsidRPr="00A167A9" w:rsidRDefault="00A167A9" w:rsidP="00377F3A">
      <w:pPr>
        <w:pStyle w:val="NormalText"/>
      </w:pPr>
      <w:r w:rsidRPr="00A167A9">
        <w:t>Fournier-Chambrillon C, Berny PJ, Coiffier O, Barbedienne P, Dassé B, Delas G, Galineau H, Mazet A, Pouzenc P, Rosoux R, Fournier P, 2004. Evidence of secondary poisoning of free-ranging riparian mustelids by anticoagulant rodenticides in France: implications for conservation of European mink (Mustela lutreola). J Wildl Dis 40(4): 688-695</w:t>
      </w:r>
    </w:p>
    <w:p w14:paraId="0C6EC5B5" w14:textId="77777777" w:rsidR="00A167A9" w:rsidRPr="00A167A9" w:rsidRDefault="00A167A9" w:rsidP="00377F3A">
      <w:pPr>
        <w:pStyle w:val="NormalText"/>
      </w:pPr>
      <w:r w:rsidRPr="00A167A9">
        <w:t>Fram MS, Belitz K, 2011. Occurrence and concentrations of pharmaceutical compounds in groundwater used for public drinking-water supply in California. Sci Total Environ 409: 3409-3417</w:t>
      </w:r>
    </w:p>
    <w:p w14:paraId="10A374F1" w14:textId="77777777" w:rsidR="00A167A9" w:rsidRPr="00A167A9" w:rsidRDefault="00A167A9" w:rsidP="00377F3A">
      <w:pPr>
        <w:pStyle w:val="NormalText"/>
      </w:pPr>
      <w:r w:rsidRPr="00A167A9">
        <w:t>Franke J, 2001. Flocoumafen (reg.no. 4060804, CL183540, BAS 322 I): vapour pressure. Reference no. 2001/1019644</w:t>
      </w:r>
    </w:p>
    <w:p w14:paraId="69CA0043" w14:textId="77777777" w:rsidR="00A167A9" w:rsidRPr="00A167A9" w:rsidRDefault="00A167A9" w:rsidP="00377F3A">
      <w:pPr>
        <w:pStyle w:val="NormalText"/>
      </w:pPr>
      <w:r w:rsidRPr="00A167A9">
        <w:t>Franke, J., Siemens Axiva GmbH &amp; Co, 2001, report number 20011316.01, BASF DocID 2001/1019644</w:t>
      </w:r>
    </w:p>
    <w:p w14:paraId="05790BD2" w14:textId="77777777" w:rsidR="00A167A9" w:rsidRPr="00A167A9" w:rsidRDefault="00A167A9" w:rsidP="00377F3A">
      <w:pPr>
        <w:pStyle w:val="NormalText"/>
      </w:pPr>
      <w:r w:rsidRPr="006F78D3">
        <w:rPr>
          <w:lang w:val="de-CH"/>
        </w:rPr>
        <w:t xml:space="preserve">Freeman AB, Hickling GJ, Bannock CA, 1996. </w:t>
      </w:r>
      <w:r w:rsidRPr="00A167A9">
        <w:t>Response of the skink Oligosoma maccanni (Reptilia: Lacertilia) to two vertebrate pest-control baits. Wildl Res 23: 511-516</w:t>
      </w:r>
    </w:p>
    <w:p w14:paraId="0FC725F9" w14:textId="77777777" w:rsidR="00A167A9" w:rsidRPr="00A167A9" w:rsidRDefault="00A167A9" w:rsidP="00377F3A">
      <w:pPr>
        <w:pStyle w:val="NormalText"/>
      </w:pPr>
      <w:r w:rsidRPr="00A167A9">
        <w:t>Furlan M, 2012, Acute Oral Toxicity of WBA 8119 to Male Mice</w:t>
      </w:r>
    </w:p>
    <w:p w14:paraId="66087B26" w14:textId="77777777" w:rsidR="00A167A9" w:rsidRPr="00A167A9" w:rsidRDefault="00A167A9" w:rsidP="00377F3A">
      <w:pPr>
        <w:pStyle w:val="NormalText"/>
      </w:pPr>
      <w:r w:rsidRPr="00A167A9">
        <w:t>Gaines TB, 1960. The acute toxicity of pesticides to rats. Toxicol Appl Pharmacol 2: 88-99</w:t>
      </w:r>
    </w:p>
    <w:p w14:paraId="6E695BC2" w14:textId="77777777" w:rsidR="00A167A9" w:rsidRPr="00A167A9" w:rsidRDefault="00A167A9" w:rsidP="00377F3A">
      <w:pPr>
        <w:pStyle w:val="NormalText"/>
      </w:pPr>
      <w:r w:rsidRPr="00A167A9">
        <w:t>Gallagher SP, Grimes J, Beavers JB, MacGregor J, Ahmed S, 2002a. Avian dietary toxicity study with BAS 322 I (flocoumafen) in the mallard duck (Anas platyrhynchos). Reference no. 2002/1013872</w:t>
      </w:r>
    </w:p>
    <w:p w14:paraId="5AF22473" w14:textId="77777777" w:rsidR="00A167A9" w:rsidRPr="00A167A9" w:rsidRDefault="00A167A9" w:rsidP="00377F3A">
      <w:pPr>
        <w:pStyle w:val="NormalText"/>
      </w:pPr>
      <w:r w:rsidRPr="00A167A9">
        <w:t>Gallagher SP, Grimes J, Beavers JB, MacGregor J, Ahmed S, 2002b. Avian dietary toxicity study with BAS 322 I (flocoumafen) in the northern bobwhite (Colinus virginianus). Reference no. 2002/1013873</w:t>
      </w:r>
    </w:p>
    <w:p w14:paraId="166D3D1A" w14:textId="77777777" w:rsidR="00A167A9" w:rsidRPr="00A167A9" w:rsidRDefault="00A167A9" w:rsidP="00377F3A">
      <w:pPr>
        <w:pStyle w:val="NormalText"/>
      </w:pPr>
      <w:r w:rsidRPr="00A167A9">
        <w:t>Gardner JR, 1995a. Difenacoum: acute oral toxicity study in the male Wistar rat. Reference no. 355/34-1032</w:t>
      </w:r>
    </w:p>
    <w:p w14:paraId="77CDC271" w14:textId="77777777" w:rsidR="00A167A9" w:rsidRPr="00A167A9" w:rsidRDefault="00A167A9" w:rsidP="00377F3A">
      <w:pPr>
        <w:pStyle w:val="NormalText"/>
      </w:pPr>
      <w:r w:rsidRPr="00A167A9">
        <w:t>Gardner JR, 1995b. Difenacoum: acute oral toxicity study in the rat. Reference no. 355/8-1032</w:t>
      </w:r>
    </w:p>
    <w:p w14:paraId="2BA96B81" w14:textId="77777777" w:rsidR="00A167A9" w:rsidRPr="00A167A9" w:rsidRDefault="00A167A9" w:rsidP="00377F3A">
      <w:pPr>
        <w:pStyle w:val="NormalText"/>
      </w:pPr>
      <w:r w:rsidRPr="00A167A9">
        <w:t>Gardner, JR, 1995, Difenacoum. Acute dermal toxicity study in the rat.</w:t>
      </w:r>
    </w:p>
    <w:p w14:paraId="1D8DF07C" w14:textId="77777777" w:rsidR="00A167A9" w:rsidRPr="00A167A9" w:rsidRDefault="00A167A9" w:rsidP="00377F3A">
      <w:pPr>
        <w:pStyle w:val="NormalText"/>
      </w:pPr>
      <w:r w:rsidRPr="00A167A9">
        <w:lastRenderedPageBreak/>
        <w:t>Gardner, JR, 1995, Difenacoum. Acute oral toxicity study in the male Wistar rat.</w:t>
      </w:r>
    </w:p>
    <w:p w14:paraId="694F767F" w14:textId="77777777" w:rsidR="00A167A9" w:rsidRPr="00A167A9" w:rsidRDefault="00A167A9" w:rsidP="00377F3A">
      <w:pPr>
        <w:pStyle w:val="NormalText"/>
      </w:pPr>
      <w:r w:rsidRPr="00A167A9">
        <w:t>Gardner, JR, 1995, Difenacoum. Acute oral toxicity study in the rat.</w:t>
      </w:r>
    </w:p>
    <w:p w14:paraId="2881E1D8" w14:textId="77777777" w:rsidR="00A167A9" w:rsidRPr="00A167A9" w:rsidRDefault="00A167A9" w:rsidP="00377F3A">
      <w:pPr>
        <w:pStyle w:val="NormalText"/>
      </w:pPr>
      <w:r w:rsidRPr="00A167A9">
        <w:t>Gardner, JR, 1995, Difenacoum. Skin irritation study in the rabbit.</w:t>
      </w:r>
    </w:p>
    <w:p w14:paraId="19C1F10A" w14:textId="77777777" w:rsidR="00A167A9" w:rsidRPr="00A167A9" w:rsidRDefault="00A167A9" w:rsidP="00377F3A">
      <w:pPr>
        <w:pStyle w:val="NormalText"/>
      </w:pPr>
      <w:r w:rsidRPr="00A167A9">
        <w:t>Garofani S, 2001a. Brodifacoum: UV/VIS, MS, IR and NMR spectra. Reference no. CH-133/2001</w:t>
      </w:r>
    </w:p>
    <w:p w14:paraId="4048D0BE" w14:textId="77777777" w:rsidR="00A167A9" w:rsidRPr="00A167A9" w:rsidRDefault="00A167A9" w:rsidP="00377F3A">
      <w:pPr>
        <w:pStyle w:val="NormalText"/>
      </w:pPr>
      <w:r w:rsidRPr="00A167A9">
        <w:t>Garofani S, 2001b. Difenacoum: UV/VIS, MS, IR and NMR spectra. APVMA data no. 32808</w:t>
      </w:r>
    </w:p>
    <w:p w14:paraId="447CE722" w14:textId="77777777" w:rsidR="00A167A9" w:rsidRPr="00A167A9" w:rsidRDefault="00A167A9" w:rsidP="00377F3A">
      <w:pPr>
        <w:pStyle w:val="NormalText"/>
      </w:pPr>
      <w:r w:rsidRPr="00A167A9">
        <w:t>Garofani S, 2001c. Difenacoum: UV/VIS, IR and NMR spectra. APVMA data no. 65367</w:t>
      </w:r>
    </w:p>
    <w:p w14:paraId="06BBE297" w14:textId="77777777" w:rsidR="00A167A9" w:rsidRPr="00A167A9" w:rsidRDefault="00A167A9" w:rsidP="00377F3A">
      <w:pPr>
        <w:pStyle w:val="NormalText"/>
      </w:pPr>
      <w:r w:rsidRPr="00A167A9">
        <w:t>Gáty S, 2002. Activated sludge respiration inhibition test with bromadiolone technical test item. Reference no. 01/617-027AS</w:t>
      </w:r>
    </w:p>
    <w:p w14:paraId="70F06929" w14:textId="77777777" w:rsidR="00A167A9" w:rsidRPr="00A167A9" w:rsidRDefault="00A167A9" w:rsidP="00377F3A">
      <w:pPr>
        <w:pStyle w:val="NormalText"/>
      </w:pPr>
      <w:r w:rsidRPr="00A167A9">
        <w:t>Gáty S, 2002a. Determination of biodegradability of bromadiolone technical test item with closed bottle test. Reference no. 01/617-322AN</w:t>
      </w:r>
    </w:p>
    <w:p w14:paraId="51FF2D79" w14:textId="77777777" w:rsidR="00A167A9" w:rsidRPr="00A167A9" w:rsidRDefault="00A167A9" w:rsidP="00377F3A">
      <w:pPr>
        <w:pStyle w:val="NormalText"/>
      </w:pPr>
      <w:r w:rsidRPr="00A167A9">
        <w:t>Gáty S, 2005a. Acute oral toxicity of brodifacoum technical on the Japanese quail (Coturnix coturnix japonica). Reference no. 04/903-115FÜ</w:t>
      </w:r>
    </w:p>
    <w:p w14:paraId="4580643B" w14:textId="77777777" w:rsidR="00A167A9" w:rsidRPr="00A167A9" w:rsidRDefault="00A167A9" w:rsidP="00377F3A">
      <w:pPr>
        <w:pStyle w:val="NormalText"/>
      </w:pPr>
      <w:r w:rsidRPr="00A167A9">
        <w:t>Gáty S, 2005b. Acute oral toxicity of bromadiolone technical on the Japanese quail (Coturnix coturnix japonica). Reference no. 04/916-115FÜ</w:t>
      </w:r>
    </w:p>
    <w:p w14:paraId="69920D23" w14:textId="77777777" w:rsidR="00A167A9" w:rsidRPr="00A167A9" w:rsidRDefault="00A167A9" w:rsidP="00377F3A">
      <w:pPr>
        <w:pStyle w:val="NormalText"/>
      </w:pPr>
      <w:r w:rsidRPr="00A167A9">
        <w:t>Gáty S, 2005c. Avian reproduction toxicity test of bromadiolone technical in the Japanese quails (Coturnix coturnix japonica). Reference no. 04/804-206FÜ</w:t>
      </w:r>
    </w:p>
    <w:p w14:paraId="230EF286" w14:textId="77777777" w:rsidR="00A167A9" w:rsidRPr="00A167A9" w:rsidRDefault="00A167A9" w:rsidP="00377F3A">
      <w:pPr>
        <w:pStyle w:val="NormalText"/>
      </w:pPr>
      <w:r w:rsidRPr="00A167A9">
        <w:t>Gáty S, 2005d. Acute oral toxicity of difenacoum technical on Japanese quail (Coturnix coturnix japonica). Reference no. 04/904-115FÜ</w:t>
      </w:r>
    </w:p>
    <w:p w14:paraId="0F7ACD5C" w14:textId="77777777" w:rsidR="00A167A9" w:rsidRPr="00A167A9" w:rsidRDefault="00A167A9" w:rsidP="00377F3A">
      <w:pPr>
        <w:pStyle w:val="NormalText"/>
      </w:pPr>
      <w:r w:rsidRPr="00A167A9">
        <w:t>Gáty S, 2005e. Avian reproduction toxicity test of difenacoum technical in the Japanese quails (Coturnix coturnix japonica). Reference no. 03/779-206FÜ</w:t>
      </w:r>
    </w:p>
    <w:p w14:paraId="7524EB41" w14:textId="77777777" w:rsidR="00A167A9" w:rsidRPr="00A167A9" w:rsidRDefault="00A167A9" w:rsidP="00377F3A">
      <w:pPr>
        <w:pStyle w:val="NormalText"/>
      </w:pPr>
      <w:r w:rsidRPr="00F85D43">
        <w:t xml:space="preserve">Geduhn A, Ester A, Schenke D, Gabriel D, Jacob J, 2016. </w:t>
      </w:r>
      <w:r w:rsidRPr="00A167A9">
        <w:t>Prey composition modulates exposure risk to anticoagulant rodenticides in a sentinel predator, the barn owl. Sci Total Environ 544: 150-157</w:t>
      </w:r>
    </w:p>
    <w:p w14:paraId="24621C98" w14:textId="77777777" w:rsidR="00A167A9" w:rsidRPr="00A167A9" w:rsidRDefault="00A167A9" w:rsidP="00377F3A">
      <w:pPr>
        <w:pStyle w:val="NormalText"/>
      </w:pPr>
      <w:r w:rsidRPr="00A167A9">
        <w:t>Getty C, Wilkinson W, 1978. Brodifacoum: toxicity of the liquid concentrate, pelleted bait and technical material to first instar Daphnia magna (summary). Reference no. RJ0046B</w:t>
      </w:r>
    </w:p>
    <w:p w14:paraId="62EFAFFC" w14:textId="77777777" w:rsidR="00A167A9" w:rsidRPr="00A167A9" w:rsidRDefault="00A167A9" w:rsidP="00377F3A">
      <w:pPr>
        <w:pStyle w:val="NormalText"/>
      </w:pPr>
      <w:r w:rsidRPr="00A167A9">
        <w:t>Giraudoux P, Tremollières C, Barbier B, Defaut R, Rieffel D, Bernard N, Lucot E, Berny P, 2006. Persistence of bromadiolone anticoagulant rodenticide in Arvicola terrestris populations after field control. Environ Res 102: 291-298</w:t>
      </w:r>
    </w:p>
    <w:p w14:paraId="203F3C4D" w14:textId="77777777" w:rsidR="00A167A9" w:rsidRPr="00A167A9" w:rsidRDefault="00A167A9" w:rsidP="00377F3A">
      <w:pPr>
        <w:pStyle w:val="NormalText"/>
      </w:pPr>
      <w:r w:rsidRPr="00A167A9">
        <w:t>Glaza SM, 1993. Acute oral toxicity study (limit test) of difethialone mini blocks in rats. Reference no. APVMA data no. 16447</w:t>
      </w:r>
    </w:p>
    <w:p w14:paraId="34F92313" w14:textId="77777777" w:rsidR="00A167A9" w:rsidRPr="00A167A9" w:rsidRDefault="00A167A9" w:rsidP="00377F3A">
      <w:pPr>
        <w:pStyle w:val="NormalText"/>
      </w:pPr>
      <w:r w:rsidRPr="00A167A9">
        <w:t>Glaza, S M, 1993, Acute Dermal Toxicity Study (Limit Test) of Difethialone Mini Blocks in Rabbits (EPA Guideline 81-2).</w:t>
      </w:r>
    </w:p>
    <w:p w14:paraId="54C36638" w14:textId="77777777" w:rsidR="00A167A9" w:rsidRPr="00A167A9" w:rsidRDefault="00A167A9" w:rsidP="00377F3A">
      <w:pPr>
        <w:pStyle w:val="NormalText"/>
      </w:pPr>
      <w:r w:rsidRPr="00A167A9">
        <w:lastRenderedPageBreak/>
        <w:t>Glaza, S M, 1993, Acute Oral Toxicity Study (Limit Test) of Difethialone Mini Blocks in Rats (EPA Guideline 81-1).</w:t>
      </w:r>
    </w:p>
    <w:p w14:paraId="673555C6" w14:textId="77777777" w:rsidR="00A167A9" w:rsidRPr="00A167A9" w:rsidRDefault="00A167A9" w:rsidP="00377F3A">
      <w:pPr>
        <w:pStyle w:val="NormalText"/>
      </w:pPr>
      <w:r w:rsidRPr="00A167A9">
        <w:t>Glaza, S M, 1993, Dermal Sensitization Study of Difethialone Mini Blocks in Guinea Pigs - Closed Patch Technique (EPA Guideline 81-6).</w:t>
      </w:r>
    </w:p>
    <w:p w14:paraId="04286832" w14:textId="77777777" w:rsidR="00A167A9" w:rsidRPr="00A167A9" w:rsidRDefault="00A167A9" w:rsidP="00377F3A">
      <w:pPr>
        <w:pStyle w:val="NormalText"/>
      </w:pPr>
      <w:r w:rsidRPr="00A167A9">
        <w:t>Glaza, S M, 1993, Primary Dermal Irritation Study of Difethialone Mini Blocks in Rabbits (EPA Guideline 81-5).</w:t>
      </w:r>
    </w:p>
    <w:p w14:paraId="1D3202C9" w14:textId="77777777" w:rsidR="00A167A9" w:rsidRPr="00A167A9" w:rsidRDefault="00A167A9" w:rsidP="00377F3A">
      <w:pPr>
        <w:pStyle w:val="NormalText"/>
      </w:pPr>
      <w:r w:rsidRPr="00A167A9">
        <w:t>Glaza, S M, 1993, Primary Eye Irritation Study of Difethialone Mini Blocks in Rabbits (EPA Guideline 81-4).</w:t>
      </w:r>
    </w:p>
    <w:p w14:paraId="22A18A79" w14:textId="77777777" w:rsidR="00A167A9" w:rsidRPr="00A167A9" w:rsidRDefault="00A167A9" w:rsidP="00377F3A">
      <w:pPr>
        <w:pStyle w:val="NormalText"/>
      </w:pPr>
      <w:r w:rsidRPr="00A167A9">
        <w:t>Glaza, S M, 1997, Acute Dermal Toxicity Study (Limit Test) of Generation Pellets in Rabbits.</w:t>
      </w:r>
    </w:p>
    <w:p w14:paraId="2A4A194D" w14:textId="77777777" w:rsidR="00A167A9" w:rsidRPr="00A167A9" w:rsidRDefault="00A167A9" w:rsidP="00377F3A">
      <w:pPr>
        <w:pStyle w:val="NormalText"/>
      </w:pPr>
      <w:r w:rsidRPr="00A167A9">
        <w:t>Glaza, S M, 1997, Primary Dermal Irritation Study of Generation Pellets in Rabbits.</w:t>
      </w:r>
    </w:p>
    <w:p w14:paraId="77B9748A" w14:textId="77777777" w:rsidR="00A167A9" w:rsidRPr="00A167A9" w:rsidRDefault="00A167A9" w:rsidP="00377F3A">
      <w:pPr>
        <w:pStyle w:val="NormalText"/>
      </w:pPr>
      <w:r w:rsidRPr="00A167A9">
        <w:t>Glaza, S.M., 1993, Acute Dermal Toxicity Study (Limit test) of Maki paraffin block with bitrex in Rabbits.</w:t>
      </w:r>
    </w:p>
    <w:p w14:paraId="20B8BC9C" w14:textId="77777777" w:rsidR="00A167A9" w:rsidRPr="00A167A9" w:rsidRDefault="00A167A9" w:rsidP="00377F3A">
      <w:pPr>
        <w:pStyle w:val="NormalText"/>
      </w:pPr>
      <w:r w:rsidRPr="00A167A9">
        <w:t xml:space="preserve">Glaza, S.M., 1993, Acute oral toxicity study (Limit test) of Maki paraffin block with bitrex in rats. </w:t>
      </w:r>
    </w:p>
    <w:p w14:paraId="6A28647E" w14:textId="77777777" w:rsidR="00A167A9" w:rsidRPr="00A167A9" w:rsidRDefault="00A167A9" w:rsidP="00377F3A">
      <w:pPr>
        <w:pStyle w:val="NormalText"/>
      </w:pPr>
      <w:r w:rsidRPr="00A167A9">
        <w:t>Glaza, S.M., 1993, Dermal sensitisation study of MAKI paraffin block with bitrex in Guinea pigs – closed patch technique.</w:t>
      </w:r>
    </w:p>
    <w:p w14:paraId="2AA41BFA" w14:textId="77777777" w:rsidR="00A167A9" w:rsidRPr="00A167A9" w:rsidRDefault="00A167A9" w:rsidP="00377F3A">
      <w:pPr>
        <w:pStyle w:val="NormalText"/>
      </w:pPr>
      <w:r w:rsidRPr="00A167A9">
        <w:t>Glaza, S.M., 1993a, Primary Dermal Irritation Study of Maki paraffin block with bitrex in Rabbits.</w:t>
      </w:r>
    </w:p>
    <w:p w14:paraId="74D2165E" w14:textId="77777777" w:rsidR="00A167A9" w:rsidRPr="00A167A9" w:rsidRDefault="00A167A9" w:rsidP="00377F3A">
      <w:pPr>
        <w:pStyle w:val="NormalText"/>
      </w:pPr>
      <w:r w:rsidRPr="00A167A9">
        <w:t xml:space="preserve">Glaza, S.M., 1993b, Primary Dermal Irritation Study of Maki Mini blocks in rabbits. </w:t>
      </w:r>
    </w:p>
    <w:p w14:paraId="3AB0F81A" w14:textId="77777777" w:rsidR="00A167A9" w:rsidRPr="00A167A9" w:rsidRDefault="00A167A9" w:rsidP="00377F3A">
      <w:pPr>
        <w:pStyle w:val="NormalText"/>
      </w:pPr>
      <w:r w:rsidRPr="00A167A9">
        <w:t xml:space="preserve">Glaza, S.M., 1993c, Primary Eye Irritation Study of Maki paraffin block with bitrex in Rabbits. </w:t>
      </w:r>
    </w:p>
    <w:p w14:paraId="322AE346" w14:textId="77777777" w:rsidR="00A167A9" w:rsidRPr="00A167A9" w:rsidRDefault="00A167A9" w:rsidP="00377F3A">
      <w:pPr>
        <w:pStyle w:val="NormalText"/>
      </w:pPr>
      <w:r w:rsidRPr="00A167A9">
        <w:t xml:space="preserve">Glaza, S.M., 1994, Dermal sensitisation study of MAKI mini blocks in Guinea pigs – Closed Patch technique. </w:t>
      </w:r>
    </w:p>
    <w:p w14:paraId="325DC880" w14:textId="77777777" w:rsidR="00A167A9" w:rsidRPr="00A167A9" w:rsidRDefault="00A167A9" w:rsidP="00377F3A">
      <w:pPr>
        <w:pStyle w:val="NormalText"/>
      </w:pPr>
      <w:r w:rsidRPr="00A167A9">
        <w:t>Godfrey M, Laas F, Rammell C, 1985, PP581 and R170431: Comparative Toxicity Study in Dogs</w:t>
      </w:r>
    </w:p>
    <w:p w14:paraId="52E1A8B2" w14:textId="77777777" w:rsidR="00A167A9" w:rsidRPr="00A167A9" w:rsidRDefault="00A167A9" w:rsidP="00377F3A">
      <w:pPr>
        <w:pStyle w:val="NormalText"/>
      </w:pPr>
      <w:r w:rsidRPr="00A167A9">
        <w:t>Godfrey M, Reid T, McAllum, 1981, PP581 Pellet (JFU 5072), PP581 0.25% Liquid Concentrate (JFU5074): 4 Hour Acute Inhalation in Rats</w:t>
      </w:r>
    </w:p>
    <w:p w14:paraId="36119878" w14:textId="77777777" w:rsidR="00A167A9" w:rsidRPr="00A167A9" w:rsidRDefault="00A167A9" w:rsidP="00377F3A">
      <w:pPr>
        <w:pStyle w:val="NormalText"/>
      </w:pPr>
      <w:r w:rsidRPr="00A167A9">
        <w:t>Godfrey MER, 1984. Acute toxicity of brodifacoum to wallabies (Macropus rufogriseus). NZ J Exp Agric 12(1): 63–64</w:t>
      </w:r>
    </w:p>
    <w:p w14:paraId="5C130B55" w14:textId="77777777" w:rsidR="00A167A9" w:rsidRPr="00A167A9" w:rsidRDefault="00A167A9" w:rsidP="00377F3A">
      <w:pPr>
        <w:pStyle w:val="NormalText"/>
      </w:pPr>
      <w:r w:rsidRPr="00A167A9">
        <w:t>Godfrey MER, 1985. Non-target and secondary poisoning hazards of "second generation" anticoagulants. Acta Zool Fenn 173: 209-212</w:t>
      </w:r>
    </w:p>
    <w:p w14:paraId="61A6B09E" w14:textId="77777777" w:rsidR="00A167A9" w:rsidRPr="00A167A9" w:rsidRDefault="00A167A9" w:rsidP="00377F3A">
      <w:pPr>
        <w:pStyle w:val="NormalText"/>
      </w:pPr>
      <w:r w:rsidRPr="00A167A9">
        <w:t>Godfrey MER, 1986. An evaluation of the acute oral toxicity of brodifacoum to birds. Proceedings of the Twelfth Vertebrate Pest Conference 27, University of California, Davis</w:t>
      </w:r>
    </w:p>
    <w:p w14:paraId="52D27716" w14:textId="77777777" w:rsidR="00A167A9" w:rsidRPr="00A167A9" w:rsidRDefault="00A167A9" w:rsidP="00377F3A">
      <w:pPr>
        <w:pStyle w:val="NormalText"/>
      </w:pPr>
      <w:r w:rsidRPr="00A167A9">
        <w:t>Godfrey MER, Laas FJ, Rammell CG, 1985. Acute toxicity of brodifacoum to sheep. NZ J Exp Agric 12(1): 63–64</w:t>
      </w:r>
    </w:p>
    <w:p w14:paraId="6F2F7117" w14:textId="77777777" w:rsidR="00A167A9" w:rsidRPr="00A167A9" w:rsidRDefault="00A167A9" w:rsidP="00377F3A">
      <w:pPr>
        <w:pStyle w:val="NormalText"/>
      </w:pPr>
      <w:r w:rsidRPr="00A167A9">
        <w:t>Godfrey MER, Reid TC, McAllum HJF, 1981a. The oral toxicity of brodifacoum to rabbits. NJ J Exper Agric 9: 23-25</w:t>
      </w:r>
    </w:p>
    <w:p w14:paraId="0A1260FE" w14:textId="77777777" w:rsidR="00A167A9" w:rsidRPr="00A167A9" w:rsidRDefault="00A167A9" w:rsidP="00377F3A">
      <w:pPr>
        <w:pStyle w:val="NormalText"/>
      </w:pPr>
      <w:r w:rsidRPr="00A167A9">
        <w:lastRenderedPageBreak/>
        <w:t>Godfrey MER, Reid TC, McAllum HJF, 1981b. The acute oral toxicity of the anticoagulant brodifacoum to dogs. NZ J Exp Agric 9(2): 147-149</w:t>
      </w:r>
    </w:p>
    <w:p w14:paraId="7E1F9775" w14:textId="77777777" w:rsidR="00A167A9" w:rsidRPr="00A167A9" w:rsidRDefault="00A167A9" w:rsidP="00377F3A">
      <w:pPr>
        <w:pStyle w:val="NormalText"/>
      </w:pPr>
      <w:r w:rsidRPr="00A167A9">
        <w:t>Goldade DA, Savarie PJ, Hurley JC, Gaddis SA, Johnston JJ, 2001. Design of a laboratory secondary hazard study. USDA National Wildlife Research Center - Staff Publications 588</w:t>
      </w:r>
    </w:p>
    <w:p w14:paraId="1D0263A2" w14:textId="77777777" w:rsidR="00A167A9" w:rsidRPr="00A167A9" w:rsidRDefault="00A167A9" w:rsidP="00377F3A">
      <w:pPr>
        <w:pStyle w:val="NormalText"/>
      </w:pPr>
      <w:r w:rsidRPr="00A167A9">
        <w:t>Goller S, 2014. [benzopyranone-phenyl-ring-UL-14C]-coumatetralyl: adsorption/desorption using a batch equilibrium method. Reference no. M-503474-01-1</w:t>
      </w:r>
    </w:p>
    <w:p w14:paraId="7FB508B4" w14:textId="77777777" w:rsidR="00A167A9" w:rsidRPr="00A167A9" w:rsidRDefault="00A167A9" w:rsidP="00377F3A">
      <w:pPr>
        <w:pStyle w:val="NormalText"/>
      </w:pPr>
      <w:r w:rsidRPr="00A167A9">
        <w:t>Gomez A, 2005. Determination of the direct photolysis rate in water by sunlight of difenacoum. Reference no. A2482323</w:t>
      </w:r>
    </w:p>
    <w:p w14:paraId="5F1BCCD6" w14:textId="77777777" w:rsidR="00A167A9" w:rsidRPr="00A167A9" w:rsidRDefault="00A167A9" w:rsidP="00377F3A">
      <w:pPr>
        <w:pStyle w:val="NormalText"/>
      </w:pPr>
      <w:r w:rsidRPr="00A167A9">
        <w:t>Grau R, 1992a. Coumatetralyl (technical grade): acute oral toxicity to Japanese quail. Reference no. M-086401-01-1</w:t>
      </w:r>
    </w:p>
    <w:p w14:paraId="488E19DD" w14:textId="77777777" w:rsidR="00A167A9" w:rsidRPr="00A167A9" w:rsidRDefault="00A167A9" w:rsidP="00377F3A">
      <w:pPr>
        <w:pStyle w:val="NormalText"/>
      </w:pPr>
      <w:r w:rsidRPr="00A167A9">
        <w:t>Grau R, 1992b. Coumatetralyl (technical grade): 5-day dietary LC50 to Japanese quail. Reference no. M-086427-01-1</w:t>
      </w:r>
    </w:p>
    <w:p w14:paraId="0E831140" w14:textId="77777777" w:rsidR="00A167A9" w:rsidRPr="00A167A9" w:rsidRDefault="00A167A9" w:rsidP="00377F3A">
      <w:pPr>
        <w:pStyle w:val="NormalText"/>
      </w:pPr>
      <w:r w:rsidRPr="00A167A9">
        <w:t>Grau R, 1992c. Coumatetralyl: bioconcentration in fish. Reference no. M-085025-01-1</w:t>
      </w:r>
    </w:p>
    <w:p w14:paraId="55396F2F" w14:textId="77777777" w:rsidR="00A167A9" w:rsidRPr="00A167A9" w:rsidRDefault="00A167A9" w:rsidP="00377F3A">
      <w:pPr>
        <w:pStyle w:val="NormalText"/>
      </w:pPr>
      <w:r w:rsidRPr="00A167A9">
        <w:t>Grau R, 1992d. Coumatetralyl (technical grade): prolonged toxicity (21 days) to rainbow trout in a semi-statistic test. Reference no. M-085363-01-1</w:t>
      </w:r>
    </w:p>
    <w:p w14:paraId="176B3AFD" w14:textId="77777777" w:rsidR="00A167A9" w:rsidRPr="00A167A9" w:rsidRDefault="00A167A9" w:rsidP="00377F3A">
      <w:pPr>
        <w:pStyle w:val="NormalText"/>
      </w:pPr>
      <w:r w:rsidRPr="00A167A9">
        <w:t>Gray A, 1991. Flocoumafen (Storm) residues in mice and in owl pellets and livers following an owl feeding study at the Institute of Terrestrial Ecology. Reference no. SBGR.91.054</w:t>
      </w:r>
    </w:p>
    <w:p w14:paraId="07C2B862" w14:textId="77777777" w:rsidR="00A167A9" w:rsidRPr="00A167A9" w:rsidRDefault="00A167A9" w:rsidP="00377F3A">
      <w:pPr>
        <w:pStyle w:val="NormalText"/>
      </w:pPr>
      <w:r w:rsidRPr="00A167A9">
        <w:t>Gray A, Dutton AJ, 1992. A comparative study on the toxicity of brodifacoum, difenacoum and flocoumafen to barn owls, Tyto alba, consuming rodenticide-fed mice. Reference no. SBTR.92.012</w:t>
      </w:r>
    </w:p>
    <w:p w14:paraId="54282B1E" w14:textId="77777777" w:rsidR="00A167A9" w:rsidRPr="00A167A9" w:rsidRDefault="00A167A9" w:rsidP="00377F3A">
      <w:pPr>
        <w:pStyle w:val="NormalText"/>
      </w:pPr>
      <w:r w:rsidRPr="00A167A9">
        <w:t>Gray A, Eadsforth CV, Dutton AJ, 1994a. Non-invasive method for monitoring the exposure of barn owls to second generation rodenticides. Pestic Sci 41: 339-343</w:t>
      </w:r>
    </w:p>
    <w:p w14:paraId="240AFB7C" w14:textId="77777777" w:rsidR="00A167A9" w:rsidRPr="00A167A9" w:rsidRDefault="00A167A9" w:rsidP="00377F3A">
      <w:pPr>
        <w:pStyle w:val="NormalText"/>
      </w:pPr>
      <w:r w:rsidRPr="00A167A9">
        <w:t>Gray A, Eadsforth CV, Dutton AJ, 1994b. The toxicity of three second generation rodenticides to barn owls. Pestic Sci 42: 179-184</w:t>
      </w:r>
    </w:p>
    <w:p w14:paraId="545E98DD" w14:textId="77777777" w:rsidR="00A167A9" w:rsidRPr="00A167A9" w:rsidRDefault="00A167A9" w:rsidP="00377F3A">
      <w:pPr>
        <w:pStyle w:val="NormalText"/>
      </w:pPr>
      <w:r w:rsidRPr="00A167A9">
        <w:t>Grillo T, Cox-Witton K, Gilchrist S, Ban S, 2016. Suspected rodenticide poisoning in possums. Anim Health Surveill Q 21(3): 8</w:t>
      </w:r>
    </w:p>
    <w:p w14:paraId="4C1B47CD" w14:textId="77777777" w:rsidR="00A167A9" w:rsidRPr="00A167A9" w:rsidRDefault="00A167A9" w:rsidP="00377F3A">
      <w:pPr>
        <w:pStyle w:val="NormalText"/>
      </w:pPr>
      <w:r w:rsidRPr="00A167A9">
        <w:t>Grimes J, Fink R, 1979. Forty-day LC50 laughing gull utilizing masticated rodent tissue containing PP581. Reference no. 123-126</w:t>
      </w:r>
    </w:p>
    <w:p w14:paraId="4D9E646E" w14:textId="77777777" w:rsidR="00A167A9" w:rsidRPr="00A167A9" w:rsidRDefault="00A167A9" w:rsidP="00377F3A">
      <w:pPr>
        <w:pStyle w:val="NormalText"/>
      </w:pPr>
      <w:r w:rsidRPr="00A167A9">
        <w:t>Guiotto A, Nicolini M, 1996. Spectrometric analysis in 1H and 13C NMR, FT-IR, UV and MS on rodenticides bromadiolone and chlorophacinone. APVMA data no. 75536</w:t>
      </w:r>
    </w:p>
    <w:p w14:paraId="507FAB73" w14:textId="77777777" w:rsidR="00A167A9" w:rsidRPr="00A167A9" w:rsidRDefault="00A167A9" w:rsidP="00377F3A">
      <w:pPr>
        <w:pStyle w:val="NormalText"/>
      </w:pPr>
      <w:r w:rsidRPr="00A167A9">
        <w:t>Hadler M, 1974, Brodifacoum 0.05g/kg RB Formulation: Acute Oral Toxicity Study in Rats</w:t>
      </w:r>
    </w:p>
    <w:p w14:paraId="4CE12C4D" w14:textId="77777777" w:rsidR="00A167A9" w:rsidRPr="00A167A9" w:rsidRDefault="00A167A9" w:rsidP="00377F3A">
      <w:pPr>
        <w:pStyle w:val="NormalText"/>
      </w:pPr>
      <w:r w:rsidRPr="00A167A9">
        <w:t>Hadler M, 1974, Brodifacoum Formulation Concentrate (0.25% w/w): Acute Oral Toxicity to the Rat</w:t>
      </w:r>
    </w:p>
    <w:p w14:paraId="756D516C" w14:textId="77777777" w:rsidR="00A167A9" w:rsidRPr="00A167A9" w:rsidRDefault="00A167A9" w:rsidP="00377F3A">
      <w:pPr>
        <w:pStyle w:val="NormalText"/>
      </w:pPr>
      <w:r w:rsidRPr="00A167A9">
        <w:lastRenderedPageBreak/>
        <w:t>Hadler M, 1974, PP581: Acute Oral Toxicity of WBA 8119 to Male Rat (Rattus Norvegicus)</w:t>
      </w:r>
    </w:p>
    <w:p w14:paraId="7DD99910" w14:textId="77777777" w:rsidR="00A167A9" w:rsidRPr="00A167A9" w:rsidRDefault="00A167A9" w:rsidP="00377F3A">
      <w:pPr>
        <w:pStyle w:val="NormalText"/>
      </w:pPr>
      <w:r w:rsidRPr="00A167A9">
        <w:t>Hadler M, 1974, The 5-Day Sub Acute Oral Toxicity of 3-(4-Bromobiphenyl 4-yl)-1-Tetralol Rats and Mice</w:t>
      </w:r>
    </w:p>
    <w:p w14:paraId="1FD1EC55" w14:textId="77777777" w:rsidR="00A167A9" w:rsidRPr="00A167A9" w:rsidRDefault="00A167A9" w:rsidP="00377F3A">
      <w:pPr>
        <w:pStyle w:val="NormalText"/>
      </w:pPr>
      <w:r w:rsidRPr="00A167A9">
        <w:t>Hadler M, 1975, Acute Eye Irritation of WBA 8119 to the Rabbit</w:t>
      </w:r>
    </w:p>
    <w:p w14:paraId="5364338C" w14:textId="77777777" w:rsidR="00A167A9" w:rsidRPr="00A167A9" w:rsidRDefault="00A167A9" w:rsidP="00377F3A">
      <w:pPr>
        <w:pStyle w:val="NormalText"/>
      </w:pPr>
      <w:r w:rsidRPr="00A167A9">
        <w:t>Hadler M, 1975, Acute Oral Toxicity of WBA 8119 to Male Chicks</w:t>
      </w:r>
    </w:p>
    <w:p w14:paraId="461A6451" w14:textId="77777777" w:rsidR="00A167A9" w:rsidRPr="00A167A9" w:rsidRDefault="00A167A9" w:rsidP="00377F3A">
      <w:pPr>
        <w:pStyle w:val="NormalText"/>
      </w:pPr>
      <w:r w:rsidRPr="00A167A9">
        <w:t>Hadler M, 1975, Brodifacoum Formulation Concentrate (0.25% w/w): Eye Irritation to the Rabbit</w:t>
      </w:r>
    </w:p>
    <w:p w14:paraId="7D8744D3" w14:textId="77777777" w:rsidR="00A167A9" w:rsidRPr="00A167A9" w:rsidRDefault="00A167A9" w:rsidP="00377F3A">
      <w:pPr>
        <w:pStyle w:val="NormalText"/>
      </w:pPr>
      <w:r w:rsidRPr="00A167A9">
        <w:t>Hadler M, 1975, Five Day Sub-Acute Oral Toxicity of WBA 8119 to Female Mice</w:t>
      </w:r>
    </w:p>
    <w:p w14:paraId="496844D8" w14:textId="77777777" w:rsidR="00A167A9" w:rsidRPr="00A167A9" w:rsidRDefault="00A167A9" w:rsidP="00377F3A">
      <w:pPr>
        <w:pStyle w:val="NormalText"/>
      </w:pPr>
      <w:r w:rsidRPr="00A167A9">
        <w:t>Hadler M, 1975, Summary - Acute Oral Toxicity of WBA 8119 to Female Guinea Pig</w:t>
      </w:r>
    </w:p>
    <w:p w14:paraId="4025E56A" w14:textId="77777777" w:rsidR="00A167A9" w:rsidRPr="00A167A9" w:rsidRDefault="00A167A9" w:rsidP="00377F3A">
      <w:pPr>
        <w:pStyle w:val="NormalText"/>
      </w:pPr>
      <w:r w:rsidRPr="00A167A9">
        <w:t>Hadler M, 1975, The Acute Oral Toxicity (LD50) of PP581 to the Chicken</w:t>
      </w:r>
    </w:p>
    <w:p w14:paraId="08DEF046" w14:textId="77777777" w:rsidR="00A167A9" w:rsidRPr="00A167A9" w:rsidRDefault="00A167A9" w:rsidP="00377F3A">
      <w:pPr>
        <w:pStyle w:val="NormalText"/>
      </w:pPr>
      <w:r w:rsidRPr="00A167A9">
        <w:t>Hadler M, 1975, The Sub-Acute (5 Day) Oral Toxicity of WBA 8119 to Female Rats</w:t>
      </w:r>
    </w:p>
    <w:p w14:paraId="6BB45BF5" w14:textId="77777777" w:rsidR="00A167A9" w:rsidRPr="00A167A9" w:rsidRDefault="00A167A9" w:rsidP="00377F3A">
      <w:pPr>
        <w:pStyle w:val="NormalText"/>
      </w:pPr>
      <w:r w:rsidRPr="00A167A9">
        <w:t>Hadler M, 1976, SubAcute Five Day Oral Toxicity of WBA8119 to Male Rats</w:t>
      </w:r>
    </w:p>
    <w:p w14:paraId="0138BE7E" w14:textId="77777777" w:rsidR="00A167A9" w:rsidRPr="00A167A9" w:rsidRDefault="00A167A9" w:rsidP="00377F3A">
      <w:pPr>
        <w:pStyle w:val="NormalText"/>
      </w:pPr>
      <w:r w:rsidRPr="00A167A9">
        <w:t>Hadler M, 1976, The Acute Dermal Toxicity of 3-(4-Bromobiphenyl 4-YL)-1-Tetralol Rat</w:t>
      </w:r>
    </w:p>
    <w:p w14:paraId="78F09E3E" w14:textId="77777777" w:rsidR="00A167A9" w:rsidRPr="00A167A9" w:rsidRDefault="00A167A9" w:rsidP="00377F3A">
      <w:pPr>
        <w:pStyle w:val="NormalText"/>
      </w:pPr>
      <w:r w:rsidRPr="00A167A9">
        <w:t>Hadler M, 1976, The Oral Toxicity of WB8119 to the Domestic Pig</w:t>
      </w:r>
    </w:p>
    <w:p w14:paraId="41F3B2C0" w14:textId="77777777" w:rsidR="00A167A9" w:rsidRPr="00A167A9" w:rsidRDefault="00A167A9" w:rsidP="00377F3A">
      <w:pPr>
        <w:pStyle w:val="NormalText"/>
      </w:pPr>
      <w:r w:rsidRPr="00A167A9">
        <w:t>Hadler M, 1978, Brodifacoum Technical: Acute Dermal Toxicity to the Rat</w:t>
      </w:r>
    </w:p>
    <w:p w14:paraId="3D1D494A" w14:textId="77777777" w:rsidR="00A167A9" w:rsidRPr="00A167A9" w:rsidRDefault="00A167A9" w:rsidP="00377F3A">
      <w:pPr>
        <w:pStyle w:val="NormalText"/>
      </w:pPr>
      <w:r w:rsidRPr="00A167A9">
        <w:t>Hadler M, 1978, Summary - Brodifacoum : Acute Oral Toxicity to the Rat</w:t>
      </w:r>
    </w:p>
    <w:p w14:paraId="2791780C" w14:textId="77777777" w:rsidR="00A167A9" w:rsidRPr="00A167A9" w:rsidRDefault="00A167A9" w:rsidP="00377F3A">
      <w:pPr>
        <w:pStyle w:val="NormalText"/>
      </w:pPr>
      <w:r w:rsidRPr="00A167A9">
        <w:t>Hadler M, 1978, The Acute Oral Toxicity of 3-(4 Bromobiphenyl 4-YL)-1-Tetralol Rats &amp; Mice</w:t>
      </w:r>
    </w:p>
    <w:p w14:paraId="12B727DF" w14:textId="77777777" w:rsidR="00A167A9" w:rsidRPr="00A167A9" w:rsidRDefault="00A167A9" w:rsidP="00377F3A">
      <w:pPr>
        <w:pStyle w:val="NormalText"/>
      </w:pPr>
      <w:r w:rsidRPr="00A167A9">
        <w:t>Hadler MR, 1974. Acute oral toxicity of WBA 8119 to male rat (Rattus norvegicus). Reference no. RIC0556</w:t>
      </w:r>
    </w:p>
    <w:p w14:paraId="178162BE" w14:textId="77777777" w:rsidR="00A167A9" w:rsidRPr="00A167A9" w:rsidRDefault="00A167A9" w:rsidP="00377F3A">
      <w:pPr>
        <w:pStyle w:val="NormalText"/>
      </w:pPr>
      <w:r w:rsidRPr="00A167A9">
        <w:t>Hagan EC, Radomski JL, 1953. The toxicity of 3-(acetonylbenzyl)-4-hydroxycoumarin (warfarin) to laboratory animals. J Am Pharm Assoc 42: 379-382</w:t>
      </w:r>
    </w:p>
    <w:p w14:paraId="59B5C67F" w14:textId="77777777" w:rsidR="00A167A9" w:rsidRPr="00A167A9" w:rsidRDefault="00A167A9" w:rsidP="00377F3A">
      <w:pPr>
        <w:pStyle w:val="NormalText"/>
      </w:pPr>
      <w:r w:rsidRPr="00A167A9">
        <w:t>Hahn JA, 2002a. Determination of water solubility (column elution method - pH 4 and pH 7 / shake flask method - pH 10) for bromadiolone. Reference no. 47071</w:t>
      </w:r>
    </w:p>
    <w:p w14:paraId="2D8CEE2C" w14:textId="77777777" w:rsidR="00A167A9" w:rsidRPr="00A167A9" w:rsidRDefault="00A167A9" w:rsidP="00377F3A">
      <w:pPr>
        <w:pStyle w:val="NormalText"/>
      </w:pPr>
      <w:r w:rsidRPr="00A167A9">
        <w:t>Hahn JA, 2002b. Determination of dissociation constant for bromadiolone. Reference no. 47075</w:t>
      </w:r>
    </w:p>
    <w:p w14:paraId="1299E760" w14:textId="77777777" w:rsidR="00A167A9" w:rsidRPr="00A167A9" w:rsidRDefault="00A167A9" w:rsidP="00377F3A">
      <w:pPr>
        <w:pStyle w:val="NormalText"/>
      </w:pPr>
      <w:r w:rsidRPr="00A167A9">
        <w:t>Hahn, J.A., ABC Laboratories Inc, 2002, Study number 47071</w:t>
      </w:r>
    </w:p>
    <w:p w14:paraId="354E1C1A" w14:textId="77777777" w:rsidR="00A167A9" w:rsidRPr="00A167A9" w:rsidRDefault="00A167A9" w:rsidP="00377F3A">
      <w:pPr>
        <w:pStyle w:val="NormalText"/>
      </w:pPr>
      <w:r w:rsidRPr="00A167A9">
        <w:t>Hall BE, Jackson R, Priestly I, 1992. Difenacoum: photolysis in buffered aqueous solutions. Reference no. 381614</w:t>
      </w:r>
    </w:p>
    <w:p w14:paraId="1098DD33" w14:textId="77777777" w:rsidR="00A167A9" w:rsidRPr="00A167A9" w:rsidRDefault="00A167A9" w:rsidP="00377F3A">
      <w:pPr>
        <w:pStyle w:val="NormalText"/>
      </w:pPr>
      <w:r w:rsidRPr="00A167A9">
        <w:t>Hall BE, Priestley I, 1992. Brodifacoum: metabolism in soil under aerobic conditions (summary). Reference no. 8795</w:t>
      </w:r>
    </w:p>
    <w:p w14:paraId="536AB981" w14:textId="77777777" w:rsidR="00A167A9" w:rsidRPr="00A167A9" w:rsidRDefault="00A167A9" w:rsidP="00377F3A">
      <w:pPr>
        <w:pStyle w:val="NormalText"/>
      </w:pPr>
      <w:r w:rsidRPr="00A167A9">
        <w:lastRenderedPageBreak/>
        <w:t>Harper GA, Zabala J, Carrion V, 2011. Monitoring of a subpopulation of Galapagos land iguanas (Conolophus subcristatus) during a rat eradication using brodifacoum. In: Veitch CR, Clout MN, Towns DR (eds.). Island invasives: eradication, pp.309-312. Gland, Switzerland</w:t>
      </w:r>
    </w:p>
    <w:p w14:paraId="405B6ABF" w14:textId="77777777" w:rsidR="00A167A9" w:rsidRPr="00A167A9" w:rsidRDefault="00A167A9" w:rsidP="00377F3A">
      <w:pPr>
        <w:pStyle w:val="NormalText"/>
      </w:pPr>
      <w:r w:rsidRPr="00A167A9">
        <w:t>Hartley L, O'Connor C, Waas J, Matthews L, 1999. Colour preferences in North Island robins (Petroica australis): implications for deterring birds from poisonous baits. NZ J Ecol 23: 255-259</w:t>
      </w:r>
    </w:p>
    <w:p w14:paraId="0E1AF5E9" w14:textId="77777777" w:rsidR="00A167A9" w:rsidRPr="00A167A9" w:rsidRDefault="00A167A9" w:rsidP="00377F3A">
      <w:pPr>
        <w:pStyle w:val="NormalText"/>
      </w:pPr>
      <w:r w:rsidRPr="00A167A9">
        <w:t>Hawkins DR, Brodie RR, Clarke D, Brindley C, 1991. Determination of the residues and the half-life of the rodenticides brodifacoum, bromadiolone and flocoumafen in the livers of rats during 200 days after a single oral dose of each at a dose level of 0.2 mg/kg. Reference no. HRC/LPA 158/891590</w:t>
      </w:r>
    </w:p>
    <w:p w14:paraId="3B589AED" w14:textId="77777777" w:rsidR="00A167A9" w:rsidRPr="00A167A9" w:rsidRDefault="00A167A9" w:rsidP="00377F3A">
      <w:pPr>
        <w:pStyle w:val="NormalText"/>
      </w:pPr>
      <w:r w:rsidRPr="00A167A9">
        <w:t>Health (2024). Standard for the Uniform Scheduling of Medicines and Poisons (SUSMP). Legislative Instrument - The Poisons Standard. Australian Federal Government Department of Health and Aged Care. https://www.tga.gov.au/publication/poisons-standard-susmp</w:t>
      </w:r>
    </w:p>
    <w:p w14:paraId="513C412D" w14:textId="77777777" w:rsidR="00A167A9" w:rsidRPr="00A167A9" w:rsidRDefault="00A167A9" w:rsidP="00377F3A">
      <w:pPr>
        <w:pStyle w:val="NormalText"/>
      </w:pPr>
      <w:r w:rsidRPr="00A167A9">
        <w:t>Hegdal PL, Blaskiewicz RW, 1984. Evaluation of the potential hazard to barn owls of Talon (brodifacoum bait) used to control rats and house mice. Environ Toxicol Chem 3: 167-179</w:t>
      </w:r>
    </w:p>
    <w:p w14:paraId="0F9D3557" w14:textId="77777777" w:rsidR="00A167A9" w:rsidRPr="00A167A9" w:rsidRDefault="00A167A9" w:rsidP="00377F3A">
      <w:pPr>
        <w:pStyle w:val="NormalText"/>
      </w:pPr>
      <w:r w:rsidRPr="00A167A9">
        <w:t>Hegdal PL, Blaskiewski RW, 1981. Hazards to barn owls associated with the use of Talon (brodifacoum bait) for controlling rats and house mice. Reference no. RIC0619</w:t>
      </w:r>
    </w:p>
    <w:p w14:paraId="1D1403DA" w14:textId="77777777" w:rsidR="00A167A9" w:rsidRPr="00A167A9" w:rsidRDefault="00A167A9" w:rsidP="00377F3A">
      <w:pPr>
        <w:pStyle w:val="NormalText"/>
      </w:pPr>
      <w:r w:rsidRPr="00A167A9">
        <w:t>Hegdal PL, Colvin BA, 1988. Potential hazard to eastern screech-owls and other raptors of brodifacoum bait used for vole control in orchards. Environ Toxicol Chem 7: 245-260</w:t>
      </w:r>
    </w:p>
    <w:p w14:paraId="23E49358" w14:textId="77777777" w:rsidR="00A167A9" w:rsidRPr="00A167A9" w:rsidRDefault="00A167A9" w:rsidP="00377F3A">
      <w:pPr>
        <w:pStyle w:val="NormalText"/>
      </w:pPr>
      <w:r w:rsidRPr="00A167A9">
        <w:t>Heimbach F, 1991a. Acute toxicity of coumatetralyl (tech) to waterfleas (Daphnia magna). Reference no. M-084696-01-1</w:t>
      </w:r>
    </w:p>
    <w:p w14:paraId="12F565F2" w14:textId="77777777" w:rsidR="00A167A9" w:rsidRPr="00A167A9" w:rsidRDefault="00A167A9" w:rsidP="00377F3A">
      <w:pPr>
        <w:pStyle w:val="NormalText"/>
      </w:pPr>
      <w:r w:rsidRPr="00A167A9">
        <w:t>Heimbach F, 1991b. Acute toxicity of "Racumin Streupulver" (Racumin 0.75 N) to waterfleas (Daphnia magna). Reference no. M-108332-01-1</w:t>
      </w:r>
    </w:p>
    <w:p w14:paraId="6B54B99F" w14:textId="77777777" w:rsidR="00A167A9" w:rsidRPr="00A167A9" w:rsidRDefault="00A167A9" w:rsidP="00377F3A">
      <w:pPr>
        <w:pStyle w:val="NormalText"/>
      </w:pPr>
      <w:r w:rsidRPr="00A167A9">
        <w:t>Heimbach F, 1991c. Growth inhibition of green algae (Scenedesmus subspicatus) by coumatetralyl (tech). Reference no. M-084665-01-1</w:t>
      </w:r>
    </w:p>
    <w:p w14:paraId="2C61F842" w14:textId="77777777" w:rsidR="00A167A9" w:rsidRPr="00A167A9" w:rsidRDefault="00A167A9" w:rsidP="00377F3A">
      <w:pPr>
        <w:pStyle w:val="NormalText"/>
      </w:pPr>
      <w:r w:rsidRPr="00A167A9">
        <w:t>Heimbach F, 1992. Influence of coumatetralyl (tech) on the reproduction rate of water fleas. Reference no. M-084958-01-1</w:t>
      </w:r>
    </w:p>
    <w:p w14:paraId="457DBA3E" w14:textId="77777777" w:rsidR="00A167A9" w:rsidRPr="00A167A9" w:rsidRDefault="00A167A9" w:rsidP="00377F3A">
      <w:pPr>
        <w:pStyle w:val="NormalText"/>
      </w:pPr>
      <w:r w:rsidRPr="00A167A9">
        <w:t>Hellpointner E, 2004. Calculation of the chemical lifetime of coumatetralyl in the troposphere. Reference no. M-071004-01-1</w:t>
      </w:r>
    </w:p>
    <w:p w14:paraId="035EB432" w14:textId="77777777" w:rsidR="00A167A9" w:rsidRPr="00A167A9" w:rsidRDefault="00A167A9" w:rsidP="00377F3A">
      <w:pPr>
        <w:pStyle w:val="NormalText"/>
      </w:pPr>
      <w:r w:rsidRPr="00A167A9">
        <w:t>Hennecke D, 2006. Direct phototransformation of flocoumafen in water and identity of transformation products. Reference no. 2006/1009332</w:t>
      </w:r>
    </w:p>
    <w:p w14:paraId="63338335" w14:textId="77777777" w:rsidR="00A167A9" w:rsidRPr="00A167A9" w:rsidRDefault="00A167A9" w:rsidP="00377F3A">
      <w:pPr>
        <w:pStyle w:val="NormalText"/>
      </w:pPr>
      <w:r w:rsidRPr="00A167A9">
        <w:t>Herbold, B., 1986a, ENE 11183B (c.n. coumatetralyl) - Salmonella/microsome test to evaluate for point mutagenic effect. Report No. 15070, Study No. T 5022380</w:t>
      </w:r>
    </w:p>
    <w:p w14:paraId="4A3D6610" w14:textId="77777777" w:rsidR="00A167A9" w:rsidRPr="00A167A9" w:rsidRDefault="00A167A9" w:rsidP="00377F3A">
      <w:pPr>
        <w:pStyle w:val="NormalText"/>
      </w:pPr>
      <w:r w:rsidRPr="00A167A9">
        <w:t>Herbold, B., 1986b, ENE 11183B (c.n. coumatetralyl) - Test on S. cerevisiae D7 for the induction of mitotic recombination. Report No. 15071, Study No. T 3022379</w:t>
      </w:r>
    </w:p>
    <w:p w14:paraId="30815D8A" w14:textId="77777777" w:rsidR="00A167A9" w:rsidRPr="00A167A9" w:rsidRDefault="00A167A9" w:rsidP="00377F3A">
      <w:pPr>
        <w:pStyle w:val="NormalText"/>
      </w:pPr>
      <w:r w:rsidRPr="00A167A9">
        <w:lastRenderedPageBreak/>
        <w:t>Herbold, B., 1987, ENE 11183B (c.n. coumatetralyl) - Micronucleus test on the mouse to evaluate for clastogenic effect. Report No. 15407, Study No. T 3022531, T 6023191</w:t>
      </w:r>
    </w:p>
    <w:p w14:paraId="6DEE35EC" w14:textId="7AD38DE6" w:rsidR="00A167A9" w:rsidRPr="00A167A9" w:rsidRDefault="00A167A9" w:rsidP="00377F3A">
      <w:pPr>
        <w:pStyle w:val="NormalText"/>
      </w:pPr>
      <w:r w:rsidRPr="00A167A9">
        <w:t xml:space="preserve">Herbold, B., 2004, Coumatetralyl - V79/HPRT-test </w:t>
      </w:r>
      <w:r w:rsidR="00B0231D" w:rsidRPr="00B0231D">
        <w:rPr>
          <w:i/>
          <w:iCs/>
        </w:rPr>
        <w:t>in vitro</w:t>
      </w:r>
      <w:r w:rsidRPr="00A167A9">
        <w:t xml:space="preserve"> for the detection of induced forward mutations. Study No. AT00995</w:t>
      </w:r>
    </w:p>
    <w:p w14:paraId="669780D0" w14:textId="77777777" w:rsidR="00A167A9" w:rsidRPr="00A167A9" w:rsidRDefault="00A167A9" w:rsidP="00377F3A">
      <w:pPr>
        <w:pStyle w:val="NormalText"/>
      </w:pPr>
      <w:r w:rsidRPr="00A167A9">
        <w:t>Hernadi D, 2001, Draft report: Bromadiolone Technical: Testing of Bromadiolone Technical with Bacterial Reverse Mutation Assay.</w:t>
      </w:r>
    </w:p>
    <w:p w14:paraId="5D35A2EC" w14:textId="77777777" w:rsidR="00A167A9" w:rsidRPr="00A167A9" w:rsidRDefault="00A167A9" w:rsidP="00377F3A">
      <w:pPr>
        <w:pStyle w:val="NormalText"/>
      </w:pPr>
      <w:r w:rsidRPr="00A167A9">
        <w:t>Hernandez-Moreno D, de la Casa-Resino I, Lopez-Beceiro A, Fidalgo LE, Soler F, Perez-Lopez M, 2013. Secondary poisoning of non-target animals in an ornithological zoo in Galicia (NW Spain) with anticoagulant rodenticides: a case report. Vet Med (Praha) 58(10): 553-559</w:t>
      </w:r>
    </w:p>
    <w:p w14:paraId="6DB81F22" w14:textId="77777777" w:rsidR="00A167A9" w:rsidRPr="00A167A9" w:rsidRDefault="00A167A9" w:rsidP="00377F3A">
      <w:pPr>
        <w:pStyle w:val="NormalText"/>
      </w:pPr>
      <w:r w:rsidRPr="00A167A9">
        <w:t>Herrera-Giraldo JL, Figuerola-Hernandez CE, Holmes ND, SwinnertonK, Bermudez-Carambot EN, Gonzales-Maya JF, Gomez-Hoyos DA, 2019. Survival analysis of two endemic lizard species before, during and after a rat eradication attempt on Desecheo Island, Puerto Rico. In: Veitch CR, Clout MN, Martin AR, Russell JC, West CJ (eds.). Island invasives: scaling up to meet the challenge, pp.191-195. Occasional paper SSC no. 62. Gland, Switzerland</w:t>
      </w:r>
    </w:p>
    <w:p w14:paraId="4B8F4EAA" w14:textId="77777777" w:rsidR="00A167A9" w:rsidRPr="00A167A9" w:rsidRDefault="00A167A9" w:rsidP="00377F3A">
      <w:pPr>
        <w:pStyle w:val="NormalText"/>
      </w:pPr>
      <w:r w:rsidRPr="00A167A9">
        <w:t>Heÿl CW, 1986. Cumatetralyl as an avicide for use against the cape sparrow. S Afr J Enol Vitic 7(2): 71-75</w:t>
      </w:r>
    </w:p>
    <w:p w14:paraId="53C9BE93" w14:textId="77777777" w:rsidR="00A167A9" w:rsidRPr="00A167A9" w:rsidRDefault="00A167A9" w:rsidP="00377F3A">
      <w:pPr>
        <w:pStyle w:val="NormalText"/>
      </w:pPr>
      <w:r w:rsidRPr="00A167A9">
        <w:t>Hicks S, Canez V, 2002. BAS 322 I (flocoumafen): activated sludge respiration inhibition test. Reference no. FL-590-002</w:t>
      </w:r>
    </w:p>
    <w:p w14:paraId="7DA1000A" w14:textId="77777777" w:rsidR="00A167A9" w:rsidRPr="00A167A9" w:rsidRDefault="00A167A9" w:rsidP="00377F3A">
      <w:pPr>
        <w:pStyle w:val="NormalText"/>
      </w:pPr>
      <w:r w:rsidRPr="00A167A9">
        <w:t>Hill RW, 1978a. Determination of the acute toxicity of PP581 to rainbow trout (Salmo gairdneri). Reference no. BL/B/1977</w:t>
      </w:r>
    </w:p>
    <w:p w14:paraId="248B7C64" w14:textId="77777777" w:rsidR="00A167A9" w:rsidRPr="00A167A9" w:rsidRDefault="00A167A9" w:rsidP="00377F3A">
      <w:pPr>
        <w:pStyle w:val="NormalText"/>
      </w:pPr>
      <w:r w:rsidRPr="00A167A9">
        <w:t>Hill RW, 1978b. Determination of the acute toxicity of formulation JFU5074 to rainbow trout (Salmo gairdneri). Reference no. BL/B/1874</w:t>
      </w:r>
    </w:p>
    <w:p w14:paraId="162FCC71" w14:textId="77777777" w:rsidR="00A167A9" w:rsidRPr="00A167A9" w:rsidRDefault="00A167A9" w:rsidP="00377F3A">
      <w:pPr>
        <w:pStyle w:val="NormalText"/>
      </w:pPr>
      <w:r w:rsidRPr="00A167A9">
        <w:t>Hill RW, Maddock BG, Hart B, Bowles P, 1976a. Determination of the acute toxicity of PP581 to rainbow trout (Salmo gairdneri). Reference no. BL/B/1758</w:t>
      </w:r>
    </w:p>
    <w:p w14:paraId="42C2C2CC" w14:textId="77777777" w:rsidR="00A167A9" w:rsidRPr="00A167A9" w:rsidRDefault="00A167A9" w:rsidP="00377F3A">
      <w:pPr>
        <w:pStyle w:val="NormalText"/>
      </w:pPr>
      <w:r w:rsidRPr="00A167A9">
        <w:t>Hill RW, Maddock BG, Hart B, Cornish SK, 1976b. Determination of the acute toxicity of PP581 to bluegill sunfish (Lepomis macrochirus). Reference no. BL/B/1771</w:t>
      </w:r>
    </w:p>
    <w:p w14:paraId="44B7EB58" w14:textId="77777777" w:rsidR="00A167A9" w:rsidRPr="00A167A9" w:rsidRDefault="00A167A9" w:rsidP="00377F3A">
      <w:pPr>
        <w:pStyle w:val="NormalText"/>
      </w:pPr>
      <w:r w:rsidRPr="00A167A9">
        <w:t>Hoare JM, Hare KM, 2006a. The impact of brodifacoum on non-target wildlife: gapes in knowledge. NZJ Ecol 30(2): 157-167</w:t>
      </w:r>
    </w:p>
    <w:p w14:paraId="5ECC63A3" w14:textId="77777777" w:rsidR="00A167A9" w:rsidRPr="00A167A9" w:rsidRDefault="00A167A9" w:rsidP="00377F3A">
      <w:pPr>
        <w:pStyle w:val="NormalText"/>
      </w:pPr>
      <w:r w:rsidRPr="00A167A9">
        <w:t>Hoare JM, Hare KM, 2006b. Hoplodactylus maculatus (common gecko) toxin consumption. Herpetol Rev 37: 86-87</w:t>
      </w:r>
    </w:p>
    <w:p w14:paraId="621747CB" w14:textId="77777777" w:rsidR="00A167A9" w:rsidRPr="00A167A9" w:rsidRDefault="00A167A9" w:rsidP="00377F3A">
      <w:pPr>
        <w:pStyle w:val="NormalText"/>
      </w:pPr>
      <w:r w:rsidRPr="00A167A9">
        <w:t>Hodge M, Banham P, Richards D, Weight T, Wilson J, 1980, Brodifacoum - An Evaluation in the Salmonella Mutagenicity Assay</w:t>
      </w:r>
    </w:p>
    <w:p w14:paraId="322A1FF2" w14:textId="77777777" w:rsidR="00A167A9" w:rsidRPr="00A167A9" w:rsidRDefault="00A167A9" w:rsidP="00377F3A">
      <w:pPr>
        <w:pStyle w:val="NormalText"/>
      </w:pPr>
      <w:r w:rsidRPr="00A167A9">
        <w:t>Hogg A, 2003. Difenacoum: estimation of absorption coefficient. Reference no. 21677</w:t>
      </w:r>
    </w:p>
    <w:p w14:paraId="151861A8" w14:textId="77777777" w:rsidR="00A167A9" w:rsidRPr="00A167A9" w:rsidRDefault="00A167A9" w:rsidP="00377F3A">
      <w:pPr>
        <w:pStyle w:val="NormalText"/>
      </w:pPr>
      <w:r w:rsidRPr="00A167A9">
        <w:lastRenderedPageBreak/>
        <w:t xml:space="preserve">Holbert, M.S., 1991, Acute Inhalation Toxicity Study of Bromadiolone in rats. </w:t>
      </w:r>
    </w:p>
    <w:p w14:paraId="63671C3B" w14:textId="77777777" w:rsidR="00A167A9" w:rsidRPr="00A167A9" w:rsidRDefault="00A167A9" w:rsidP="00377F3A">
      <w:pPr>
        <w:pStyle w:val="NormalText"/>
      </w:pPr>
      <w:r w:rsidRPr="00A167A9">
        <w:t>Hong SY, Morrissey C, Lin HS, Lin KS, Lin WL, Yao CT, Lin TE, Chan FT, Sun YS, 2019. Frequent detection of anticoagulant rodenticides in raptors sampled in Taiwan reflects government rodent control policy. Sci Total Environ 691: 1051-1058</w:t>
      </w:r>
    </w:p>
    <w:p w14:paraId="05B2F81A" w14:textId="77777777" w:rsidR="00A167A9" w:rsidRPr="00A167A9" w:rsidRDefault="00A167A9" w:rsidP="00377F3A">
      <w:pPr>
        <w:pStyle w:val="NormalText"/>
      </w:pPr>
      <w:r w:rsidRPr="00A167A9">
        <w:t>Hopkins T, Kerwick C, 2001. Racumin paste: palatability to cats. Reference no. M-802141-01-1</w:t>
      </w:r>
    </w:p>
    <w:p w14:paraId="3DE4A9CE" w14:textId="77777777" w:rsidR="00A167A9" w:rsidRPr="00A167A9" w:rsidRDefault="00A167A9" w:rsidP="00377F3A">
      <w:pPr>
        <w:pStyle w:val="NormalText"/>
      </w:pPr>
      <w:r w:rsidRPr="00A167A9">
        <w:t>Horner, JM, 1991, Difenacoum. Oral study in rats.</w:t>
      </w:r>
    </w:p>
    <w:p w14:paraId="08530BB2" w14:textId="77777777" w:rsidR="00A167A9" w:rsidRPr="00A167A9" w:rsidRDefault="00A167A9" w:rsidP="00377F3A">
      <w:pPr>
        <w:pStyle w:val="NormalText"/>
      </w:pPr>
      <w:r w:rsidRPr="00A167A9">
        <w:t>Huckle KR, 1988. Fate of 14C-WL108366 fed to laying hens at a rate of 1 mg and 4 mg per kg per day for 5 days: elimination of radioactivity in excreta and total 14C-residues in eggs and in liver tissue. Reference no. SBGR.87.079</w:t>
      </w:r>
    </w:p>
    <w:p w14:paraId="74F4668E" w14:textId="77777777" w:rsidR="00A167A9" w:rsidRPr="00A167A9" w:rsidRDefault="00A167A9" w:rsidP="00377F3A">
      <w:pPr>
        <w:pStyle w:val="NormalText"/>
      </w:pPr>
      <w:r w:rsidRPr="00A167A9">
        <w:t>Huckle KR, Hutson DH, Logan CJ, Morrison BJ, Warburton PA, 1989a. The fate of the rodenticide flocoumafen in the rat: retention and elimination of a single oral dose. Pestic Sci 25: 297-312</w:t>
      </w:r>
    </w:p>
    <w:p w14:paraId="5F0F4CF2" w14:textId="77777777" w:rsidR="00A167A9" w:rsidRPr="00A167A9" w:rsidRDefault="00A167A9" w:rsidP="00377F3A">
      <w:pPr>
        <w:pStyle w:val="NormalText"/>
      </w:pPr>
      <w:r w:rsidRPr="00A167A9">
        <w:t>Huckle KR, Warburton PA, 1985. WL108366: absorption, metabolism and disposition in Japanese quail (Coturnix coturnix japonica) following a single dose by intraperitoneal or oral administration. Reference no. SBGR.85.192</w:t>
      </w:r>
    </w:p>
    <w:p w14:paraId="6907C763" w14:textId="77777777" w:rsidR="00A167A9" w:rsidRPr="00A167A9" w:rsidRDefault="00A167A9" w:rsidP="00377F3A">
      <w:pPr>
        <w:pStyle w:val="NormalText"/>
      </w:pPr>
      <w:r w:rsidRPr="00A167A9">
        <w:t>Huckle KR, Warburton PA, 1986. Elimination, metabolism and disposition of 14C-WL108366 in the Fischer 344 rat following repeated oral administration. Reference no. SBGR.86.084</w:t>
      </w:r>
    </w:p>
    <w:p w14:paraId="6A791B3F" w14:textId="77777777" w:rsidR="00A167A9" w:rsidRPr="00A167A9" w:rsidRDefault="00A167A9" w:rsidP="00377F3A">
      <w:pPr>
        <w:pStyle w:val="NormalText"/>
      </w:pPr>
      <w:r w:rsidRPr="00A167A9">
        <w:t>Huckle KR, Warburton PA, Forbes S, Logan CJ, 1989b. Studies on the fate of flocoumafen in the Japanese quail (Coturnix coturnix japonica). Xenobiotica 19(1): 51-92</w:t>
      </w:r>
    </w:p>
    <w:p w14:paraId="43172A83" w14:textId="77777777" w:rsidR="00A167A9" w:rsidRPr="00A167A9" w:rsidRDefault="00A167A9" w:rsidP="00377F3A">
      <w:pPr>
        <w:pStyle w:val="NormalText"/>
      </w:pPr>
      <w:r w:rsidRPr="00A167A9">
        <w:t>Huckle, K.R. , 1988, Fate of 14C-WL108366 fed to laying hens at a rate of 1 mg and 4 mg per kg per day for 5 days: elimination of radioactivity in excreta and total 14C-residues in eggs and in liver tissue.</w:t>
      </w:r>
    </w:p>
    <w:p w14:paraId="6AC6A945" w14:textId="77777777" w:rsidR="00A167A9" w:rsidRPr="00A167A9" w:rsidRDefault="00A167A9" w:rsidP="00377F3A">
      <w:pPr>
        <w:pStyle w:val="NormalText"/>
      </w:pPr>
      <w:r w:rsidRPr="00A167A9">
        <w:t>Hughes JM, Paterson K, 2003. Difethialone: determination of acute toxicity (LC50) to earthworms. APVMA data no. 12492</w:t>
      </w:r>
    </w:p>
    <w:p w14:paraId="6258B96B" w14:textId="77777777" w:rsidR="00A167A9" w:rsidRPr="00A167A9" w:rsidRDefault="00A167A9" w:rsidP="00377F3A">
      <w:pPr>
        <w:pStyle w:val="NormalText"/>
      </w:pPr>
      <w:r w:rsidRPr="00A167A9">
        <w:t>Jackson R, Hall BE, 1992. Aged soil leaching of 14C-brodifacoum (summary). Reference no. 8879</w:t>
      </w:r>
    </w:p>
    <w:p w14:paraId="00CE39BB" w14:textId="77777777" w:rsidR="00A167A9" w:rsidRPr="00A167A9" w:rsidRDefault="00A167A9" w:rsidP="00377F3A">
      <w:pPr>
        <w:pStyle w:val="NormalText"/>
      </w:pPr>
      <w:r w:rsidRPr="00A167A9">
        <w:t>Jackson W.A., Syngenta, 2002, Reference number HT02/291</w:t>
      </w:r>
    </w:p>
    <w:p w14:paraId="02897814" w14:textId="77777777" w:rsidR="00A167A9" w:rsidRPr="00A167A9" w:rsidRDefault="00A167A9" w:rsidP="00377F3A">
      <w:pPr>
        <w:pStyle w:val="NormalText"/>
      </w:pPr>
      <w:r w:rsidRPr="00A167A9">
        <w:t>Jagannath D R&amp; Brusick D J., 1978, Mutagenicity Evaluation of Diphacinone (Tech. Ref. Std) RA. No. 11784. 96.57% (IR) In the Ames Salmonella/M/crosome Plate Test.</w:t>
      </w:r>
    </w:p>
    <w:p w14:paraId="6ED05322" w14:textId="77777777" w:rsidR="00A167A9" w:rsidRPr="00A167A9" w:rsidRDefault="00A167A9" w:rsidP="00377F3A">
      <w:pPr>
        <w:pStyle w:val="NormalText"/>
      </w:pPr>
      <w:r w:rsidRPr="00A167A9">
        <w:t>James P., Jones K., Masters R.E. , 1989, The effect of WL108366 on pregnancy of the rabbit</w:t>
      </w:r>
    </w:p>
    <w:p w14:paraId="491229B6" w14:textId="77777777" w:rsidR="00A167A9" w:rsidRPr="00A167A9" w:rsidRDefault="00A167A9" w:rsidP="00377F3A">
      <w:pPr>
        <w:pStyle w:val="NormalText"/>
      </w:pPr>
      <w:r w:rsidRPr="00A167A9">
        <w:t>Jatzek J, 2002a. BAS 322 I: determination of the acute effect on the swimming ability of the water flea Daphnia magna Straus. Reference no. 2002/1004896</w:t>
      </w:r>
    </w:p>
    <w:p w14:paraId="58D6FB11" w14:textId="77777777" w:rsidR="00A167A9" w:rsidRPr="00A167A9" w:rsidRDefault="00A167A9" w:rsidP="00377F3A">
      <w:pPr>
        <w:pStyle w:val="NormalText"/>
      </w:pPr>
      <w:r w:rsidRPr="00A167A9">
        <w:t>Jatzek J, 2002b. BAS 322 I: determination of the inhibitory effect on the cell multiplication of unicellular green algae. Reference no. 2002/1004879</w:t>
      </w:r>
    </w:p>
    <w:p w14:paraId="4A6A8DBF" w14:textId="77777777" w:rsidR="00A167A9" w:rsidRPr="00A167A9" w:rsidRDefault="00A167A9" w:rsidP="00377F3A">
      <w:pPr>
        <w:pStyle w:val="NormalText"/>
      </w:pPr>
      <w:r w:rsidRPr="00A167A9">
        <w:t>Jennifer Durando, -, Acute Oral Toxicity Eval. of Final Rodenticide in Young Adult Sprague Dawley Rats</w:t>
      </w:r>
    </w:p>
    <w:p w14:paraId="74CCB8AB" w14:textId="77777777" w:rsidR="00A167A9" w:rsidRPr="00A167A9" w:rsidRDefault="00A167A9" w:rsidP="00377F3A">
      <w:pPr>
        <w:pStyle w:val="NormalText"/>
      </w:pPr>
      <w:r w:rsidRPr="00A167A9">
        <w:lastRenderedPageBreak/>
        <w:t>Joermann G, 1998. A review of secondary-poisoning studies with rodenticides. EPPO bulletin 28: 157-176</w:t>
      </w:r>
    </w:p>
    <w:p w14:paraId="6CD5619E" w14:textId="77777777" w:rsidR="00A167A9" w:rsidRPr="00A167A9" w:rsidRDefault="00A167A9" w:rsidP="00377F3A">
      <w:pPr>
        <w:pStyle w:val="NormalText"/>
      </w:pPr>
      <w:r w:rsidRPr="00A167A9">
        <w:t>Johnson I, 1999, The Sub-Acute (5 Day) Oral Toxicity of WBA 8119 to Male Homozygous Resistant Rats</w:t>
      </w:r>
    </w:p>
    <w:p w14:paraId="510EE102" w14:textId="77777777" w:rsidR="00A167A9" w:rsidRPr="00A167A9" w:rsidRDefault="00A167A9" w:rsidP="00377F3A">
      <w:pPr>
        <w:pStyle w:val="NormalText"/>
      </w:pPr>
      <w:r w:rsidRPr="00A167A9">
        <w:t>Johnston JJ, Pitt WC, Sugihara RT, Eisemann JD, Primus TM, Holmes MJ, Crocker J, Hart A, 2005. Probabilistic risk assessment for snails, slugs, and endangered honeycreepers in diphacinone rodenticide baited areas on Hawaii, USA. Environ Toxicol Chem 24(6): 1557-1567</w:t>
      </w:r>
    </w:p>
    <w:p w14:paraId="42DAF83F" w14:textId="77777777" w:rsidR="00A167A9" w:rsidRPr="00A167A9" w:rsidRDefault="00A167A9" w:rsidP="00377F3A">
      <w:pPr>
        <w:pStyle w:val="NormalText"/>
      </w:pPr>
      <w:r w:rsidRPr="00A167A9">
        <w:t>Kalmbach ER, Welch JF, 1946. Colored rodent baits and their value in safeguarding birds. J Wildl Manag 10: 353-360</w:t>
      </w:r>
    </w:p>
    <w:p w14:paraId="65725FA7" w14:textId="77777777" w:rsidR="00A167A9" w:rsidRPr="00A167A9" w:rsidRDefault="00A167A9" w:rsidP="00377F3A">
      <w:pPr>
        <w:pStyle w:val="NormalText"/>
      </w:pPr>
      <w:r w:rsidRPr="00A167A9">
        <w:t>Kaukeinen DE, Buckle AP, 1992. Evaluations of aversive agents to increase the selectivity of rodenticides, with emphasis on denatonium benzoate (Bitrex) bittering agent. Proc Vertebr Pest Conf 15: 192-198</w:t>
      </w:r>
    </w:p>
    <w:p w14:paraId="6FCC708B" w14:textId="77777777" w:rsidR="00A167A9" w:rsidRPr="00A167A9" w:rsidRDefault="00A167A9" w:rsidP="00377F3A">
      <w:pPr>
        <w:pStyle w:val="NormalText"/>
      </w:pPr>
      <w:r w:rsidRPr="00A167A9">
        <w:t>Kaussmann M, 2000. Spectral data set of coumatetralyl. Reference no. M-047755-01-1</w:t>
      </w:r>
    </w:p>
    <w:p w14:paraId="11066D66" w14:textId="77777777" w:rsidR="00A167A9" w:rsidRPr="00A167A9" w:rsidRDefault="00A167A9" w:rsidP="00377F3A">
      <w:pPr>
        <w:pStyle w:val="NormalText"/>
      </w:pPr>
      <w:r w:rsidRPr="00A167A9">
        <w:t>Kavanagh RP, 1996. The breeding biology and diet of the masked owl Tyto novaehollandiae near Eden, New South Wales. Emu 96(3): 158-165</w:t>
      </w:r>
    </w:p>
    <w:p w14:paraId="3E9FA0EC" w14:textId="77777777" w:rsidR="00A167A9" w:rsidRPr="00A167A9" w:rsidRDefault="00A167A9" w:rsidP="00377F3A">
      <w:pPr>
        <w:pStyle w:val="NormalText"/>
      </w:pPr>
      <w:r w:rsidRPr="00A167A9">
        <w:t>Kavanagh RP, 2002. Comparative diets of the powerful owl (Ninox strenua), sooty owl (Tyto tenbricosa) and masked owl (Tyto novaehollandiae) in southeastern Australia. In: Newton I, Kavanagh R, Oslen J, Taylor I (eds), Ecology and conservation of owls, Chapter 17. CSIRO Publishing, Clayton VIC</w:t>
      </w:r>
    </w:p>
    <w:p w14:paraId="0CED406D" w14:textId="77777777" w:rsidR="00A167A9" w:rsidRPr="00A167A9" w:rsidRDefault="00A167A9" w:rsidP="00377F3A">
      <w:pPr>
        <w:pStyle w:val="NormalText"/>
      </w:pPr>
      <w:r w:rsidRPr="00A167A9">
        <w:t>Kavanagh RP, Murray M, 1996. Home range, habitat and behaviour of the masked owl Tyto novaehollandiae near Newcastle, New South Wales. Emu 96(4): 250-257</w:t>
      </w:r>
    </w:p>
    <w:p w14:paraId="04CD3C0A" w14:textId="77777777" w:rsidR="00A167A9" w:rsidRPr="00A167A9" w:rsidRDefault="00A167A9" w:rsidP="00377F3A">
      <w:pPr>
        <w:pStyle w:val="NormalText"/>
      </w:pPr>
      <w:r w:rsidRPr="00A167A9">
        <w:t>Kelly CR, Clayton MA, 2002. Bromadiolone: activated sludge respiration inhibition test. Reference no. 21803</w:t>
      </w:r>
    </w:p>
    <w:p w14:paraId="50850614" w14:textId="77777777" w:rsidR="00A167A9" w:rsidRPr="00A167A9" w:rsidRDefault="00A167A9" w:rsidP="00377F3A">
      <w:pPr>
        <w:pStyle w:val="NormalText"/>
      </w:pPr>
      <w:r w:rsidRPr="00A167A9">
        <w:t>Kelly CR, Clayton MA, 2003a. Brodifacoum: determination of ready biodegradability by the closed bottle test (summary). Reference no. 21947</w:t>
      </w:r>
    </w:p>
    <w:p w14:paraId="1A46FAD2" w14:textId="77777777" w:rsidR="00A167A9" w:rsidRPr="00A167A9" w:rsidRDefault="00A167A9" w:rsidP="00377F3A">
      <w:pPr>
        <w:pStyle w:val="NormalText"/>
      </w:pPr>
      <w:r w:rsidRPr="00A167A9">
        <w:t>Kelly CR, Clayton MA, 2003b. Difenacoum: determination of ready biodegradability by the closed bottle test. Reference no. 21948</w:t>
      </w:r>
    </w:p>
    <w:p w14:paraId="3010FDB1" w14:textId="77777777" w:rsidR="00A167A9" w:rsidRPr="00A167A9" w:rsidRDefault="00A167A9" w:rsidP="00377F3A">
      <w:pPr>
        <w:pStyle w:val="NormalText"/>
      </w:pPr>
      <w:r w:rsidRPr="00A167A9">
        <w:t>Kennedy S, 1985, Brodifacoum: Residues in Rat Livers from a 90-Day Feeding Study</w:t>
      </w:r>
    </w:p>
    <w:p w14:paraId="16E13A02" w14:textId="20F7BA46" w:rsidR="00A167A9" w:rsidRPr="00A167A9" w:rsidRDefault="00A167A9" w:rsidP="00377F3A">
      <w:pPr>
        <w:pStyle w:val="NormalText"/>
      </w:pPr>
      <w:r w:rsidRPr="00A167A9">
        <w:t xml:space="preserve">Kennelly, JC, 1990, Difenacoum: Assessment for the induction of unscheduled DNA synthesis in rat hepatocytes </w:t>
      </w:r>
      <w:r w:rsidR="00B0231D" w:rsidRPr="00B0231D">
        <w:rPr>
          <w:i/>
          <w:iCs/>
        </w:rPr>
        <w:t>in vivo</w:t>
      </w:r>
      <w:r w:rsidRPr="00A167A9">
        <w:t>.</w:t>
      </w:r>
    </w:p>
    <w:p w14:paraId="597B15DF" w14:textId="77777777" w:rsidR="00A167A9" w:rsidRPr="00A167A9" w:rsidRDefault="00A167A9" w:rsidP="00377F3A">
      <w:pPr>
        <w:pStyle w:val="NormalText"/>
      </w:pPr>
      <w:r w:rsidRPr="00A167A9">
        <w:t>Kent SJ, Tapp JF, Sankey SA, Woods CB, 1991. Difenacoum: acute toxicity to Daphnia magna. Reference no. BL4314/B</w:t>
      </w:r>
    </w:p>
    <w:p w14:paraId="62030039" w14:textId="77777777" w:rsidR="00A167A9" w:rsidRPr="00A167A9" w:rsidRDefault="00A167A9" w:rsidP="00377F3A">
      <w:pPr>
        <w:pStyle w:val="NormalText"/>
      </w:pPr>
      <w:r w:rsidRPr="00A167A9">
        <w:t>Koivisto E, Santangeli A, Koivisto P, Korkolainen T, Vuorisalo T, Hanski IK, Loivamaa I, Koivisto S, 2018. The prevalence and correlates of anticoagulant rodenticide exposure in non-target predators and scavengers in Finland. Sci Total Environ 642: 701-707</w:t>
      </w:r>
    </w:p>
    <w:p w14:paraId="282C8059" w14:textId="77777777" w:rsidR="00A167A9" w:rsidRPr="00A167A9" w:rsidRDefault="00A167A9" w:rsidP="00377F3A">
      <w:pPr>
        <w:pStyle w:val="NormalText"/>
      </w:pPr>
      <w:r w:rsidRPr="00A167A9">
        <w:lastRenderedPageBreak/>
        <w:t>Kolpin DW, Furlong ET, Meyer MT, Thurman EM, Zaugg SD, Barber LB, Buxton HT, 2002. Pharmaceuticals, hormones, and other wastewater contaminants in wastewater contaminants in U.S. streams, 1999-2000: a national reconnaissance. Environ Toxicol Technol 36: 1202-1211</w:t>
      </w:r>
    </w:p>
    <w:p w14:paraId="4E44908D" w14:textId="77777777" w:rsidR="00A167A9" w:rsidRPr="00A167A9" w:rsidRDefault="00A167A9" w:rsidP="00377F3A">
      <w:pPr>
        <w:pStyle w:val="NormalText"/>
      </w:pPr>
      <w:r w:rsidRPr="00A167A9">
        <w:t>Kotthoff M, Rüdel H, Jürling H, Severin K, Hennecke S, Friesen A, Koschorreck J, 2019. First evidence of anticoagulant rodenticides in fish and suspended particulate matter: spatial and temporal distribution in German freshwater aquatic systems. Environ Sci Pollut Res 26: 7315-7325</w:t>
      </w:r>
    </w:p>
    <w:p w14:paraId="376A503C" w14:textId="77777777" w:rsidR="00A167A9" w:rsidRPr="00A167A9" w:rsidRDefault="00A167A9" w:rsidP="00377F3A">
      <w:pPr>
        <w:pStyle w:val="NormalText"/>
      </w:pPr>
      <w:r w:rsidRPr="00A167A9">
        <w:t>Kreschnak C, 2014. Kinetic evaluation of persistence endpoints for coumatetralyl from aerobic laboratory soil degradation studies. Reference no. M-503468-01-1</w:t>
      </w:r>
    </w:p>
    <w:p w14:paraId="0494CD91" w14:textId="77777777" w:rsidR="00A167A9" w:rsidRPr="00A167A9" w:rsidRDefault="00A167A9" w:rsidP="00377F3A">
      <w:pPr>
        <w:pStyle w:val="NormalText"/>
      </w:pPr>
      <w:r w:rsidRPr="00A167A9">
        <w:t>Kuchta, C., Consilab, 2024, Study number CSL-23-1506.01</w:t>
      </w:r>
    </w:p>
    <w:p w14:paraId="5B9ED6E4" w14:textId="77777777" w:rsidR="00A167A9" w:rsidRPr="00A167A9" w:rsidRDefault="00A167A9" w:rsidP="00377F3A">
      <w:pPr>
        <w:pStyle w:val="NormalText"/>
      </w:pPr>
      <w:r w:rsidRPr="00A167A9">
        <w:t xml:space="preserve">Kuhn 2002, 2002, Skin Sensitization Study in Guinea Pigs. </w:t>
      </w:r>
    </w:p>
    <w:p w14:paraId="77A6D0E7" w14:textId="77777777" w:rsidR="00A167A9" w:rsidRPr="00A167A9" w:rsidRDefault="00A167A9" w:rsidP="00377F3A">
      <w:pPr>
        <w:pStyle w:val="NormalText"/>
      </w:pPr>
      <w:r w:rsidRPr="00A167A9">
        <w:t xml:space="preserve">Kuhn JO, 1999, Technical Bromadiolone - Report: Primary Dermal Irritation Study in Rabbits. </w:t>
      </w:r>
    </w:p>
    <w:p w14:paraId="55A91338" w14:textId="77777777" w:rsidR="00A167A9" w:rsidRPr="00A167A9" w:rsidRDefault="00A167A9" w:rsidP="00377F3A">
      <w:pPr>
        <w:pStyle w:val="NormalText"/>
      </w:pPr>
      <w:r w:rsidRPr="00A167A9">
        <w:t xml:space="preserve">Kuhn JO, 1999, Technical Bromadiolone - Report: Primary Eye Irritation Study in Rabbits. </w:t>
      </w:r>
    </w:p>
    <w:p w14:paraId="52533B5C" w14:textId="77777777" w:rsidR="00A167A9" w:rsidRPr="00A167A9" w:rsidRDefault="00A167A9" w:rsidP="00377F3A">
      <w:pPr>
        <w:pStyle w:val="NormalText"/>
      </w:pPr>
      <w:r w:rsidRPr="00A167A9">
        <w:t xml:space="preserve">Kuklinski, M., 1990, Skin sensitization test of Bromadiolone Technical grade (Lot# 6030) in Albino Guinea pigs - (Modified Buehler Test). </w:t>
      </w:r>
    </w:p>
    <w:p w14:paraId="5E192777" w14:textId="77777777" w:rsidR="00A167A9" w:rsidRPr="00A167A9" w:rsidRDefault="00A167A9" w:rsidP="00377F3A">
      <w:pPr>
        <w:pStyle w:val="NormalText"/>
      </w:pPr>
      <w:r w:rsidRPr="00A167A9">
        <w:t>Laas FY, Forss DA, Godfrey MER, 1985, Retention of brodifacoum in sheep and excretion in faeces. NJ J Agric Res 28: 357-359</w:t>
      </w:r>
    </w:p>
    <w:p w14:paraId="060BE16B" w14:textId="77777777" w:rsidR="00A167A9" w:rsidRPr="00A167A9" w:rsidRDefault="00A167A9" w:rsidP="00377F3A">
      <w:pPr>
        <w:pStyle w:val="NormalText"/>
      </w:pPr>
      <w:r w:rsidRPr="00A167A9">
        <w:t>Laas FY, Forss DA, Godfrey MER, 1985. Retention of brodifacoum in sheep and excretion in faeces. NJ J Agric Res 28: 357-359</w:t>
      </w:r>
    </w:p>
    <w:p w14:paraId="10D3698A" w14:textId="77777777" w:rsidR="00A167A9" w:rsidRPr="00A167A9" w:rsidRDefault="00A167A9" w:rsidP="00377F3A">
      <w:pPr>
        <w:pStyle w:val="NormalText"/>
      </w:pPr>
      <w:r w:rsidRPr="00A167A9">
        <w:t>Laky V, 2002. Hydrolysis of bromadiolone as a function of pH. Reference no. 01/617-336AN</w:t>
      </w:r>
    </w:p>
    <w:p w14:paraId="1984984B" w14:textId="77777777" w:rsidR="00A167A9" w:rsidRPr="00A167A9" w:rsidRDefault="00A167A9" w:rsidP="00377F3A">
      <w:pPr>
        <w:pStyle w:val="NormalText"/>
      </w:pPr>
      <w:r w:rsidRPr="00A167A9">
        <w:t>Lange J, 2014. Coumatetralyl (AE C518298): hydrolysis as a function of pH. Reference no. M-503462-01-1</w:t>
      </w:r>
    </w:p>
    <w:p w14:paraId="0ED341D3" w14:textId="77777777" w:rsidR="00A167A9" w:rsidRPr="00A167A9" w:rsidRDefault="00A167A9" w:rsidP="00377F3A">
      <w:pPr>
        <w:pStyle w:val="NormalText"/>
      </w:pPr>
      <w:r w:rsidRPr="00A167A9">
        <w:t>Lange J, 2015. [benzopyranone-phenyl-ring-UL-14C]-coumatetralyl: phototransformation of chemicals in water - direct photolysis. Reference no. M-525680-01-1</w:t>
      </w:r>
    </w:p>
    <w:p w14:paraId="5991078E" w14:textId="77777777" w:rsidR="00A167A9" w:rsidRPr="00A167A9" w:rsidRDefault="00A167A9" w:rsidP="00377F3A">
      <w:pPr>
        <w:pStyle w:val="NormalText"/>
      </w:pPr>
      <w:r w:rsidRPr="00A167A9">
        <w:t>Langford KH, Reid M, Thomas KV, 2013. The occurrence of second generation anticoagulant rodenticides in non-target raptor species in Norway. Sci Total Environ 450-451: 205-208</w:t>
      </w:r>
    </w:p>
    <w:p w14:paraId="2BDBAC80" w14:textId="77777777" w:rsidR="00A167A9" w:rsidRPr="00A167A9" w:rsidRDefault="00A167A9" w:rsidP="00377F3A">
      <w:pPr>
        <w:pStyle w:val="NormalText"/>
      </w:pPr>
      <w:r w:rsidRPr="00A167A9">
        <w:t>Lao W, Gan J, 2012. Enantioselective degradation of warfarin in soils. Chirality 24: 54-59</w:t>
      </w:r>
    </w:p>
    <w:p w14:paraId="25758324" w14:textId="77777777" w:rsidR="00A167A9" w:rsidRPr="00A167A9" w:rsidRDefault="00A167A9" w:rsidP="00377F3A">
      <w:pPr>
        <w:pStyle w:val="NormalText"/>
      </w:pPr>
      <w:r w:rsidRPr="00A167A9">
        <w:t>Lappin G, Davies D, 1992, Brodifacoum - Blood Kinetics in the Rat</w:t>
      </w:r>
    </w:p>
    <w:p w14:paraId="2834D159" w14:textId="77777777" w:rsidR="00A167A9" w:rsidRPr="00A167A9" w:rsidRDefault="00A167A9" w:rsidP="00377F3A">
      <w:pPr>
        <w:pStyle w:val="NormalText"/>
      </w:pPr>
      <w:r w:rsidRPr="00A167A9">
        <w:t>Lautraite, S., 2004, Coumatetralyl - Waiver for neurotoxicity studies. Position paper. Document MO-04-001213</w:t>
      </w:r>
    </w:p>
    <w:p w14:paraId="0D5011EF" w14:textId="77777777" w:rsidR="00A167A9" w:rsidRPr="00A167A9" w:rsidRDefault="00A167A9" w:rsidP="00377F3A">
      <w:pPr>
        <w:pStyle w:val="NormalText"/>
      </w:pPr>
      <w:r w:rsidRPr="00A167A9">
        <w:t>Lautraite, S., 2004, Coumatetralyl - Waiver for skin sensitisation assay by the guinea pig maximisation test of Magnusson and Kligman. Position paper. Document MO-04-001215</w:t>
      </w:r>
    </w:p>
    <w:p w14:paraId="53CCC60E" w14:textId="77777777" w:rsidR="00A167A9" w:rsidRPr="00A167A9" w:rsidRDefault="00A167A9" w:rsidP="00377F3A">
      <w:pPr>
        <w:pStyle w:val="NormalText"/>
      </w:pPr>
      <w:r w:rsidRPr="00A167A9">
        <w:t>Laveglia J., 1981, 21-Day Dermal Toxicity Study in Rabbits.</w:t>
      </w:r>
    </w:p>
    <w:p w14:paraId="71D6E4D2" w14:textId="77777777" w:rsidR="00A167A9" w:rsidRPr="00A167A9" w:rsidRDefault="00A167A9" w:rsidP="00377F3A">
      <w:pPr>
        <w:pStyle w:val="NormalText"/>
      </w:pPr>
      <w:r w:rsidRPr="00A167A9">
        <w:lastRenderedPageBreak/>
        <w:t>Lawlor, T.E., 1992, Mutagenicity test on Bromadiolone in the salmonella/mammalian-microsome reverse mutation assay (Ames test).</w:t>
      </w:r>
    </w:p>
    <w:p w14:paraId="5C152F0B" w14:textId="77777777" w:rsidR="00A167A9" w:rsidRPr="00A167A9" w:rsidRDefault="00A167A9" w:rsidP="00377F3A">
      <w:pPr>
        <w:pStyle w:val="NormalText"/>
      </w:pPr>
      <w:r w:rsidRPr="00A167A9">
        <w:t>Le Souëf A, Lohr M, Vaughan-Higgins R, Wood K, Coiacetto F, 2024. Second-generation anticoagulant rodenticide toxicosis in a wild carnaby's cockatoo (Zanda latirostris). J Avian Med Surg 38(3): 162-166</w:t>
      </w:r>
    </w:p>
    <w:p w14:paraId="33BAA26C" w14:textId="77777777" w:rsidR="00A167A9" w:rsidRPr="00A167A9" w:rsidRDefault="00A167A9" w:rsidP="00377F3A">
      <w:pPr>
        <w:pStyle w:val="NormalText"/>
      </w:pPr>
      <w:r w:rsidRPr="00A167A9">
        <w:t>Lees D, 1996, Brodifacoum Formulation JFU5074: Eye Irritation (Rabbits)</w:t>
      </w:r>
    </w:p>
    <w:p w14:paraId="19F5D284" w14:textId="77777777" w:rsidR="00A167A9" w:rsidRPr="00A167A9" w:rsidRDefault="00A167A9" w:rsidP="00377F3A">
      <w:pPr>
        <w:pStyle w:val="NormalText"/>
      </w:pPr>
      <w:r w:rsidRPr="00A167A9">
        <w:t>Lees D, 1996, Sub_Acute (5 Day) Oral Toxicity of WBA 8119 to Female Guinea Pig</w:t>
      </w:r>
    </w:p>
    <w:p w14:paraId="0699DE29" w14:textId="77777777" w:rsidR="00A167A9" w:rsidRPr="00A167A9" w:rsidRDefault="00A167A9" w:rsidP="00377F3A">
      <w:pPr>
        <w:pStyle w:val="NormalText"/>
      </w:pPr>
      <w:r w:rsidRPr="00A167A9">
        <w:t>Lees D, Leah A, 1996, Brodifacoum Acute Oral Toxicity to the Rat</w:t>
      </w:r>
    </w:p>
    <w:p w14:paraId="57EC73F4" w14:textId="77777777" w:rsidR="00A167A9" w:rsidRPr="00A167A9" w:rsidRDefault="00A167A9" w:rsidP="00377F3A">
      <w:pPr>
        <w:pStyle w:val="NormalText"/>
      </w:pPr>
      <w:r w:rsidRPr="00A167A9">
        <w:t>Lees D, Leah A, 1996, Sub-Acute - Five Day Toxicity of WBA 8119 to Male Mice</w:t>
      </w:r>
    </w:p>
    <w:p w14:paraId="25294629" w14:textId="77777777" w:rsidR="00A167A9" w:rsidRPr="00A167A9" w:rsidRDefault="00A167A9" w:rsidP="00377F3A">
      <w:pPr>
        <w:pStyle w:val="NormalText"/>
      </w:pPr>
      <w:r w:rsidRPr="00A167A9">
        <w:t>Lettoof DC, Lohr MT, Busetti F, Bateman PW, Davis RA, 2020. Toxic time bombs: frequent detection of anticoagulant rodenticides in urban reptiles at multiple trophic levels. Sci Total Environ 724: 138218</w:t>
      </w:r>
    </w:p>
    <w:p w14:paraId="3B7569A9" w14:textId="77777777" w:rsidR="00A167A9" w:rsidRPr="00A167A9" w:rsidRDefault="00A167A9" w:rsidP="00377F3A">
      <w:pPr>
        <w:pStyle w:val="NormalText"/>
      </w:pPr>
      <w:r w:rsidRPr="00A167A9">
        <w:t>Lewis CJ, 1992. Difenacoum: hydrolysis study. Reference no. 38/166</w:t>
      </w:r>
    </w:p>
    <w:p w14:paraId="22635F46" w14:textId="77777777" w:rsidR="00A167A9" w:rsidRPr="00A167A9" w:rsidRDefault="00A167A9" w:rsidP="00377F3A">
      <w:pPr>
        <w:pStyle w:val="NormalText"/>
      </w:pPr>
      <w:r w:rsidRPr="006F78D3">
        <w:rPr>
          <w:lang w:val="de-CH"/>
        </w:rPr>
        <w:t xml:space="preserve">Lin WL, Chen KH, Liao CP, Tseng HY, 2022. </w:t>
      </w:r>
      <w:r w:rsidRPr="00A167A9">
        <w:t>Short-term exposure of anticoagulant rodenticides leads to the toxin accumulation from prey (Rattus losea) to predator (Elanus caeruleus). Ecotoxicol Environ Saf 233: 113361</w:t>
      </w:r>
    </w:p>
    <w:p w14:paraId="594AC2F7" w14:textId="77777777" w:rsidR="00A167A9" w:rsidRPr="00A167A9" w:rsidRDefault="00A167A9" w:rsidP="00377F3A">
      <w:pPr>
        <w:pStyle w:val="NormalText"/>
      </w:pPr>
      <w:r w:rsidRPr="00A167A9">
        <w:t>Lin WL, Chen KH, Liao CP, Tseng HY, 2022. Short-term exposure of anticoagulant rodenticides leads to the toxin accumulation from prey (Rattus losea) to redator (Elanus caeruleus). Ecotoxicol Environ Saf 233: 113361</w:t>
      </w:r>
    </w:p>
    <w:p w14:paraId="242662F6" w14:textId="77777777" w:rsidR="00A167A9" w:rsidRPr="00A167A9" w:rsidRDefault="00A167A9" w:rsidP="00377F3A">
      <w:pPr>
        <w:pStyle w:val="NormalText"/>
      </w:pPr>
      <w:r w:rsidRPr="00A167A9">
        <w:t>Linder T, 2006. Avian reproduction study with difenacoum in the Japanese quail (Coturnix coturnix japonica). Reference no. 04012</w:t>
      </w:r>
    </w:p>
    <w:p w14:paraId="6FAF3A0D" w14:textId="77777777" w:rsidR="00A167A9" w:rsidRPr="00A167A9" w:rsidRDefault="00A167A9" w:rsidP="00377F3A">
      <w:pPr>
        <w:pStyle w:val="NormalText"/>
      </w:pPr>
      <w:r w:rsidRPr="00A167A9">
        <w:t>Littin KE, O'Connor CE, Eason CT, 2000. Comparative effect of brodifacoum on rats and possums. NJ Plant Prot 53: 310-315</w:t>
      </w:r>
    </w:p>
    <w:p w14:paraId="3052F7E4" w14:textId="77777777" w:rsidR="00A167A9" w:rsidRPr="00A167A9" w:rsidRDefault="00A167A9" w:rsidP="00377F3A">
      <w:pPr>
        <w:pStyle w:val="NormalText"/>
      </w:pPr>
      <w:r w:rsidRPr="00A167A9">
        <w:t>Lohr MT, 2018. Anticoagulant rodenticide exposure in an Australian predatory bird increases with proximity to developed habitat. Sci Total Environ 643: 134-144</w:t>
      </w:r>
    </w:p>
    <w:p w14:paraId="79FCA058" w14:textId="77777777" w:rsidR="00A167A9" w:rsidRPr="00A167A9" w:rsidRDefault="00A167A9" w:rsidP="00377F3A">
      <w:pPr>
        <w:pStyle w:val="NormalText"/>
      </w:pPr>
      <w:r w:rsidRPr="00A167A9">
        <w:t>Lohr MT, 2022. Anticoagulant rodenticide poisoning events of non-target mammals in Australia (unpublished data). Reference no. A2497589</w:t>
      </w:r>
    </w:p>
    <w:p w14:paraId="6BA04AD9" w14:textId="77777777" w:rsidR="00A167A9" w:rsidRPr="00A167A9" w:rsidRDefault="00A167A9" w:rsidP="00377F3A">
      <w:pPr>
        <w:pStyle w:val="NormalText"/>
      </w:pPr>
      <w:r w:rsidRPr="00A167A9">
        <w:t>Lohr MT, Davis RA, 2018, Anticoagulant rodenticide use, non-target impacts and regulation: a case study from Australia. Science Total Environ 634: 1372-1384</w:t>
      </w:r>
    </w:p>
    <w:p w14:paraId="7F6462D6" w14:textId="77777777" w:rsidR="00A167A9" w:rsidRPr="00A167A9" w:rsidRDefault="00A167A9" w:rsidP="00377F3A">
      <w:pPr>
        <w:pStyle w:val="NormalText"/>
      </w:pPr>
      <w:r w:rsidRPr="00A167A9">
        <w:t>Lohr MT, Davis RA, 2018. Anticoagulant rodenticide use, non-target impacts and regulation: a case study from Australia. Science Total Environ 634: 1372-1384</w:t>
      </w:r>
    </w:p>
    <w:p w14:paraId="49309D42" w14:textId="77777777" w:rsidR="00A167A9" w:rsidRPr="00A167A9" w:rsidRDefault="00A167A9" w:rsidP="00377F3A">
      <w:pPr>
        <w:pStyle w:val="NormalText"/>
      </w:pPr>
      <w:r w:rsidRPr="00A167A9">
        <w:t>Long RD, Foster J, Hoxter KA, Smith GJ, Campbell S, 1992a. Diphacinone technical: a dietary LC50 study with the northern bobwhite. Reference no. 284-101A</w:t>
      </w:r>
    </w:p>
    <w:p w14:paraId="690DCE02" w14:textId="77777777" w:rsidR="00A167A9" w:rsidRPr="00A167A9" w:rsidRDefault="00A167A9" w:rsidP="00377F3A">
      <w:pPr>
        <w:pStyle w:val="NormalText"/>
      </w:pPr>
      <w:r w:rsidRPr="00A167A9">
        <w:t>Long RD, Foster J, Hoxter KA, Smith GJ, Campbell S, 1992b. Diphacinone technical: a dietary LC50 study with the mallard. Reference no. 284-102B</w:t>
      </w:r>
    </w:p>
    <w:p w14:paraId="51A5052E" w14:textId="77777777" w:rsidR="00A167A9" w:rsidRPr="00A167A9" w:rsidRDefault="00A167A9" w:rsidP="00377F3A">
      <w:pPr>
        <w:pStyle w:val="NormalText"/>
      </w:pPr>
      <w:r w:rsidRPr="00A167A9">
        <w:lastRenderedPageBreak/>
        <w:t>López-Perea JJ, Camarero PR, Molina-López RA, Parpal L, Obón E, Solá J, Mateo R, 2015. Interspecific and geographical differences in anticoagulant rodenticide residues of predatory wildlife from the Mediterranean region of Spain. Sci Total Environ 511: 259-267</w:t>
      </w:r>
    </w:p>
    <w:p w14:paraId="42C4A97A" w14:textId="77777777" w:rsidR="00A167A9" w:rsidRPr="00A167A9" w:rsidRDefault="00A167A9" w:rsidP="00377F3A">
      <w:pPr>
        <w:pStyle w:val="NormalText"/>
      </w:pPr>
      <w:r w:rsidRPr="00A167A9">
        <w:t>Lorgue G, 1987. Determination of LD50 of LM2219 given orally to the Japanese quail (Coturnix coturnix). APVMA data no. 12493</w:t>
      </w:r>
    </w:p>
    <w:p w14:paraId="0DA67927" w14:textId="77777777" w:rsidR="00A167A9" w:rsidRPr="00A167A9" w:rsidRDefault="00A167A9" w:rsidP="00377F3A">
      <w:pPr>
        <w:pStyle w:val="NormalText"/>
      </w:pPr>
      <w:r w:rsidRPr="00A167A9">
        <w:t>Lorgue, G., 1979, Determination of the plasmatic concentration and the elimination of Bromadiolone in bovine milk.</w:t>
      </w:r>
    </w:p>
    <w:p w14:paraId="468279C0" w14:textId="77777777" w:rsidR="00A167A9" w:rsidRPr="00A167A9" w:rsidRDefault="00A167A9" w:rsidP="00377F3A">
      <w:pPr>
        <w:pStyle w:val="NormalText"/>
      </w:pPr>
      <w:r w:rsidRPr="00A167A9">
        <w:t xml:space="preserve">Lorgue, G., 1981, LM 637 Ninety day oral toxicity study in the dog. </w:t>
      </w:r>
    </w:p>
    <w:p w14:paraId="16859784" w14:textId="77777777" w:rsidR="00A167A9" w:rsidRPr="00A167A9" w:rsidRDefault="00A167A9" w:rsidP="00377F3A">
      <w:pPr>
        <w:pStyle w:val="NormalText"/>
      </w:pPr>
      <w:r w:rsidRPr="00A167A9">
        <w:t>Lund M, 1981. Comparative effect of the three rodenticides warfarin, difenacoum and brodifacoum on eight rodent species in short feeding periods. J Hyg Camb 87: 101-107</w:t>
      </w:r>
    </w:p>
    <w:p w14:paraId="1E12517C" w14:textId="77777777" w:rsidR="00A167A9" w:rsidRPr="00A167A9" w:rsidRDefault="00A167A9" w:rsidP="00377F3A">
      <w:pPr>
        <w:pStyle w:val="NormalText"/>
      </w:pPr>
      <w:r w:rsidRPr="00A167A9">
        <w:t>Lynn R, McCorquodale GY, Paterson K, 2003. Artificial sunlight photodegradation of 14C-difethialone in buffered aqueous solution. APVMA data no. 12478</w:t>
      </w:r>
    </w:p>
    <w:p w14:paraId="3FCCD42B" w14:textId="77777777" w:rsidR="00A167A9" w:rsidRPr="00A167A9" w:rsidRDefault="00A167A9" w:rsidP="00377F3A">
      <w:pPr>
        <w:pStyle w:val="NormalText"/>
      </w:pPr>
      <w:r w:rsidRPr="00A167A9">
        <w:t>Machado MW, 1994a. Diphacinone sodium salt: prolonged acute toxicity to rainbow trout (Oncorhynchus mykiss) under flow-through conditions. Reference no. 94-3-5216</w:t>
      </w:r>
    </w:p>
    <w:p w14:paraId="2FF45275" w14:textId="77777777" w:rsidR="00A167A9" w:rsidRPr="00A167A9" w:rsidRDefault="00A167A9" w:rsidP="00377F3A">
      <w:pPr>
        <w:pStyle w:val="NormalText"/>
      </w:pPr>
      <w:r w:rsidRPr="00A167A9">
        <w:t>Machado MW, 1994b. Diphacinone sodium salt: prolonged acute toxicity to bluegill sunfish (Lepomis macrochirus) under flow-through conditions. Reference no. 94-3-5191</w:t>
      </w:r>
    </w:p>
    <w:p w14:paraId="4B0C2E5E" w14:textId="5AB1E3DF" w:rsidR="00A167A9" w:rsidRPr="00A167A9" w:rsidRDefault="00A167A9" w:rsidP="00377F3A">
      <w:pPr>
        <w:pStyle w:val="NormalText"/>
      </w:pPr>
      <w:r w:rsidRPr="00A167A9">
        <w:t xml:space="preserve">Mackay J, 1990, </w:t>
      </w:r>
      <w:r w:rsidR="00B0231D" w:rsidRPr="00B0231D">
        <w:rPr>
          <w:i/>
          <w:iCs/>
        </w:rPr>
        <w:t>In vitro</w:t>
      </w:r>
      <w:r w:rsidRPr="00A167A9">
        <w:t xml:space="preserve"> Study of Chromosome Aberration Induced by the Test Article Brodifacoum in Cultured Human Lymphocytes</w:t>
      </w:r>
    </w:p>
    <w:p w14:paraId="2D5B9A26" w14:textId="77777777" w:rsidR="00A167A9" w:rsidRPr="00A167A9" w:rsidRDefault="00A167A9" w:rsidP="00377F3A">
      <w:pPr>
        <w:pStyle w:val="NormalText"/>
      </w:pPr>
      <w:r w:rsidRPr="00A167A9">
        <w:t>Mally C, Porret-Blanc G, 1987. Supercaid concentrate, 2.5 g/L bromadiolone: determination of LD50 of LM 637 orally in rats. Reference no. 87.04.LM.637.RPL</w:t>
      </w:r>
    </w:p>
    <w:p w14:paraId="2E358104" w14:textId="77777777" w:rsidR="00A167A9" w:rsidRPr="00A167A9" w:rsidRDefault="00A167A9" w:rsidP="00377F3A">
      <w:pPr>
        <w:pStyle w:val="NormalText"/>
      </w:pPr>
      <w:r w:rsidRPr="00A167A9">
        <w:t>Mally, C. and Porret-Blanc, G., 1987, LM 637 (Bromadiolone) Determination of LD50 of LM 637 orally in rats. (SUPERCAID concentrate, 2.5 g/L Bromadiolone)</w:t>
      </w:r>
    </w:p>
    <w:p w14:paraId="55A34ECB" w14:textId="77777777" w:rsidR="00A167A9" w:rsidRPr="00A167A9" w:rsidRDefault="00A167A9" w:rsidP="00377F3A">
      <w:pPr>
        <w:pStyle w:val="NormalText"/>
      </w:pPr>
      <w:r w:rsidRPr="00A167A9">
        <w:t>Marsh RE, 1985. Techniques used in rodent control to safeguard nontarget wildlife. In: Cal-Neva Wildlife: transactions, pp. 47-55</w:t>
      </w:r>
    </w:p>
    <w:p w14:paraId="7512A180" w14:textId="77777777" w:rsidR="00A167A9" w:rsidRPr="00A167A9" w:rsidRDefault="00A167A9" w:rsidP="00377F3A">
      <w:pPr>
        <w:pStyle w:val="NormalText"/>
      </w:pPr>
      <w:r w:rsidRPr="00A167A9">
        <w:t xml:space="preserve">Marshall, L., 2010b, Method validation for the determination of Bromadiolone in crop matrices (oilseed rape seed and lemon), </w:t>
      </w:r>
    </w:p>
    <w:p w14:paraId="66CAB0F2" w14:textId="77777777" w:rsidR="00A167A9" w:rsidRPr="00A167A9" w:rsidRDefault="00A167A9" w:rsidP="00377F3A">
      <w:pPr>
        <w:pStyle w:val="NormalText"/>
      </w:pPr>
      <w:r w:rsidRPr="00A167A9">
        <w:t>Martin CA, 2001. Flocoumafen (BAS 322 I): calculation of the dissociation constant pKa. Reference no. ENV 01-022</w:t>
      </w:r>
    </w:p>
    <w:p w14:paraId="08F32117" w14:textId="77777777" w:rsidR="00A167A9" w:rsidRPr="00A167A9" w:rsidRDefault="00A167A9" w:rsidP="00377F3A">
      <w:pPr>
        <w:pStyle w:val="NormalText"/>
      </w:pPr>
      <w:r w:rsidRPr="00A167A9">
        <w:t>Martin CA, 2002. BAS 322 I (flocoumafen): estimation of the photochemical oxidative degradation rate in the atmosphere. Reference no. 2002/5003831</w:t>
      </w:r>
    </w:p>
    <w:p w14:paraId="7249156B" w14:textId="77777777" w:rsidR="00A167A9" w:rsidRPr="00A167A9" w:rsidRDefault="00A167A9" w:rsidP="00377F3A">
      <w:pPr>
        <w:pStyle w:val="NormalText"/>
      </w:pPr>
      <w:r w:rsidRPr="00A167A9">
        <w:t>Martin, C.A., BASF AgroResearch, 2002, Study number ENV 02-009, BASF DocID 2002/5003831</w:t>
      </w:r>
    </w:p>
    <w:p w14:paraId="78C78E32" w14:textId="77777777" w:rsidR="00A167A9" w:rsidRPr="00A167A9" w:rsidRDefault="00A167A9" w:rsidP="00377F3A">
      <w:pPr>
        <w:pStyle w:val="NormalText"/>
      </w:pPr>
      <w:r w:rsidRPr="00A167A9">
        <w:lastRenderedPageBreak/>
        <w:t>Martínez-Padilla J, López-Idiáquez D, López-Perea JJ, Mateo R, Paz A, Viñuela J, 2017. A negative association between bromadiolone exposure and nestling body condition in common kestrels: management implications for vole outbreaks. Pest Manag Sci 73: 364-370</w:t>
      </w:r>
    </w:p>
    <w:p w14:paraId="1AA71CC3" w14:textId="77777777" w:rsidR="00A167A9" w:rsidRPr="00A167A9" w:rsidRDefault="00A167A9" w:rsidP="00377F3A">
      <w:pPr>
        <w:pStyle w:val="NormalText"/>
      </w:pPr>
      <w:r w:rsidRPr="00A167A9">
        <w:t>Masuda BM, Fisher P, Jamieson IG, 2014. Anticoagulant rodenticide brodifacoum detected in dead nestlings of an insectivorous passerine. NZJ Ecol 38(1): 110-115</w:t>
      </w:r>
    </w:p>
    <w:p w14:paraId="18071D6A" w14:textId="77777777" w:rsidR="00A167A9" w:rsidRPr="00A167A9" w:rsidRDefault="00A167A9" w:rsidP="00377F3A">
      <w:pPr>
        <w:pStyle w:val="NormalText"/>
      </w:pPr>
      <w:r w:rsidRPr="00A167A9">
        <w:t>Mather J, Tapp J, 1988. Brodifacoum: determination of the toxicity to Pseudomonas putida (summary). Reference no. BL/B/3447</w:t>
      </w:r>
    </w:p>
    <w:p w14:paraId="6400244D" w14:textId="77777777" w:rsidR="00A167A9" w:rsidRPr="00A167A9" w:rsidRDefault="00A167A9" w:rsidP="00377F3A">
      <w:pPr>
        <w:pStyle w:val="NormalText"/>
      </w:pPr>
      <w:r w:rsidRPr="00A167A9">
        <w:t>Mather JI, Tapp JF, 1989. Difenacoum: determination of the toxicity to Pseudomonas putida. Reference no. BL/B/3466</w:t>
      </w:r>
    </w:p>
    <w:p w14:paraId="747D9209" w14:textId="77777777" w:rsidR="00A167A9" w:rsidRPr="00A167A9" w:rsidRDefault="00A167A9" w:rsidP="00377F3A">
      <w:pPr>
        <w:pStyle w:val="NormalText"/>
      </w:pPr>
      <w:r w:rsidRPr="00A167A9">
        <w:t>Mathieson MT, Debus SJS, Rose AB, McConnell PJ, Watson KM, 1997. Breeding diet of the letter-winged kite Elanus scriptus and black-shouldered kite E. axillaris during a house mouse plague. Sunbird 27(3): 65-71</w:t>
      </w:r>
    </w:p>
    <w:p w14:paraId="10584AF9" w14:textId="757FD70C" w:rsidR="00A167A9" w:rsidRPr="00A167A9" w:rsidRDefault="00A167A9" w:rsidP="00377F3A">
      <w:pPr>
        <w:pStyle w:val="NormalText"/>
      </w:pPr>
      <w:r w:rsidRPr="00A167A9">
        <w:t xml:space="preserve">Mathis S.M.G., </w:t>
      </w:r>
      <w:r w:rsidR="00B7183A" w:rsidRPr="00B7183A">
        <w:rPr>
          <w:i/>
          <w:iCs/>
        </w:rPr>
        <w:t>et al</w:t>
      </w:r>
      <w:r w:rsidRPr="00A167A9">
        <w:t>, Zeneca Agrochemicals, 1995, Report number RJ1927B</w:t>
      </w:r>
    </w:p>
    <w:p w14:paraId="2640F4EC" w14:textId="77777777" w:rsidR="00A167A9" w:rsidRPr="006F78D3" w:rsidRDefault="00A167A9" w:rsidP="00377F3A">
      <w:pPr>
        <w:pStyle w:val="NormalText"/>
        <w:rPr>
          <w:lang w:val="de-CH"/>
        </w:rPr>
      </w:pPr>
      <w:r w:rsidRPr="00A167A9">
        <w:t xml:space="preserve">Mathur RP, Prakash I, 1983. Toxicity of coumatetralyl to two gerbils, Tatera indica and Meriones hurrianae. </w:t>
      </w:r>
      <w:r w:rsidRPr="006F78D3">
        <w:rPr>
          <w:lang w:val="de-CH"/>
        </w:rPr>
        <w:t>Angewandte Zoologie 3/83: 257-263</w:t>
      </w:r>
    </w:p>
    <w:p w14:paraId="2500B9A2" w14:textId="77777777" w:rsidR="00A167A9" w:rsidRPr="00A167A9" w:rsidRDefault="00A167A9" w:rsidP="00377F3A">
      <w:pPr>
        <w:pStyle w:val="NormalText"/>
      </w:pPr>
      <w:r w:rsidRPr="006F78D3">
        <w:rPr>
          <w:lang w:val="de-CH"/>
        </w:rPr>
        <w:t xml:space="preserve">Mauldin RE, Witmer GW, Shriner SA, Moulton RS, Horak KE, 2020. </w:t>
      </w:r>
      <w:r w:rsidRPr="00A167A9">
        <w:t>Effect of brodifacoum and diphacinone exposure on four species of reptiles: tissue residue levels and survivorship. Pest Management Science 76: 1958-1966</w:t>
      </w:r>
    </w:p>
    <w:p w14:paraId="27DE42A9" w14:textId="77777777" w:rsidR="00A167A9" w:rsidRPr="00A167A9" w:rsidRDefault="00A167A9" w:rsidP="00377F3A">
      <w:pPr>
        <w:pStyle w:val="NormalText"/>
      </w:pPr>
      <w:r w:rsidRPr="00A167A9">
        <w:t>McCall J, Leah A, 1991, Brodifacoum Formulation Concentrate (0.25% w/w): Acute Dermal Toxicity to the Rat</w:t>
      </w:r>
    </w:p>
    <w:p w14:paraId="14B019D3" w14:textId="77777777" w:rsidR="00A167A9" w:rsidRPr="00A167A9" w:rsidRDefault="00A167A9" w:rsidP="00377F3A">
      <w:pPr>
        <w:pStyle w:val="NormalText"/>
      </w:pPr>
      <w:r w:rsidRPr="00A167A9">
        <w:t>McCall J, Leah A, 1993, Oral Acute Toxicity PP581</w:t>
      </w:r>
    </w:p>
    <w:p w14:paraId="42DB719E" w14:textId="77777777" w:rsidR="00A167A9" w:rsidRPr="00A167A9" w:rsidRDefault="00A167A9" w:rsidP="00377F3A">
      <w:pPr>
        <w:pStyle w:val="NormalText"/>
      </w:pPr>
      <w:r w:rsidRPr="00A167A9">
        <w:t>McDonald RA, Harris S, Turnbull G, Brown P, Fletcher M, 1998. Anticoagulant rodenticides in stoats (Mustela erminea) and weasels (Mustela nivalis) in England. Environ Pollut 103: 17-23</w:t>
      </w:r>
    </w:p>
    <w:p w14:paraId="77A29C8D" w14:textId="77777777" w:rsidR="00A167A9" w:rsidRPr="00A167A9" w:rsidRDefault="00A167A9" w:rsidP="00377F3A">
      <w:pPr>
        <w:pStyle w:val="NormalText"/>
      </w:pPr>
      <w:r w:rsidRPr="00A167A9">
        <w:t xml:space="preserve">MedlinePlus (2024). Drug info Warfarin. https://medlineplus.gov/druginfo/meds/a682277.html </w:t>
      </w:r>
    </w:p>
    <w:p w14:paraId="345CCB7A" w14:textId="77777777" w:rsidR="00A167A9" w:rsidRPr="00A167A9" w:rsidRDefault="00A167A9" w:rsidP="00377F3A">
      <w:pPr>
        <w:pStyle w:val="NormalText"/>
      </w:pPr>
      <w:r w:rsidRPr="00A167A9">
        <w:t>Mellano D, Berruto G, 1984, Brodifacoum: 90-Day Feeding Study in Rats</w:t>
      </w:r>
    </w:p>
    <w:p w14:paraId="66F6E3B4" w14:textId="77777777" w:rsidR="00A167A9" w:rsidRPr="00A167A9" w:rsidRDefault="00A167A9" w:rsidP="00377F3A">
      <w:pPr>
        <w:pStyle w:val="NormalText"/>
      </w:pPr>
      <w:r w:rsidRPr="00A167A9">
        <w:t>Mendenhall VM, Pank LF, 1980. Poisoning of owls by anticoagulant rodenticides. Wildl Soc Bull 8(4): 311-315</w:t>
      </w:r>
    </w:p>
    <w:p w14:paraId="288A6F2C" w14:textId="77777777" w:rsidR="00A167A9" w:rsidRPr="00A167A9" w:rsidRDefault="00A167A9" w:rsidP="00377F3A">
      <w:pPr>
        <w:pStyle w:val="NormalText"/>
      </w:pPr>
      <w:r w:rsidRPr="00A167A9">
        <w:t>Merriman, TN., 1994a, An Acute Oral Toxicity Study in Rats with Promar Blox All-Weather Rodenticide.</w:t>
      </w:r>
    </w:p>
    <w:p w14:paraId="61D7AB59" w14:textId="77777777" w:rsidR="00A167A9" w:rsidRPr="00A167A9" w:rsidRDefault="00A167A9" w:rsidP="00377F3A">
      <w:pPr>
        <w:pStyle w:val="NormalText"/>
      </w:pPr>
      <w:r w:rsidRPr="00A167A9">
        <w:t>Merriman, TN., 1994b, An Acute Dermal Toxicity Study in Rabbits with Promar Blox All-Weather Rodenticide.</w:t>
      </w:r>
    </w:p>
    <w:p w14:paraId="29D5504C" w14:textId="77777777" w:rsidR="00A167A9" w:rsidRPr="00A167A9" w:rsidRDefault="00A167A9" w:rsidP="00377F3A">
      <w:pPr>
        <w:pStyle w:val="NormalText"/>
      </w:pPr>
      <w:r w:rsidRPr="00A167A9">
        <w:t>Merriman, TN., 1994c, A Primary Eve Irritation Study in Rabbits with Promar Blox All-Weather Rodenticide.</w:t>
      </w:r>
    </w:p>
    <w:p w14:paraId="77763AB7" w14:textId="77777777" w:rsidR="00A167A9" w:rsidRPr="00A167A9" w:rsidRDefault="00A167A9" w:rsidP="00377F3A">
      <w:pPr>
        <w:pStyle w:val="NormalText"/>
      </w:pPr>
      <w:r w:rsidRPr="00A167A9">
        <w:t>Merriman, TN., 1994d, A Primary Skin Irritation Study in Rabbits with Promar Blox All-Weather Rodenticide.</w:t>
      </w:r>
    </w:p>
    <w:p w14:paraId="0DB766C9" w14:textId="77777777" w:rsidR="00A167A9" w:rsidRPr="00A167A9" w:rsidRDefault="00A167A9" w:rsidP="00377F3A">
      <w:pPr>
        <w:pStyle w:val="NormalText"/>
      </w:pPr>
      <w:r w:rsidRPr="00A167A9">
        <w:t>Merriman, TN., 1994e, A dermal sensitization study in guinea pigs with Promar Blox All-Weather Rodenticide.</w:t>
      </w:r>
    </w:p>
    <w:p w14:paraId="4FEEDA80" w14:textId="77777777" w:rsidR="00A167A9" w:rsidRPr="00A167A9" w:rsidRDefault="00A167A9" w:rsidP="00377F3A">
      <w:pPr>
        <w:pStyle w:val="NormalText"/>
      </w:pPr>
      <w:r w:rsidRPr="00A167A9">
        <w:lastRenderedPageBreak/>
        <w:t>Merton D, 1987. Eradication of rabbits from Round Island, Mauritius: a conservation success story. The Dodo: Journal of the Jersey Wildlife Preservation Trust 24: 19-44</w:t>
      </w:r>
    </w:p>
    <w:p w14:paraId="19414428" w14:textId="77777777" w:rsidR="00A167A9" w:rsidRPr="00A167A9" w:rsidRDefault="00A167A9" w:rsidP="00377F3A">
      <w:pPr>
        <w:pStyle w:val="NormalText"/>
      </w:pPr>
      <w:r w:rsidRPr="00A167A9">
        <w:t>Misra B, 1995. Aerobic soil metabolism of bromadiolone. Reference no. ME 9200154</w:t>
      </w:r>
    </w:p>
    <w:p w14:paraId="77E07C55" w14:textId="77777777" w:rsidR="00A167A9" w:rsidRPr="00A167A9" w:rsidRDefault="00A167A9" w:rsidP="00377F3A">
      <w:pPr>
        <w:pStyle w:val="NormalText"/>
      </w:pPr>
      <w:r w:rsidRPr="00A167A9">
        <w:t>Mogens Lund &amp; Milter Greent, 1992, Determination of Residues in Eggs from Hens Fed Bromadiolone Rat Bait</w:t>
      </w:r>
    </w:p>
    <w:p w14:paraId="7A0EC5DB" w14:textId="77777777" w:rsidR="00A167A9" w:rsidRPr="00A167A9" w:rsidRDefault="00A167A9" w:rsidP="00377F3A">
      <w:pPr>
        <w:pStyle w:val="NormalText"/>
      </w:pPr>
      <w:r w:rsidRPr="00A167A9">
        <w:t>Montaz J, Jacquot M, Coeurdassier M, 2014. Scavenging of rodent carcasses following simulated mortality due to field applications of anticoagulant rodenticide. Ecotoxicol 23(9): 1671-1680</w:t>
      </w:r>
    </w:p>
    <w:p w14:paraId="23C961DD" w14:textId="77777777" w:rsidR="00A167A9" w:rsidRPr="00A167A9" w:rsidRDefault="00A167A9" w:rsidP="00377F3A">
      <w:pPr>
        <w:pStyle w:val="NormalText"/>
      </w:pPr>
      <w:r w:rsidRPr="00A167A9">
        <w:t>Mooney N, 2017. Risks of anticoagulant rodenticides to Tasmanian raptors. Tasmanian Bird Report 38: 17-25</w:t>
      </w:r>
    </w:p>
    <w:p w14:paraId="7FBC2623" w14:textId="77777777" w:rsidR="00A167A9" w:rsidRPr="00A167A9" w:rsidRDefault="00A167A9" w:rsidP="00377F3A">
      <w:pPr>
        <w:pStyle w:val="NormalText"/>
      </w:pPr>
      <w:r w:rsidRPr="00A167A9">
        <w:t>Moran S, 1999. Rejection of dyed field rodent baits by feral pigeons and chukar partridges. Phytoparasitica 27(1): 9-17</w:t>
      </w:r>
    </w:p>
    <w:p w14:paraId="700FF829" w14:textId="77777777" w:rsidR="00A167A9" w:rsidRPr="00A167A9" w:rsidRDefault="00A167A9" w:rsidP="00377F3A">
      <w:pPr>
        <w:pStyle w:val="NormalText"/>
      </w:pPr>
      <w:r w:rsidRPr="00A167A9">
        <w:t>Morris K, 1995, Difenacoum – 4-Hour Acute Inhalation Toxicity Study to the Rat,</w:t>
      </w:r>
    </w:p>
    <w:p w14:paraId="2FB02904" w14:textId="77777777" w:rsidR="00A167A9" w:rsidRPr="00A167A9" w:rsidRDefault="00A167A9" w:rsidP="00377F3A">
      <w:pPr>
        <w:pStyle w:val="NormalText"/>
      </w:pPr>
      <w:r w:rsidRPr="00A167A9">
        <w:t>Morris K, 1995, Difenacoum – 90-day Feeding Study in the Rat</w:t>
      </w:r>
    </w:p>
    <w:p w14:paraId="14225C7E" w14:textId="77777777" w:rsidR="00A167A9" w:rsidRPr="00A167A9" w:rsidRDefault="00A167A9" w:rsidP="00377F3A">
      <w:pPr>
        <w:pStyle w:val="NormalText"/>
      </w:pPr>
      <w:r w:rsidRPr="00A167A9">
        <w:t>Morris K, 1995, Difenacoum – Acute Dermal Toxicity to the Rat of a 2.5% w/v Concentrate</w:t>
      </w:r>
    </w:p>
    <w:p w14:paraId="0542FFAE" w14:textId="77777777" w:rsidR="00A167A9" w:rsidRPr="00A167A9" w:rsidRDefault="00A167A9" w:rsidP="00377F3A">
      <w:pPr>
        <w:pStyle w:val="NormalText"/>
      </w:pPr>
      <w:r w:rsidRPr="00A167A9">
        <w:t>Morris K, 1995, Difenacoum – Acute Oral Toxicity to the Rat of a 2.5% Concentrate</w:t>
      </w:r>
    </w:p>
    <w:p w14:paraId="765768A2" w14:textId="77777777" w:rsidR="00A167A9" w:rsidRPr="00A167A9" w:rsidRDefault="00A167A9" w:rsidP="00377F3A">
      <w:pPr>
        <w:pStyle w:val="NormalText"/>
      </w:pPr>
      <w:r w:rsidRPr="00A167A9">
        <w:t>Morris K, 1995, Difenacoum – An Evaluation in the Mouse Micronucleus Test</w:t>
      </w:r>
    </w:p>
    <w:p w14:paraId="1256186C" w14:textId="77777777" w:rsidR="00A167A9" w:rsidRPr="00A167A9" w:rsidRDefault="00A167A9" w:rsidP="00377F3A">
      <w:pPr>
        <w:pStyle w:val="NormalText"/>
      </w:pPr>
      <w:r w:rsidRPr="00A167A9">
        <w:t>Morris K, 1995, Difenacoum – Assessment for the Induction of Unscheduled DNA Synthesis in Rat Hepatocytes</w:t>
      </w:r>
    </w:p>
    <w:p w14:paraId="0BF3AD98" w14:textId="77777777" w:rsidR="00A167A9" w:rsidRPr="00A167A9" w:rsidRDefault="00A167A9" w:rsidP="00377F3A">
      <w:pPr>
        <w:pStyle w:val="NormalText"/>
      </w:pPr>
      <w:r w:rsidRPr="00A167A9">
        <w:t>Morris K, 1995, Difenacoum – Development Toxicity to the Rat</w:t>
      </w:r>
    </w:p>
    <w:p w14:paraId="1E576934" w14:textId="77777777" w:rsidR="00A167A9" w:rsidRPr="00A167A9" w:rsidRDefault="00A167A9" w:rsidP="00377F3A">
      <w:pPr>
        <w:pStyle w:val="NormalText"/>
      </w:pPr>
      <w:r w:rsidRPr="00A167A9">
        <w:t>Morris K, 1995, Difenacoum – Eye Irritation to the Rabbit</w:t>
      </w:r>
    </w:p>
    <w:p w14:paraId="1A6BA039" w14:textId="77777777" w:rsidR="00A167A9" w:rsidRPr="00A167A9" w:rsidRDefault="00A167A9" w:rsidP="00377F3A">
      <w:pPr>
        <w:pStyle w:val="NormalText"/>
      </w:pPr>
      <w:r w:rsidRPr="00A167A9">
        <w:t>Morris K, 1995, Difenacoum – Skin Irritation to the Rabbit</w:t>
      </w:r>
    </w:p>
    <w:p w14:paraId="2DEE6441" w14:textId="77777777" w:rsidR="00A167A9" w:rsidRPr="00A167A9" w:rsidRDefault="00A167A9" w:rsidP="00377F3A">
      <w:pPr>
        <w:pStyle w:val="NormalText"/>
      </w:pPr>
      <w:r w:rsidRPr="00A167A9">
        <w:t>Morris K, Kaukeinen D, 1980. Talon: rodent baiting sites of the barn owl secondary hazard study. Reference no. TMUD3335/B</w:t>
      </w:r>
    </w:p>
    <w:p w14:paraId="2D88D846" w14:textId="77777777" w:rsidR="00A167A9" w:rsidRPr="00A167A9" w:rsidRDefault="00A167A9" w:rsidP="00377F3A">
      <w:pPr>
        <w:pStyle w:val="NormalText"/>
      </w:pPr>
      <w:r w:rsidRPr="00A167A9">
        <w:t>Mullee BJ, O'Connor DM, 2006a. Bromadiolone technical: determination of general physico-chemical properties. Reference no. 2073/0002</w:t>
      </w:r>
    </w:p>
    <w:p w14:paraId="75DDB3EB" w14:textId="77777777" w:rsidR="00A167A9" w:rsidRPr="00A167A9" w:rsidRDefault="00A167A9" w:rsidP="00377F3A">
      <w:pPr>
        <w:pStyle w:val="NormalText"/>
      </w:pPr>
      <w:r w:rsidRPr="00A167A9">
        <w:t>Mullee BJ, O'Connor DM, 2006b. Bromadiolone technical: determination of partition coefficient. Reference no. 2073/0003</w:t>
      </w:r>
    </w:p>
    <w:p w14:paraId="554C2AF1" w14:textId="77777777" w:rsidR="00A167A9" w:rsidRPr="00A167A9" w:rsidRDefault="00A167A9" w:rsidP="00377F3A">
      <w:pPr>
        <w:pStyle w:val="NormalText"/>
      </w:pPr>
      <w:r w:rsidRPr="00A167A9">
        <w:t>Müller G, Hartmann P, 1991. Bacterial toxicity of Racumin S. Reference no. M-084636-02-1</w:t>
      </w:r>
    </w:p>
    <w:p w14:paraId="66184108" w14:textId="77777777" w:rsidR="00A167A9" w:rsidRPr="00A167A9" w:rsidRDefault="00A167A9" w:rsidP="00377F3A">
      <w:pPr>
        <w:pStyle w:val="NormalText"/>
      </w:pPr>
      <w:r w:rsidRPr="00A167A9">
        <w:t>Müllerschön H, 1990. Toxicity of bromadiolone technical to Scenedesmus subspicatus. Reference no. 167308</w:t>
      </w:r>
    </w:p>
    <w:p w14:paraId="4B83B5CF" w14:textId="4469DCEC" w:rsidR="00A167A9" w:rsidRPr="00A167A9" w:rsidRDefault="00A167A9" w:rsidP="00377F3A">
      <w:pPr>
        <w:pStyle w:val="NormalText"/>
      </w:pPr>
      <w:r w:rsidRPr="00A167A9">
        <w:t xml:space="preserve">Murli, H., 1993, Mutagenicity test on Bromadiolone Technical in an </w:t>
      </w:r>
      <w:r w:rsidR="00B0231D" w:rsidRPr="00B0231D">
        <w:rPr>
          <w:i/>
          <w:iCs/>
        </w:rPr>
        <w:t>in vitro</w:t>
      </w:r>
      <w:r w:rsidRPr="00A167A9">
        <w:t xml:space="preserve"> cytogenetic assay measuring chromosomal aberrations in human whole blood lymphocytes: with and without exogenous metabolic activation.</w:t>
      </w:r>
    </w:p>
    <w:p w14:paraId="16E2A13D" w14:textId="2C4D236D" w:rsidR="00A167A9" w:rsidRPr="00A167A9" w:rsidRDefault="00A167A9" w:rsidP="00377F3A">
      <w:pPr>
        <w:pStyle w:val="NormalText"/>
      </w:pPr>
      <w:r w:rsidRPr="00A167A9">
        <w:lastRenderedPageBreak/>
        <w:t xml:space="preserve">Murli, H., 1993, Mutagenicity test on Bromadiolone Technical in an </w:t>
      </w:r>
      <w:r w:rsidR="00B0231D" w:rsidRPr="00B0231D">
        <w:rPr>
          <w:i/>
          <w:iCs/>
        </w:rPr>
        <w:t>in vivo</w:t>
      </w:r>
      <w:r w:rsidRPr="00A167A9">
        <w:t xml:space="preserve"> mouse micronucleus assay. </w:t>
      </w:r>
    </w:p>
    <w:p w14:paraId="0F506F3D" w14:textId="77777777" w:rsidR="00A167A9" w:rsidRPr="00A167A9" w:rsidRDefault="00A167A9" w:rsidP="00377F3A">
      <w:pPr>
        <w:pStyle w:val="NormalText"/>
      </w:pPr>
      <w:r w:rsidRPr="00A167A9">
        <w:t>Murray M 2017 Anticoagulant rodenticide exposure and toxicosis in four species of birds of prey in Massachusetts, USA, 2012-2016, in relation to use of rodenticides by pest management professionals. Ecotoxicol 26: 1041-1050</w:t>
      </w:r>
    </w:p>
    <w:p w14:paraId="1BC834FB" w14:textId="77777777" w:rsidR="00A167A9" w:rsidRPr="00A167A9" w:rsidRDefault="00A167A9" w:rsidP="00377F3A">
      <w:pPr>
        <w:pStyle w:val="NormalText"/>
      </w:pPr>
      <w:r w:rsidRPr="00A167A9">
        <w:t>Murray M, 2020. Continued anticoagulant rodenticide exposure of red-tailed hawks (Buteo jamaicensis) in the northeastern United States with an evaluation of serum biomonitoring. Environ Toxicol Chem 39(11): 2325-2335</w:t>
      </w:r>
    </w:p>
    <w:p w14:paraId="6AA52F0A" w14:textId="77777777" w:rsidR="00A167A9" w:rsidRPr="00A167A9" w:rsidRDefault="00A167A9" w:rsidP="00377F3A">
      <w:pPr>
        <w:pStyle w:val="NormalText"/>
      </w:pPr>
      <w:r w:rsidRPr="00A167A9">
        <w:t>Myers, R C &amp; Christopher, S M, 1992, Primary Eye Irritancy Study in Rabbits.</w:t>
      </w:r>
    </w:p>
    <w:p w14:paraId="5E0A72C4" w14:textId="77777777" w:rsidR="00A167A9" w:rsidRPr="00A167A9" w:rsidRDefault="00A167A9" w:rsidP="00377F3A">
      <w:pPr>
        <w:pStyle w:val="NormalText"/>
      </w:pPr>
      <w:r w:rsidRPr="00A167A9">
        <w:t xml:space="preserve">Myers, R.C. and Christopher, S.M, 1993, Maki mini blocks: Acute peroral Toxicity study in the rat (limit test). </w:t>
      </w:r>
    </w:p>
    <w:p w14:paraId="51E1A4C4" w14:textId="77777777" w:rsidR="00A167A9" w:rsidRPr="00A167A9" w:rsidRDefault="00A167A9" w:rsidP="00377F3A">
      <w:pPr>
        <w:pStyle w:val="NormalText"/>
      </w:pPr>
      <w:r w:rsidRPr="00A167A9">
        <w:t xml:space="preserve">Myers, R.C. and Christopher, S.M., 1993, Bromadiolone Technical: Acute Cutaneous Toxicity in the Rabbit. </w:t>
      </w:r>
    </w:p>
    <w:p w14:paraId="587ACBB1" w14:textId="77777777" w:rsidR="00A167A9" w:rsidRPr="00A167A9" w:rsidRDefault="00A167A9" w:rsidP="00377F3A">
      <w:pPr>
        <w:pStyle w:val="NormalText"/>
      </w:pPr>
      <w:r w:rsidRPr="00A167A9">
        <w:t>Nelson PC, Hickling GJ, 1994. Pindone for rabbit control: efficacy, residues and cost. Proc Vertebr Pest Conf 16: 217-222</w:t>
      </w:r>
    </w:p>
    <w:p w14:paraId="79E532FE" w14:textId="77777777" w:rsidR="00A167A9" w:rsidRPr="00A167A9" w:rsidRDefault="00A167A9" w:rsidP="00377F3A">
      <w:pPr>
        <w:pStyle w:val="NormalText"/>
      </w:pPr>
      <w:r w:rsidRPr="00A167A9">
        <w:t>Newby SE, White BG, 1979. Brodifacoum: adsorption and desorption in soils measured under laboratory conditions (summary). Reference no. TMJ1764/B</w:t>
      </w:r>
    </w:p>
    <w:p w14:paraId="68E2377A" w14:textId="77777777" w:rsidR="00A167A9" w:rsidRPr="00A167A9" w:rsidRDefault="00A167A9" w:rsidP="00377F3A">
      <w:pPr>
        <w:pStyle w:val="NormalText"/>
      </w:pPr>
      <w:r w:rsidRPr="00A167A9">
        <w:t>Newton I, Wyllie I, Dale I, 1997. Mortality causes in British barn owls (Tyto alba) based on 1101 carcasses examined during 1963-1996. In: Duncan JR, Johnson DH, Nicholls TH (eds), Biology and conservation of owls in the northern hemisphere: second international symposium, Winnipeg, Manitoba Canada, p. 299-307</w:t>
      </w:r>
    </w:p>
    <w:p w14:paraId="4977313D" w14:textId="77777777" w:rsidR="00A167A9" w:rsidRPr="00A167A9" w:rsidRDefault="00A167A9" w:rsidP="00377F3A">
      <w:pPr>
        <w:pStyle w:val="NormalText"/>
      </w:pPr>
      <w:r w:rsidRPr="00A167A9">
        <w:t>Newton I, Wyllie I, Freestone P, 1990. Rodenticides in British barn owls. Environ Pollut 68: 101-117</w:t>
      </w:r>
    </w:p>
    <w:p w14:paraId="7CA8DCE7" w14:textId="77777777" w:rsidR="00A167A9" w:rsidRPr="00A167A9" w:rsidRDefault="00A167A9" w:rsidP="00377F3A">
      <w:pPr>
        <w:pStyle w:val="NormalText"/>
      </w:pPr>
      <w:r w:rsidRPr="00A167A9">
        <w:t>Nicholson R, 1986a. Acute toxicity of LM2219 to rainbow trout (Salmo gairdneri). APVMA data no. 12487</w:t>
      </w:r>
    </w:p>
    <w:p w14:paraId="752F91C3" w14:textId="77777777" w:rsidR="00A167A9" w:rsidRPr="00A167A9" w:rsidRDefault="00A167A9" w:rsidP="00377F3A">
      <w:pPr>
        <w:pStyle w:val="NormalText"/>
      </w:pPr>
      <w:r w:rsidRPr="00A167A9">
        <w:t>Nicholson R, 1986b. Acute toxicity of LM2219 to bluegill (Lepomis macrochirus). APVMA data no. 12488</w:t>
      </w:r>
    </w:p>
    <w:p w14:paraId="3CF7CBD1" w14:textId="77777777" w:rsidR="00A167A9" w:rsidRPr="00A167A9" w:rsidRDefault="00A167A9" w:rsidP="00377F3A">
      <w:pPr>
        <w:pStyle w:val="NormalText"/>
      </w:pPr>
      <w:r w:rsidRPr="00A167A9">
        <w:t>Nicholson R, 1986c. Acute toxicity of LM2219 to daphnids (Daphnia magna). APVMA data no. 12489</w:t>
      </w:r>
    </w:p>
    <w:p w14:paraId="0952F303" w14:textId="77777777" w:rsidR="00A167A9" w:rsidRPr="00A167A9" w:rsidRDefault="00A167A9" w:rsidP="00377F3A">
      <w:pPr>
        <w:pStyle w:val="NormalText"/>
      </w:pPr>
      <w:r w:rsidRPr="00A167A9">
        <w:t>Noack M, 2007. Bromadiolone: acute immobilization test (static 48h) to Daphnia magna. Reference no. DAI113101</w:t>
      </w:r>
    </w:p>
    <w:p w14:paraId="4E4164A6" w14:textId="1EC92E83" w:rsidR="00A167A9" w:rsidRPr="00A167A9" w:rsidRDefault="00A167A9" w:rsidP="00377F3A">
      <w:pPr>
        <w:pStyle w:val="NormalText"/>
      </w:pPr>
      <w:r w:rsidRPr="00A167A9">
        <w:t xml:space="preserve">Noc </w:t>
      </w:r>
      <w:r w:rsidR="00B7183A" w:rsidRPr="00B7183A">
        <w:rPr>
          <w:i/>
          <w:iCs/>
        </w:rPr>
        <w:t>et</w:t>
      </w:r>
      <w:r w:rsidRPr="006F78D3">
        <w:rPr>
          <w:i/>
        </w:rPr>
        <w:t xml:space="preserve"> al</w:t>
      </w:r>
      <w:r w:rsidRPr="00A167A9">
        <w:t>., -, Study of Cutaneous Sensitization Using The Magnusson and Kligman Maximization Test in Guinea Pig</w:t>
      </w:r>
    </w:p>
    <w:p w14:paraId="3DBF14BD" w14:textId="77777777" w:rsidR="00A167A9" w:rsidRPr="00A167A9" w:rsidRDefault="00A167A9" w:rsidP="00377F3A">
      <w:pPr>
        <w:pStyle w:val="NormalText"/>
      </w:pPr>
      <w:r w:rsidRPr="00A167A9">
        <w:t>Nolan-Smith S, 1997. Difenacoum: acute oral toxicity to the mallard duck. Reference no. 355/39-1007</w:t>
      </w:r>
    </w:p>
    <w:p w14:paraId="668B67BB" w14:textId="77777777" w:rsidR="00A167A9" w:rsidRPr="00A167A9" w:rsidRDefault="00A167A9" w:rsidP="00377F3A">
      <w:pPr>
        <w:pStyle w:val="NormalText"/>
      </w:pPr>
      <w:r w:rsidRPr="00A167A9">
        <w:t>Nolan-Smith S, 1998. Difenacoum: acute dietary toxicity to bobwhite quail. Reference no. 355/41-1007</w:t>
      </w:r>
    </w:p>
    <w:p w14:paraId="0D175F4E" w14:textId="77777777" w:rsidR="00A167A9" w:rsidRPr="00A167A9" w:rsidRDefault="00A167A9" w:rsidP="00377F3A">
      <w:pPr>
        <w:pStyle w:val="NormalText"/>
      </w:pPr>
      <w:r w:rsidRPr="00A167A9">
        <w:t>Nolan-Smith S, 2000a. Difenacoum: acute dietary toxicity to ring-necked pheasant. Reference no. 355/42</w:t>
      </w:r>
    </w:p>
    <w:p w14:paraId="54AFFC2A" w14:textId="77777777" w:rsidR="00A167A9" w:rsidRPr="00A167A9" w:rsidRDefault="00A167A9" w:rsidP="00377F3A">
      <w:pPr>
        <w:pStyle w:val="NormalText"/>
      </w:pPr>
      <w:r w:rsidRPr="00A167A9">
        <w:t>Nolan-Smith S, 2000b. Difenacoum: acute dietary toxicity to mallard duck. Reference no. CLE355/40</w:t>
      </w:r>
    </w:p>
    <w:p w14:paraId="7E69C65F" w14:textId="77777777" w:rsidR="00A167A9" w:rsidRPr="00A167A9" w:rsidRDefault="00A167A9" w:rsidP="00377F3A">
      <w:pPr>
        <w:pStyle w:val="NormalText"/>
      </w:pPr>
      <w:r w:rsidRPr="00A167A9">
        <w:t>Nomura N, 1978. Adsorption and mobility of VEL 5206-14C in five Hawaiian sugarcane soils. Reference no. 40116</w:t>
      </w:r>
    </w:p>
    <w:p w14:paraId="3AEC3907" w14:textId="77777777" w:rsidR="00A167A9" w:rsidRPr="00A167A9" w:rsidRDefault="00A167A9" w:rsidP="00377F3A">
      <w:pPr>
        <w:pStyle w:val="NormalText"/>
      </w:pPr>
      <w:r w:rsidRPr="00A167A9">
        <w:lastRenderedPageBreak/>
        <w:t>NSW Government (2017). Report on the Human Health Risk Assessment for the Lord Howe Island’s proposed Rodent Eradication Program. NSW Chief Scientist &amp; Engineer, July 2017.</w:t>
      </w:r>
    </w:p>
    <w:p w14:paraId="1354879B" w14:textId="77777777" w:rsidR="00A167A9" w:rsidRPr="00A167A9" w:rsidRDefault="00A167A9" w:rsidP="00377F3A">
      <w:pPr>
        <w:pStyle w:val="NormalText"/>
      </w:pPr>
      <w:r w:rsidRPr="00A167A9">
        <w:t xml:space="preserve">NSW Government, 2017. Independent Human Health Risk Assessment for the Lord Howe Island’s proposed Rodent Eradication Program. https://npd-web.matrix.squiz.cloud/ocse/independent-reports/archive/lord-howe-island-rodent-eradication-program. </w:t>
      </w:r>
    </w:p>
    <w:p w14:paraId="2CE2F26B" w14:textId="77777777" w:rsidR="00A167A9" w:rsidRPr="00A167A9" w:rsidRDefault="00A167A9" w:rsidP="00377F3A">
      <w:pPr>
        <w:pStyle w:val="NormalText"/>
      </w:pPr>
      <w:r w:rsidRPr="00A167A9">
        <w:t>O'Bryan S, Constable D, 1991, Quantification of Brodifacoum in Plasma and Liver Tissue by HPLC</w:t>
      </w:r>
    </w:p>
    <w:p w14:paraId="197AB3B0" w14:textId="77777777" w:rsidR="00A167A9" w:rsidRPr="00A167A9" w:rsidRDefault="00A167A9" w:rsidP="00377F3A">
      <w:pPr>
        <w:pStyle w:val="NormalText"/>
      </w:pPr>
      <w:r w:rsidRPr="00A167A9">
        <w:t>O'Connor BJ, Woolley SM, 2007. Bromodiolone: determination of adsorption coefficient. Reference no. 2073/0005</w:t>
      </w:r>
    </w:p>
    <w:p w14:paraId="134C1EFD" w14:textId="77777777" w:rsidR="00A167A9" w:rsidRPr="00A167A9" w:rsidRDefault="00A167A9" w:rsidP="00377F3A">
      <w:pPr>
        <w:pStyle w:val="NormalText"/>
      </w:pPr>
      <w:r w:rsidRPr="00A167A9">
        <w:t>O'Connor CE, Eason CT, 1999a. Secondary poisoning of ferrets with coumatetralyl. Reference no. M-080856-01-1</w:t>
      </w:r>
    </w:p>
    <w:p w14:paraId="6A4D7E4A" w14:textId="77777777" w:rsidR="00A167A9" w:rsidRPr="00A167A9" w:rsidRDefault="00A167A9" w:rsidP="00377F3A">
      <w:pPr>
        <w:pStyle w:val="NormalText"/>
      </w:pPr>
      <w:r w:rsidRPr="00A167A9">
        <w:t>O'Connor CE, Eason CT, 1999b. Secondary poisoning of weka with coumatetralyl. Reference no. M-080785-01-1</w:t>
      </w:r>
    </w:p>
    <w:p w14:paraId="39F2C76E" w14:textId="77777777" w:rsidR="00A167A9" w:rsidRPr="00A167A9" w:rsidRDefault="00A167A9" w:rsidP="00377F3A">
      <w:pPr>
        <w:pStyle w:val="NormalText"/>
      </w:pPr>
      <w:r w:rsidRPr="00A167A9">
        <w:t>O'Connor CE, Eason CT, Endepols S, 2003. Evaluation of secondary poisoning hazards to ferrets and weka from the rodenticide coumatetralyl. Wildl Res 30: 143-156</w:t>
      </w:r>
    </w:p>
    <w:p w14:paraId="31D9AC0A" w14:textId="77777777" w:rsidR="00A167A9" w:rsidRPr="00A167A9" w:rsidRDefault="00A167A9" w:rsidP="00377F3A">
      <w:pPr>
        <w:pStyle w:val="NormalText"/>
      </w:pPr>
      <w:r w:rsidRPr="00A167A9">
        <w:t>Odin-Feurtet M, 1999. Arvicolex (R213): acute toxicity (14-day) to earthworms (Eisenia foetida). Reference no. SA 98647</w:t>
      </w:r>
    </w:p>
    <w:p w14:paraId="06A9D6C0" w14:textId="77777777" w:rsidR="00A167A9" w:rsidRPr="00A167A9" w:rsidRDefault="00A167A9" w:rsidP="00377F3A">
      <w:pPr>
        <w:pStyle w:val="NormalText"/>
      </w:pPr>
      <w:r w:rsidRPr="00A167A9">
        <w:t>O'Dwyer TW, Carlile N, O'Neil L, Fairlamb H, Bower H, 2024. Protection and mortality of non-target terrestrial bird species during the eradication of rodents on Lord Howe Island. Biol Invasions 26:151-167</w:t>
      </w:r>
    </w:p>
    <w:p w14:paraId="3CA0326E" w14:textId="77777777" w:rsidR="00A167A9" w:rsidRPr="00A167A9" w:rsidRDefault="00A167A9" w:rsidP="00377F3A">
      <w:pPr>
        <w:pStyle w:val="NormalText"/>
      </w:pPr>
      <w:r w:rsidRPr="00A167A9">
        <w:t>O'Dwyer TW, Carlile N, O'Neil L, Fairlamb H, Bower H, 2024. Protection and mortality of non-target terrestrial bird species during the eradication of rodents on Lord Howe Island. Biol Invasions 26:151-167.</w:t>
      </w:r>
    </w:p>
    <w:p w14:paraId="68BB8604" w14:textId="77777777" w:rsidR="00A167A9" w:rsidRPr="00A167A9" w:rsidRDefault="00A167A9" w:rsidP="00377F3A">
      <w:pPr>
        <w:pStyle w:val="NormalText"/>
      </w:pPr>
      <w:r w:rsidRPr="00A167A9">
        <w:t xml:space="preserve">OECD (2011). Guidance notes on dermal absorption series on testing and assessment no. 156. https://www.oecd.org/chemicalsafety/testing/48532204.pdf </w:t>
      </w:r>
    </w:p>
    <w:p w14:paraId="7D114268" w14:textId="77777777" w:rsidR="00A167A9" w:rsidRPr="00A167A9" w:rsidRDefault="00A167A9" w:rsidP="00377F3A">
      <w:pPr>
        <w:pStyle w:val="NormalText"/>
      </w:pPr>
      <w:r w:rsidRPr="00A167A9">
        <w:t>OECD (Organisation for Economic Co-operation and Development), 2018. Revised guidance document 150 on standardised test guidelines for evaluating chemicals for endocrine disruption. OECD Series on Testing and Assessment, OECD Publishing, Paris</w:t>
      </w:r>
    </w:p>
    <w:p w14:paraId="1A2D92C2" w14:textId="77777777" w:rsidR="00A167A9" w:rsidRPr="00A167A9" w:rsidRDefault="00A167A9" w:rsidP="00377F3A">
      <w:pPr>
        <w:pStyle w:val="NormalText"/>
      </w:pPr>
      <w:r w:rsidRPr="00A167A9">
        <w:t>Olf G, 2000. Racumin S technical, coumatetralyl: vapor pressure. Reference no. M-086292-01-1</w:t>
      </w:r>
    </w:p>
    <w:p w14:paraId="6163E36F" w14:textId="77777777" w:rsidR="00A167A9" w:rsidRPr="00A167A9" w:rsidRDefault="00A167A9" w:rsidP="00377F3A">
      <w:pPr>
        <w:pStyle w:val="NormalText"/>
      </w:pPr>
      <w:r w:rsidRPr="00A167A9">
        <w:t xml:space="preserve">Original authors: Monnot, G., Fave, A., Illat, T. and Briet, Ph., 1990, Teratology study in the rat with LM 637 Bromadiolone. Original report </w:t>
      </w:r>
    </w:p>
    <w:p w14:paraId="5018F3B0" w14:textId="77777777" w:rsidR="00A167A9" w:rsidRPr="00A167A9" w:rsidRDefault="00A167A9" w:rsidP="00377F3A">
      <w:pPr>
        <w:pStyle w:val="NormalText"/>
      </w:pPr>
      <w:r w:rsidRPr="00A167A9">
        <w:t>O'Shea, M. G., Morabito, R., 2000, Determination of coumatetralyl residues in sugarcane juice after field application of Racumin blocks and paste bars (Interim report).</w:t>
      </w:r>
    </w:p>
    <w:p w14:paraId="68498306" w14:textId="270A2511" w:rsidR="00A167A9" w:rsidRDefault="00A167A9" w:rsidP="00377F3A">
      <w:pPr>
        <w:pStyle w:val="NormalText"/>
      </w:pPr>
      <w:r w:rsidRPr="00A167A9">
        <w:t>Ozaki S, Chaplow JS, Dodd BA, Potter ED, Pereira MG, Sleep D, Toon B, Walker LA, 2022. Second generation anticoagulant rodenticides in barn owls 2021. UKCEH contract report to the Campaign for Responsible Rodenticide Use (CRRU) UK, pp.</w:t>
      </w:r>
      <w:r w:rsidR="00364899" w:rsidRPr="00364899">
        <w:t xml:space="preserve"> </w:t>
      </w:r>
      <w:r w:rsidR="00364899" w:rsidRPr="00A167A9">
        <w:t>25</w:t>
      </w:r>
      <w:r w:rsidR="00364899">
        <w:t>.</w:t>
      </w:r>
    </w:p>
    <w:p w14:paraId="06CA1D47" w14:textId="306912D1" w:rsidR="00364899" w:rsidRPr="00A167A9" w:rsidRDefault="00364899" w:rsidP="00377F3A">
      <w:pPr>
        <w:pStyle w:val="NormalText"/>
      </w:pPr>
      <w:r w:rsidRPr="00364899">
        <w:lastRenderedPageBreak/>
        <w:t xml:space="preserve">Ozaki </w:t>
      </w:r>
      <w:r>
        <w:t>s</w:t>
      </w:r>
      <w:r w:rsidRPr="00364899">
        <w:t>, Barnett EA, Chaplow JS, Charman S, Flynn E, Galloway M, Melton L, Mocogni LA, Pereira MG, Potter ED, Sainsbury AW, Shadbolt T, Sleep D, Sharp EA, Toon B, Walker LA</w:t>
      </w:r>
      <w:r>
        <w:t>,</w:t>
      </w:r>
      <w:r w:rsidRPr="00364899">
        <w:t xml:space="preserve"> 2024. Second Generation anticoagulant rodenticide residues in red kites 2021.</w:t>
      </w:r>
      <w:r w:rsidRPr="00364899">
        <w:rPr>
          <w:rFonts w:ascii="Segoe UI" w:hAnsi="Segoe UI" w:cs="Segoe UI"/>
          <w:kern w:val="2"/>
          <w:sz w:val="18"/>
          <w:szCs w:val="18"/>
        </w:rPr>
        <w:t xml:space="preserve"> </w:t>
      </w:r>
      <w:r w:rsidRPr="00364899">
        <w:t>UKCEH contract report to Natural England, pp. 34</w:t>
      </w:r>
      <w:r>
        <w:t>.</w:t>
      </w:r>
    </w:p>
    <w:p w14:paraId="67346015" w14:textId="77777777" w:rsidR="00A167A9" w:rsidRPr="00A167A9" w:rsidRDefault="00A167A9" w:rsidP="00377F3A">
      <w:pPr>
        <w:pStyle w:val="NormalText"/>
      </w:pPr>
      <w:r w:rsidRPr="00A167A9">
        <w:t>Palmer R, 2014. Eradication of the Pacific rat (Rattus exulans) from Adele Island Nature Reserve, Western Australia: impacts of the October 2013 aerial baiting on non-target species. Western Australia Department of Parks and Wildlife, Wanneroo WA</w:t>
      </w:r>
    </w:p>
    <w:p w14:paraId="5F56FCD7" w14:textId="77777777" w:rsidR="00A167A9" w:rsidRPr="00A167A9" w:rsidRDefault="00A167A9" w:rsidP="00377F3A">
      <w:pPr>
        <w:pStyle w:val="NormalText"/>
      </w:pPr>
      <w:r w:rsidRPr="00A167A9">
        <w:t>Pank S, 1976. Effects of seed and background colours on seed acceptance by birds. J Wildl Manag 40: 769-774</w:t>
      </w:r>
    </w:p>
    <w:p w14:paraId="272E9D92" w14:textId="77777777" w:rsidR="00A167A9" w:rsidRPr="00A167A9" w:rsidRDefault="00A167A9" w:rsidP="00377F3A">
      <w:pPr>
        <w:pStyle w:val="NormalText"/>
      </w:pPr>
      <w:r w:rsidRPr="00A167A9">
        <w:t>Papa P and Rocchi L, 2001, Methods of Analysis of the Rodenticide Residues in Human and Animal Body Fluids and Tissues: Difenacoum Analytical Clinical Toxicology</w:t>
      </w:r>
    </w:p>
    <w:p w14:paraId="425FBF3C" w14:textId="77777777" w:rsidR="00A167A9" w:rsidRPr="00A167A9" w:rsidRDefault="00A167A9" w:rsidP="00377F3A">
      <w:pPr>
        <w:pStyle w:val="NormalText"/>
      </w:pPr>
      <w:r w:rsidRPr="00A167A9">
        <w:t xml:space="preserve">Parker, R.M., 1992, Dermal limit study of maki mini blocks administered to New Zealand White rabbits. </w:t>
      </w:r>
    </w:p>
    <w:p w14:paraId="6E38286D" w14:textId="77777777" w:rsidR="00A167A9" w:rsidRPr="00A167A9" w:rsidRDefault="00A167A9" w:rsidP="00377F3A">
      <w:pPr>
        <w:pStyle w:val="NormalText"/>
      </w:pPr>
      <w:r w:rsidRPr="00A167A9">
        <w:t>Parkinson G, 1976, PP581_Acute Toxicity of Brodifacoum to Sheep</w:t>
      </w:r>
    </w:p>
    <w:p w14:paraId="7B73D04F" w14:textId="77777777" w:rsidR="00A167A9" w:rsidRPr="00A167A9" w:rsidRDefault="00A167A9" w:rsidP="00377F3A">
      <w:pPr>
        <w:pStyle w:val="NormalText"/>
      </w:pPr>
      <w:r w:rsidRPr="00A167A9">
        <w:t>Parkinson G, 1976, The Acute Oral Toxicity (LD50) of PP581 to the Japanese Quail (for Summary see ref 109)</w:t>
      </w:r>
    </w:p>
    <w:p w14:paraId="250B6A80" w14:textId="77777777" w:rsidR="00A167A9" w:rsidRPr="00A167A9" w:rsidRDefault="00A167A9" w:rsidP="00377F3A">
      <w:pPr>
        <w:pStyle w:val="NormalText"/>
      </w:pPr>
      <w:r w:rsidRPr="00A167A9">
        <w:t>Parkinson G, 1978, Brodifacoum Pellet Formulation JFU5072 : Eye Irritation (Rabbits)</w:t>
      </w:r>
    </w:p>
    <w:p w14:paraId="42017775" w14:textId="77777777" w:rsidR="00A167A9" w:rsidRPr="00A167A9" w:rsidRDefault="00A167A9" w:rsidP="00377F3A">
      <w:pPr>
        <w:pStyle w:val="NormalText"/>
      </w:pPr>
      <w:r w:rsidRPr="00A167A9">
        <w:t>Parkinson G, 1978, PP581 - Acute Oral Toxicity of WBA 8119 to Male Rabbit</w:t>
      </w:r>
    </w:p>
    <w:p w14:paraId="4D509DDE" w14:textId="77777777" w:rsidR="00A167A9" w:rsidRPr="00A167A9" w:rsidRDefault="00A167A9" w:rsidP="00377F3A">
      <w:pPr>
        <w:pStyle w:val="NormalText"/>
      </w:pPr>
      <w:r w:rsidRPr="00A167A9">
        <w:t>Parkinson G, 1979, WBA 8119: Acute Oral Toxicity- Cat &amp; Dog plus Spanish Version (see ref 24, revised)</w:t>
      </w:r>
    </w:p>
    <w:p w14:paraId="28C529BD" w14:textId="77777777" w:rsidR="00A167A9" w:rsidRPr="00A167A9" w:rsidRDefault="00A167A9" w:rsidP="00377F3A">
      <w:pPr>
        <w:pStyle w:val="NormalText"/>
      </w:pPr>
      <w:r w:rsidRPr="00A167A9">
        <w:t>Parkinson G, 1981, Brodifacoum Formulation Concentrate (25% w/w): Eye Irritation to the Rabbit</w:t>
      </w:r>
    </w:p>
    <w:p w14:paraId="2EDEF434" w14:textId="77777777" w:rsidR="00A167A9" w:rsidRPr="00A167A9" w:rsidRDefault="00A167A9" w:rsidP="00377F3A">
      <w:pPr>
        <w:pStyle w:val="NormalText"/>
      </w:pPr>
      <w:r w:rsidRPr="00A167A9">
        <w:t>Parkinson GR, 1979. WBA8119: acute oral toxicity (dog and cat). Reference no. CTL/P/216</w:t>
      </w:r>
    </w:p>
    <w:p w14:paraId="3A4B3FBD" w14:textId="4B3CCFF9" w:rsidR="00A167A9" w:rsidRPr="00A167A9" w:rsidRDefault="00A167A9" w:rsidP="00377F3A">
      <w:pPr>
        <w:pStyle w:val="NormalText"/>
      </w:pPr>
      <w:r w:rsidRPr="00A167A9">
        <w:t xml:space="preserve">Parmar GH, Bratt H, Moore R, Batten PL, 1987. Evidence for a common binding site </w:t>
      </w:r>
      <w:r w:rsidR="00B0231D" w:rsidRPr="00B0231D">
        <w:rPr>
          <w:i/>
          <w:iCs/>
        </w:rPr>
        <w:t>in vivo</w:t>
      </w:r>
      <w:r w:rsidRPr="00A167A9">
        <w:t xml:space="preserve"> for the retention of anticoagulants in rat liver. Hum Toxicol 6: 431-432</w:t>
      </w:r>
    </w:p>
    <w:p w14:paraId="73D90F1F" w14:textId="77777777" w:rsidR="00A167A9" w:rsidRPr="00A167A9" w:rsidRDefault="00A167A9" w:rsidP="00377F3A">
      <w:pPr>
        <w:pStyle w:val="NormalText"/>
      </w:pPr>
      <w:r w:rsidRPr="00A167A9">
        <w:t>Paula Pitterle, -, Acute Oral Limit Test of Contrac All-Weather Blox in Young Adult Sprague Dawley Rats</w:t>
      </w:r>
    </w:p>
    <w:p w14:paraId="692613D1" w14:textId="77777777" w:rsidR="00A167A9" w:rsidRPr="00A167A9" w:rsidRDefault="00A167A9" w:rsidP="00377F3A">
      <w:pPr>
        <w:pStyle w:val="NormalText"/>
      </w:pPr>
      <w:r w:rsidRPr="00A167A9">
        <w:t>Paula Pitterle, -, Primary Dermal Irritation Eval. of Contrac Blox in Young Adult Rabbits</w:t>
      </w:r>
    </w:p>
    <w:p w14:paraId="74D326FE" w14:textId="77777777" w:rsidR="00A167A9" w:rsidRPr="00A167A9" w:rsidRDefault="00A167A9" w:rsidP="00377F3A">
      <w:pPr>
        <w:pStyle w:val="NormalText"/>
      </w:pPr>
      <w:r w:rsidRPr="00A167A9">
        <w:t>Pauluhn, J., 1982, ENE 11 183b (Endrocid; Racumin active ingredient) - Study for acute inhalation toxicity. Study No. 11344</w:t>
      </w:r>
    </w:p>
    <w:p w14:paraId="638BD7F5" w14:textId="77777777" w:rsidR="00A167A9" w:rsidRPr="00A167A9" w:rsidRDefault="00A167A9" w:rsidP="00377F3A">
      <w:pPr>
        <w:pStyle w:val="NormalText"/>
      </w:pPr>
      <w:r w:rsidRPr="00A167A9">
        <w:t>Pay JM, Katzner TE, Hawkins CE, Barmuta LA, Brown WE, Wiersma JM, Koch AJ, Mooney NJ, Cameron EZ, 2021. Endangered Australian top predator is frequently exposed to anticoagulant rodenticides. Sci Total Environ 788: 147673</w:t>
      </w:r>
    </w:p>
    <w:p w14:paraId="06E8AB3F" w14:textId="5133DCA4" w:rsidR="00A167A9" w:rsidRPr="00A167A9" w:rsidRDefault="00A167A9" w:rsidP="00377F3A">
      <w:pPr>
        <w:pStyle w:val="NormalText"/>
      </w:pPr>
      <w:r w:rsidRPr="00A167A9">
        <w:t>Pesselman R., Hazleton Wisconsin, 1990(a), Project number HLA 6001-605</w:t>
      </w:r>
    </w:p>
    <w:p w14:paraId="26FE502D" w14:textId="77777777" w:rsidR="00A167A9" w:rsidRPr="00A167A9" w:rsidRDefault="00A167A9" w:rsidP="00377F3A">
      <w:pPr>
        <w:pStyle w:val="NormalText"/>
      </w:pPr>
      <w:r w:rsidRPr="00A167A9">
        <w:t>Pesselman R., Hazleton Wisconsin, 1990(b), Project number HLA 6001-604</w:t>
      </w:r>
    </w:p>
    <w:p w14:paraId="0556A259" w14:textId="77777777" w:rsidR="00A167A9" w:rsidRPr="00A167A9" w:rsidRDefault="00A167A9" w:rsidP="00377F3A">
      <w:pPr>
        <w:pStyle w:val="NormalText"/>
      </w:pPr>
      <w:r w:rsidRPr="00A167A9">
        <w:t>Pesselman R., Hazleton Wisconsin, 1990(c), Project number HLA 6001-606</w:t>
      </w:r>
    </w:p>
    <w:p w14:paraId="679ED532" w14:textId="77777777" w:rsidR="00A167A9" w:rsidRPr="00A167A9" w:rsidRDefault="00A167A9" w:rsidP="00377F3A">
      <w:pPr>
        <w:pStyle w:val="NormalText"/>
      </w:pPr>
      <w:r w:rsidRPr="00A167A9">
        <w:lastRenderedPageBreak/>
        <w:t>Pesselman R., Hazleton Wisconsin, 1990(d), Project number HLA 6001-607</w:t>
      </w:r>
    </w:p>
    <w:p w14:paraId="5365C717" w14:textId="77777777" w:rsidR="00A167A9" w:rsidRPr="00A167A9" w:rsidRDefault="00A167A9" w:rsidP="00377F3A">
      <w:pPr>
        <w:pStyle w:val="NormalText"/>
      </w:pPr>
      <w:r w:rsidRPr="00A167A9">
        <w:t>Pesselman RL, 1991a. Vapor pressure determination of bromadiolone (BDN). Reference no. HLA 6001-659</w:t>
      </w:r>
    </w:p>
    <w:p w14:paraId="029394BA" w14:textId="77777777" w:rsidR="00A167A9" w:rsidRPr="00A167A9" w:rsidRDefault="00A167A9" w:rsidP="00377F3A">
      <w:pPr>
        <w:pStyle w:val="NormalText"/>
      </w:pPr>
      <w:r w:rsidRPr="00A167A9">
        <w:t>Pesselman RL, 1991b. Octanol/water partition coefficient determination of bromadiolone (BDN). Reference no. HLA 6001-660</w:t>
      </w:r>
    </w:p>
    <w:p w14:paraId="72BD4F1A" w14:textId="77777777" w:rsidR="00A167A9" w:rsidRPr="00A167A9" w:rsidRDefault="00A167A9" w:rsidP="00377F3A">
      <w:pPr>
        <w:pStyle w:val="NormalText"/>
      </w:pPr>
      <w:r w:rsidRPr="00A167A9">
        <w:t>Pesselman RL, 1992. Solubility determination of bromadiolone (BDN). Reference no. HLA 6001-658</w:t>
      </w:r>
    </w:p>
    <w:p w14:paraId="639086BE" w14:textId="77777777" w:rsidR="00A167A9" w:rsidRPr="00A167A9" w:rsidRDefault="00A167A9" w:rsidP="00377F3A">
      <w:pPr>
        <w:pStyle w:val="NormalText"/>
      </w:pPr>
      <w:r w:rsidRPr="00A167A9">
        <w:t>Pesselman, R., Hazleton Wisconsin, 1990(e), Project number HLA 6001-608</w:t>
      </w:r>
    </w:p>
    <w:p w14:paraId="3A8DFFF7" w14:textId="77777777" w:rsidR="00A167A9" w:rsidRPr="00A167A9" w:rsidRDefault="00A167A9" w:rsidP="00377F3A">
      <w:pPr>
        <w:pStyle w:val="NormalText"/>
      </w:pPr>
      <w:r w:rsidRPr="00A167A9">
        <w:t>Pesselman, R., Hazleton Wisconsin, 1990(f), Project number HLA 6001-660</w:t>
      </w:r>
    </w:p>
    <w:p w14:paraId="74A17182" w14:textId="77777777" w:rsidR="00A167A9" w:rsidRPr="00A167A9" w:rsidRDefault="00A167A9" w:rsidP="00377F3A">
      <w:pPr>
        <w:pStyle w:val="NormalText"/>
      </w:pPr>
      <w:r w:rsidRPr="00A167A9">
        <w:t>Pesselman, R., Hazleton Wisconsin, 1990(g), Project number HLA 6001-659</w:t>
      </w:r>
    </w:p>
    <w:p w14:paraId="708C6CB4" w14:textId="77777777" w:rsidR="00A167A9" w:rsidRPr="00A167A9" w:rsidRDefault="00A167A9" w:rsidP="00377F3A">
      <w:pPr>
        <w:pStyle w:val="NormalText"/>
      </w:pPr>
      <w:r w:rsidRPr="00A167A9">
        <w:t>Pesselman, R., Hazleton Wisconsin, 1990(h), Project number HLA 6001-658</w:t>
      </w:r>
    </w:p>
    <w:p w14:paraId="5633258F" w14:textId="77777777" w:rsidR="00A167A9" w:rsidRPr="00A167A9" w:rsidRDefault="00A167A9" w:rsidP="00377F3A">
      <w:pPr>
        <w:pStyle w:val="NormalText"/>
      </w:pPr>
      <w:r w:rsidRPr="00A167A9">
        <w:t>Phaff R, 2004. 14C-bromadiolone: aqueous photolysis under laboratory conditions. Reference no. 849289</w:t>
      </w:r>
    </w:p>
    <w:p w14:paraId="0334B5A5" w14:textId="77777777" w:rsidR="00A167A9" w:rsidRPr="00A167A9" w:rsidRDefault="00A167A9" w:rsidP="00377F3A">
      <w:pPr>
        <w:pStyle w:val="NormalText"/>
      </w:pPr>
      <w:r w:rsidRPr="00A167A9">
        <w:t>Phaff R., RCC Ltd, 2004, Study number 849289</w:t>
      </w:r>
    </w:p>
    <w:p w14:paraId="1829347D" w14:textId="77777777" w:rsidR="00A167A9" w:rsidRPr="006F78D3" w:rsidRDefault="00A167A9" w:rsidP="00377F3A">
      <w:pPr>
        <w:pStyle w:val="NormalText"/>
        <w:rPr>
          <w:lang w:val="de-CH"/>
        </w:rPr>
      </w:pPr>
      <w:r w:rsidRPr="00A167A9">
        <w:t xml:space="preserve">Phillips JC, 1996. An investigation into the absorption, tissue distribution and elimination of 14C-difenacoum following oral administration to rats. </w:t>
      </w:r>
      <w:r w:rsidRPr="006F78D3">
        <w:rPr>
          <w:lang w:val="de-CH"/>
        </w:rPr>
        <w:t>Reference no. 1555/2/3/96</w:t>
      </w:r>
    </w:p>
    <w:p w14:paraId="7FCF6611" w14:textId="77777777" w:rsidR="00A167A9" w:rsidRPr="00A167A9" w:rsidRDefault="00A167A9" w:rsidP="00377F3A">
      <w:pPr>
        <w:pStyle w:val="NormalText"/>
      </w:pPr>
      <w:r w:rsidRPr="006F78D3">
        <w:rPr>
          <w:lang w:val="de-CH"/>
        </w:rPr>
        <w:t xml:space="preserve">Pitt WC, Berentsen AR, Shiels AB, Volker SF, Eisemann JD, 2015. </w:t>
      </w:r>
      <w:r w:rsidRPr="00A167A9">
        <w:t>Non-target species mortality and the measurement of brodifacoum rodenticide residues after a rat (Rattus rattus) eradication on Palmyra Atoll, tropical Pacific. Biological Conservation 185: 36-46</w:t>
      </w:r>
    </w:p>
    <w:p w14:paraId="528B9608" w14:textId="77777777" w:rsidR="00A167A9" w:rsidRPr="00A167A9" w:rsidRDefault="00A167A9" w:rsidP="00377F3A">
      <w:pPr>
        <w:pStyle w:val="NormalText"/>
      </w:pPr>
      <w:r w:rsidRPr="00A167A9">
        <w:t>PMRA (Pest Management Regulatory Agency), 2009. Re-evaluation note REV2009: proposed risk mitigation measures for eight rodenticides. Health Canada, Ottawa ON</w:t>
      </w:r>
    </w:p>
    <w:p w14:paraId="5007947C" w14:textId="77777777" w:rsidR="00A167A9" w:rsidRPr="00A167A9" w:rsidRDefault="00A167A9" w:rsidP="00377F3A">
      <w:pPr>
        <w:pStyle w:val="NormalText"/>
      </w:pPr>
      <w:r w:rsidRPr="00A167A9">
        <w:t>PMRA (Pest Management Regulatory Agency), 2010. Re-evaluation note REV2010: risk mitigation measures for eight rodenticides. Health Canada, Ottawa ON</w:t>
      </w:r>
    </w:p>
    <w:p w14:paraId="4DD8423F" w14:textId="77777777" w:rsidR="00A167A9" w:rsidRPr="00A167A9" w:rsidRDefault="00A167A9" w:rsidP="00377F3A">
      <w:pPr>
        <w:pStyle w:val="NormalText"/>
      </w:pPr>
      <w:r w:rsidRPr="00A167A9">
        <w:t>Poché RM, 1988. Rodent tissue residue and secondary hazard studies with bromodiolone. EPPO Bulletin 18: 323-330</w:t>
      </w:r>
    </w:p>
    <w:p w14:paraId="7C72459F" w14:textId="77777777" w:rsidR="00A167A9" w:rsidRPr="00A167A9" w:rsidRDefault="00A167A9" w:rsidP="00377F3A">
      <w:pPr>
        <w:pStyle w:val="NormalText"/>
      </w:pPr>
      <w:r w:rsidRPr="00A167A9">
        <w:t>Price JB, 1984. The acute and sub-acute oral and acute percutaneous toxicity of WL108366 (technical material) in rats. Reference no. SBGR.84.124</w:t>
      </w:r>
    </w:p>
    <w:p w14:paraId="46E5E3B1" w14:textId="77777777" w:rsidR="00A167A9" w:rsidRPr="00A167A9" w:rsidRDefault="00A167A9" w:rsidP="00377F3A">
      <w:pPr>
        <w:pStyle w:val="NormalText"/>
      </w:pPr>
      <w:r w:rsidRPr="00A167A9">
        <w:t>Price, J.B. , 1984, WL108366: a 28 day feeding study in rats</w:t>
      </w:r>
    </w:p>
    <w:p w14:paraId="7C5CCBBF" w14:textId="77777777" w:rsidR="00A167A9" w:rsidRPr="00A167A9" w:rsidRDefault="00A167A9" w:rsidP="00377F3A">
      <w:pPr>
        <w:pStyle w:val="NormalText"/>
      </w:pPr>
      <w:r w:rsidRPr="00A167A9">
        <w:t>Priddel D, Carlile N, Wheeler R, 2000. Eradication of European rabbits (Oryctolagus cuniculus) from Cabbage Tree Island, NSW, Australia, to protect the breeding habitat of Gould's petrel (Pterodroma leucoptera leucoptera). Biol Conserv 94: 115-125</w:t>
      </w:r>
    </w:p>
    <w:p w14:paraId="0F016569" w14:textId="77777777" w:rsidR="00A167A9" w:rsidRPr="00A167A9" w:rsidRDefault="00A167A9" w:rsidP="00377F3A">
      <w:pPr>
        <w:pStyle w:val="NormalText"/>
      </w:pPr>
      <w:r w:rsidRPr="00A167A9">
        <w:t>Primus T, Wright G, Fisher P, 2005. Accidental discharge of brodifacoum baits in a tidal marine environment: a case study. Bulletin of Environmental Contamination and Toxicology 74: 913-919</w:t>
      </w:r>
    </w:p>
    <w:p w14:paraId="439C2CE9" w14:textId="77777777" w:rsidR="00A167A9" w:rsidRPr="00A167A9" w:rsidRDefault="00A167A9" w:rsidP="00377F3A">
      <w:pPr>
        <w:pStyle w:val="NormalText"/>
      </w:pPr>
      <w:r w:rsidRPr="00A167A9">
        <w:lastRenderedPageBreak/>
        <w:t>Punlar MJ, 2008. The metabolism of 14C-bromadiolone in the rat. Reference no. 29088</w:t>
      </w:r>
    </w:p>
    <w:p w14:paraId="5973B039" w14:textId="77777777" w:rsidR="00A167A9" w:rsidRPr="00A167A9" w:rsidRDefault="00A167A9" w:rsidP="00377F3A">
      <w:pPr>
        <w:pStyle w:val="NormalText"/>
      </w:pPr>
      <w:r w:rsidRPr="00A167A9">
        <w:t>Putt AE, 1991. Diphacinone technical: acute toxicity to daphnids (Daphnia magna) under flow-through conditions. Reference no. 91-9-3938</w:t>
      </w:r>
    </w:p>
    <w:p w14:paraId="463C62C8" w14:textId="77777777" w:rsidR="00A167A9" w:rsidRPr="00A167A9" w:rsidRDefault="00A167A9" w:rsidP="00377F3A">
      <w:pPr>
        <w:pStyle w:val="NormalText"/>
      </w:pPr>
      <w:r w:rsidRPr="00A167A9">
        <w:t>PWS (Parks and Wildlife Service), 2014. Evaluation report: Macquarie Island pest eradication project. Department of Primary Industries, Parks, Water and Environment, Hobart, Tasmania</w:t>
      </w:r>
    </w:p>
    <w:p w14:paraId="15A677F6" w14:textId="77777777" w:rsidR="00A167A9" w:rsidRPr="00A167A9" w:rsidRDefault="00A167A9" w:rsidP="00377F3A">
      <w:pPr>
        <w:pStyle w:val="NormalText"/>
      </w:pPr>
      <w:r w:rsidRPr="00A167A9">
        <w:t>R Parr-Dobrzanski, 1993, Acute Dermal Toxicity of WBA8119 to Male Rats</w:t>
      </w:r>
    </w:p>
    <w:p w14:paraId="2E54E206" w14:textId="77777777" w:rsidR="00A167A9" w:rsidRPr="00A167A9" w:rsidRDefault="00A167A9" w:rsidP="00377F3A">
      <w:pPr>
        <w:pStyle w:val="NormalText"/>
      </w:pPr>
      <w:r w:rsidRPr="00A167A9">
        <w:t>R Parr-Dobrzanski, 1993, Dermal Acute Toxicity PP581</w:t>
      </w:r>
    </w:p>
    <w:p w14:paraId="096FC8DD" w14:textId="77777777" w:rsidR="00A167A9" w:rsidRPr="00A167A9" w:rsidRDefault="00A167A9" w:rsidP="00377F3A">
      <w:pPr>
        <w:pStyle w:val="NormalText"/>
      </w:pPr>
      <w:r w:rsidRPr="00A167A9">
        <w:t>Rammell CG, Hoogenboom JJL, Cotter M, 1984. Brodifacoum residues in target and non-target animals following rabbit poisoning trials. NJZ Exp Agric 12: 107-111</w:t>
      </w:r>
    </w:p>
    <w:p w14:paraId="2079811B" w14:textId="77777777" w:rsidR="00A167A9" w:rsidRPr="00A167A9" w:rsidRDefault="00A167A9" w:rsidP="00377F3A">
      <w:pPr>
        <w:pStyle w:val="NormalText"/>
      </w:pPr>
      <w:r w:rsidRPr="00A167A9">
        <w:t>Rattner BA, Horak KE, Lazarus RS, Goldade DA, Johnston JJ, 2014. Toxicokinetics and coagulopathy threshold of the rodenticide diphacinone in easter screech-owls (Megascops asio). Environ Toxicol Chem 33(1): 74-81</w:t>
      </w:r>
    </w:p>
    <w:p w14:paraId="705AB2D6" w14:textId="77777777" w:rsidR="00A167A9" w:rsidRPr="00A167A9" w:rsidRDefault="00A167A9" w:rsidP="00377F3A">
      <w:pPr>
        <w:pStyle w:val="NormalText"/>
      </w:pPr>
      <w:r w:rsidRPr="00A167A9">
        <w:t>Rattner BA, Horak KE, Warner SE, Day DD, Meteyer CU, Volker SF, Eisemann JD, Johnston JJ, 2011. Acute toxicity, histopathology, and coagulaopathy in American kestrels (Falco sparverius) following administrations of the rodenticide diphacinone. Environ Toxicol Chem 30(5): 1213-1222</w:t>
      </w:r>
    </w:p>
    <w:p w14:paraId="628BA743" w14:textId="77777777" w:rsidR="00A167A9" w:rsidRPr="00A167A9" w:rsidRDefault="00A167A9" w:rsidP="00377F3A">
      <w:pPr>
        <w:pStyle w:val="NormalText"/>
      </w:pPr>
      <w:r w:rsidRPr="00A167A9">
        <w:t>Rattner BA, Lazarus RS, Elliott JE, Shore RF, van den Brink N, 2014. Adverse outcome pathway and risks of anticoagulant rodenticides to predatory wildlife. Environ Sci Techno 48(15): 8433-8445</w:t>
      </w:r>
    </w:p>
    <w:p w14:paraId="229CA85B" w14:textId="77777777" w:rsidR="00A167A9" w:rsidRPr="00A167A9" w:rsidRDefault="00A167A9" w:rsidP="00377F3A">
      <w:pPr>
        <w:pStyle w:val="NormalText"/>
      </w:pPr>
      <w:r w:rsidRPr="00A167A9">
        <w:t>Rattner BA, Voker SF, Lankton JS, Bean TG, Lazarus RS, Horak KE, 2020. Brodifacoum toxicity in American kestrels (Falco sparverius) with evidence of increased hazard on subsequent anticoagulant rodenticide exposure. Environ Toxicol Chem 39(2): 468-481</w:t>
      </w:r>
    </w:p>
    <w:p w14:paraId="6EF37DED" w14:textId="5578714B" w:rsidR="00A167A9" w:rsidRPr="00A167A9" w:rsidRDefault="00A167A9" w:rsidP="00377F3A">
      <w:pPr>
        <w:pStyle w:val="NormalText"/>
      </w:pPr>
      <w:r w:rsidRPr="00A167A9">
        <w:t xml:space="preserve">Ray </w:t>
      </w:r>
      <w:r w:rsidR="00B7183A" w:rsidRPr="00B7183A">
        <w:rPr>
          <w:i/>
          <w:iCs/>
        </w:rPr>
        <w:t>et</w:t>
      </w:r>
      <w:r w:rsidRPr="006F78D3">
        <w:rPr>
          <w:i/>
        </w:rPr>
        <w:t xml:space="preserve"> al</w:t>
      </w:r>
      <w:r w:rsidRPr="00A167A9">
        <w:t>., 2005, Determination of Brodifacoum and Bromadiolone Residues in Rodent and Canine Liver</w:t>
      </w:r>
    </w:p>
    <w:p w14:paraId="0E32E942" w14:textId="77777777" w:rsidR="00A167A9" w:rsidRPr="00A167A9" w:rsidRDefault="00A167A9" w:rsidP="00377F3A">
      <w:pPr>
        <w:pStyle w:val="NormalText"/>
      </w:pPr>
      <w:r w:rsidRPr="00A167A9">
        <w:t>Reagan EL, 1987. Acute oral LD50 study of bromadiolone in beagle dogs. Reference no. 9122B</w:t>
      </w:r>
    </w:p>
    <w:p w14:paraId="522B3BB4" w14:textId="77777777" w:rsidR="00A167A9" w:rsidRPr="00A167A9" w:rsidRDefault="00A167A9" w:rsidP="00377F3A">
      <w:pPr>
        <w:pStyle w:val="NormalText"/>
      </w:pPr>
      <w:r w:rsidRPr="00A167A9">
        <w:t xml:space="preserve">Reagan, E.L., 1987, Acute Oral LD50 Study of Bromadiolone in Beagle Dogs. </w:t>
      </w:r>
    </w:p>
    <w:p w14:paraId="5F9E411B" w14:textId="089F1BB2" w:rsidR="00A167A9" w:rsidRPr="00A167A9" w:rsidRDefault="00A167A9" w:rsidP="00377F3A">
      <w:pPr>
        <w:pStyle w:val="NormalText"/>
      </w:pPr>
      <w:r w:rsidRPr="00A167A9">
        <w:t xml:space="preserve">Redfern R., </w:t>
      </w:r>
      <w:r w:rsidR="00B7183A" w:rsidRPr="00B7183A">
        <w:rPr>
          <w:i/>
          <w:iCs/>
        </w:rPr>
        <w:t>et al</w:t>
      </w:r>
      <w:r w:rsidRPr="00A167A9">
        <w:t>, Journal of Hygiene, 1976, 77(3), 419-426</w:t>
      </w:r>
    </w:p>
    <w:p w14:paraId="5534850B" w14:textId="77777777" w:rsidR="00A167A9" w:rsidRPr="00A167A9" w:rsidRDefault="00A167A9" w:rsidP="00377F3A">
      <w:pPr>
        <w:pStyle w:val="NormalText"/>
      </w:pPr>
      <w:r w:rsidRPr="00A167A9">
        <w:t>Redpath CS, 1997. Bait LD50 feeding test on Neosorexa pellet bait against male and female Rattus norvegicus Wistar strain. Reference no. LR014/97</w:t>
      </w:r>
    </w:p>
    <w:p w14:paraId="5AE0E7D6" w14:textId="77777777" w:rsidR="00A167A9" w:rsidRPr="00A167A9" w:rsidRDefault="00A167A9" w:rsidP="00377F3A">
      <w:pPr>
        <w:pStyle w:val="NormalText"/>
      </w:pPr>
      <w:r w:rsidRPr="00A167A9">
        <w:t xml:space="preserve">Redpath, CS, 1992, Bait LD50 feeding studies on Neosorexa Block Bait against male and female Rattus Norvegicus, Wistar strain. </w:t>
      </w:r>
    </w:p>
    <w:p w14:paraId="012AEBB7" w14:textId="77777777" w:rsidR="00A167A9" w:rsidRPr="00A167A9" w:rsidRDefault="00A167A9" w:rsidP="00377F3A">
      <w:pPr>
        <w:pStyle w:val="NormalText"/>
      </w:pPr>
      <w:r w:rsidRPr="00A167A9">
        <w:t>Redpath, CS, 1997, Bait LD50 feeding studies on Neosorexa Pellet bait against male and female Rattus Norvegicus, Wistar strain.</w:t>
      </w:r>
    </w:p>
    <w:p w14:paraId="66A17F54" w14:textId="77777777" w:rsidR="00A167A9" w:rsidRPr="00A167A9" w:rsidRDefault="00A167A9" w:rsidP="00377F3A">
      <w:pPr>
        <w:pStyle w:val="NormalText"/>
      </w:pPr>
      <w:r w:rsidRPr="00A167A9">
        <w:t>Reece RL, Scott PC, Forsyth WM, Gould JA, Barr DA, 1985. Toxicity episodes involving agricultural chemicals and other substance in birds in Victoria, Australia. Vet Rec 117: 525-527</w:t>
      </w:r>
    </w:p>
    <w:p w14:paraId="5C9EAE07" w14:textId="77777777" w:rsidR="00A167A9" w:rsidRPr="00A167A9" w:rsidRDefault="00A167A9" w:rsidP="00377F3A">
      <w:pPr>
        <w:pStyle w:val="NormalText"/>
      </w:pPr>
      <w:r w:rsidRPr="00A167A9">
        <w:lastRenderedPageBreak/>
        <w:t>Regnery J, Parrhysius P, Schulz RS, Möhlenkamp C, Buchmeier G, Reifferscheid G, Brinke M, 2019. Wastewater-borne exposure of limnic fish to anticoagulant rodenticides. Wat Res 167: 115090</w:t>
      </w:r>
    </w:p>
    <w:p w14:paraId="4E873927" w14:textId="77777777" w:rsidR="00A167A9" w:rsidRPr="00A167A9" w:rsidRDefault="00A167A9" w:rsidP="00377F3A">
      <w:pPr>
        <w:pStyle w:val="NormalText"/>
      </w:pPr>
      <w:r w:rsidRPr="006F78D3">
        <w:rPr>
          <w:lang w:val="de-CH"/>
        </w:rPr>
        <w:t xml:space="preserve">Regnery J, Schulz RS, Parrhysius P, Bachtin J, Brinke M, Schäfer S, Reifferscheid G, Friesen A, 2020. </w:t>
      </w:r>
      <w:r w:rsidRPr="00A167A9">
        <w:t>Heavy rainfall provokes anticoagulant rodenticides' release from baited sewer systems and outdoor surfaces into receiving streams. Sci Total Environ 740: 139905</w:t>
      </w:r>
    </w:p>
    <w:p w14:paraId="34A87B9D" w14:textId="77777777" w:rsidR="00A167A9" w:rsidRPr="00A167A9" w:rsidRDefault="00A167A9" w:rsidP="00377F3A">
      <w:pPr>
        <w:pStyle w:val="NormalText"/>
      </w:pPr>
      <w:r w:rsidRPr="00A167A9">
        <w:t>Renhof, M., 2003, Coumatetralyl - Acute skin irritation/corrosion on rabbits. Study No. AT00739</w:t>
      </w:r>
    </w:p>
    <w:p w14:paraId="3E9B05D6" w14:textId="77777777" w:rsidR="00A167A9" w:rsidRPr="00A167A9" w:rsidRDefault="00A167A9" w:rsidP="00377F3A">
      <w:pPr>
        <w:pStyle w:val="NormalText"/>
      </w:pPr>
      <w:r w:rsidRPr="00A167A9">
        <w:t>Repetto-Larsay, M., 2006, Racumin paste 0.0375 - Evaluation of potential dermal sensitization in the local lymph node assay in the mouse. Study No. SA 06004, ID TXCOX005</w:t>
      </w:r>
    </w:p>
    <w:p w14:paraId="5C3BA760" w14:textId="77777777" w:rsidR="00A167A9" w:rsidRPr="00A167A9" w:rsidRDefault="00A167A9" w:rsidP="00377F3A">
      <w:pPr>
        <w:pStyle w:val="NormalText"/>
      </w:pPr>
      <w:r w:rsidRPr="00A167A9">
        <w:t>Ricau H, 2008. Octanol/water partition coefficient of bromadiolone at pH 6. Reference no. 08-912021-001</w:t>
      </w:r>
    </w:p>
    <w:p w14:paraId="7790F666" w14:textId="77777777" w:rsidR="00A167A9" w:rsidRPr="00A167A9" w:rsidRDefault="00A167A9" w:rsidP="00377F3A">
      <w:pPr>
        <w:pStyle w:val="NormalText"/>
      </w:pPr>
      <w:r w:rsidRPr="00A167A9">
        <w:t>Ricau, H., Defitraces, 2008, Report number 08-912021-001</w:t>
      </w:r>
    </w:p>
    <w:p w14:paraId="0F498FCF" w14:textId="77777777" w:rsidR="00A167A9" w:rsidRPr="00A167A9" w:rsidRDefault="00A167A9" w:rsidP="00377F3A">
      <w:pPr>
        <w:pStyle w:val="NormalText"/>
      </w:pPr>
      <w:r w:rsidRPr="00A167A9">
        <w:t>Ridley, S, 1995, Difenacoum: Induction of chromosome aberrations in cultured human peripheral blood lymphocytes.</w:t>
      </w:r>
    </w:p>
    <w:p w14:paraId="141EA948" w14:textId="77777777" w:rsidR="00A167A9" w:rsidRPr="00A167A9" w:rsidRDefault="00A167A9" w:rsidP="00377F3A">
      <w:pPr>
        <w:pStyle w:val="NormalText"/>
      </w:pPr>
      <w:r w:rsidRPr="00A167A9">
        <w:t>Ridley, S, 1996, Difenacoum: Induction of micronuclei in the bone marrow of treated rats</w:t>
      </w:r>
    </w:p>
    <w:p w14:paraId="7750E1A8" w14:textId="77777777" w:rsidR="00A167A9" w:rsidRPr="00A167A9" w:rsidRDefault="00A167A9" w:rsidP="00377F3A">
      <w:pPr>
        <w:pStyle w:val="NormalText"/>
      </w:pPr>
      <w:r w:rsidRPr="00A167A9">
        <w:t>Riekena CA, 1995a. Leaching through soil of technical diphacinone (2-(diphenylacethyl)-1H-indene-1,3-(2H)-dione). Reference no. BEL/1194/C146</w:t>
      </w:r>
    </w:p>
    <w:p w14:paraId="74EDD434" w14:textId="77777777" w:rsidR="00A167A9" w:rsidRPr="00A167A9" w:rsidRDefault="00A167A9" w:rsidP="00377F3A">
      <w:pPr>
        <w:pStyle w:val="NormalText"/>
      </w:pPr>
      <w:r w:rsidRPr="00A167A9">
        <w:t>Riekena CA, 1995b. Hydrolysis of technical diphacinone (2-(diphenylacetyl)-1H-indene-1,3(2H)-dione). Reference no. BEL/0894/C143</w:t>
      </w:r>
    </w:p>
    <w:p w14:paraId="62F2B790" w14:textId="77777777" w:rsidR="00A167A9" w:rsidRPr="00A167A9" w:rsidRDefault="00A167A9" w:rsidP="00377F3A">
      <w:pPr>
        <w:pStyle w:val="NormalText"/>
      </w:pPr>
      <w:r w:rsidRPr="00A167A9">
        <w:t>Roberts N, Fairley C, 1986, The Acute Oral Toxicity (LD50) of PP581 to the Mallard Duck</w:t>
      </w:r>
    </w:p>
    <w:p w14:paraId="14790614" w14:textId="77777777" w:rsidR="00A167A9" w:rsidRPr="00A167A9" w:rsidRDefault="00A167A9" w:rsidP="00377F3A">
      <w:pPr>
        <w:pStyle w:val="NormalText"/>
      </w:pPr>
      <w:r w:rsidRPr="00A167A9">
        <w:t>Roberts NL, Fairley C, Baldwin MK, 1985a. The acute oral toxicity (LD50) of WL108366 to the mallard duck. Reference no. FL-505-004</w:t>
      </w:r>
    </w:p>
    <w:p w14:paraId="01EADCED" w14:textId="77777777" w:rsidR="00A167A9" w:rsidRPr="00A167A9" w:rsidRDefault="00A167A9" w:rsidP="00377F3A">
      <w:pPr>
        <w:pStyle w:val="NormalText"/>
      </w:pPr>
      <w:r w:rsidRPr="00A167A9">
        <w:t>Roberts NL, Fairley C, Baldwin MK, 1985b. The acute oral toxicity of WL108366 to the mallard duck. Reference no. FL-505-005</w:t>
      </w:r>
    </w:p>
    <w:p w14:paraId="2A2A114B" w14:textId="77777777" w:rsidR="00A167A9" w:rsidRPr="00A167A9" w:rsidRDefault="00A167A9" w:rsidP="00377F3A">
      <w:pPr>
        <w:pStyle w:val="NormalText"/>
      </w:pPr>
      <w:r w:rsidRPr="00A167A9">
        <w:t>Roberts NL, Fairley C, Baldwin MK, 1985c. The short-term cumulative dietary toxicity of WL108366 to the mallard duck. Reference no. FL-505-008</w:t>
      </w:r>
    </w:p>
    <w:p w14:paraId="2AE62FA2" w14:textId="77777777" w:rsidR="00A167A9" w:rsidRPr="00A167A9" w:rsidRDefault="00A167A9" w:rsidP="00377F3A">
      <w:pPr>
        <w:pStyle w:val="NormalText"/>
      </w:pPr>
      <w:r w:rsidRPr="00A167A9">
        <w:t>Roberts NL, Fairley C, Baldwin MK, 1985d. The short-term cumulative dietary toxicity of WL108366 to the mallard duck. Reference no. FL-505-009</w:t>
      </w:r>
    </w:p>
    <w:p w14:paraId="5BBE2BF9" w14:textId="77777777" w:rsidR="00A167A9" w:rsidRPr="00A167A9" w:rsidRDefault="00A167A9" w:rsidP="00377F3A">
      <w:pPr>
        <w:pStyle w:val="NormalText"/>
      </w:pPr>
      <w:r w:rsidRPr="00A167A9">
        <w:t>Roberts NL, Fairley C, Baldwin MK, 1985e. The short-term cumulative dietary toxicity of WL108366 to the Japanese quail. Reference no. FL-505-006</w:t>
      </w:r>
    </w:p>
    <w:p w14:paraId="29A9CC4B" w14:textId="77777777" w:rsidR="00A167A9" w:rsidRPr="00A167A9" w:rsidRDefault="00A167A9" w:rsidP="00377F3A">
      <w:pPr>
        <w:pStyle w:val="NormalText"/>
      </w:pPr>
      <w:r w:rsidRPr="00A167A9">
        <w:t>Roberts NL, Fairley C, Baldwin MK, 1985f. The short-term cumulative dietary toxicity of WL108366 to the Japanese quail. Reference no. FL-505-007</w:t>
      </w:r>
    </w:p>
    <w:p w14:paraId="720F351B" w14:textId="77777777" w:rsidR="00A167A9" w:rsidRPr="00A167A9" w:rsidRDefault="00A167A9" w:rsidP="00377F3A">
      <w:pPr>
        <w:pStyle w:val="NormalText"/>
      </w:pPr>
      <w:r w:rsidRPr="00A167A9">
        <w:lastRenderedPageBreak/>
        <w:t>Rocha, A. C. R., 2021, Racumin Polvo (Coumatetralyl 0.75 CP) - Acute dermal irritation/corrosion study in rabbits (Oryctolagus cuniculus). Study No. RL25426/2021IC-B. Spec No. 102*37657</w:t>
      </w:r>
    </w:p>
    <w:p w14:paraId="4C75412C" w14:textId="77777777" w:rsidR="00A167A9" w:rsidRPr="00A167A9" w:rsidRDefault="00A167A9" w:rsidP="00377F3A">
      <w:pPr>
        <w:pStyle w:val="NormalText"/>
      </w:pPr>
      <w:r w:rsidRPr="00A167A9">
        <w:t>Rocha, A. C. R., 2021, Racumin Polvo (Coumatetralyl 0.75 CP) - Acute eye irritation/corrosion study in rabbits (Oryctolagus cuniculus). Study No. RL25467/2021IO-B. Spec no. 102*37657</w:t>
      </w:r>
    </w:p>
    <w:p w14:paraId="49521245" w14:textId="77777777" w:rsidR="00A167A9" w:rsidRPr="00A167A9" w:rsidRDefault="00A167A9" w:rsidP="00377F3A">
      <w:pPr>
        <w:pStyle w:val="NormalText"/>
      </w:pPr>
      <w:r w:rsidRPr="00A167A9">
        <w:t>Rodgers MH, 2000. Bromadiolone: acute toxicity (LD50) to mallard duck. Reference no. LPA 193</w:t>
      </w:r>
    </w:p>
    <w:p w14:paraId="6C93C05F" w14:textId="77777777" w:rsidR="00A167A9" w:rsidRPr="00A167A9" w:rsidRDefault="00A167A9" w:rsidP="00377F3A">
      <w:pPr>
        <w:pStyle w:val="NormalText"/>
      </w:pPr>
      <w:r w:rsidRPr="00A167A9">
        <w:t>Rogers A J., 1994, A 14-Day Oral Toxicity Evaluation of Technical Diphacinone in Young Adult Sprague-Dawley Rats.</w:t>
      </w:r>
    </w:p>
    <w:p w14:paraId="7B47FE82" w14:textId="77777777" w:rsidR="00A167A9" w:rsidRPr="00A167A9" w:rsidRDefault="00A167A9" w:rsidP="00377F3A">
      <w:pPr>
        <w:pStyle w:val="NormalText"/>
      </w:pPr>
      <w:r w:rsidRPr="00A167A9">
        <w:t>Roos S, Campbell ST, Hartley G, Shore RF, Walker LA, Wilson JD 2021 Annual abundance of common kestrels (Falco tinnunculus) is negatively associated with second generation anticoagulant rodenticides. Ecotoxicol 30: 560-574</w:t>
      </w:r>
    </w:p>
    <w:p w14:paraId="13FBC720" w14:textId="77777777" w:rsidR="00A167A9" w:rsidRPr="00A167A9" w:rsidRDefault="00A167A9" w:rsidP="00377F3A">
      <w:pPr>
        <w:pStyle w:val="NormalText"/>
      </w:pPr>
      <w:r w:rsidRPr="00A167A9">
        <w:t>Rose AB, 1996. Notes on the diet of the barn owl Tyto alba in New South Wales. Aust Bird Watch 16(8): 327-331</w:t>
      </w:r>
    </w:p>
    <w:p w14:paraId="3D12E0E1" w14:textId="77777777" w:rsidR="00A167A9" w:rsidRPr="00A167A9" w:rsidRDefault="00A167A9" w:rsidP="00377F3A">
      <w:pPr>
        <w:pStyle w:val="NormalText"/>
      </w:pPr>
      <w:r w:rsidRPr="00A167A9">
        <w:t>Ross D, Roberts N, 1976, PP581_Acute Oral Toxicity to Sheep</w:t>
      </w:r>
    </w:p>
    <w:p w14:paraId="1849F1CE" w14:textId="77777777" w:rsidR="00A167A9" w:rsidRPr="00A167A9" w:rsidRDefault="00A167A9" w:rsidP="00377F3A">
      <w:pPr>
        <w:pStyle w:val="NormalText"/>
      </w:pPr>
      <w:r w:rsidRPr="00A167A9">
        <w:t>Ross D, Roberts N, Cameron D, 1977, Primary Eye Irritation Eval. of Final Rodenticide In young Adult New Zealand White Rabbits</w:t>
      </w:r>
    </w:p>
    <w:p w14:paraId="67CE2C0C" w14:textId="77777777" w:rsidR="00A167A9" w:rsidRPr="00A167A9" w:rsidRDefault="00A167A9" w:rsidP="00377F3A">
      <w:pPr>
        <w:pStyle w:val="NormalText"/>
      </w:pPr>
      <w:r w:rsidRPr="00A167A9">
        <w:t>Ross D, Roberts N, Cameron D, 1977, Summary-The Acute Oral Toxicity (LD50) of PP581 to the Chicken</w:t>
      </w:r>
    </w:p>
    <w:p w14:paraId="6B7CBBBF" w14:textId="77777777" w:rsidR="00A167A9" w:rsidRPr="00A167A9" w:rsidRDefault="00A167A9" w:rsidP="00377F3A">
      <w:pPr>
        <w:pStyle w:val="NormalText"/>
      </w:pPr>
      <w:r w:rsidRPr="00A167A9">
        <w:t>Ross D, Roberts N, Cameron D, 1977, The Acute Oral Toxicity of Brodifacoum to the Ring-Necked Pheasant</w:t>
      </w:r>
    </w:p>
    <w:p w14:paraId="2B3B841A" w14:textId="77777777" w:rsidR="00A167A9" w:rsidRPr="00A167A9" w:rsidRDefault="00A167A9" w:rsidP="00377F3A">
      <w:pPr>
        <w:pStyle w:val="NormalText"/>
      </w:pPr>
      <w:r w:rsidRPr="00A167A9">
        <w:t>Ross D, Roberts N, Cameron D, 1978, The Acute Oral Toxicity (LD50) of Brodifacoum to the Mallard Duck (also see ref 100 and 101)</w:t>
      </w:r>
    </w:p>
    <w:p w14:paraId="25479AB6" w14:textId="77777777" w:rsidR="00A167A9" w:rsidRPr="00A167A9" w:rsidRDefault="00A167A9" w:rsidP="00377F3A">
      <w:pPr>
        <w:pStyle w:val="NormalText"/>
      </w:pPr>
      <w:r w:rsidRPr="00A167A9">
        <w:t>Ross D, Roberts N, Fairley C, 1980, Brodifacoum Wax Block Formulation (GFU084): Acute Dermal Toxicity (Rabbit)</w:t>
      </w:r>
    </w:p>
    <w:p w14:paraId="4706F39C" w14:textId="77777777" w:rsidR="00A167A9" w:rsidRPr="00A167A9" w:rsidRDefault="00A167A9" w:rsidP="00377F3A">
      <w:pPr>
        <w:pStyle w:val="NormalText"/>
      </w:pPr>
      <w:r w:rsidRPr="00A167A9">
        <w:t>Ross DB, Roberts NL, 1976. The oral toxicity of WB8119 to the domestic pig. Reference no. SRX 2/7670</w:t>
      </w:r>
    </w:p>
    <w:p w14:paraId="70BC8A0D" w14:textId="77777777" w:rsidR="00A167A9" w:rsidRPr="00A167A9" w:rsidRDefault="00A167A9" w:rsidP="00377F3A">
      <w:pPr>
        <w:pStyle w:val="NormalText"/>
      </w:pPr>
      <w:r w:rsidRPr="00A167A9">
        <w:t>Ross DB, Roberts NL, Cameron DM, 1977a. The acute oral toxicity (LD50) of PP581 to the chicken (summary). Reference no. ICI 122 WL/77600</w:t>
      </w:r>
    </w:p>
    <w:p w14:paraId="0C090186" w14:textId="77777777" w:rsidR="00A167A9" w:rsidRPr="00A167A9" w:rsidRDefault="00A167A9" w:rsidP="00377F3A">
      <w:pPr>
        <w:pStyle w:val="NormalText"/>
      </w:pPr>
      <w:r w:rsidRPr="00A167A9">
        <w:t>Ross DB, Roberts NL, Cameron DM, 1977b. The acute oral toxicity (LD50) of PP581 to the Japanese quail (summary). Reference no. ICI 122 WL/77599</w:t>
      </w:r>
    </w:p>
    <w:p w14:paraId="508C1B44" w14:textId="77777777" w:rsidR="00A167A9" w:rsidRPr="00A167A9" w:rsidRDefault="00A167A9" w:rsidP="00377F3A">
      <w:pPr>
        <w:pStyle w:val="NormalText"/>
      </w:pPr>
      <w:r w:rsidRPr="00A167A9">
        <w:t>Ross DB, Roberts NL, Fairley C, 1980. The acute oral toxicity (LD50) of brodifacoum to the mallard duck. Reference no. ICI 308 WL/791275</w:t>
      </w:r>
    </w:p>
    <w:p w14:paraId="29FED247" w14:textId="77777777" w:rsidR="00A167A9" w:rsidRPr="00A167A9" w:rsidRDefault="00A167A9" w:rsidP="00377F3A">
      <w:pPr>
        <w:pStyle w:val="NormalText"/>
      </w:pPr>
      <w:r w:rsidRPr="00A167A9">
        <w:t>Ross JG, Henderson RJ, 2003. An evaluation of two long-life baits containing diphacinone for the control of ferrets (Mustela furo). NZ Plant Prot 56: 71-76</w:t>
      </w:r>
    </w:p>
    <w:p w14:paraId="2FD5A7B7" w14:textId="77777777" w:rsidR="00A167A9" w:rsidRPr="00A167A9" w:rsidRDefault="00A167A9" w:rsidP="00377F3A">
      <w:pPr>
        <w:pStyle w:val="NormalText"/>
      </w:pPr>
      <w:r w:rsidRPr="00A167A9">
        <w:t>Rowley JJL, Symons A, Doyle C, Hall J, Rose K, Stapp L, Lettoof DC, 2024. Broad-scale pesticide screening finds anticoagulant rodenticide and legacy pesticides in Australian frogs. Sci Total Environ 930: 172526</w:t>
      </w:r>
    </w:p>
    <w:p w14:paraId="328FDA9E" w14:textId="77777777" w:rsidR="00A167A9" w:rsidRPr="00A167A9" w:rsidRDefault="00A167A9" w:rsidP="00377F3A">
      <w:pPr>
        <w:pStyle w:val="NormalText"/>
      </w:pPr>
      <w:r w:rsidRPr="00A167A9">
        <w:lastRenderedPageBreak/>
        <w:t>Rueda D, Campbell KJ, Fisher P, Cunninghame F, Ponder JB, 2016. Biologically significant residual persistence of brodifacoum in reptiles following invasive rodent eradication, Galapagos Islands, Ecuador. Conservation Evidence 13: 38</w:t>
      </w:r>
    </w:p>
    <w:p w14:paraId="53C2AFA5" w14:textId="77777777" w:rsidR="00A167A9" w:rsidRPr="00A167A9" w:rsidRDefault="00A167A9" w:rsidP="00377F3A">
      <w:pPr>
        <w:pStyle w:val="NormalText"/>
      </w:pPr>
      <w:r w:rsidRPr="00A167A9">
        <w:t>Russell S, 1996. Difenacoum: determination of physico-chemical properties. Reference no. 355/7-1014</w:t>
      </w:r>
    </w:p>
    <w:p w14:paraId="6ED93B62" w14:textId="77777777" w:rsidR="00A167A9" w:rsidRPr="00A167A9" w:rsidRDefault="00A167A9" w:rsidP="00377F3A">
      <w:pPr>
        <w:pStyle w:val="NormalText"/>
      </w:pPr>
      <w:r w:rsidRPr="00A167A9">
        <w:t>Rutkowski JV, 1987. Acute oral toxicity (limit) test and single dose dermal toxicity test with LM-2219 pellets. APVMA data no. 12452</w:t>
      </w:r>
    </w:p>
    <w:p w14:paraId="1EC814C4" w14:textId="77777777" w:rsidR="00A167A9" w:rsidRPr="00A167A9" w:rsidRDefault="00A167A9" w:rsidP="00377F3A">
      <w:pPr>
        <w:pStyle w:val="NormalText"/>
      </w:pPr>
      <w:r w:rsidRPr="00A167A9">
        <w:t>Rutkowski, J V. , 1987, Acute Oral Toxicity Study (Limit Test) and Single Dose Dermal Toxicity Test with LM-2219 Pellets.</w:t>
      </w:r>
    </w:p>
    <w:p w14:paraId="7CD167E9" w14:textId="77777777" w:rsidR="00A167A9" w:rsidRPr="00A167A9" w:rsidRDefault="00A167A9" w:rsidP="00377F3A">
      <w:pPr>
        <w:pStyle w:val="NormalText"/>
      </w:pPr>
      <w:r w:rsidRPr="00A167A9">
        <w:t>Sacker DJ, 2004. The bioconcentration potential of difenacoum in rainbow trout (Oncorhynchus mykiss) under flow-through conditions. Reference no. ENV6596/120139</w:t>
      </w:r>
    </w:p>
    <w:p w14:paraId="088C4524" w14:textId="77777777" w:rsidR="00A167A9" w:rsidRPr="00A167A9" w:rsidRDefault="00A167A9" w:rsidP="00377F3A">
      <w:pPr>
        <w:pStyle w:val="NormalText"/>
      </w:pPr>
      <w:r w:rsidRPr="00A167A9">
        <w:t>Sage M, Coerdassier M, Defaut R, Gimbert F, Berny P, Giraudoux P, 2008. Kinetics of bromadiolone in rodent populations and implications for predators after field control of the water vole, Arvicola terrestris. Sci Total Environ 407: 211-222</w:t>
      </w:r>
    </w:p>
    <w:p w14:paraId="08453459" w14:textId="77777777" w:rsidR="00A167A9" w:rsidRPr="00A167A9" w:rsidRDefault="00A167A9" w:rsidP="00377F3A">
      <w:pPr>
        <w:pStyle w:val="NormalText"/>
      </w:pPr>
      <w:r w:rsidRPr="00A167A9">
        <w:t>Salim H, Noor HM, Hamid NH, Omar D, Kasim A, Abidin CMRZ, 2014. Secondary poisoning of captive barn owls Tyto alba javanica through feeding with rats poisoned with chlorophacinone and bromodiolone. J Oil Palm Res 26(1): 62-72</w:t>
      </w:r>
    </w:p>
    <w:p w14:paraId="61F5EBA2" w14:textId="77777777" w:rsidR="00A167A9" w:rsidRPr="00A167A9" w:rsidRDefault="00A167A9" w:rsidP="00377F3A">
      <w:pPr>
        <w:pStyle w:val="NormalText"/>
      </w:pPr>
      <w:r w:rsidRPr="00A167A9">
        <w:t>Samaniego-Herrera A, Aguirre-Muñoz A, Howald GR, Félix-Lizárraga M, Valdez-Villavicencio J, González-Gómez, Méndez-Sánchez F, Torres-García F, Rodríguez-Malagón, Tershy BR, 2009. Eradication of black rats from Farallón de San Ignacio and San Pedro Martir Islands, Gulf of California, Mexico. Proceedings of the 7th California Islands Symposium. Institute for Wildlife Studies, Arcata, CA, pp 337-347</w:t>
      </w:r>
    </w:p>
    <w:p w14:paraId="325D939F" w14:textId="77777777" w:rsidR="00A167A9" w:rsidRPr="00A167A9" w:rsidRDefault="00A167A9" w:rsidP="00377F3A">
      <w:pPr>
        <w:pStyle w:val="NormalText"/>
      </w:pPr>
      <w:r w:rsidRPr="00A167A9">
        <w:t>Sánchez-Barbudo IS, Camarero PR, Mateo R, 2012. Primary and secondary poisoning by anticoagulant rodenticides of non-target animals in Spain. Science of the Total Environment 420: 280-288</w:t>
      </w:r>
    </w:p>
    <w:p w14:paraId="4AF51892" w14:textId="5AF64026" w:rsidR="00A167A9" w:rsidRPr="00A167A9" w:rsidRDefault="00A167A9" w:rsidP="00377F3A">
      <w:pPr>
        <w:pStyle w:val="NormalText"/>
      </w:pPr>
      <w:r w:rsidRPr="00A167A9">
        <w:t xml:space="preserve">SanSebastian J R., 1992, </w:t>
      </w:r>
      <w:r w:rsidR="00B0231D" w:rsidRPr="00B0231D">
        <w:rPr>
          <w:i/>
          <w:iCs/>
        </w:rPr>
        <w:t>In vivo</w:t>
      </w:r>
      <w:r w:rsidRPr="00A167A9">
        <w:t xml:space="preserve"> Micronucleus Test with Diphacinone in Mouse Bone Marrow Erythropoietic Cells.</w:t>
      </w:r>
    </w:p>
    <w:p w14:paraId="37BC82C4" w14:textId="77777777" w:rsidR="00A167A9" w:rsidRPr="00A167A9" w:rsidRDefault="00A167A9" w:rsidP="00377F3A">
      <w:pPr>
        <w:pStyle w:val="NormalText"/>
      </w:pPr>
      <w:r w:rsidRPr="00A167A9">
        <w:t>Saravanan K, Kanakasabai R, 2004. Evaluation of secondary poisoning of difethialone, a new second-generation anticoagulant rodenticide to barn owl, Tyto alba Hartert under captivity. Indian J Exp Biol 42(10): 1013-1016</w:t>
      </w:r>
    </w:p>
    <w:p w14:paraId="55F157FE" w14:textId="77777777" w:rsidR="00A167A9" w:rsidRPr="00A167A9" w:rsidRDefault="00A167A9" w:rsidP="00377F3A">
      <w:pPr>
        <w:pStyle w:val="NormalText"/>
      </w:pPr>
      <w:r w:rsidRPr="00A167A9">
        <w:t>Sarff P, 2002. Determination of n-octanol/water partition coefficient (shake flask method) for bromadiolone. Reference no. 47074</w:t>
      </w:r>
    </w:p>
    <w:p w14:paraId="26C98D5B" w14:textId="77777777" w:rsidR="00A167A9" w:rsidRPr="00A167A9" w:rsidRDefault="00A167A9" w:rsidP="00377F3A">
      <w:pPr>
        <w:pStyle w:val="NormalText"/>
      </w:pPr>
      <w:r w:rsidRPr="00A167A9">
        <w:t>Sarff P. and Locke J., ABC Laboratories Inc, 2002, Study number 47070</w:t>
      </w:r>
    </w:p>
    <w:p w14:paraId="1D40ACFC" w14:textId="77777777" w:rsidR="00A167A9" w:rsidRPr="00A167A9" w:rsidRDefault="00A167A9" w:rsidP="00377F3A">
      <w:pPr>
        <w:pStyle w:val="NormalText"/>
      </w:pPr>
      <w:r w:rsidRPr="00A167A9">
        <w:t>Sarff P., ABC Laboratories Inc, 2002(a), Study number 47069</w:t>
      </w:r>
    </w:p>
    <w:p w14:paraId="5538F99E" w14:textId="77777777" w:rsidR="00A167A9" w:rsidRPr="00A167A9" w:rsidRDefault="00A167A9" w:rsidP="00377F3A">
      <w:pPr>
        <w:pStyle w:val="NormalText"/>
      </w:pPr>
      <w:r w:rsidRPr="00A167A9">
        <w:t>Sarff P., ABC Laboratories Inc, 2002(b), Study number 47074</w:t>
      </w:r>
    </w:p>
    <w:p w14:paraId="05CCF37A" w14:textId="77777777" w:rsidR="00A167A9" w:rsidRPr="00A167A9" w:rsidRDefault="00A167A9" w:rsidP="00377F3A">
      <w:pPr>
        <w:pStyle w:val="NormalText"/>
      </w:pPr>
      <w:r w:rsidRPr="00A167A9">
        <w:t>Saunders GR, 1983. Evaluation of mouse-plague control techniques in irrigated sunflower crops. Crop Prot 2(4): 437-445</w:t>
      </w:r>
    </w:p>
    <w:p w14:paraId="22A530F7" w14:textId="77777777" w:rsidR="00A167A9" w:rsidRPr="00A167A9" w:rsidRDefault="00A167A9" w:rsidP="00377F3A">
      <w:pPr>
        <w:pStyle w:val="NormalText"/>
      </w:pPr>
      <w:r w:rsidRPr="00A167A9">
        <w:lastRenderedPageBreak/>
        <w:t>Savarie PJ, 2005. Secondary toxicity hazard assessment of difethialone in black-billed magpies (Pica pica) and European ferrets (Mustela putoris furo). APVMA data no. 9391</w:t>
      </w:r>
    </w:p>
    <w:p w14:paraId="36543C90" w14:textId="77777777" w:rsidR="00A167A9" w:rsidRPr="00A167A9" w:rsidRDefault="00A167A9" w:rsidP="00377F3A">
      <w:pPr>
        <w:pStyle w:val="NormalText"/>
      </w:pPr>
      <w:r w:rsidRPr="00A167A9">
        <w:t>Scammell K, Cooke R, Yokochi K, Carter N,Nguyen H, White JG, 2024. The missing toxic link: exposure of non-target native marsupials to second-generation anticoagulant rodenticides (SGARs) suggest a potential route of transfer into apex predators. Sci Total Environ 933: 173191</w:t>
      </w:r>
    </w:p>
    <w:p w14:paraId="58A42911" w14:textId="77777777" w:rsidR="00A167A9" w:rsidRPr="00A167A9" w:rsidRDefault="00A167A9" w:rsidP="00377F3A">
      <w:pPr>
        <w:pStyle w:val="NormalText"/>
      </w:pPr>
      <w:r w:rsidRPr="00A167A9">
        <w:t>Scheerbaum D, 2007a. Bromadiolone: fish (rainbow trout) acute toxicity test, semi-static 96h. Reference no. FAR113101</w:t>
      </w:r>
    </w:p>
    <w:p w14:paraId="2CC85954" w14:textId="77777777" w:rsidR="00A167A9" w:rsidRPr="00A167A9" w:rsidRDefault="00A167A9" w:rsidP="00377F3A">
      <w:pPr>
        <w:pStyle w:val="NormalText"/>
      </w:pPr>
      <w:r w:rsidRPr="00A167A9">
        <w:t>Scheerbaum D, 2007b. Bromadiolone: fish (rainbow trout) acute toxicity test, semi-static 96h (amendment). Reference no. FAR113101</w:t>
      </w:r>
    </w:p>
    <w:p w14:paraId="1D17B16D" w14:textId="77777777" w:rsidR="00A167A9" w:rsidRPr="00A167A9" w:rsidRDefault="00A167A9" w:rsidP="00377F3A">
      <w:pPr>
        <w:pStyle w:val="NormalText"/>
      </w:pPr>
      <w:r w:rsidRPr="00A167A9">
        <w:t>Scheerbaum D, 2007c. Bromadiolone: alga growth inhibition test with Pseudokirchneriella subcapitata 72h. Reference no. SPO113101</w:t>
      </w:r>
    </w:p>
    <w:p w14:paraId="30FE6822" w14:textId="77777777" w:rsidR="00A167A9" w:rsidRPr="00A167A9" w:rsidRDefault="00A167A9" w:rsidP="00377F3A">
      <w:pPr>
        <w:pStyle w:val="NormalText"/>
      </w:pPr>
      <w:r w:rsidRPr="00A167A9">
        <w:t>Scholz K, 1987a. Metabolism of 14C-coumatetralyl (Racumin) in soil under aerobic and anaerobic conditions. Reference no. M-083176-01-1</w:t>
      </w:r>
    </w:p>
    <w:p w14:paraId="2AEDA969" w14:textId="77777777" w:rsidR="00A167A9" w:rsidRPr="00A167A9" w:rsidRDefault="00A167A9" w:rsidP="00377F3A">
      <w:pPr>
        <w:pStyle w:val="NormalText"/>
      </w:pPr>
      <w:r w:rsidRPr="00A167A9">
        <w:t>Scholz K, 1987b. Degradation of 14C-coumatetrayl (Racumin) in soils under aerobic conditions, 14C-CO2-study. Reference no. M-084098-01-1</w:t>
      </w:r>
    </w:p>
    <w:p w14:paraId="7A88D870" w14:textId="77777777" w:rsidR="00A167A9" w:rsidRPr="00A167A9" w:rsidRDefault="00A167A9" w:rsidP="00377F3A">
      <w:pPr>
        <w:pStyle w:val="NormalText"/>
      </w:pPr>
      <w:r w:rsidRPr="00A167A9">
        <w:t>Schuengel, M., 2003, Coumatetralyl 0.0375 percent paste bait - Acute toxicity in the rat after dermal application. Study No. AT00729</w:t>
      </w:r>
    </w:p>
    <w:p w14:paraId="6EE442D6" w14:textId="77777777" w:rsidR="00A167A9" w:rsidRPr="00A167A9" w:rsidRDefault="00A167A9" w:rsidP="00377F3A">
      <w:pPr>
        <w:pStyle w:val="NormalText"/>
      </w:pPr>
      <w:r w:rsidRPr="00A167A9">
        <w:t>Schuengel, M., 2003, Coumatetralyl 0.0375 percent paste bait - Acute toxicity in the rat after oral administration. Study No. AT00730</w:t>
      </w:r>
    </w:p>
    <w:p w14:paraId="45E4F936" w14:textId="77777777" w:rsidR="00A167A9" w:rsidRPr="00A167A9" w:rsidRDefault="00A167A9" w:rsidP="00377F3A">
      <w:pPr>
        <w:pStyle w:val="NormalText"/>
      </w:pPr>
      <w:r w:rsidRPr="00A167A9">
        <w:t>Schwarz H, 2004. Determination of the ultimate anaerobic biodegradability in the anaerobic biodegradation test. Reference no. 2004/1003847</w:t>
      </w:r>
    </w:p>
    <w:p w14:paraId="7C3974FD" w14:textId="77777777" w:rsidR="00A167A9" w:rsidRPr="00A167A9" w:rsidRDefault="00A167A9" w:rsidP="00377F3A">
      <w:pPr>
        <w:pStyle w:val="NormalText"/>
      </w:pPr>
      <w:r w:rsidRPr="00A167A9">
        <w:t xml:space="preserve">Sebestyen I, 1996, Acute Dermal Toxicity Study of Test Substance Technical Bromadiolone in Rats. </w:t>
      </w:r>
    </w:p>
    <w:p w14:paraId="434A0F16" w14:textId="77777777" w:rsidR="00A167A9" w:rsidRPr="00A167A9" w:rsidRDefault="00A167A9" w:rsidP="00377F3A">
      <w:pPr>
        <w:pStyle w:val="NormalText"/>
      </w:pPr>
      <w:r w:rsidRPr="00A167A9">
        <w:t xml:space="preserve">Sebestyen I, 1996, Acute Oral Toxicity Study of Test Substance Technical Bromadiolone in Rats. </w:t>
      </w:r>
    </w:p>
    <w:p w14:paraId="0B319E88" w14:textId="77777777" w:rsidR="00A167A9" w:rsidRPr="00A167A9" w:rsidRDefault="00A167A9" w:rsidP="00377F3A">
      <w:pPr>
        <w:pStyle w:val="NormalText"/>
      </w:pPr>
      <w:r w:rsidRPr="00A167A9">
        <w:t>Sebestyén I, 1996. Acute oral toxicity study of test substance technical bromadiolone in rats. Reference no. 96/299-001P</w:t>
      </w:r>
    </w:p>
    <w:p w14:paraId="099B6B3A" w14:textId="77777777" w:rsidR="00A167A9" w:rsidRPr="00A167A9" w:rsidRDefault="00A167A9" w:rsidP="00377F3A">
      <w:pPr>
        <w:pStyle w:val="NormalText"/>
      </w:pPr>
      <w:r w:rsidRPr="00A167A9">
        <w:t>Serieys LEK, Bishop J, Okes N, Broadfield J, Winterton DJ, Poppenga RH, Viljoen S, Wayne RK, O'Riain MJ, 2019. Widespread anticoagulant poison exposure in predators in a rapidly growing South African city. Sci Total Environ 666: 581-590</w:t>
      </w:r>
    </w:p>
    <w:p w14:paraId="2A6D3CCE" w14:textId="77777777" w:rsidR="00A167A9" w:rsidRPr="00A167A9" w:rsidRDefault="00A167A9" w:rsidP="00377F3A">
      <w:pPr>
        <w:pStyle w:val="NormalText"/>
      </w:pPr>
      <w:r w:rsidRPr="00A167A9">
        <w:t>Sewell JG, McKenzie J, 2003. Coumatetralyl (technical): acute toxicity to rainbow trout (Oncorhynchus mykiss). Reference no. M-121693-01-1</w:t>
      </w:r>
    </w:p>
    <w:p w14:paraId="3BC26F2C" w14:textId="77777777" w:rsidR="00A167A9" w:rsidRPr="00A167A9" w:rsidRDefault="00A167A9" w:rsidP="00377F3A">
      <w:pPr>
        <w:pStyle w:val="NormalText"/>
      </w:pPr>
      <w:r w:rsidRPr="00A167A9">
        <w:t>Shapiro R, 1985a. Bromadiolone: avian single dose oral LD50 (bobwhite quail). Reference no. T-5100</w:t>
      </w:r>
    </w:p>
    <w:p w14:paraId="2D2FB7A3" w14:textId="77777777" w:rsidR="00A167A9" w:rsidRPr="00A167A9" w:rsidRDefault="00A167A9" w:rsidP="00377F3A">
      <w:pPr>
        <w:pStyle w:val="NormalText"/>
      </w:pPr>
      <w:r w:rsidRPr="00A167A9">
        <w:t>Shapiro R, 1985b. Bromadiolone: avian dietary LC50 (bobwhite quail). Reference no. T-5099</w:t>
      </w:r>
    </w:p>
    <w:p w14:paraId="1AA4BB17" w14:textId="77777777" w:rsidR="00A167A9" w:rsidRPr="00A167A9" w:rsidRDefault="00A167A9" w:rsidP="00377F3A">
      <w:pPr>
        <w:pStyle w:val="NormalText"/>
      </w:pPr>
      <w:r w:rsidRPr="00A167A9">
        <w:lastRenderedPageBreak/>
        <w:t>Shapiro R., 1990b, EPA Primary Eve Irritation Test.</w:t>
      </w:r>
    </w:p>
    <w:p w14:paraId="3CAA10C9" w14:textId="77777777" w:rsidR="00A167A9" w:rsidRPr="00A167A9" w:rsidRDefault="00A167A9" w:rsidP="00377F3A">
      <w:pPr>
        <w:pStyle w:val="NormalText"/>
      </w:pPr>
      <w:r w:rsidRPr="00A167A9">
        <w:t>Shapiro R., 1990c, EPA Dermal Irritation Test.</w:t>
      </w:r>
    </w:p>
    <w:p w14:paraId="6352C808" w14:textId="77777777" w:rsidR="00A167A9" w:rsidRPr="00A167A9" w:rsidRDefault="00A167A9" w:rsidP="00377F3A">
      <w:pPr>
        <w:pStyle w:val="NormalText"/>
      </w:pPr>
      <w:r w:rsidRPr="00A167A9">
        <w:t xml:space="preserve">Shapiro, R., 1977, Eye irritation – New Zealand albino rabbit. </w:t>
      </w:r>
    </w:p>
    <w:p w14:paraId="79D0D303" w14:textId="77777777" w:rsidR="00A167A9" w:rsidRPr="00A167A9" w:rsidRDefault="00A167A9" w:rsidP="00377F3A">
      <w:pPr>
        <w:pStyle w:val="NormalText"/>
      </w:pPr>
      <w:r w:rsidRPr="00A167A9">
        <w:t xml:space="preserve">Shapiro, R., 1977, Eye Irritation in the rabbit. </w:t>
      </w:r>
    </w:p>
    <w:p w14:paraId="5B3C20CF" w14:textId="77777777" w:rsidR="00A167A9" w:rsidRPr="00A167A9" w:rsidRDefault="00A167A9" w:rsidP="00377F3A">
      <w:pPr>
        <w:pStyle w:val="NormalText"/>
      </w:pPr>
      <w:r w:rsidRPr="00A167A9">
        <w:t xml:space="preserve">Shapiro, R., 1977, Skin irritation – New Zealand albino rabbit. </w:t>
      </w:r>
    </w:p>
    <w:p w14:paraId="2CC395D1" w14:textId="77777777" w:rsidR="00A167A9" w:rsidRPr="00A167A9" w:rsidRDefault="00A167A9" w:rsidP="00377F3A">
      <w:pPr>
        <w:pStyle w:val="NormalText"/>
      </w:pPr>
      <w:r w:rsidRPr="00A167A9">
        <w:t>Shapiro, R., 1990a, EPA Acute Oral Toxicity - Defined LD50.</w:t>
      </w:r>
    </w:p>
    <w:p w14:paraId="66574CFD" w14:textId="77777777" w:rsidR="00A167A9" w:rsidRPr="00A167A9" w:rsidRDefault="00A167A9" w:rsidP="00377F3A">
      <w:pPr>
        <w:pStyle w:val="NormalText"/>
      </w:pPr>
      <w:r w:rsidRPr="00A167A9">
        <w:t>Shepherd, NM, 1996, Difenacoum. Single dose inhalation (head only) toxicity study in the rat.</w:t>
      </w:r>
    </w:p>
    <w:p w14:paraId="3E316C7D" w14:textId="77777777" w:rsidR="00A167A9" w:rsidRPr="00A167A9" w:rsidRDefault="00A167A9" w:rsidP="00377F3A">
      <w:pPr>
        <w:pStyle w:val="NormalText"/>
      </w:pPr>
      <w:r w:rsidRPr="00A167A9">
        <w:t>Shimshoni JA, Soback S, Cuneah O, Sholsberg A, Britzi M, 2013, New validated multiresidue analysis of six 4-hydroxy-coumarin anticoagulant rodenticides in hen eggs. J Vet Diagn Invest 25(6): 736-743</w:t>
      </w:r>
    </w:p>
    <w:p w14:paraId="091BC471" w14:textId="77777777" w:rsidR="00A167A9" w:rsidRPr="00A167A9" w:rsidRDefault="00A167A9" w:rsidP="00377F3A">
      <w:pPr>
        <w:pStyle w:val="NormalText"/>
      </w:pPr>
      <w:r w:rsidRPr="00A167A9">
        <w:t>Shore RF, Birks JDS, Afsar A, Wienburg CL, Kitchener AC, 2003. Spatial and temporal analysis of second-generation anticoagulant rodenticide residues in polecats (Mustela putorius) from throughout their range in Britain, 1992-1999. Environ Pollut 122: 183-193</w:t>
      </w:r>
    </w:p>
    <w:p w14:paraId="094BCC0A" w14:textId="77777777" w:rsidR="00A167A9" w:rsidRPr="00A167A9" w:rsidRDefault="00A167A9" w:rsidP="00377F3A">
      <w:pPr>
        <w:pStyle w:val="NormalText"/>
      </w:pPr>
      <w:r w:rsidRPr="00A167A9">
        <w:t>Shore RF, Birks JDS, Freestone P, Kitchener AC, 1996. Second-generation rodenticides and polecats (Mustela putorius) in Britain. Environ Pollut 91(3): 279-282</w:t>
      </w:r>
    </w:p>
    <w:p w14:paraId="3BDF5CD2" w14:textId="77777777" w:rsidR="00A167A9" w:rsidRPr="00A167A9" w:rsidRDefault="00A167A9" w:rsidP="00377F3A">
      <w:pPr>
        <w:pStyle w:val="NormalText"/>
      </w:pPr>
      <w:r w:rsidRPr="00A167A9">
        <w:t>Shore RF, Walker LA, Potter ED, Pereira MG, Sleep D, Thompson NJ, Hunt AG, 2018. Second generation anticoagulant rodenticide residues in barn owls 2017. CEH contract report to the Campaign for Responsible Rodenticide Use (CRRU) UK, 22 pp.</w:t>
      </w:r>
    </w:p>
    <w:p w14:paraId="02F8BF2E" w14:textId="77777777" w:rsidR="00A167A9" w:rsidRPr="00A167A9" w:rsidRDefault="00A167A9" w:rsidP="00377F3A">
      <w:pPr>
        <w:pStyle w:val="NormalText"/>
      </w:pPr>
      <w:r w:rsidRPr="00A167A9">
        <w:t>Simon M, 2011. Chronic effects of flocoumafen on Eisenia fetida. Reference no. 2011/1284061</w:t>
      </w:r>
    </w:p>
    <w:p w14:paraId="1BCB07DA" w14:textId="77777777" w:rsidR="00A167A9" w:rsidRPr="00A167A9" w:rsidRDefault="00A167A9" w:rsidP="00377F3A">
      <w:pPr>
        <w:pStyle w:val="NormalText"/>
      </w:pPr>
      <w:r w:rsidRPr="00A167A9">
        <w:t>Simone N. Jeans, -, Acute Dermal Toxicity Eval. of Final All-Weather Blox in Young Adult Sprague Dawley Rats</w:t>
      </w:r>
    </w:p>
    <w:p w14:paraId="56F8FC41" w14:textId="77777777" w:rsidR="00A167A9" w:rsidRPr="00A167A9" w:rsidRDefault="00A167A9" w:rsidP="00377F3A">
      <w:pPr>
        <w:pStyle w:val="NormalText"/>
      </w:pPr>
      <w:r w:rsidRPr="00A167A9">
        <w:t>Simone N. Jeans, -, Acute Dermal Toxicity Eval. of Final Rodenticide in Young Adult Sprague Dawley Rats</w:t>
      </w:r>
    </w:p>
    <w:p w14:paraId="28F23417" w14:textId="77777777" w:rsidR="00A167A9" w:rsidRPr="00A167A9" w:rsidRDefault="00A167A9" w:rsidP="00377F3A">
      <w:pPr>
        <w:pStyle w:val="NormalText"/>
      </w:pPr>
      <w:r w:rsidRPr="00A167A9">
        <w:t>Simone N. Jeans, -, Acute Oral Toxicity Eval. of Final All-Weather Blox in Young Adult Sprague Dawley Rats</w:t>
      </w:r>
    </w:p>
    <w:p w14:paraId="6EC50E19" w14:textId="77777777" w:rsidR="00A167A9" w:rsidRPr="00A167A9" w:rsidRDefault="00A167A9" w:rsidP="00377F3A">
      <w:pPr>
        <w:pStyle w:val="NormalText"/>
      </w:pPr>
      <w:r w:rsidRPr="00A167A9">
        <w:t>Simone N. Jeans, -, Dermal Sensitization Study in Guinea Pigs (Buehler Method)</w:t>
      </w:r>
    </w:p>
    <w:p w14:paraId="18BADAAF" w14:textId="77777777" w:rsidR="00A167A9" w:rsidRPr="00A167A9" w:rsidRDefault="00A167A9" w:rsidP="00377F3A">
      <w:pPr>
        <w:pStyle w:val="NormalText"/>
      </w:pPr>
      <w:r w:rsidRPr="00A167A9">
        <w:t>Simone N. Jeans, -, Primary Dermal Irritation Eval. of Final All-Weather Blox in young Adult New Zealand White Rabbits</w:t>
      </w:r>
    </w:p>
    <w:p w14:paraId="536419F4" w14:textId="77777777" w:rsidR="00A167A9" w:rsidRPr="00A167A9" w:rsidRDefault="00A167A9" w:rsidP="00377F3A">
      <w:pPr>
        <w:pStyle w:val="NormalText"/>
      </w:pPr>
      <w:r w:rsidRPr="00A167A9">
        <w:t>Simone N. Jeans, -, Primary Dermal Irritation Eval. of Final Rodenticide in Young Adult New Zealand White Rabbits</w:t>
      </w:r>
    </w:p>
    <w:p w14:paraId="42449030" w14:textId="77777777" w:rsidR="00A167A9" w:rsidRPr="00A167A9" w:rsidRDefault="00A167A9" w:rsidP="00377F3A">
      <w:pPr>
        <w:pStyle w:val="NormalText"/>
      </w:pPr>
      <w:r w:rsidRPr="00A167A9">
        <w:t>Simone N. Jeans, -, Primary Eye Irritation Eval. of Final All-Weather Blox in Young Adult New Zealand White Rabbits</w:t>
      </w:r>
    </w:p>
    <w:p w14:paraId="5B5C6684" w14:textId="77777777" w:rsidR="00A167A9" w:rsidRPr="00A167A9" w:rsidRDefault="00A167A9" w:rsidP="00377F3A">
      <w:pPr>
        <w:pStyle w:val="NormalText"/>
      </w:pPr>
      <w:r w:rsidRPr="00A167A9">
        <w:t>Singh M, Trollinger J, 2003. Hydrolysis of 14C-BAS 322 I in aqueous media. Reference no. 2003/5000548</w:t>
      </w:r>
    </w:p>
    <w:p w14:paraId="02D5B112" w14:textId="77777777" w:rsidR="00A167A9" w:rsidRPr="00A167A9" w:rsidRDefault="00A167A9" w:rsidP="00377F3A">
      <w:pPr>
        <w:pStyle w:val="NormalText"/>
      </w:pPr>
      <w:r w:rsidRPr="00A167A9">
        <w:lastRenderedPageBreak/>
        <w:t>Singh, M. and Trollinger, J., BASF AgroResearch, 2003, Study number 130739, BASF DocID 2003/5000548</w:t>
      </w:r>
    </w:p>
    <w:p w14:paraId="5AF6AE38" w14:textId="77777777" w:rsidR="00A167A9" w:rsidRPr="00A167A9" w:rsidRDefault="00A167A9" w:rsidP="00377F3A">
      <w:pPr>
        <w:pStyle w:val="NormalText"/>
      </w:pPr>
      <w:r w:rsidRPr="00A167A9">
        <w:t>Slangen PJ, 2002. Development and validation report of an analytical method for coumatetralyl and soil adsorption/desorption of coumatetralyl on five soils (screening test). Reference no. M-084534-01-1</w:t>
      </w:r>
    </w:p>
    <w:p w14:paraId="44867A67" w14:textId="77777777" w:rsidR="00A167A9" w:rsidRPr="00A167A9" w:rsidRDefault="00A167A9" w:rsidP="00377F3A">
      <w:pPr>
        <w:pStyle w:val="NormalText"/>
      </w:pPr>
      <w:r w:rsidRPr="00A167A9">
        <w:t>Smith RH, Shore RF, 2015. Environmental impacts of rodenticides. In: Buckle AP, Smith RH (ed). Rodent pests and their control. 2nd edition, CAB International Oxfordshire, Boston, pp 330-345</w:t>
      </w:r>
    </w:p>
    <w:p w14:paraId="7612AD03" w14:textId="77777777" w:rsidR="00A167A9" w:rsidRPr="00A167A9" w:rsidRDefault="00A167A9" w:rsidP="00377F3A">
      <w:pPr>
        <w:pStyle w:val="NormalText"/>
      </w:pPr>
      <w:r w:rsidRPr="00A167A9">
        <w:t>Smyth DV, Tapp JF, Sankey SA, Cornish SK, 1991. Difenacoum: toxicity to the green alga Selenastrum capricornutum. Reference no. BL4307/B</w:t>
      </w:r>
    </w:p>
    <w:p w14:paraId="45844600" w14:textId="77777777" w:rsidR="00A167A9" w:rsidRPr="00A167A9" w:rsidRDefault="00A167A9" w:rsidP="00377F3A">
      <w:pPr>
        <w:pStyle w:val="NormalText"/>
      </w:pPr>
      <w:r w:rsidRPr="00A167A9">
        <w:t>Spare WC, 1981a. 14C-bromadiolone: soil adsorption/ desorption study. Reference no. 80-PL-81-AD</w:t>
      </w:r>
    </w:p>
    <w:p w14:paraId="7E7E35DA" w14:textId="77777777" w:rsidR="00A167A9" w:rsidRPr="00A167A9" w:rsidRDefault="00A167A9" w:rsidP="00377F3A">
      <w:pPr>
        <w:pStyle w:val="NormalText"/>
      </w:pPr>
      <w:r w:rsidRPr="00A167A9">
        <w:t>Spare WC, 1981b. Leaching characteristics of aged 14C-bromadiolone. Reference no. 00151</w:t>
      </w:r>
    </w:p>
    <w:p w14:paraId="4AE4F3D1" w14:textId="77777777" w:rsidR="00A167A9" w:rsidRPr="00A167A9" w:rsidRDefault="00A167A9" w:rsidP="00377F3A">
      <w:pPr>
        <w:pStyle w:val="NormalText"/>
      </w:pPr>
      <w:r w:rsidRPr="00A167A9">
        <w:t>Spare WC, 1986. Determination of the hydrolysis rate constants of LM2219. APVMA data no. 12477</w:t>
      </w:r>
    </w:p>
    <w:p w14:paraId="4C6A6A13" w14:textId="77777777" w:rsidR="00A167A9" w:rsidRPr="00A167A9" w:rsidRDefault="00A167A9" w:rsidP="00377F3A">
      <w:pPr>
        <w:pStyle w:val="NormalText"/>
      </w:pPr>
      <w:r w:rsidRPr="00A167A9">
        <w:t>Spare WC, 1987a. Aerobic soil metabolism of LM2219 (difethialone). APVMA data no. 12482</w:t>
      </w:r>
    </w:p>
    <w:p w14:paraId="297429E1" w14:textId="77777777" w:rsidR="00A167A9" w:rsidRPr="00A167A9" w:rsidRDefault="00A167A9" w:rsidP="00377F3A">
      <w:pPr>
        <w:pStyle w:val="NormalText"/>
      </w:pPr>
      <w:r w:rsidRPr="00A167A9">
        <w:t>Spare WC, 1987b. Determination of the solution photolysis rate of LM2219 (difethialone). APVMA data no. 12479</w:t>
      </w:r>
    </w:p>
    <w:p w14:paraId="68776172" w14:textId="77777777" w:rsidR="00A167A9" w:rsidRPr="00A167A9" w:rsidRDefault="00A167A9" w:rsidP="00377F3A">
      <w:pPr>
        <w:pStyle w:val="NormalText"/>
      </w:pPr>
      <w:r w:rsidRPr="00A167A9">
        <w:t>Spare WC, 1992a. Absorption/ desorption of difethialone. APVMA data no. 12485</w:t>
      </w:r>
    </w:p>
    <w:p w14:paraId="46E241E8" w14:textId="77777777" w:rsidR="00A167A9" w:rsidRPr="00A167A9" w:rsidRDefault="00A167A9" w:rsidP="00377F3A">
      <w:pPr>
        <w:pStyle w:val="NormalText"/>
      </w:pPr>
      <w:r w:rsidRPr="00A167A9">
        <w:t>Spare WC, 1992b. Hydrolysis of bromadiolone. Reference no. 1414</w:t>
      </w:r>
    </w:p>
    <w:p w14:paraId="710745E8" w14:textId="77777777" w:rsidR="00A167A9" w:rsidRPr="00A167A9" w:rsidRDefault="00A167A9" w:rsidP="00377F3A">
      <w:pPr>
        <w:pStyle w:val="NormalText"/>
      </w:pPr>
      <w:r w:rsidRPr="00A167A9">
        <w:t>Spare WC, 1993. Leaching characteristics of bromadiolone. Reference no. 1422</w:t>
      </w:r>
    </w:p>
    <w:p w14:paraId="3F11D350" w14:textId="77777777" w:rsidR="00A167A9" w:rsidRPr="00A167A9" w:rsidRDefault="00A167A9" w:rsidP="00377F3A">
      <w:pPr>
        <w:pStyle w:val="NormalText"/>
      </w:pPr>
      <w:r w:rsidRPr="00A167A9">
        <w:t>Spare, W., Agrisearch Inc, 1992, Project number 1414</w:t>
      </w:r>
    </w:p>
    <w:p w14:paraId="29E46B9F" w14:textId="77777777" w:rsidR="00A167A9" w:rsidRPr="00A167A9" w:rsidRDefault="00A167A9" w:rsidP="00377F3A">
      <w:pPr>
        <w:pStyle w:val="NormalText"/>
      </w:pPr>
      <w:r w:rsidRPr="00A167A9">
        <w:t>Sperring VF, Weeks AR, Webster W, Macgregor NA, Wilson M, Isaac B, Clarke RH, 2024. Diet breadth of a critically endangered owl presents challenges for invasive rodent management: a conservation conundrum. Emu 124(2): 187-198</w:t>
      </w:r>
    </w:p>
    <w:p w14:paraId="3B017825" w14:textId="77777777" w:rsidR="00A167A9" w:rsidRPr="00A167A9" w:rsidRDefault="00A167A9" w:rsidP="00377F3A">
      <w:pPr>
        <w:pStyle w:val="NormalText"/>
      </w:pPr>
      <w:r w:rsidRPr="00A167A9">
        <w:t>Stafford JM, 2006. Difenacoum technical: dietary toxicity test with the Japanese quail (Coturnix coturnix japonica). Reference no. 13768.41</w:t>
      </w:r>
    </w:p>
    <w:p w14:paraId="426B04EC" w14:textId="77777777" w:rsidR="00A167A9" w:rsidRPr="00A167A9" w:rsidRDefault="00A167A9" w:rsidP="00377F3A">
      <w:pPr>
        <w:pStyle w:val="NormalText"/>
      </w:pPr>
      <w:r w:rsidRPr="00A167A9">
        <w:t>Stahl J, 2004, Acute Eye Irritation Study of Test Item Difenacoum Technical in rabbits</w:t>
      </w:r>
    </w:p>
    <w:p w14:paraId="1EA8B7A4" w14:textId="77777777" w:rsidR="00A167A9" w:rsidRPr="00A167A9" w:rsidRDefault="00A167A9" w:rsidP="00377F3A">
      <w:pPr>
        <w:pStyle w:val="NormalText"/>
      </w:pPr>
      <w:r w:rsidRPr="00A167A9">
        <w:t>Stahl J, 2004, Acute Skin Irritation Study of the Test Item Difenacoum Technical in Rabbits</w:t>
      </w:r>
    </w:p>
    <w:p w14:paraId="4999C341" w14:textId="77777777" w:rsidR="00A167A9" w:rsidRPr="00A167A9" w:rsidRDefault="00A167A9" w:rsidP="00377F3A">
      <w:pPr>
        <w:pStyle w:val="NormalText"/>
      </w:pPr>
      <w:r w:rsidRPr="00A167A9">
        <w:t xml:space="preserve">Stahl, Janos, 2004, Draft Report: Skin sensitisation of test item Bromadiolone Technical in Guinea pigs by Buehler method. </w:t>
      </w:r>
    </w:p>
    <w:p w14:paraId="2AE462B1" w14:textId="77777777" w:rsidR="00A167A9" w:rsidRPr="00A167A9" w:rsidRDefault="00A167A9" w:rsidP="00377F3A">
      <w:pPr>
        <w:pStyle w:val="NormalText"/>
      </w:pPr>
      <w:r w:rsidRPr="00A167A9">
        <w:t>Staniland JD, 2004. An evaluation of the effect of brodifacoum technical on the respiration rate of activated sludge. Reference no. ENV7009/120140</w:t>
      </w:r>
    </w:p>
    <w:p w14:paraId="16AADE1F" w14:textId="77777777" w:rsidR="00A167A9" w:rsidRPr="00A167A9" w:rsidRDefault="00A167A9" w:rsidP="00377F3A">
      <w:pPr>
        <w:pStyle w:val="NormalText"/>
      </w:pPr>
      <w:r w:rsidRPr="00A167A9">
        <w:t>Staniland JD, 2005a. The toxicity to Eisenia foetida foetida of brodifacoum. Reference no. ENV7010/120140</w:t>
      </w:r>
    </w:p>
    <w:p w14:paraId="3417F91E" w14:textId="77777777" w:rsidR="00A167A9" w:rsidRPr="00A167A9" w:rsidRDefault="00A167A9" w:rsidP="00377F3A">
      <w:pPr>
        <w:pStyle w:val="NormalText"/>
      </w:pPr>
      <w:r w:rsidRPr="00A167A9">
        <w:lastRenderedPageBreak/>
        <w:t>Staniland JD, 2005b. The toxicity to Eisenia foetida foetida of bromadiolone. Reference no. ENV6987/110414</w:t>
      </w:r>
    </w:p>
    <w:p w14:paraId="16BCD409" w14:textId="77777777" w:rsidR="00A167A9" w:rsidRPr="00A167A9" w:rsidRDefault="00A167A9" w:rsidP="00377F3A">
      <w:pPr>
        <w:pStyle w:val="NormalText"/>
      </w:pPr>
      <w:r w:rsidRPr="00A167A9">
        <w:t>Staniland JD, 2005c. The toxicity to Eisenia foetida foetida of difenacoum. Reference no. ENV7007/120139</w:t>
      </w:r>
    </w:p>
    <w:p w14:paraId="651F1277" w14:textId="77777777" w:rsidR="00A167A9" w:rsidRPr="00A167A9" w:rsidRDefault="00A167A9" w:rsidP="00377F3A">
      <w:pPr>
        <w:pStyle w:val="NormalText"/>
      </w:pPr>
      <w:r w:rsidRPr="00A167A9">
        <w:t>Staniland JD, 2005d. An evaluation of the effect of difenacoum on the inhibition of activated sludge respiration. Reference no. ENV7006/120139</w:t>
      </w:r>
    </w:p>
    <w:p w14:paraId="74145E15" w14:textId="77777777" w:rsidR="00A167A9" w:rsidRPr="00A167A9" w:rsidRDefault="00A167A9" w:rsidP="00377F3A">
      <w:pPr>
        <w:pStyle w:val="NormalText"/>
      </w:pPr>
      <w:r w:rsidRPr="00A167A9">
        <w:t>Stankowski L F., 1992a, Ames/Salmonella Plate Incorporation Assay on 2-DiDhenvlacetvl-1.3-inclandione (Diphacinone).</w:t>
      </w:r>
    </w:p>
    <w:p w14:paraId="4C6A3953" w14:textId="77777777" w:rsidR="00A167A9" w:rsidRPr="00A167A9" w:rsidRDefault="00A167A9" w:rsidP="00377F3A">
      <w:pPr>
        <w:pStyle w:val="NormalText"/>
      </w:pPr>
      <w:r w:rsidRPr="00A167A9">
        <w:t>Stankowski L F., 1992b, AS52/XPRT Mammalian Cell Forward Gene Mutation Assay on 2-DiDhenvlacetvl-1.3-indandione (Diphacinone).</w:t>
      </w:r>
    </w:p>
    <w:p w14:paraId="2225FBFF" w14:textId="77777777" w:rsidR="00A167A9" w:rsidRPr="00A167A9" w:rsidRDefault="00A167A9" w:rsidP="00377F3A">
      <w:pPr>
        <w:pStyle w:val="NormalText"/>
      </w:pPr>
      <w:r w:rsidRPr="00A167A9">
        <w:t>Stephenson BM, Minot EO, Armstrong DP, 1999. Fate of moreporks (Ninox novaeseelandiae) during a pest control operation on Mokaia Island, Lake Rotorua, North Island, New Zealand. NZ J Ecol 23(2): 233-240</w:t>
      </w:r>
    </w:p>
    <w:p w14:paraId="26412D1F" w14:textId="77777777" w:rsidR="00A167A9" w:rsidRPr="00A167A9" w:rsidRDefault="00A167A9" w:rsidP="00377F3A">
      <w:pPr>
        <w:pStyle w:val="NormalText"/>
      </w:pPr>
      <w:r w:rsidRPr="00A167A9">
        <w:t>Stevens JEB, Arnold DJ, 1982. Difenacoum: leaching of formulated material in soil columns (summary). Reference no. RJ0266B</w:t>
      </w:r>
    </w:p>
    <w:p w14:paraId="2D6CBCAE" w14:textId="77777777" w:rsidR="00A167A9" w:rsidRPr="00A167A9" w:rsidRDefault="00A167A9" w:rsidP="00377F3A">
      <w:pPr>
        <w:pStyle w:val="NormalText"/>
      </w:pPr>
      <w:r w:rsidRPr="00A167A9">
        <w:t>Stöcker RH, 2004. Henry's law constant of Racimin S technical (coumatetralyl). Reference no. M-108223-01-1</w:t>
      </w:r>
    </w:p>
    <w:p w14:paraId="3F8F1E73" w14:textId="77777777" w:rsidR="00A167A9" w:rsidRPr="00A167A9" w:rsidRDefault="00A167A9" w:rsidP="00377F3A">
      <w:pPr>
        <w:pStyle w:val="NormalText"/>
      </w:pPr>
      <w:r w:rsidRPr="00A167A9">
        <w:t>Stone WB, Okoniewski JC, Stedelin JR, 1999. Poisoning of wildlife with anticoagulant rodenticides in New York. J Wildl Dis 35(2): 187-193</w:t>
      </w:r>
    </w:p>
    <w:p w14:paraId="7090074D" w14:textId="77777777" w:rsidR="00A167A9" w:rsidRPr="00A167A9" w:rsidRDefault="00A167A9" w:rsidP="00377F3A">
      <w:pPr>
        <w:pStyle w:val="NormalText"/>
      </w:pPr>
      <w:r w:rsidRPr="00A167A9">
        <w:t>Stone WB, Okoniewski JC, Stedelin JR, 2003. Anticoagulant rodenticides and raptors: recent findings from New York, 1998-2001. Bull Environ Contam Toxicol 70: 34-40</w:t>
      </w:r>
    </w:p>
    <w:p w14:paraId="607519E5" w14:textId="77777777" w:rsidR="00A167A9" w:rsidRPr="00A167A9" w:rsidRDefault="00A167A9" w:rsidP="00377F3A">
      <w:pPr>
        <w:pStyle w:val="NormalText"/>
      </w:pPr>
      <w:r w:rsidRPr="00A167A9">
        <w:t>Swan G, 2006. Difenacoum: metabolism in rats. Reference no. PLG 005</w:t>
      </w:r>
    </w:p>
    <w:p w14:paraId="076F4907" w14:textId="77777777" w:rsidR="00A167A9" w:rsidRPr="00A167A9" w:rsidRDefault="00A167A9" w:rsidP="00377F3A">
      <w:pPr>
        <w:pStyle w:val="NormalText"/>
      </w:pPr>
      <w:r w:rsidRPr="00A167A9">
        <w:t>Swarbrick RH, 2002. Difethialone: effect on the respiration rate of activated sludge. APVMA data no. 12491</w:t>
      </w:r>
    </w:p>
    <w:p w14:paraId="5351350F" w14:textId="77777777" w:rsidR="00A167A9" w:rsidRPr="00A167A9" w:rsidRDefault="00A167A9" w:rsidP="00377F3A">
      <w:pPr>
        <w:pStyle w:val="NormalText"/>
      </w:pPr>
      <w:r w:rsidRPr="00A167A9">
        <w:t>Swarbrick RH, 2003. Difethialone: toxicity to the green alga Selenastrum capricornutum. APVMA data no. 12490</w:t>
      </w:r>
    </w:p>
    <w:p w14:paraId="6D6D5E08" w14:textId="77777777" w:rsidR="00A167A9" w:rsidRPr="00A167A9" w:rsidRDefault="00A167A9" w:rsidP="00377F3A">
      <w:pPr>
        <w:pStyle w:val="NormalText"/>
      </w:pPr>
      <w:r w:rsidRPr="00A167A9">
        <w:t>Szakonyi IP, 2002, 28-day Preliminary study of 90-day Repeated Dose Oral Toxicity Study of Test Item Bromadiolone Technical in Rats.</w:t>
      </w:r>
    </w:p>
    <w:p w14:paraId="17BD5417" w14:textId="77777777" w:rsidR="00A167A9" w:rsidRPr="00A167A9" w:rsidRDefault="00A167A9" w:rsidP="00377F3A">
      <w:pPr>
        <w:pStyle w:val="NormalText"/>
      </w:pPr>
      <w:r w:rsidRPr="00A167A9">
        <w:t>Szakonyi IP, 2004, Acute Dermal Toxicity Study of Test Item Difenacoum Technical in Rats</w:t>
      </w:r>
    </w:p>
    <w:p w14:paraId="554FC182" w14:textId="77777777" w:rsidR="00A167A9" w:rsidRPr="00A167A9" w:rsidRDefault="00A167A9" w:rsidP="00377F3A">
      <w:pPr>
        <w:pStyle w:val="NormalText"/>
      </w:pPr>
      <w:r w:rsidRPr="00A167A9">
        <w:t>Szakonyi IP, 2004, Acute Oral Toxicity Study (Acute Toxic Class Method) of Test Item Difenacoum Technical in Rats</w:t>
      </w:r>
    </w:p>
    <w:p w14:paraId="6FBF792E" w14:textId="77777777" w:rsidR="00A167A9" w:rsidRPr="00A167A9" w:rsidRDefault="00A167A9" w:rsidP="00377F3A">
      <w:pPr>
        <w:pStyle w:val="NormalText"/>
      </w:pPr>
      <w:r w:rsidRPr="00A167A9">
        <w:t>Szakonyi IP, 2004, Two generation reproduction toxicity study in rats - Volume 1</w:t>
      </w:r>
    </w:p>
    <w:p w14:paraId="1F98DB90" w14:textId="705B677E" w:rsidR="00A167A9" w:rsidRPr="00A167A9" w:rsidRDefault="00A167A9" w:rsidP="00377F3A">
      <w:pPr>
        <w:pStyle w:val="NormalText"/>
      </w:pPr>
      <w:r w:rsidRPr="00A167A9">
        <w:t>Szakonyi IP, 2004, Two Generation Reproduction Toxicity Study of Test Item Difenacoum Technical in Rats (Volume 1)</w:t>
      </w:r>
    </w:p>
    <w:p w14:paraId="462BF4E9" w14:textId="7D9E4854" w:rsidR="00A167A9" w:rsidRPr="00A167A9" w:rsidRDefault="00A167A9" w:rsidP="00377F3A">
      <w:pPr>
        <w:pStyle w:val="NormalText"/>
      </w:pPr>
      <w:r w:rsidRPr="00A167A9">
        <w:t>Szakonyi IP, 2004, Two Generation Reproduction Toxicity Study of Test Item Difenacoum Technical in Rats (Volume 2)</w:t>
      </w:r>
    </w:p>
    <w:p w14:paraId="1F5F6111" w14:textId="3C49AC96" w:rsidR="00A167A9" w:rsidRPr="00A167A9" w:rsidRDefault="00A167A9" w:rsidP="00377F3A">
      <w:pPr>
        <w:pStyle w:val="NormalText"/>
      </w:pPr>
      <w:r w:rsidRPr="00A167A9">
        <w:lastRenderedPageBreak/>
        <w:t>Szakonyi IP, 2004, Two Generation Reproduction Toxicity Study of Test Item Difenacoum Technical in Rats (Volume 3)</w:t>
      </w:r>
    </w:p>
    <w:p w14:paraId="291B9B86" w14:textId="716EC9E2" w:rsidR="00A167A9" w:rsidRPr="00A167A9" w:rsidRDefault="00A167A9" w:rsidP="00377F3A">
      <w:pPr>
        <w:pStyle w:val="NormalText"/>
      </w:pPr>
      <w:r w:rsidRPr="00A167A9">
        <w:t>Szakonyi IP, 2004, Two Generation Reproduction Toxicity Study of Test Item Difenacoum Technical in Rats (Volume 4)</w:t>
      </w:r>
    </w:p>
    <w:p w14:paraId="232A2F0F" w14:textId="77777777" w:rsidR="00A167A9" w:rsidRPr="00A167A9" w:rsidRDefault="00A167A9" w:rsidP="00377F3A">
      <w:pPr>
        <w:pStyle w:val="NormalText"/>
      </w:pPr>
      <w:r w:rsidRPr="00A167A9">
        <w:t>Szakonyi IP, 2004a. Acute oral toxicity study (acute toxic class method) of test item difenacoum technical in rats. Reference no. 04/904-001P</w:t>
      </w:r>
    </w:p>
    <w:p w14:paraId="245C21F3" w14:textId="77777777" w:rsidR="00A167A9" w:rsidRPr="00A167A9" w:rsidRDefault="00A167A9" w:rsidP="00377F3A">
      <w:pPr>
        <w:pStyle w:val="NormalText"/>
      </w:pPr>
      <w:r w:rsidRPr="00A167A9">
        <w:t>Szakonyi IP, 2004b. Two generation reproduction toxicity study of test item difenacoum. Reference no. 03/738-202P</w:t>
      </w:r>
    </w:p>
    <w:p w14:paraId="77ADE8E0" w14:textId="4243E9AC" w:rsidR="00E42681" w:rsidRDefault="00E42681" w:rsidP="00A167A9">
      <w:pPr>
        <w:pStyle w:val="NormalText"/>
      </w:pPr>
      <w:r w:rsidRPr="00450A72">
        <w:t>TGA, 2015</w:t>
      </w:r>
      <w:r>
        <w:t>,</w:t>
      </w:r>
      <w:r w:rsidRPr="00E42681">
        <w:t xml:space="preserve"> Warfarin review</w:t>
      </w:r>
      <w:r>
        <w:t xml:space="preserve">, </w:t>
      </w:r>
      <w:r w:rsidRPr="00E42681">
        <w:t>https://www.tga.gov.au/safety/safety-monitoring-and-information/safety-alerts/warfarin-review</w:t>
      </w:r>
    </w:p>
    <w:p w14:paraId="7D8F3666" w14:textId="3685C3D3" w:rsidR="00A167A9" w:rsidRPr="00A167A9" w:rsidRDefault="00A167A9" w:rsidP="00377F3A">
      <w:pPr>
        <w:pStyle w:val="NormalText"/>
      </w:pPr>
      <w:r w:rsidRPr="00A167A9">
        <w:t>TGA</w:t>
      </w:r>
      <w:r w:rsidR="00E42681">
        <w:t>,</w:t>
      </w:r>
      <w:r w:rsidRPr="00A167A9">
        <w:t xml:space="preserve"> 2024</w:t>
      </w:r>
      <w:r w:rsidR="00E42681">
        <w:t>,</w:t>
      </w:r>
      <w:r w:rsidRPr="00A167A9">
        <w:t xml:space="preserve"> Australian Register of Therapeutic Goods.https://www.tga.gov.au/resources/artg?keywords=warfarin&amp;f%5B0%5D=artg_type%3AMedicine </w:t>
      </w:r>
    </w:p>
    <w:p w14:paraId="7A26E010" w14:textId="77777777" w:rsidR="00A167A9" w:rsidRPr="00A167A9" w:rsidRDefault="00A167A9" w:rsidP="00377F3A">
      <w:pPr>
        <w:pStyle w:val="NormalText"/>
      </w:pPr>
      <w:r w:rsidRPr="00A167A9">
        <w:t>Thomas MOWG, Kutt AS, 1997. Owl populations and habitat: factors that could impact populations of native owls in the sugarcane growing areas in Queensland. James Cook University, Townsville, QLD</w:t>
      </w:r>
    </w:p>
    <w:p w14:paraId="406EAD24" w14:textId="77777777" w:rsidR="00A167A9" w:rsidRPr="00A167A9" w:rsidRDefault="00A167A9" w:rsidP="00377F3A">
      <w:pPr>
        <w:pStyle w:val="NormalText"/>
      </w:pPr>
      <w:r w:rsidRPr="00A167A9">
        <w:t>Thomas PJ, Mineau P, Shore RF, Champoux L, Partin PA, Wilson LK, Fitzgerald G, Elliott JE, 2011. Second generation anticoagulant rodenticides in predatory birds: probabilistic characterisation of toxic liver concentrations and implications for predatory bird populations in Canada. Environ Int 37(5): 914-920</w:t>
      </w:r>
    </w:p>
    <w:p w14:paraId="70F50422" w14:textId="77777777" w:rsidR="00A167A9" w:rsidRPr="00A167A9" w:rsidRDefault="00A167A9" w:rsidP="00377F3A">
      <w:pPr>
        <w:pStyle w:val="NormalText"/>
      </w:pPr>
      <w:r w:rsidRPr="00A167A9">
        <w:t>Thompson PW, 2002, Brodifacoum – Two-Generation Reproduction Toxicity Study of Test Item Brodifacoum Technical in Rats (Volume 1)</w:t>
      </w:r>
    </w:p>
    <w:p w14:paraId="02AC8630" w14:textId="77777777" w:rsidR="00A167A9" w:rsidRPr="00A167A9" w:rsidRDefault="00A167A9" w:rsidP="00377F3A">
      <w:pPr>
        <w:pStyle w:val="NormalText"/>
      </w:pPr>
      <w:r w:rsidRPr="00A167A9">
        <w:t>Thompson PW, 2002, Difenacoum – Reverse Mutation Assay “Ames Test”, Using Salmonella typhimurium</w:t>
      </w:r>
    </w:p>
    <w:p w14:paraId="2FA4A067" w14:textId="77777777" w:rsidR="00A167A9" w:rsidRPr="00A167A9" w:rsidRDefault="00A167A9" w:rsidP="00377F3A">
      <w:pPr>
        <w:pStyle w:val="NormalText"/>
      </w:pPr>
      <w:r w:rsidRPr="00A167A9">
        <w:t>Thorsen M, Shorten R, Lucking R, Lucking V, 2000. Norway rats (Rattus norvegicus) on Fregate Island, Seychelles: the invasion; subsequent eradication attempts and implicates for the island’s fauna. Biological Conservation 96: 133-138</w:t>
      </w:r>
    </w:p>
    <w:p w14:paraId="59AA5567" w14:textId="77777777" w:rsidR="00A167A9" w:rsidRPr="00A167A9" w:rsidRDefault="00A167A9" w:rsidP="00377F3A">
      <w:pPr>
        <w:pStyle w:val="NormalText"/>
      </w:pPr>
      <w:r w:rsidRPr="00A167A9">
        <w:t>Tosh DG, McDonald R, Bearhop S, Llewllyn NR, Montgomery WI, Shore RF, 2012. Rodenticide exposure in wood mouse and house mouse populations on farms and potentially secondary risk to predators. Ecotoxicol 21: 1325-1332</w:t>
      </w:r>
    </w:p>
    <w:p w14:paraId="769B33EB" w14:textId="77777777" w:rsidR="00A167A9" w:rsidRPr="00A167A9" w:rsidRDefault="00A167A9" w:rsidP="00377F3A">
      <w:pPr>
        <w:pStyle w:val="NormalText"/>
      </w:pPr>
      <w:r w:rsidRPr="00A167A9">
        <w:t>Townsend MG, Bunyan PJ, Odam EM, Stanley PI, Wardall HP, 1984. Assessment of secondary poisoning hazard of warfarin to least weasels. J Wildl Manage 45(2): 628-632</w:t>
      </w:r>
    </w:p>
    <w:p w14:paraId="3B23C6F7" w14:textId="77777777" w:rsidR="00A167A9" w:rsidRPr="00A167A9" w:rsidRDefault="00A167A9" w:rsidP="00377F3A">
      <w:pPr>
        <w:pStyle w:val="NormalText"/>
      </w:pPr>
      <w:r w:rsidRPr="00A167A9">
        <w:t>Townsend MG, Fletcher MR, Odam EM, Stanley PI, 1981. An assessment of the secondary poisoning hazard of warfarin to tawny owls. J Wildl Manage 45(1): 242-248</w:t>
      </w:r>
    </w:p>
    <w:p w14:paraId="6694D0AA" w14:textId="77777777" w:rsidR="00A167A9" w:rsidRPr="00A167A9" w:rsidRDefault="00A167A9" w:rsidP="00377F3A">
      <w:pPr>
        <w:pStyle w:val="NormalText"/>
      </w:pPr>
      <w:r w:rsidRPr="00A167A9">
        <w:t>Tremain S.P., Safepharm Laboratories Ltd, 2003, Project number 1840/002</w:t>
      </w:r>
    </w:p>
    <w:p w14:paraId="7615E8EA" w14:textId="77777777" w:rsidR="00A167A9" w:rsidRPr="00A167A9" w:rsidRDefault="00A167A9" w:rsidP="00377F3A">
      <w:pPr>
        <w:pStyle w:val="NormalText"/>
      </w:pPr>
      <w:r w:rsidRPr="00A167A9">
        <w:lastRenderedPageBreak/>
        <w:t>Trost S, Olsen J, Rose AB, Debus SJS, 2008. Winter diet of southern boobooks Ninox novaeseelandiae in Canberra 1997-2005. Corella 32(3): 66-70</w:t>
      </w:r>
    </w:p>
    <w:p w14:paraId="41954D12" w14:textId="77777777" w:rsidR="00A167A9" w:rsidRPr="00A167A9" w:rsidRDefault="00A167A9" w:rsidP="00377F3A">
      <w:pPr>
        <w:pStyle w:val="NormalText"/>
      </w:pPr>
      <w:r w:rsidRPr="00A167A9">
        <w:t>Tsang LR, Rose AB, Fuentes EJ, Olsen J, Trost S, McDonald PG, 2017. A comparison of the diets of the black-shouldered kite Elanus axillaris and Nankeen kestrel Falco cenchroides in the Canberra region. Corella 41: 27-31</w:t>
      </w:r>
    </w:p>
    <w:p w14:paraId="17BA9351" w14:textId="681AE343" w:rsidR="00A167A9" w:rsidRPr="00A167A9" w:rsidRDefault="00A167A9" w:rsidP="00377F3A">
      <w:pPr>
        <w:pStyle w:val="NormalText"/>
      </w:pPr>
      <w:r w:rsidRPr="00A167A9">
        <w:t>Turnbull, G., 2005, Validation of Analytical Methodology to Determine Rodenticides in Food Matrices.</w:t>
      </w:r>
    </w:p>
    <w:p w14:paraId="6BB253DA" w14:textId="77777777" w:rsidR="00A167A9" w:rsidRPr="00A167A9" w:rsidRDefault="00A167A9" w:rsidP="00377F3A">
      <w:pPr>
        <w:pStyle w:val="NormalText"/>
      </w:pPr>
      <w:r w:rsidRPr="00A167A9">
        <w:t>Ulrich C E., 1981, Four Week Subacute Inhalation Toxicity Study of Diphacinone in Rats.</w:t>
      </w:r>
    </w:p>
    <w:p w14:paraId="3347D2B3" w14:textId="77777777" w:rsidR="00A167A9" w:rsidRPr="00A167A9" w:rsidRDefault="00A167A9" w:rsidP="00377F3A">
      <w:pPr>
        <w:pStyle w:val="NormalText"/>
      </w:pPr>
      <w:r w:rsidRPr="00A167A9">
        <w:t xml:space="preserve">US EPA (1991). Reregistration eligibility document (RED) for warfarin. May 1991. https://www3.epa.gov/pesticides/chem_search/reg_actions/reregistration/fs_PC-086002_1-Jun-91.pdf </w:t>
      </w:r>
    </w:p>
    <w:p w14:paraId="656AE448" w14:textId="77777777" w:rsidR="00A167A9" w:rsidRPr="00A167A9" w:rsidRDefault="00A167A9" w:rsidP="00377F3A">
      <w:pPr>
        <w:pStyle w:val="NormalText"/>
      </w:pPr>
      <w:r w:rsidRPr="00A167A9">
        <w:t xml:space="preserve">US EPA (2007). Pesticide Fact Sheet. Name of Chemical: Difenacoum. https://www3.epa.gov/pesticides/chem_search/reg_actions/registration/fs_PC-011901_01-Sep-07.pdf </w:t>
      </w:r>
    </w:p>
    <w:p w14:paraId="50C49464" w14:textId="77777777" w:rsidR="00A167A9" w:rsidRPr="00A167A9" w:rsidRDefault="00A167A9" w:rsidP="00377F3A">
      <w:pPr>
        <w:pStyle w:val="NormalText"/>
      </w:pPr>
      <w:r w:rsidRPr="00A167A9">
        <w:t xml:space="preserve">US EPA (2008). Risk Mitigation Decision for Ten Rodenticides May 28, 2008 (revised June 24, 2008). https://downloads.regulations.gov/EPA-HQ-OPP-2006-0955-0764/content.pdf </w:t>
      </w:r>
    </w:p>
    <w:p w14:paraId="207DB24C" w14:textId="77777777" w:rsidR="00A167A9" w:rsidRPr="00A167A9" w:rsidRDefault="00A167A9" w:rsidP="00377F3A">
      <w:pPr>
        <w:pStyle w:val="NormalText"/>
      </w:pPr>
      <w:r w:rsidRPr="00A167A9">
        <w:t>US EPA (2012) Residential (Handler) SOPs https://www.epa.gov/pesticide-science-and-assessing-pesticide-risks/standard-operating-procedures-residential-pesticide#sops</w:t>
      </w:r>
    </w:p>
    <w:p w14:paraId="112DCBA7" w14:textId="77777777" w:rsidR="00A167A9" w:rsidRPr="00A167A9" w:rsidRDefault="00A167A9" w:rsidP="00377F3A">
      <w:pPr>
        <w:pStyle w:val="NormalText"/>
      </w:pPr>
      <w:r w:rsidRPr="00A167A9">
        <w:t xml:space="preserve">US EPA (2020a). Rodenticides Teir 1 Update Review of Human Incidents. https://www.regulations.gov/document/EPA-HQ-OPP-2016-0077-0017 </w:t>
      </w:r>
    </w:p>
    <w:p w14:paraId="24EA886E" w14:textId="77777777" w:rsidR="00A167A9" w:rsidRPr="00A167A9" w:rsidRDefault="00A167A9" w:rsidP="00377F3A">
      <w:pPr>
        <w:pStyle w:val="NormalText"/>
      </w:pPr>
      <w:r w:rsidRPr="00A167A9">
        <w:t xml:space="preserve">US EPA (2020b). Occupational Pesticide Handler Unit Exposure Surrogate Reference Table. March 2020. US Environmental Protection Agency, Office of Pesticide Programs. https://www.epa.gov/sites/production/files/2020-03/documents/opp-hed-pesticide-handler-surrogate-unit-exposure-table-march-2020.pdf </w:t>
      </w:r>
    </w:p>
    <w:p w14:paraId="5480B7BB" w14:textId="77777777" w:rsidR="00A167A9" w:rsidRPr="00A167A9" w:rsidRDefault="00A167A9" w:rsidP="00377F3A">
      <w:pPr>
        <w:pStyle w:val="NormalText"/>
      </w:pPr>
      <w:r w:rsidRPr="00A167A9">
        <w:t>US EPA (2021). Occupational Pesticide Handler Exposure Calculator (OPHEC) (version date: May 2021). https://www.epa.gov/sites/production/files/2021-05/opp-hed-occupational-handler-exposure-may-2021.xlsx</w:t>
      </w:r>
    </w:p>
    <w:p w14:paraId="69155D9E" w14:textId="77777777" w:rsidR="00A167A9" w:rsidRPr="00A167A9" w:rsidRDefault="00A167A9" w:rsidP="00377F3A">
      <w:pPr>
        <w:pStyle w:val="NormalText"/>
      </w:pPr>
      <w:r w:rsidRPr="00A167A9">
        <w:t>van Erp YHM, 2001. Acute toxicity study in the earthworm Eisenia fetida fetida with coumatetralyl. Reference no. M-080565-01-1</w:t>
      </w:r>
    </w:p>
    <w:p w14:paraId="73B56AAF" w14:textId="77777777" w:rsidR="00A167A9" w:rsidRPr="00A167A9" w:rsidRDefault="00A167A9" w:rsidP="00377F3A">
      <w:pPr>
        <w:pStyle w:val="NormalText"/>
      </w:pPr>
      <w:r w:rsidRPr="00A167A9">
        <w:t>Vandenbroucke V, Bousquet-Melou A, de Backer P, Croubels S, 2008. Pharmacokinetics of eight anticoagulant rodenticides in mice after single oral administration. J Vet Pharmacol Therap 31: 437-445</w:t>
      </w:r>
    </w:p>
    <w:p w14:paraId="11CAB82F" w14:textId="77777777" w:rsidR="00A167A9" w:rsidRPr="00A167A9" w:rsidRDefault="00A167A9" w:rsidP="00377F3A">
      <w:pPr>
        <w:pStyle w:val="NormalText"/>
      </w:pPr>
      <w:r w:rsidRPr="00A167A9">
        <w:t>Vaze A, 2011. Brody Paste: acute oral toxicity study in the rats. APVMA data no. 217948</w:t>
      </w:r>
    </w:p>
    <w:p w14:paraId="29089940" w14:textId="77777777" w:rsidR="00A167A9" w:rsidRPr="00A167A9" w:rsidRDefault="00A167A9" w:rsidP="00377F3A">
      <w:pPr>
        <w:pStyle w:val="NormalText"/>
      </w:pPr>
      <w:r w:rsidRPr="00A167A9">
        <w:t>Veenstra GE, Owen DE, Huckle KR, 1991. Metabolic and toxicological studies on the anticoagulant rodenticide flocoumafen. Arch Toxicol Suppl 14: 160-165</w:t>
      </w:r>
    </w:p>
    <w:p w14:paraId="49EBEC3D" w14:textId="77777777" w:rsidR="00A167A9" w:rsidRPr="00A167A9" w:rsidRDefault="00A167A9" w:rsidP="00377F3A">
      <w:pPr>
        <w:pStyle w:val="NormalText"/>
      </w:pPr>
      <w:r w:rsidRPr="00A167A9">
        <w:t>Vernall A, Culleton C, 1976, Inhalation of PP581_4h</w:t>
      </w:r>
    </w:p>
    <w:p w14:paraId="7AD2BEA4" w14:textId="77777777" w:rsidR="00A167A9" w:rsidRPr="00A167A9" w:rsidRDefault="00A167A9" w:rsidP="00377F3A">
      <w:pPr>
        <w:pStyle w:val="NormalText"/>
      </w:pPr>
      <w:r w:rsidRPr="00A167A9">
        <w:t>Vernall A, Culleton C, 1978, PP581 Tech. AI: Acute Inhalation Toxicity in the Rat</w:t>
      </w:r>
    </w:p>
    <w:p w14:paraId="01E89BA8" w14:textId="77777777" w:rsidR="00A167A9" w:rsidRPr="00A167A9" w:rsidRDefault="00A167A9" w:rsidP="00377F3A">
      <w:pPr>
        <w:pStyle w:val="NormalText"/>
      </w:pPr>
      <w:r w:rsidRPr="00A167A9">
        <w:t>Virat M, 1981. LM 637 (bromadiolone): teratology study in the rabbit by oral route. Reference no. 106206</w:t>
      </w:r>
    </w:p>
    <w:p w14:paraId="53A83C18" w14:textId="77777777" w:rsidR="00A167A9" w:rsidRPr="00A167A9" w:rsidRDefault="00A167A9" w:rsidP="00377F3A">
      <w:pPr>
        <w:pStyle w:val="NormalText"/>
      </w:pPr>
      <w:r w:rsidRPr="00A167A9">
        <w:lastRenderedPageBreak/>
        <w:t xml:space="preserve">Virat, M., 1981, LM 637 – Bromadiolone teratology study in the rabbit by oral route. </w:t>
      </w:r>
    </w:p>
    <w:p w14:paraId="78164A2C" w14:textId="77777777" w:rsidR="00A167A9" w:rsidRPr="00A167A9" w:rsidRDefault="00A167A9" w:rsidP="00377F3A">
      <w:pPr>
        <w:pStyle w:val="NormalText"/>
      </w:pPr>
      <w:r w:rsidRPr="00A167A9">
        <w:t>Völkl S, Galicia H, 1992. 14C-bromadiolone: degradation and metabolism in soils incubated under aerobic conditions. Reference no. 252944</w:t>
      </w:r>
    </w:p>
    <w:p w14:paraId="0A286895" w14:textId="77777777" w:rsidR="00A167A9" w:rsidRPr="00A167A9" w:rsidRDefault="00A167A9" w:rsidP="00377F3A">
      <w:pPr>
        <w:pStyle w:val="NormalText"/>
      </w:pPr>
      <w:r w:rsidRPr="00A167A9">
        <w:t>Völkl S, Galicia H, 1993. 14C-difethialone (LM2219): degradation and metabolism in soils incubated under aerobic conditions. APVMA data no. 12483</w:t>
      </w:r>
    </w:p>
    <w:p w14:paraId="4B40D380" w14:textId="77777777" w:rsidR="00A167A9" w:rsidRPr="00A167A9" w:rsidRDefault="00A167A9" w:rsidP="00377F3A">
      <w:pPr>
        <w:pStyle w:val="NormalText"/>
      </w:pPr>
      <w:r w:rsidRPr="00A167A9">
        <w:t>Walker LA, Chaplow JS, Llewellyn NR, Pereira MG, Potter ED, Sainsbury AW, Shore RF, 2013. Anticoagulant rodenticides in predatory birds 2011: a Predatory Bird Monitoring Scheme (PBMS) report. Centre for Ecology &amp; Hydrology, Lancaster UK</w:t>
      </w:r>
    </w:p>
    <w:p w14:paraId="10FEB842" w14:textId="77777777" w:rsidR="00A167A9" w:rsidRPr="00A167A9" w:rsidRDefault="00A167A9" w:rsidP="00377F3A">
      <w:pPr>
        <w:pStyle w:val="NormalText"/>
      </w:pPr>
      <w:r w:rsidRPr="00A167A9">
        <w:t>Walker LA, Chaplow JS, Moeckel C, Pereira MG, Potter ED, Shore RF, 2014. Anticoagulant rodenticides in predatory birds 2012: a Predatory Bird Monitoring Scheme (PBMS) report. Centre for Ecology &amp; Hydrology, Lancaster UK</w:t>
      </w:r>
    </w:p>
    <w:p w14:paraId="16EF7EE4" w14:textId="77777777" w:rsidR="00A167A9" w:rsidRPr="00A167A9" w:rsidRDefault="00A167A9" w:rsidP="00377F3A">
      <w:pPr>
        <w:pStyle w:val="NormalText"/>
      </w:pPr>
      <w:r w:rsidRPr="00A167A9">
        <w:t>Walker LA, Chaplow JS, Moeckel C, Pereira MG, Potter ED, Shore RF, 2015. Anticoagulant rodenticides in sparrowhawks: a Predatory Bird Monitoring Scheme (PBMS) report. Centre for Ecology &amp; Hydrology, Lancaster UK</w:t>
      </w:r>
    </w:p>
    <w:p w14:paraId="7CE3AC2B" w14:textId="77777777" w:rsidR="00A167A9" w:rsidRPr="00A167A9" w:rsidRDefault="00A167A9" w:rsidP="00377F3A">
      <w:pPr>
        <w:pStyle w:val="NormalText"/>
      </w:pPr>
      <w:r w:rsidRPr="00A167A9">
        <w:t>Walker LA, Llewellyn NR, Pereira MG, Potter ED, Sainsbury AW, Shore RF, 2010. Anticoagulant rodenticides in predatory birds 2009: a Predatory Bird Monitoring Scheme (PBMS) report. Centre for Ecology &amp; Hydrology, Lancaster UK</w:t>
      </w:r>
    </w:p>
    <w:p w14:paraId="4550E86E" w14:textId="77777777" w:rsidR="00A167A9" w:rsidRPr="00A167A9" w:rsidRDefault="00A167A9" w:rsidP="00377F3A">
      <w:pPr>
        <w:pStyle w:val="NormalText"/>
      </w:pPr>
      <w:r w:rsidRPr="00A167A9">
        <w:t>Walker LA, Llewellyn NR, Pereira MG, Potter ED, Sainsbury AW, Shore RF, 2012. Anticoagulant rodenticides in predatory birds 2010: a Predatory Bird Monitoring Scheme (PBMS) report. Centre for Ecology &amp; Hydrology, Lancaster UK</w:t>
      </w:r>
    </w:p>
    <w:p w14:paraId="4BF192B6" w14:textId="77777777" w:rsidR="00A167A9" w:rsidRPr="00A167A9" w:rsidRDefault="00A167A9" w:rsidP="00377F3A">
      <w:pPr>
        <w:pStyle w:val="NormalText"/>
      </w:pPr>
      <w:r w:rsidRPr="00A167A9">
        <w:t>Walker LA, Turk A, Long SM, Wienburg CL, Best J, Shore RF, 2008. Second generation anticoagulant rodenticides in tawny owls (Strix aluco) from Great Britain. Sci Total Environ 392: 93-98</w:t>
      </w:r>
    </w:p>
    <w:p w14:paraId="0D96264A" w14:textId="77777777" w:rsidR="00A167A9" w:rsidRPr="00A167A9" w:rsidRDefault="00A167A9" w:rsidP="00377F3A">
      <w:pPr>
        <w:pStyle w:val="NormalText"/>
      </w:pPr>
      <w:r w:rsidRPr="00A167A9">
        <w:t>Wallace BG, Eadsforth CV, 1984. The leaching of WL108366 in soil under laboratory conditions. Reference no. SBGR.84.205</w:t>
      </w:r>
    </w:p>
    <w:p w14:paraId="54479403" w14:textId="77777777" w:rsidR="00A167A9" w:rsidRPr="00A167A9" w:rsidRDefault="00A167A9" w:rsidP="00377F3A">
      <w:pPr>
        <w:pStyle w:val="NormalText"/>
      </w:pPr>
      <w:r w:rsidRPr="00A167A9">
        <w:t>Walther B, Geduhn A, Scheke D, Jacob J, 2021b. Exposure of passerine birds to brodifacoum during management of Norway rats on farms. Sci Total Environ 762: 144160</w:t>
      </w:r>
    </w:p>
    <w:p w14:paraId="59061A98" w14:textId="77777777" w:rsidR="00A167A9" w:rsidRPr="00A167A9" w:rsidRDefault="00A167A9" w:rsidP="00377F3A">
      <w:pPr>
        <w:pStyle w:val="NormalText"/>
      </w:pPr>
      <w:r w:rsidRPr="00A167A9">
        <w:t>Walther B, Geduhn A, Scheke D, Schloetelburg A, Jacob J, 2021a. Baiting location affects anticoagulant rodenticide exposure of non-target mammals on farms. Pest Manag Sci 77: 611-619</w:t>
      </w:r>
    </w:p>
    <w:p w14:paraId="5A371B73" w14:textId="77777777" w:rsidR="00A167A9" w:rsidRPr="00A167A9" w:rsidRDefault="00A167A9" w:rsidP="00377F3A">
      <w:pPr>
        <w:pStyle w:val="NormalText"/>
      </w:pPr>
      <w:r w:rsidRPr="00A167A9">
        <w:t>Warburton PA, Hutson DH, 1985a. Fate of a single oral dose of 14C-WL108366 in rats, part 1: elimination and retention of radioactivity and effect of WL108366 on prothrombin time. Reference no. SBGR.85.053</w:t>
      </w:r>
    </w:p>
    <w:p w14:paraId="0F24E9A4" w14:textId="77777777" w:rsidR="00A167A9" w:rsidRPr="00A167A9" w:rsidRDefault="00A167A9" w:rsidP="00377F3A">
      <w:pPr>
        <w:pStyle w:val="NormalText"/>
      </w:pPr>
      <w:r w:rsidRPr="00A167A9">
        <w:t>Warburton PA, Hutson DH, 1985b. Fate of a single oral dose of 14C-WL108366 in rats, part 2: rate of depletion of radioactivity from selected tissues. Reference no. SBGR.85.177</w:t>
      </w:r>
    </w:p>
    <w:p w14:paraId="1623EA69" w14:textId="77777777" w:rsidR="00A167A9" w:rsidRPr="00A167A9" w:rsidRDefault="00A167A9" w:rsidP="00377F3A">
      <w:pPr>
        <w:pStyle w:val="NormalText"/>
      </w:pPr>
      <w:r w:rsidRPr="00A167A9">
        <w:lastRenderedPageBreak/>
        <w:t>Ward TJ, Boeri RL, 2002. Bromadiolone: growth and reproduction toxicity test with the freshwater alga Selenastrum capricornutum. Reference no. 2327-BL</w:t>
      </w:r>
    </w:p>
    <w:p w14:paraId="7AE4699A" w14:textId="77777777" w:rsidR="00A167A9" w:rsidRPr="00A167A9" w:rsidRDefault="00A167A9" w:rsidP="00377F3A">
      <w:pPr>
        <w:pStyle w:val="NormalText"/>
      </w:pPr>
      <w:r w:rsidRPr="00A167A9">
        <w:t>Watanabe KP, Saengtienchai A, Tanaka KD, Ikenaka Y, Ishizuka M, 2010. Comparison of warfarin sensitivity between rat and bird species. Comp Biochem Physiol C152: 114-119</w:t>
      </w:r>
    </w:p>
    <w:p w14:paraId="27B42046" w14:textId="77777777" w:rsidR="00A167A9" w:rsidRPr="00A167A9" w:rsidRDefault="00A167A9" w:rsidP="00377F3A">
      <w:pPr>
        <w:pStyle w:val="NormalText"/>
      </w:pPr>
      <w:r w:rsidRPr="00A167A9">
        <w:t>Wazeter FX&amp; Goldenthal EI., 1974, Acute Oral Toxicity (LD^) Study in Beagle Dogs.</w:t>
      </w:r>
    </w:p>
    <w:p w14:paraId="4446E37D" w14:textId="77777777" w:rsidR="00A167A9" w:rsidRPr="00A167A9" w:rsidRDefault="00A167A9" w:rsidP="00377F3A">
      <w:pPr>
        <w:pStyle w:val="NormalText"/>
      </w:pPr>
      <w:r w:rsidRPr="00A167A9">
        <w:t>Wazeter FX&amp; Goldenthal EI., 1975a, Acute Oral Toxicity (LD^) in Male and Female Albino Mice.</w:t>
      </w:r>
    </w:p>
    <w:p w14:paraId="6E9205E1" w14:textId="77777777" w:rsidR="00A167A9" w:rsidRPr="00A167A9" w:rsidRDefault="00A167A9" w:rsidP="00377F3A">
      <w:pPr>
        <w:pStyle w:val="NormalText"/>
      </w:pPr>
      <w:r w:rsidRPr="00A167A9">
        <w:t>Wazeter FX&amp; Goldenthal EI., 1975b, Acute Toxicity Studies in Rats and Rabbits.</w:t>
      </w:r>
    </w:p>
    <w:p w14:paraId="72F86FE9" w14:textId="77777777" w:rsidR="00A167A9" w:rsidRPr="00A167A9" w:rsidRDefault="00A167A9" w:rsidP="00377F3A">
      <w:pPr>
        <w:pStyle w:val="NormalText"/>
      </w:pPr>
      <w:r w:rsidRPr="00A167A9">
        <w:t>Weber JB, 1978. Leachability of atrazine, buthiazole, bromadil, diurion, diphacinone, and prometon through a Lakeland sand. Reference no. 40102</w:t>
      </w:r>
    </w:p>
    <w:p w14:paraId="3FEA427E" w14:textId="77777777" w:rsidR="00A167A9" w:rsidRPr="00A167A9" w:rsidRDefault="00A167A9" w:rsidP="00377F3A">
      <w:pPr>
        <w:pStyle w:val="NormalText"/>
      </w:pPr>
      <w:r w:rsidRPr="00A167A9">
        <w:t>Wedding CJ, Weihong J, Brunton DH, 2010. Implications of visitations by shore skinks Oligosoma smithi to bait stations containing brodifacoum in a dune system in New Zealand. Pac Conserv Biol 16: 86–91</w:t>
      </w:r>
    </w:p>
    <w:p w14:paraId="1905B790" w14:textId="77777777" w:rsidR="00A167A9" w:rsidRPr="00A167A9" w:rsidRDefault="00A167A9" w:rsidP="00377F3A">
      <w:pPr>
        <w:pStyle w:val="NormalText"/>
      </w:pPr>
      <w:r w:rsidRPr="00A167A9">
        <w:t>Weir SM, Yu S, Knox A, Talent LG, Monk JM, Salice CJ, 2016. Acute toxicity and risk to lizards of rodenticides and herbicides commonly used in New Zealand. NZ J Ecol 40(3): 342-350</w:t>
      </w:r>
    </w:p>
    <w:p w14:paraId="0B5FD659" w14:textId="77777777" w:rsidR="00A167A9" w:rsidRPr="00A167A9" w:rsidRDefault="00A167A9" w:rsidP="00377F3A">
      <w:pPr>
        <w:pStyle w:val="NormalText"/>
      </w:pPr>
      <w:r w:rsidRPr="00A167A9">
        <w:t>Weissenfeld M, 2002. BAS 322 I (flocoumafen): estimation of the adsorption coefficient (Koc) by HPLC method. Reference no. 2002/1016627</w:t>
      </w:r>
    </w:p>
    <w:p w14:paraId="76AECF4C" w14:textId="77777777" w:rsidR="00A167A9" w:rsidRPr="00A167A9" w:rsidRDefault="00A167A9" w:rsidP="00377F3A">
      <w:pPr>
        <w:pStyle w:val="NormalText"/>
      </w:pPr>
      <w:r w:rsidRPr="00A167A9">
        <w:t>Wenzel A, 2011. Fish bioconcentration of flocoumafen. Reference no. 2010/1178749</w:t>
      </w:r>
    </w:p>
    <w:p w14:paraId="2B5394F1" w14:textId="77777777" w:rsidR="00A167A9" w:rsidRPr="00A167A9" w:rsidRDefault="00A167A9" w:rsidP="00377F3A">
      <w:pPr>
        <w:pStyle w:val="NormalText"/>
      </w:pPr>
      <w:r w:rsidRPr="00A167A9">
        <w:t>Wetton PM, McKenzie J, 2003. Bromadiolone: acute toxicity to rainbow trout (Oncorhynchus mykiss). Reference no. 1840/003</w:t>
      </w:r>
    </w:p>
    <w:p w14:paraId="40859E9E" w14:textId="77777777" w:rsidR="00A167A9" w:rsidRPr="00A167A9" w:rsidRDefault="00A167A9" w:rsidP="00377F3A">
      <w:pPr>
        <w:pStyle w:val="NormalText"/>
      </w:pPr>
      <w:r w:rsidRPr="00A167A9">
        <w:t>WHA (Wildlife Health Australia), 2022. Incident reports on Australian wildlife from the national electronic Wildlife Health Information System (eWHIS). Reference no. A2497553</w:t>
      </w:r>
    </w:p>
    <w:p w14:paraId="6122EEA9" w14:textId="77777777" w:rsidR="00A167A9" w:rsidRPr="00A167A9" w:rsidRDefault="00A167A9" w:rsidP="00377F3A">
      <w:pPr>
        <w:pStyle w:val="NormalText"/>
      </w:pPr>
      <w:r w:rsidRPr="00A167A9">
        <w:t>WHA (Wildlife Health Australia), 2022a. Incident reports on Australian wildlife from the national electronic Wildlife Health Information System (eWHIS). Reference no. A2497553</w:t>
      </w:r>
    </w:p>
    <w:p w14:paraId="142AAC61" w14:textId="77777777" w:rsidR="00A167A9" w:rsidRPr="00A167A9" w:rsidRDefault="00A167A9" w:rsidP="00377F3A">
      <w:pPr>
        <w:pStyle w:val="NormalText"/>
      </w:pPr>
      <w:r w:rsidRPr="00A167A9">
        <w:t>WHA (Wildlife Health Australia), 2022b. Incident reports on Australian wildlife from surveillance partners. Reference no. A2497552</w:t>
      </w:r>
    </w:p>
    <w:p w14:paraId="4423B6B1" w14:textId="77777777" w:rsidR="00A167A9" w:rsidRPr="00A167A9" w:rsidRDefault="00A167A9" w:rsidP="00377F3A">
      <w:pPr>
        <w:pStyle w:val="NormalText"/>
      </w:pPr>
      <w:r w:rsidRPr="00A167A9">
        <w:t>White DF, Mullee DM, 2006. Brodifacoum: determination of physico-chemical properties. Reference no. 2109/0002</w:t>
      </w:r>
    </w:p>
    <w:p w14:paraId="292479A5" w14:textId="77777777" w:rsidR="00A167A9" w:rsidRPr="00A167A9" w:rsidRDefault="00A167A9" w:rsidP="00377F3A">
      <w:pPr>
        <w:pStyle w:val="NormalText"/>
      </w:pPr>
      <w:r w:rsidRPr="00A167A9">
        <w:t>Wiche A, Ziemer F, 2014. Coumatetralyl (AE C518298), pure substance: dissociation constant in water. Reference no. M-485453-01-1</w:t>
      </w:r>
    </w:p>
    <w:p w14:paraId="775B8482" w14:textId="77777777" w:rsidR="00A167A9" w:rsidRPr="00A167A9" w:rsidRDefault="00A167A9" w:rsidP="00377F3A">
      <w:pPr>
        <w:pStyle w:val="NormalText"/>
      </w:pPr>
      <w:r w:rsidRPr="00F85D43">
        <w:t xml:space="preserve">Wiens JD, Dilione KE, Eagles-Smith CA, Herring G, Lesmeister DB, Gabriel MW, Wengert GM, Simon DC, 2019. </w:t>
      </w:r>
      <w:r w:rsidRPr="00A167A9">
        <w:t>Anticoagulant rodenticides in Strix owls indicate widespread exposure in west coast forests. Biol Conserv 238: 108238</w:t>
      </w:r>
    </w:p>
    <w:p w14:paraId="0CF759B4" w14:textId="77777777" w:rsidR="00A167A9" w:rsidRPr="00A167A9" w:rsidRDefault="00A167A9" w:rsidP="00377F3A">
      <w:pPr>
        <w:pStyle w:val="NormalText"/>
      </w:pPr>
      <w:r w:rsidRPr="00A167A9">
        <w:lastRenderedPageBreak/>
        <w:t>Wilkinson IS, Priddel D, 2007. Report on non-toxic bait trials Lord Howe Island - August 2007. Unpublished report to the Lord Howe Island Board, Lord Howe Island, New South Wales (available on-line)</w:t>
      </w:r>
    </w:p>
    <w:p w14:paraId="08390637" w14:textId="77777777" w:rsidR="00A167A9" w:rsidRPr="00A167A9" w:rsidRDefault="00A167A9" w:rsidP="00377F3A">
      <w:pPr>
        <w:pStyle w:val="NormalText"/>
      </w:pPr>
      <w:r w:rsidRPr="00A167A9">
        <w:t>Wolf, S., 2006, Development and validation of a residue analytical method for bromadiolone in meat (muscle), oil seed rape (seed) and lemon (whole fruit)</w:t>
      </w:r>
    </w:p>
    <w:p w14:paraId="0EB02BD3" w14:textId="77777777" w:rsidR="00A167A9" w:rsidRPr="00A167A9" w:rsidRDefault="00A167A9" w:rsidP="00377F3A">
      <w:pPr>
        <w:pStyle w:val="NormalText"/>
      </w:pPr>
      <w:r w:rsidRPr="00A167A9">
        <w:t>Woolley A.J. and Mullee, D.M, Safepharm Laboratories Ltd, 2003, Project number 1840/001</w:t>
      </w:r>
    </w:p>
    <w:p w14:paraId="178DE7D7" w14:textId="77777777" w:rsidR="00A167A9" w:rsidRPr="00A167A9" w:rsidRDefault="00A167A9" w:rsidP="00377F3A">
      <w:pPr>
        <w:pStyle w:val="NormalText"/>
      </w:pPr>
      <w:r w:rsidRPr="00A167A9">
        <w:t>Woolley SM, Mullee DM, 2005. Difenacoum: determination of water solubility. Reference no. 1558/011</w:t>
      </w:r>
    </w:p>
    <w:p w14:paraId="3A03E0B2" w14:textId="77777777" w:rsidR="00A167A9" w:rsidRPr="00A167A9" w:rsidRDefault="00A167A9" w:rsidP="00377F3A">
      <w:pPr>
        <w:pStyle w:val="NormalText"/>
      </w:pPr>
      <w:r w:rsidRPr="00A167A9">
        <w:t>Worthington M, 2006a. Difenacoum: calculation of Henry's law constant. Reference no. A2480856</w:t>
      </w:r>
    </w:p>
    <w:p w14:paraId="41CFF258" w14:textId="77777777" w:rsidR="00A167A9" w:rsidRPr="00A167A9" w:rsidRDefault="00A167A9" w:rsidP="00377F3A">
      <w:pPr>
        <w:pStyle w:val="NormalText"/>
      </w:pPr>
      <w:r w:rsidRPr="00A167A9">
        <w:t>Worthington M, 2006b. Difenacoum: calculation of partition coefficient. Reference no. A2480884</w:t>
      </w:r>
    </w:p>
    <w:p w14:paraId="6190E01A" w14:textId="77777777" w:rsidR="00A167A9" w:rsidRPr="00A167A9" w:rsidRDefault="00A167A9" w:rsidP="00377F3A">
      <w:pPr>
        <w:pStyle w:val="NormalText"/>
      </w:pPr>
      <w:r w:rsidRPr="00A167A9">
        <w:t>Worthington M, 2007. Brodifacoum: estimation of indirect photolysis in air. Reference no. A2493086</w:t>
      </w:r>
    </w:p>
    <w:p w14:paraId="0DF21FE3" w14:textId="77777777" w:rsidR="00A167A9" w:rsidRPr="00A167A9" w:rsidRDefault="00A167A9" w:rsidP="00377F3A">
      <w:pPr>
        <w:pStyle w:val="NormalText"/>
      </w:pPr>
      <w:r w:rsidRPr="00A167A9">
        <w:t>Wright NP, 2003, Brodifacoum – Reverse Mutation Assay “Ames Test”, Using Salmonella typhimurium</w:t>
      </w:r>
    </w:p>
    <w:p w14:paraId="1CBE0429" w14:textId="77777777" w:rsidR="00A167A9" w:rsidRPr="00A167A9" w:rsidRDefault="00A167A9" w:rsidP="00377F3A">
      <w:pPr>
        <w:pStyle w:val="NormalText"/>
      </w:pPr>
      <w:r w:rsidRPr="00A167A9">
        <w:t>Wyllie I, 1995. Potential secondary poisoning of barn owls by rodenticides. Pestic Outlook 6: 19-25</w:t>
      </w:r>
    </w:p>
    <w:p w14:paraId="40B25151" w14:textId="77777777" w:rsidR="00A167A9" w:rsidRPr="00A167A9" w:rsidRDefault="00A167A9" w:rsidP="00377F3A">
      <w:pPr>
        <w:pStyle w:val="NormalText"/>
      </w:pPr>
      <w:r w:rsidRPr="00A167A9">
        <w:t>Wyness LE, 1995a. Difenacoum: acute toxicity to Oncorhynchus mykiss. Reference no. 355/17</w:t>
      </w:r>
    </w:p>
    <w:p w14:paraId="13E661A7" w14:textId="77777777" w:rsidR="00A167A9" w:rsidRPr="00A167A9" w:rsidRDefault="00A167A9" w:rsidP="00377F3A">
      <w:pPr>
        <w:pStyle w:val="NormalText"/>
      </w:pPr>
      <w:r w:rsidRPr="00A167A9">
        <w:t>Wyness LE, 1995b. Difenacoum: acute toxicity to Lepomis macrochirus. Reference no. 355/23-1018</w:t>
      </w:r>
    </w:p>
    <w:p w14:paraId="083CF340" w14:textId="77777777" w:rsidR="00A167A9" w:rsidRPr="00A167A9" w:rsidRDefault="00A167A9" w:rsidP="00377F3A">
      <w:pPr>
        <w:pStyle w:val="NormalText"/>
      </w:pPr>
      <w:r w:rsidRPr="00A167A9">
        <w:t>Wyness LE, 1995c. Difenacoum: acute toxicity to Daphnia magna. Reference no. 355/18</w:t>
      </w:r>
    </w:p>
    <w:p w14:paraId="254C9ED7" w14:textId="77777777" w:rsidR="00A167A9" w:rsidRPr="00A167A9" w:rsidRDefault="00A167A9" w:rsidP="00377F3A">
      <w:pPr>
        <w:pStyle w:val="NormalText"/>
      </w:pPr>
      <w:r w:rsidRPr="00A167A9">
        <w:t>Wyness LE, 1995d. Difenacoum: inhibition of growth to the algae Selenastrum capricornutum. Reference no. 355/19</w:t>
      </w:r>
    </w:p>
    <w:p w14:paraId="0776679D" w14:textId="77777777" w:rsidR="00A167A9" w:rsidRPr="00A167A9" w:rsidRDefault="00A167A9" w:rsidP="00377F3A">
      <w:pPr>
        <w:pStyle w:val="NormalText"/>
      </w:pPr>
      <w:r w:rsidRPr="00A167A9">
        <w:t>Yan Z, Heim D, 1996. Aerobic soil metabolism of 14C-diphacinone. Reference no. 42430</w:t>
      </w:r>
    </w:p>
    <w:p w14:paraId="6471ACC7" w14:textId="77777777" w:rsidR="00A167A9" w:rsidRPr="00A167A9" w:rsidRDefault="00A167A9" w:rsidP="00377F3A">
      <w:pPr>
        <w:pStyle w:val="NormalText"/>
      </w:pPr>
      <w:r w:rsidRPr="00A167A9">
        <w:t>Young J, de Lai L, 1997. Population declines of predatory birds coincident with the introduction of Klerat Rodenticide in North Queensland. Aust Bird Watch 17: 160-167</w:t>
      </w:r>
    </w:p>
    <w:p w14:paraId="77FE37B7" w14:textId="77777777" w:rsidR="00A167A9" w:rsidRPr="00A167A9" w:rsidRDefault="00A167A9" w:rsidP="00377F3A">
      <w:pPr>
        <w:pStyle w:val="NormalText"/>
      </w:pPr>
      <w:r w:rsidRPr="00A167A9">
        <w:t>Yu C, Atallah YH, 1980. Metabolism of 14C-diphacinone in rats and mice. Reference no. 408398</w:t>
      </w:r>
    </w:p>
    <w:p w14:paraId="6EAC571F" w14:textId="77777777" w:rsidR="00A167A9" w:rsidRPr="00A167A9" w:rsidRDefault="00A167A9" w:rsidP="00377F3A">
      <w:pPr>
        <w:pStyle w:val="NormalText"/>
      </w:pPr>
      <w:r w:rsidRPr="00A167A9">
        <w:t>Zok S, 2002a. BAS 322 I: acute toxicity study on the rainbow trout (Oncorhynchus mykiss) in a semistatic system over 96 hours. Reference no. 2002/1004882</w:t>
      </w:r>
    </w:p>
    <w:p w14:paraId="522C4B4E" w14:textId="3F38E13A" w:rsidR="009B57A6" w:rsidRDefault="00A167A9" w:rsidP="00377F3A">
      <w:pPr>
        <w:pStyle w:val="NormalText"/>
      </w:pPr>
      <w:r w:rsidRPr="00A167A9">
        <w:t>Zok S, 2002b. BAS 322 I: acute toxicity study on the bluegill sunfish (Lepomis macrochirus) in a semistatic system over 96 hours. Reference no. 2002/1004881</w:t>
      </w:r>
      <w:bookmarkEnd w:id="1"/>
    </w:p>
    <w:sectPr w:rsidR="009B57A6">
      <w:headerReference w:type="even" r:id="rId44"/>
      <w:headerReference w:type="default" r:id="rId4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93B9" w14:textId="77777777" w:rsidR="00911F52" w:rsidRDefault="00911F52">
      <w:r>
        <w:separator/>
      </w:r>
    </w:p>
    <w:p w14:paraId="4E68F5A0" w14:textId="77777777" w:rsidR="00911F52" w:rsidRDefault="00911F52"/>
    <w:p w14:paraId="2BA3D7AA" w14:textId="77777777" w:rsidR="00911F52" w:rsidRDefault="00911F52"/>
  </w:endnote>
  <w:endnote w:type="continuationSeparator" w:id="0">
    <w:p w14:paraId="46E101DF" w14:textId="77777777" w:rsidR="00911F52" w:rsidRDefault="00911F52">
      <w:r>
        <w:continuationSeparator/>
      </w:r>
    </w:p>
    <w:p w14:paraId="4111A3B9" w14:textId="77777777" w:rsidR="00911F52" w:rsidRDefault="00911F52"/>
    <w:p w14:paraId="5CC2D6A2" w14:textId="77777777" w:rsidR="00911F52" w:rsidRDefault="0091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AE01" w14:textId="77777777" w:rsidR="00911F52" w:rsidRDefault="00911F52">
      <w:r>
        <w:separator/>
      </w:r>
    </w:p>
  </w:footnote>
  <w:footnote w:type="continuationSeparator" w:id="0">
    <w:p w14:paraId="3A68D0DD" w14:textId="77777777" w:rsidR="00911F52" w:rsidRDefault="00911F52">
      <w:pPr>
        <w:spacing w:line="180" w:lineRule="exact"/>
      </w:pPr>
      <w:r>
        <w:continuationSeparator/>
      </w:r>
    </w:p>
    <w:p w14:paraId="62218580" w14:textId="77777777" w:rsidR="00911F52" w:rsidRDefault="00911F52"/>
    <w:p w14:paraId="3B0B69D3" w14:textId="77777777" w:rsidR="00911F52" w:rsidRDefault="00911F52"/>
  </w:footnote>
  <w:footnote w:type="continuationNotice" w:id="1">
    <w:p w14:paraId="321EED21" w14:textId="77777777" w:rsidR="00911F52" w:rsidRDefault="00911F52"/>
    <w:p w14:paraId="677BDEE8" w14:textId="77777777" w:rsidR="00911F52" w:rsidRDefault="00911F52"/>
    <w:p w14:paraId="162354E8" w14:textId="77777777" w:rsidR="00911F52" w:rsidRDefault="00911F52"/>
  </w:footnote>
  <w:footnote w:id="2">
    <w:p w14:paraId="785CD8D6" w14:textId="77777777" w:rsidR="004A62FF" w:rsidRDefault="004A62FF" w:rsidP="004A62FF">
      <w:pPr>
        <w:pStyle w:val="FootnoteText"/>
      </w:pPr>
      <w:r>
        <w:rPr>
          <w:rStyle w:val="FootnoteReference"/>
        </w:rPr>
        <w:footnoteRef/>
      </w:r>
      <w:r>
        <w:t xml:space="preserve"> Half-life: the time taken for half of the chemical to be broken down, metabolised or excreted by the animal</w:t>
      </w:r>
    </w:p>
  </w:footnote>
  <w:footnote w:id="3">
    <w:p w14:paraId="1CF782C1" w14:textId="77777777" w:rsidR="004A62FF" w:rsidRDefault="004A62FF" w:rsidP="004A62FF">
      <w:pPr>
        <w:pStyle w:val="FootnoteText"/>
      </w:pPr>
      <w:r>
        <w:rPr>
          <w:rStyle w:val="FootnoteReference"/>
        </w:rPr>
        <w:footnoteRef/>
      </w:r>
      <w:r>
        <w:t xml:space="preserve"> Lethal dose for half of the study subjects</w:t>
      </w:r>
    </w:p>
  </w:footnote>
  <w:footnote w:id="4">
    <w:p w14:paraId="10D9EA2A" w14:textId="77777777" w:rsidR="00B124E3" w:rsidRDefault="00B124E3" w:rsidP="00B124E3">
      <w:pPr>
        <w:pStyle w:val="FootnoteText"/>
      </w:pPr>
      <w:r>
        <w:rPr>
          <w:rStyle w:val="FootnoteReference"/>
        </w:rPr>
        <w:footnoteRef/>
      </w:r>
      <w:r>
        <w:t xml:space="preserve"> </w:t>
      </w:r>
      <w:hyperlink r:id="rId1" w:history="1">
        <w:r w:rsidRPr="00E44278">
          <w:rPr>
            <w:rStyle w:val="Hyperlink"/>
          </w:rPr>
          <w:t>https://www.legislation.gov.au/F2022L00137/latest/text</w:t>
        </w:r>
      </w:hyperlink>
      <w:r>
        <w:t xml:space="preserve">. </w:t>
      </w:r>
    </w:p>
  </w:footnote>
  <w:footnote w:id="5">
    <w:p w14:paraId="13A86BE2" w14:textId="53F48C84" w:rsidR="00884D58" w:rsidRDefault="00884D58" w:rsidP="00884D58">
      <w:pPr>
        <w:pStyle w:val="FootnoteText"/>
      </w:pPr>
      <w:r>
        <w:rPr>
          <w:rStyle w:val="FootnoteReference"/>
        </w:rPr>
        <w:footnoteRef/>
      </w:r>
      <w:r>
        <w:t xml:space="preserve"> Supplied by applicant for original approval for difenacoum, Sorex Ltd (approval and data later transferred to BASF Australia Ltd).</w:t>
      </w:r>
    </w:p>
  </w:footnote>
  <w:footnote w:id="6">
    <w:p w14:paraId="3B0A9FA9" w14:textId="77777777" w:rsidR="00884D58" w:rsidRDefault="00884D58" w:rsidP="00884D58">
      <w:pPr>
        <w:pStyle w:val="FootnoteText"/>
      </w:pPr>
      <w:r>
        <w:rPr>
          <w:rStyle w:val="FootnoteReference"/>
        </w:rPr>
        <w:footnoteRef/>
      </w:r>
      <w:r>
        <w:t xml:space="preserve"> Supplied by applicant for original approval for diphacinone, United Agri Products Pty Ltd (approval later transferred to Neogen Australasia Pty Ltd). </w:t>
      </w:r>
    </w:p>
  </w:footnote>
  <w:footnote w:id="7">
    <w:p w14:paraId="4AAB1EE2" w14:textId="2633BA34" w:rsidR="009A794E" w:rsidRDefault="009A794E">
      <w:pPr>
        <w:pStyle w:val="FootnoteText"/>
      </w:pPr>
      <w:r>
        <w:rPr>
          <w:rStyle w:val="FootnoteReference"/>
        </w:rPr>
        <w:footnoteRef/>
      </w:r>
      <w:r>
        <w:t xml:space="preserve"> Commensal means ‘</w:t>
      </w:r>
      <w:r w:rsidRPr="007E6530">
        <w:t>sharing the table’</w:t>
      </w:r>
    </w:p>
  </w:footnote>
  <w:footnote w:id="8">
    <w:p w14:paraId="573B9086" w14:textId="2FE83B47" w:rsidR="00FD32F4" w:rsidRPr="009B1DBC" w:rsidRDefault="00FD32F4" w:rsidP="00FD32F4">
      <w:pPr>
        <w:pStyle w:val="FootnoteText"/>
        <w:rPr>
          <w:sz w:val="15"/>
          <w:szCs w:val="15"/>
        </w:rPr>
      </w:pPr>
      <w:r w:rsidRPr="008B4A54">
        <w:rPr>
          <w:rStyle w:val="FootnoteReference"/>
          <w:sz w:val="15"/>
          <w:szCs w:val="15"/>
        </w:rPr>
        <w:footnoteRef/>
      </w:r>
      <w:r w:rsidRPr="008B4A54">
        <w:rPr>
          <w:sz w:val="15"/>
          <w:szCs w:val="15"/>
        </w:rPr>
        <w:t xml:space="preserve"> To avoid drawing unwanted attention to the presence of baits and of rodents</w:t>
      </w:r>
      <w:r w:rsidR="00396489">
        <w:rPr>
          <w:sz w:val="15"/>
          <w:szCs w:val="15"/>
        </w:rPr>
        <w:t xml:space="preserve"> and potentially increasing the risk of i</w:t>
      </w:r>
      <w:r w:rsidR="00F31EA6">
        <w:rPr>
          <w:sz w:val="15"/>
          <w:szCs w:val="15"/>
        </w:rPr>
        <w:t>l</w:t>
      </w:r>
      <w:r w:rsidR="00396489">
        <w:rPr>
          <w:sz w:val="15"/>
          <w:szCs w:val="15"/>
        </w:rPr>
        <w:t xml:space="preserve">licit use, the authors advised against posting </w:t>
      </w:r>
      <w:r w:rsidRPr="009B1DBC">
        <w:rPr>
          <w:sz w:val="15"/>
          <w:szCs w:val="15"/>
        </w:rPr>
        <w:t>information / warnings on the presence of toxic substances</w:t>
      </w:r>
      <w:r w:rsidRPr="008B4A54">
        <w:rPr>
          <w:sz w:val="15"/>
          <w:szCs w:val="15"/>
        </w:rPr>
        <w:t xml:space="preserve"> (Berny </w:t>
      </w:r>
      <w:r w:rsidR="00B7183A" w:rsidRPr="00B7183A">
        <w:rPr>
          <w:i/>
          <w:iCs/>
          <w:sz w:val="15"/>
          <w:szCs w:val="15"/>
        </w:rPr>
        <w:t>et al</w:t>
      </w:r>
      <w:r w:rsidRPr="008B4A54">
        <w:rPr>
          <w:sz w:val="15"/>
          <w:szCs w:val="15"/>
        </w:rPr>
        <w:t>. 2014)</w:t>
      </w:r>
      <w:r w:rsidRPr="009B1DBC">
        <w:rPr>
          <w:sz w:val="15"/>
          <w:szCs w:val="15"/>
        </w:rPr>
        <w:t>.</w:t>
      </w:r>
    </w:p>
    <w:p w14:paraId="23245B7B" w14:textId="77777777" w:rsidR="00FD32F4" w:rsidRDefault="00FD32F4" w:rsidP="00FD32F4">
      <w:pPr>
        <w:pStyle w:val="FootnoteText"/>
      </w:pPr>
    </w:p>
  </w:footnote>
  <w:footnote w:id="9">
    <w:p w14:paraId="44D643F7" w14:textId="77777777" w:rsidR="00FD32F4" w:rsidRDefault="00FD32F4" w:rsidP="00FD32F4">
      <w:pPr>
        <w:pStyle w:val="FootnoteText"/>
        <w:spacing w:before="0" w:line="240" w:lineRule="auto"/>
      </w:pPr>
      <w:r>
        <w:rPr>
          <w:rStyle w:val="FootnoteReference"/>
        </w:rPr>
        <w:footnoteRef/>
      </w:r>
      <w:r>
        <w:t xml:space="preserve"> </w:t>
      </w:r>
      <w:hyperlink r:id="rId2" w:history="1">
        <w:r w:rsidRPr="006C6CBA">
          <w:rPr>
            <w:rStyle w:val="Hyperlink"/>
          </w:rPr>
          <w:t>https://www.thinkwildlife.org/</w:t>
        </w:r>
      </w:hyperlink>
      <w:r>
        <w:t xml:space="preserve"> </w:t>
      </w:r>
    </w:p>
  </w:footnote>
  <w:footnote w:id="10">
    <w:p w14:paraId="6AFA431A" w14:textId="77777777" w:rsidR="00FD32F4" w:rsidRDefault="00FD32F4" w:rsidP="00FD32F4">
      <w:pPr>
        <w:pStyle w:val="FootnoteText"/>
      </w:pPr>
      <w:r>
        <w:rPr>
          <w:rStyle w:val="FootnoteReference"/>
        </w:rPr>
        <w:footnoteRef/>
      </w:r>
      <w:r>
        <w:t xml:space="preserve"> </w:t>
      </w:r>
      <w:r w:rsidRPr="00C47F8F">
        <w:t>Within 15 meters of buildings/structures, or up to 100 meters from buildings/structures if bait is placed along fence lines in a secured, tamper-resistant bait station.</w:t>
      </w:r>
    </w:p>
  </w:footnote>
  <w:footnote w:id="11">
    <w:p w14:paraId="1DED3DA0" w14:textId="77777777" w:rsidR="00FD32F4" w:rsidRPr="00EE5F47" w:rsidRDefault="00FD32F4" w:rsidP="00FD32F4">
      <w:pPr>
        <w:pStyle w:val="FootnoteText"/>
        <w:spacing w:before="0"/>
        <w:ind w:right="113"/>
        <w:rPr>
          <w:sz w:val="15"/>
          <w:szCs w:val="15"/>
        </w:rPr>
      </w:pPr>
      <w:r w:rsidRPr="00EE5F47">
        <w:rPr>
          <w:rStyle w:val="FootnoteReference"/>
          <w:sz w:val="15"/>
          <w:szCs w:val="15"/>
        </w:rPr>
        <w:footnoteRef/>
      </w:r>
      <w:r w:rsidRPr="00EE5F47">
        <w:rPr>
          <w:sz w:val="15"/>
          <w:szCs w:val="15"/>
        </w:rPr>
        <w:t xml:space="preserve"> </w:t>
      </w:r>
      <w:r>
        <w:rPr>
          <w:sz w:val="15"/>
          <w:szCs w:val="15"/>
        </w:rPr>
        <w:t xml:space="preserve">According to </w:t>
      </w:r>
      <w:r w:rsidRPr="00EE5F47">
        <w:rPr>
          <w:sz w:val="15"/>
          <w:szCs w:val="15"/>
        </w:rPr>
        <w:t xml:space="preserve">ECHA (European Chemicals Agency) 2018. PT 14 - Rodenticides </w:t>
      </w:r>
    </w:p>
  </w:footnote>
  <w:footnote w:id="12">
    <w:p w14:paraId="3161DC4C" w14:textId="77777777" w:rsidR="00FD32F4" w:rsidRDefault="00FD32F4" w:rsidP="00FD32F4">
      <w:pPr>
        <w:pStyle w:val="FootnoteText"/>
      </w:pPr>
      <w:r>
        <w:rPr>
          <w:rStyle w:val="FootnoteReference"/>
        </w:rPr>
        <w:footnoteRef/>
      </w:r>
      <w:r>
        <w:t xml:space="preserve"> </w:t>
      </w:r>
      <w:r>
        <w:rPr>
          <w:sz w:val="15"/>
          <w:szCs w:val="15"/>
        </w:rPr>
        <w:t xml:space="preserve">According to </w:t>
      </w:r>
      <w:r w:rsidRPr="00EE5F47">
        <w:rPr>
          <w:sz w:val="15"/>
          <w:szCs w:val="15"/>
        </w:rPr>
        <w:t xml:space="preserve">ECHA (European Chemicals Agency) 2018. PT 14 - Rodenticides </w:t>
      </w:r>
    </w:p>
  </w:footnote>
  <w:footnote w:id="13">
    <w:p w14:paraId="124D19CB" w14:textId="77777777" w:rsidR="00FD32F4" w:rsidRDefault="00FD32F4" w:rsidP="00FD32F4">
      <w:pPr>
        <w:pStyle w:val="FootnoteText"/>
      </w:pPr>
      <w:r>
        <w:rPr>
          <w:rStyle w:val="FootnoteReference"/>
        </w:rPr>
        <w:footnoteRef/>
      </w:r>
      <w:r>
        <w:t xml:space="preserve"> </w:t>
      </w:r>
      <w:r>
        <w:rPr>
          <w:sz w:val="15"/>
          <w:szCs w:val="15"/>
        </w:rPr>
        <w:t xml:space="preserve">According to </w:t>
      </w:r>
      <w:r w:rsidRPr="00EE5F47">
        <w:rPr>
          <w:sz w:val="15"/>
          <w:szCs w:val="15"/>
        </w:rPr>
        <w:t>ECHA (European Chemicals Agency) 2018. PT 14 - Rodenticides emission estimations</w:t>
      </w:r>
    </w:p>
  </w:footnote>
  <w:footnote w:id="14">
    <w:p w14:paraId="32E32D7B" w14:textId="77777777" w:rsidR="00FD32F4" w:rsidRDefault="00FD32F4" w:rsidP="00FD32F4">
      <w:pPr>
        <w:pStyle w:val="FootnoteText"/>
      </w:pPr>
      <w:r>
        <w:rPr>
          <w:rStyle w:val="FootnoteReference"/>
        </w:rPr>
        <w:footnoteRef/>
      </w:r>
      <w:r>
        <w:t xml:space="preserve"> This statement does not apply to the use of coumatetralyl in agricultural crops</w:t>
      </w:r>
    </w:p>
  </w:footnote>
  <w:footnote w:id="15">
    <w:p w14:paraId="4A0B1003" w14:textId="2D6D3489" w:rsidR="00607CB8" w:rsidRDefault="00607CB8" w:rsidP="00BC105E">
      <w:pPr>
        <w:pStyle w:val="FootnoteText"/>
        <w:spacing w:before="120" w:after="120"/>
        <w:ind w:left="0" w:firstLine="0"/>
      </w:pPr>
      <w:r>
        <w:rPr>
          <w:rStyle w:val="FootnoteReference"/>
        </w:rPr>
        <w:footnoteRef/>
      </w:r>
      <w:r>
        <w:t xml:space="preserve"> </w:t>
      </w:r>
      <w:r w:rsidRPr="0038766F">
        <w:rPr>
          <w:szCs w:val="16"/>
        </w:rPr>
        <w:t>Tamper-resistant bait station means a bait station that:</w:t>
      </w:r>
      <w:r>
        <w:rPr>
          <w:szCs w:val="16"/>
        </w:rPr>
        <w:t xml:space="preserve"> </w:t>
      </w:r>
      <w:r w:rsidRPr="0038766F">
        <w:rPr>
          <w:szCs w:val="16"/>
        </w:rPr>
        <w:t>(a)</w:t>
      </w:r>
      <w:r>
        <w:rPr>
          <w:szCs w:val="16"/>
        </w:rPr>
        <w:t xml:space="preserve"> </w:t>
      </w:r>
      <w:r w:rsidRPr="0038766F">
        <w:rPr>
          <w:szCs w:val="16"/>
        </w:rPr>
        <w:t>is capable of displaying precautionary statements in a prominent location; (b)</w:t>
      </w:r>
      <w:r>
        <w:rPr>
          <w:szCs w:val="16"/>
        </w:rPr>
        <w:t xml:space="preserve"> </w:t>
      </w:r>
      <w:r w:rsidRPr="0038766F">
        <w:rPr>
          <w:szCs w:val="16"/>
        </w:rPr>
        <w:t>can contain bait with minimal spillage or tracking; (c)</w:t>
      </w:r>
      <w:r>
        <w:rPr>
          <w:szCs w:val="16"/>
        </w:rPr>
        <w:t xml:space="preserve"> </w:t>
      </w:r>
      <w:r w:rsidRPr="0038766F">
        <w:rPr>
          <w:szCs w:val="16"/>
        </w:rPr>
        <w:t xml:space="preserve">prevents </w:t>
      </w:r>
      <w:r w:rsidR="00B2494D">
        <w:rPr>
          <w:szCs w:val="16"/>
        </w:rPr>
        <w:t xml:space="preserve">the </w:t>
      </w:r>
      <w:r w:rsidRPr="0038766F">
        <w:rPr>
          <w:szCs w:val="16"/>
        </w:rPr>
        <w:t xml:space="preserve">displacement of bait </w:t>
      </w:r>
      <w:r w:rsidR="00B2494D">
        <w:rPr>
          <w:szCs w:val="16"/>
        </w:rPr>
        <w:t xml:space="preserve">out of </w:t>
      </w:r>
      <w:r w:rsidRPr="0038766F">
        <w:rPr>
          <w:szCs w:val="16"/>
        </w:rPr>
        <w:t xml:space="preserve">the bait station </w:t>
      </w:r>
      <w:r w:rsidR="00BC105E">
        <w:rPr>
          <w:szCs w:val="16"/>
        </w:rPr>
        <w:t xml:space="preserve">in the event the station is moved or shaken; </w:t>
      </w:r>
      <w:r w:rsidRPr="0038766F">
        <w:rPr>
          <w:szCs w:val="16"/>
        </w:rPr>
        <w:t>(</w:t>
      </w:r>
      <w:r w:rsidR="00BC105E">
        <w:rPr>
          <w:szCs w:val="16"/>
        </w:rPr>
        <w:t>d</w:t>
      </w:r>
      <w:r w:rsidRPr="0038766F">
        <w:rPr>
          <w:szCs w:val="16"/>
        </w:rPr>
        <w:t>)</w:t>
      </w:r>
      <w:r>
        <w:rPr>
          <w:szCs w:val="16"/>
        </w:rPr>
        <w:t xml:space="preserve"> </w:t>
      </w:r>
      <w:r w:rsidRPr="0038766F">
        <w:rPr>
          <w:szCs w:val="16"/>
        </w:rPr>
        <w:t xml:space="preserve">if </w:t>
      </w:r>
      <w:r w:rsidR="00BC105E">
        <w:rPr>
          <w:szCs w:val="16"/>
        </w:rPr>
        <w:t xml:space="preserve">the bait station is </w:t>
      </w:r>
      <w:r w:rsidRPr="0038766F">
        <w:rPr>
          <w:szCs w:val="16"/>
        </w:rPr>
        <w:t xml:space="preserve">refillable, </w:t>
      </w:r>
      <w:r w:rsidR="00BC105E">
        <w:rPr>
          <w:szCs w:val="16"/>
        </w:rPr>
        <w:t xml:space="preserve">children should not be able to gain access via the refilling openings or procedures; </w:t>
      </w:r>
      <w:r w:rsidRPr="0038766F">
        <w:rPr>
          <w:szCs w:val="16"/>
        </w:rPr>
        <w:t>(</w:t>
      </w:r>
      <w:r>
        <w:rPr>
          <w:szCs w:val="16"/>
        </w:rPr>
        <w:t>d</w:t>
      </w:r>
      <w:r w:rsidRPr="0038766F">
        <w:rPr>
          <w:szCs w:val="16"/>
        </w:rPr>
        <w:t>)</w:t>
      </w:r>
      <w:r>
        <w:rPr>
          <w:szCs w:val="16"/>
        </w:rPr>
        <w:t xml:space="preserve"> </w:t>
      </w:r>
      <w:r w:rsidR="00BC105E" w:rsidRPr="0038766F">
        <w:rPr>
          <w:szCs w:val="16"/>
        </w:rPr>
        <w:t>does not have openings larger than 65</w:t>
      </w:r>
      <w:r w:rsidR="00BC105E">
        <w:rPr>
          <w:szCs w:val="16"/>
        </w:rPr>
        <w:t xml:space="preserve"> </w:t>
      </w:r>
      <w:r w:rsidR="00BC105E" w:rsidRPr="0038766F">
        <w:rPr>
          <w:szCs w:val="16"/>
        </w:rPr>
        <w:t xml:space="preserve">mm in diameter </w:t>
      </w:r>
      <w:r w:rsidR="00BC105E">
        <w:rPr>
          <w:szCs w:val="16"/>
        </w:rPr>
        <w:t xml:space="preserve">so as to prevent </w:t>
      </w:r>
      <w:r>
        <w:rPr>
          <w:szCs w:val="16"/>
        </w:rPr>
        <w:t>access by</w:t>
      </w:r>
      <w:r w:rsidRPr="0038766F">
        <w:rPr>
          <w:szCs w:val="16"/>
        </w:rPr>
        <w:t xml:space="preserve"> children under six years of age</w:t>
      </w:r>
      <w:r w:rsidR="00BC105E">
        <w:rPr>
          <w:szCs w:val="16"/>
        </w:rPr>
        <w:t>;</w:t>
      </w:r>
      <w:r w:rsidRPr="0038766F">
        <w:rPr>
          <w:szCs w:val="16"/>
        </w:rPr>
        <w:t xml:space="preserve"> (</w:t>
      </w:r>
      <w:r>
        <w:rPr>
          <w:szCs w:val="16"/>
        </w:rPr>
        <w:t>e</w:t>
      </w:r>
      <w:r w:rsidRPr="0038766F">
        <w:rPr>
          <w:szCs w:val="16"/>
        </w:rPr>
        <w:t>)</w:t>
      </w:r>
      <w:r>
        <w:rPr>
          <w:szCs w:val="16"/>
        </w:rPr>
        <w:t xml:space="preserve"> </w:t>
      </w:r>
      <w:r w:rsidRPr="0038766F">
        <w:rPr>
          <w:szCs w:val="16"/>
        </w:rPr>
        <w:t xml:space="preserve">prohibits opening, entry, </w:t>
      </w:r>
      <w:r w:rsidR="00BC105E">
        <w:rPr>
          <w:szCs w:val="16"/>
        </w:rPr>
        <w:t xml:space="preserve">disassembly, </w:t>
      </w:r>
      <w:r w:rsidRPr="0038766F">
        <w:rPr>
          <w:szCs w:val="16"/>
        </w:rPr>
        <w:t>or destruction by children under six years of age (with access to common objects)</w:t>
      </w:r>
      <w:r>
        <w:rPr>
          <w:szCs w:val="16"/>
        </w:rPr>
        <w:t>.</w:t>
      </w:r>
    </w:p>
  </w:footnote>
  <w:footnote w:id="16">
    <w:p w14:paraId="257217B0" w14:textId="7B5D82B0" w:rsidR="00607CB8" w:rsidRDefault="00607CB8" w:rsidP="00607CB8">
      <w:pPr>
        <w:pStyle w:val="FootnoteText"/>
        <w:spacing w:before="120" w:after="120"/>
        <w:ind w:left="0" w:firstLine="0"/>
      </w:pPr>
      <w:r>
        <w:rPr>
          <w:rStyle w:val="FootnoteReference"/>
        </w:rPr>
        <w:footnoteRef/>
      </w:r>
      <w:r>
        <w:t xml:space="preserve"> </w:t>
      </w:r>
      <w:r w:rsidRPr="0038766F">
        <w:rPr>
          <w:szCs w:val="16"/>
        </w:rPr>
        <w:t xml:space="preserve">Securable bait station </w:t>
      </w:r>
      <w:r>
        <w:rPr>
          <w:szCs w:val="16"/>
        </w:rPr>
        <w:t xml:space="preserve">means a bait station that: (a) </w:t>
      </w:r>
      <w:r w:rsidRPr="0038766F">
        <w:rPr>
          <w:szCs w:val="16"/>
        </w:rPr>
        <w:t xml:space="preserve">meets </w:t>
      </w:r>
      <w:r w:rsidR="00BC105E">
        <w:rPr>
          <w:szCs w:val="16"/>
        </w:rPr>
        <w:t xml:space="preserve">all </w:t>
      </w:r>
      <w:r w:rsidRPr="0038766F">
        <w:rPr>
          <w:szCs w:val="16"/>
        </w:rPr>
        <w:t xml:space="preserve">the criteria of a tamper-resistant bait station; </w:t>
      </w:r>
      <w:r w:rsidRPr="00B13EAE">
        <w:rPr>
          <w:szCs w:val="16"/>
        </w:rPr>
        <w:t xml:space="preserve">and </w:t>
      </w:r>
      <w:r w:rsidRPr="00981F0B">
        <w:rPr>
          <w:szCs w:val="16"/>
        </w:rPr>
        <w:t xml:space="preserve">(b) is capable of being anchored securely </w:t>
      </w:r>
      <w:r w:rsidR="00BC105E">
        <w:rPr>
          <w:szCs w:val="16"/>
        </w:rPr>
        <w:t xml:space="preserve">so as to </w:t>
      </w:r>
      <w:r w:rsidRPr="00981F0B">
        <w:rPr>
          <w:szCs w:val="16"/>
        </w:rPr>
        <w:t>resist efforts to move the station</w:t>
      </w:r>
      <w:r w:rsidRPr="00B13EAE">
        <w:rPr>
          <w:szCs w:val="16"/>
        </w:rPr>
        <w:t>; and (c) includes a mechanism</w:t>
      </w:r>
      <w:r w:rsidRPr="0038766F">
        <w:rPr>
          <w:szCs w:val="16"/>
        </w:rPr>
        <w:t xml:space="preserve"> </w:t>
      </w:r>
      <w:r w:rsidR="00BC105E">
        <w:rPr>
          <w:szCs w:val="16"/>
        </w:rPr>
        <w:t xml:space="preserve">to secure the bait within the bait </w:t>
      </w:r>
      <w:r w:rsidRPr="0038766F">
        <w:rPr>
          <w:szCs w:val="16"/>
        </w:rPr>
        <w:t>compartment.</w:t>
      </w:r>
    </w:p>
  </w:footnote>
  <w:footnote w:id="17">
    <w:p w14:paraId="03925D7D" w14:textId="77777777" w:rsidR="00716611" w:rsidRPr="00506812" w:rsidRDefault="00716611" w:rsidP="00716611">
      <w:pPr>
        <w:pStyle w:val="FootnoteText"/>
        <w:rPr>
          <w:sz w:val="18"/>
          <w:szCs w:val="18"/>
        </w:rPr>
      </w:pPr>
      <w:r w:rsidRPr="00506812">
        <w:rPr>
          <w:rStyle w:val="FootnoteReference"/>
          <w:szCs w:val="18"/>
        </w:rPr>
        <w:footnoteRef/>
      </w:r>
      <w:r w:rsidRPr="00506812">
        <w:rPr>
          <w:sz w:val="18"/>
          <w:szCs w:val="18"/>
        </w:rPr>
        <w:t xml:space="preserve"> Agricultural and Veterinary Chemicals Code Instrument No. 4 (MRL Standard) Amendment Instrument 2015 (No. 3) </w:t>
      </w:r>
      <w:r>
        <w:rPr>
          <w:sz w:val="18"/>
          <w:szCs w:val="18"/>
        </w:rPr>
        <w:t xml:space="preserve">– </w:t>
      </w:r>
      <w:hyperlink r:id="rId3" w:history="1">
        <w:r w:rsidRPr="00506812">
          <w:rPr>
            <w:rStyle w:val="Hyperlink"/>
            <w:sz w:val="18"/>
            <w:szCs w:val="18"/>
          </w:rPr>
          <w:t>Link</w:t>
        </w:r>
      </w:hyperlink>
    </w:p>
  </w:footnote>
  <w:footnote w:id="18">
    <w:p w14:paraId="211939B0" w14:textId="77777777" w:rsidR="00716611" w:rsidRDefault="00716611" w:rsidP="00716611">
      <w:pPr>
        <w:pStyle w:val="FootnoteText"/>
      </w:pPr>
      <w:r w:rsidRPr="00506812">
        <w:rPr>
          <w:rStyle w:val="FootnoteReference"/>
          <w:szCs w:val="18"/>
        </w:rPr>
        <w:footnoteRef/>
      </w:r>
      <w:r w:rsidRPr="00506812">
        <w:rPr>
          <w:sz w:val="18"/>
          <w:szCs w:val="18"/>
        </w:rPr>
        <w:t xml:space="preserve"> Australian Pork Ltd – Industry Rodenticide Stewardship Plan – July 2021 – </w:t>
      </w:r>
      <w:hyperlink r:id="rId4" w:history="1">
        <w:r w:rsidRPr="00506812">
          <w:rPr>
            <w:rStyle w:val="Hyperlink"/>
            <w:sz w:val="18"/>
            <w:szCs w:val="18"/>
          </w:rPr>
          <w:t>Link</w:t>
        </w:r>
      </w:hyperlink>
      <w:r>
        <w:t xml:space="preserve"> </w:t>
      </w:r>
    </w:p>
  </w:footnote>
  <w:footnote w:id="19">
    <w:p w14:paraId="02DF5593" w14:textId="77777777" w:rsidR="00CF7D3A" w:rsidRDefault="00CF7D3A" w:rsidP="00CF7D3A">
      <w:pPr>
        <w:pStyle w:val="FootnoteText"/>
        <w:ind w:left="113" w:hanging="113"/>
      </w:pPr>
      <w:r w:rsidRPr="00D11E1F">
        <w:rPr>
          <w:rStyle w:val="FootnoteReference"/>
        </w:rPr>
        <w:footnoteRef/>
      </w:r>
      <w:r w:rsidRPr="00D11E1F">
        <w:rPr>
          <w:sz w:val="18"/>
        </w:rPr>
        <w:t xml:space="preserve"> A full listing of MRLs current at the time of evaluation can be found in the </w:t>
      </w:r>
      <w:r w:rsidRPr="00D40902">
        <w:rPr>
          <w:i/>
          <w:sz w:val="18"/>
        </w:rPr>
        <w:t xml:space="preserve">Agricultural and Veterinary Chemicals (MRL Standard for Residues of Chemical Products) Instrument 2023 </w:t>
      </w:r>
      <w:r>
        <w:rPr>
          <w:iCs/>
          <w:sz w:val="18"/>
        </w:rPr>
        <w:t xml:space="preserve">– </w:t>
      </w:r>
      <w:hyperlink r:id="rId5" w:history="1">
        <w:r>
          <w:rPr>
            <w:rStyle w:val="Hyperlink"/>
            <w:sz w:val="18"/>
          </w:rPr>
          <w:t>Link</w:t>
        </w:r>
      </w:hyperlink>
      <w:r w:rsidRPr="00D11E1F">
        <w:rPr>
          <w:sz w:val="18"/>
        </w:rPr>
        <w:t xml:space="preserve">. </w:t>
      </w:r>
    </w:p>
  </w:footnote>
  <w:footnote w:id="20">
    <w:p w14:paraId="4CE2907D" w14:textId="77777777" w:rsidR="00CF7D3A" w:rsidRPr="00A34495" w:rsidRDefault="00CF7D3A" w:rsidP="00CF7D3A">
      <w:pPr>
        <w:pStyle w:val="FootnoteText"/>
        <w:rPr>
          <w:sz w:val="18"/>
          <w:szCs w:val="18"/>
        </w:rPr>
      </w:pPr>
      <w:r w:rsidRPr="00A34495">
        <w:rPr>
          <w:rStyle w:val="FootnoteReference"/>
          <w:szCs w:val="18"/>
        </w:rPr>
        <w:footnoteRef/>
      </w:r>
      <w:r w:rsidRPr="00A34495">
        <w:rPr>
          <w:sz w:val="18"/>
          <w:szCs w:val="18"/>
        </w:rPr>
        <w:t xml:space="preserve"> CODEX Alimentarius – MRLs for Residues of Pesticides in Food – </w:t>
      </w:r>
      <w:hyperlink r:id="rId6" w:history="1">
        <w:r w:rsidRPr="00A34495">
          <w:rPr>
            <w:rStyle w:val="Hyperlink"/>
            <w:sz w:val="18"/>
            <w:szCs w:val="18"/>
          </w:rPr>
          <w:t>Link</w:t>
        </w:r>
      </w:hyperlink>
    </w:p>
  </w:footnote>
  <w:footnote w:id="21">
    <w:p w14:paraId="2ACDEC12" w14:textId="77777777" w:rsidR="00CF7D3A" w:rsidRDefault="00CF7D3A" w:rsidP="00CF7D3A">
      <w:pPr>
        <w:pStyle w:val="FootnoteText"/>
      </w:pPr>
      <w:r w:rsidRPr="00A34495">
        <w:rPr>
          <w:rStyle w:val="FootnoteReference"/>
          <w:szCs w:val="18"/>
        </w:rPr>
        <w:footnoteRef/>
      </w:r>
      <w:r w:rsidRPr="00A34495">
        <w:rPr>
          <w:sz w:val="18"/>
          <w:szCs w:val="18"/>
        </w:rPr>
        <w:t xml:space="preserve"> European Commission – EU Pesticides database – </w:t>
      </w:r>
      <w:hyperlink r:id="rId7" w:history="1">
        <w:r w:rsidRPr="00A34495">
          <w:rPr>
            <w:rStyle w:val="Hyperlink"/>
            <w:sz w:val="18"/>
            <w:szCs w:val="18"/>
          </w:rPr>
          <w:t>Link</w:t>
        </w:r>
      </w:hyperlink>
    </w:p>
  </w:footnote>
  <w:footnote w:id="22">
    <w:p w14:paraId="38E64528" w14:textId="77777777" w:rsidR="00CF7D3A" w:rsidRDefault="00CF7D3A" w:rsidP="00CF7D3A">
      <w:pPr>
        <w:pStyle w:val="FootnoteText"/>
      </w:pPr>
      <w:r>
        <w:rPr>
          <w:rStyle w:val="FootnoteReference"/>
        </w:rPr>
        <w:footnoteRef/>
      </w:r>
      <w:r>
        <w:t xml:space="preserve"> </w:t>
      </w:r>
      <w:r w:rsidRPr="00561D1B">
        <w:rPr>
          <w:sz w:val="18"/>
          <w:szCs w:val="18"/>
        </w:rPr>
        <w:t xml:space="preserve">The Japan Food Chemical Research Foundation </w:t>
      </w:r>
      <w:r w:rsidRPr="00F622F5">
        <w:rPr>
          <w:sz w:val="18"/>
          <w:szCs w:val="18"/>
        </w:rPr>
        <w:t>–</w:t>
      </w:r>
      <w:r>
        <w:rPr>
          <w:sz w:val="18"/>
          <w:szCs w:val="18"/>
        </w:rPr>
        <w:t xml:space="preserve"> </w:t>
      </w:r>
      <w:hyperlink r:id="rId8" w:history="1">
        <w:r w:rsidRPr="00496FEB">
          <w:rPr>
            <w:rStyle w:val="Hyperlink"/>
            <w:sz w:val="18"/>
            <w:szCs w:val="18"/>
          </w:rPr>
          <w:t>Link</w:t>
        </w:r>
      </w:hyperlink>
      <w:r>
        <w:rPr>
          <w:sz w:val="18"/>
          <w:szCs w:val="18"/>
        </w:rPr>
        <w:t xml:space="preserve"> </w:t>
      </w:r>
    </w:p>
  </w:footnote>
  <w:footnote w:id="23">
    <w:p w14:paraId="74F7E878" w14:textId="77777777" w:rsidR="00CF7D3A" w:rsidRDefault="00CF7D3A" w:rsidP="00CF7D3A">
      <w:pPr>
        <w:pStyle w:val="FootnoteText"/>
      </w:pPr>
      <w:r>
        <w:rPr>
          <w:rStyle w:val="FootnoteReference"/>
        </w:rPr>
        <w:footnoteRef/>
      </w:r>
      <w:r>
        <w:t xml:space="preserve"> </w:t>
      </w:r>
      <w:r w:rsidRPr="00F622F5">
        <w:rPr>
          <w:sz w:val="18"/>
          <w:szCs w:val="18"/>
        </w:rPr>
        <w:t>Korean Residue material information (Pesticides and Veterinary Drugs Information)</w:t>
      </w:r>
      <w:r w:rsidRPr="0029072F">
        <w:rPr>
          <w:sz w:val="18"/>
          <w:szCs w:val="18"/>
        </w:rPr>
        <w:t xml:space="preserve"> </w:t>
      </w:r>
      <w:r w:rsidRPr="00561D1B">
        <w:rPr>
          <w:sz w:val="18"/>
          <w:szCs w:val="18"/>
        </w:rPr>
        <w:t>–</w:t>
      </w:r>
      <w:r>
        <w:rPr>
          <w:sz w:val="18"/>
          <w:szCs w:val="18"/>
        </w:rPr>
        <w:t xml:space="preserve"> </w:t>
      </w:r>
      <w:hyperlink r:id="rId9" w:history="1">
        <w:r w:rsidRPr="0021301E">
          <w:rPr>
            <w:rStyle w:val="Hyperlink"/>
            <w:sz w:val="18"/>
            <w:szCs w:val="18"/>
          </w:rPr>
          <w:t>Link</w:t>
        </w:r>
      </w:hyperlink>
      <w:r>
        <w:rPr>
          <w:sz w:val="18"/>
          <w:szCs w:val="18"/>
        </w:rPr>
        <w:t xml:space="preserve"> </w:t>
      </w:r>
    </w:p>
  </w:footnote>
  <w:footnote w:id="24">
    <w:p w14:paraId="659E34BC" w14:textId="77777777" w:rsidR="00CF7D3A" w:rsidRDefault="00CF7D3A" w:rsidP="00CF7D3A">
      <w:pPr>
        <w:pStyle w:val="FootnoteText"/>
      </w:pPr>
      <w:r>
        <w:rPr>
          <w:rStyle w:val="FootnoteReference"/>
        </w:rPr>
        <w:footnoteRef/>
      </w:r>
      <w:r>
        <w:t xml:space="preserve"> </w:t>
      </w:r>
      <w:r w:rsidRPr="00F622F5">
        <w:rPr>
          <w:sz w:val="18"/>
          <w:szCs w:val="18"/>
        </w:rPr>
        <w:t>Taiwan Food and Drug Administration –</w:t>
      </w:r>
      <w:r>
        <w:rPr>
          <w:sz w:val="18"/>
          <w:szCs w:val="18"/>
        </w:rPr>
        <w:t xml:space="preserve"> Standards for Pesticide Residue Limits in Foods – </w:t>
      </w:r>
      <w:hyperlink r:id="rId10" w:history="1">
        <w:r w:rsidRPr="0021301E">
          <w:rPr>
            <w:rStyle w:val="Hyperlink"/>
            <w:sz w:val="18"/>
            <w:szCs w:val="18"/>
          </w:rPr>
          <w:t>Link</w:t>
        </w:r>
      </w:hyperlink>
      <w:r>
        <w:rPr>
          <w:sz w:val="18"/>
          <w:szCs w:val="18"/>
        </w:rPr>
        <w:t xml:space="preserve"> </w:t>
      </w:r>
    </w:p>
  </w:footnote>
  <w:footnote w:id="25">
    <w:p w14:paraId="0159F4EE" w14:textId="77777777" w:rsidR="00CF7D3A" w:rsidRDefault="00CF7D3A" w:rsidP="00CF7D3A">
      <w:pPr>
        <w:pStyle w:val="FootnoteText"/>
      </w:pPr>
      <w:r>
        <w:rPr>
          <w:rStyle w:val="FootnoteReference"/>
        </w:rPr>
        <w:footnoteRef/>
      </w:r>
      <w:r>
        <w:t xml:space="preserve"> </w:t>
      </w:r>
      <w:r w:rsidRPr="00F622F5">
        <w:rPr>
          <w:sz w:val="18"/>
          <w:szCs w:val="18"/>
        </w:rPr>
        <w:t xml:space="preserve">USFDA CFR Title </w:t>
      </w:r>
      <w:r>
        <w:rPr>
          <w:sz w:val="18"/>
          <w:szCs w:val="18"/>
        </w:rPr>
        <w:t>40</w:t>
      </w:r>
      <w:r w:rsidRPr="00F622F5">
        <w:rPr>
          <w:sz w:val="18"/>
          <w:szCs w:val="18"/>
        </w:rPr>
        <w:t xml:space="preserve"> </w:t>
      </w:r>
      <w:r>
        <w:rPr>
          <w:sz w:val="18"/>
          <w:szCs w:val="18"/>
        </w:rPr>
        <w:t xml:space="preserve">– </w:t>
      </w:r>
      <w:r w:rsidRPr="007F7EAF">
        <w:rPr>
          <w:sz w:val="18"/>
          <w:szCs w:val="18"/>
        </w:rPr>
        <w:t xml:space="preserve">§180.1223 </w:t>
      </w:r>
      <w:r>
        <w:rPr>
          <w:sz w:val="18"/>
          <w:szCs w:val="18"/>
        </w:rPr>
        <w:t>– Imazamox</w:t>
      </w:r>
      <w:r w:rsidRPr="007F7EAF">
        <w:rPr>
          <w:sz w:val="18"/>
          <w:szCs w:val="18"/>
        </w:rPr>
        <w:t>; exemption from the requirement of a tolerance</w:t>
      </w:r>
      <w:r>
        <w:rPr>
          <w:sz w:val="18"/>
          <w:szCs w:val="18"/>
        </w:rPr>
        <w:t xml:space="preserve"> – </w:t>
      </w:r>
      <w:hyperlink r:id="rId11" w:history="1">
        <w:r w:rsidRPr="007F7EAF">
          <w:rPr>
            <w:rStyle w:val="Hyperlink"/>
            <w:sz w:val="18"/>
            <w:szCs w:val="18"/>
          </w:rPr>
          <w:t>Link</w:t>
        </w:r>
      </w:hyperlink>
      <w:r>
        <w:rPr>
          <w:sz w:val="18"/>
          <w:szCs w:val="18"/>
        </w:rPr>
        <w:t xml:space="preserve"> </w:t>
      </w:r>
    </w:p>
  </w:footnote>
  <w:footnote w:id="26">
    <w:p w14:paraId="2F32D0D4" w14:textId="77777777" w:rsidR="00980B2F" w:rsidRDefault="00980B2F" w:rsidP="00261086">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27">
    <w:p w14:paraId="18275EF8" w14:textId="77777777" w:rsidR="00C75073" w:rsidRDefault="00C75073"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28">
    <w:p w14:paraId="120B4400" w14:textId="77777777" w:rsidR="00437439" w:rsidRDefault="00437439"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29">
    <w:p w14:paraId="4A869236" w14:textId="77777777" w:rsidR="00A3563C" w:rsidRDefault="00A3563C"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30">
    <w:p w14:paraId="1D1BFACC" w14:textId="77777777" w:rsidR="00073396" w:rsidRDefault="00073396"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31">
    <w:p w14:paraId="7FB14DC9" w14:textId="77777777" w:rsidR="00057E4A" w:rsidRDefault="00057E4A"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32">
    <w:p w14:paraId="209254FD" w14:textId="77777777" w:rsidR="000D594D" w:rsidRDefault="000D594D"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 w:id="33">
    <w:p w14:paraId="506ADA61" w14:textId="77777777" w:rsidR="000D594D" w:rsidRDefault="000D594D" w:rsidP="00980B2F">
      <w:pPr>
        <w:pStyle w:val="FootnoteText"/>
        <w:spacing w:before="0" w:line="240" w:lineRule="auto"/>
        <w:ind w:left="0" w:firstLine="0"/>
      </w:pPr>
      <w:r>
        <w:rPr>
          <w:rStyle w:val="FootnoteReference"/>
        </w:rPr>
        <w:footnoteRef/>
      </w:r>
      <w:r>
        <w:t xml:space="preserve"> All substances were tested as the technical active constituent unless otherwise indicated; all toxicity values are expressed in terms of the specified active constituent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C679" w14:textId="124558C7" w:rsidR="00173C61" w:rsidRDefault="00173C61" w:rsidP="00173C61">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E259" w14:textId="62163593" w:rsidR="00BB31F7" w:rsidRDefault="00BB31F7" w:rsidP="00BB31F7">
    <w:pPr>
      <w:pStyle w:val="OddHeader"/>
    </w:pPr>
    <w:r>
      <w:tab/>
    </w:r>
    <w:r w:rsidR="005720AA" w:rsidRPr="005720AA">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79BF" w14:textId="3D9DBADF" w:rsidR="005720AA" w:rsidRDefault="005720AA" w:rsidP="00BB31F7">
    <w:pPr>
      <w:pStyle w:val="OddHeader"/>
    </w:pPr>
    <w:r>
      <w:tab/>
    </w:r>
    <w:r w:rsidRPr="005720AA">
      <w:t xml:space="preserve">Appendix A – </w:t>
    </w:r>
    <w:r>
      <w:t>L</w:t>
    </w:r>
    <w:r w:rsidRPr="005720AA">
      <w:t>isting of environmental endpoints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5437" w14:textId="3AF55355" w:rsidR="005720AA" w:rsidRDefault="005720AA" w:rsidP="00BB31F7">
    <w:pPr>
      <w:pStyle w:val="OddHeader"/>
    </w:pPr>
    <w:r>
      <w:tab/>
    </w:r>
    <w:r w:rsidRPr="005720AA">
      <w:t>Appendix B – Listing of toxicological endpoints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643A" w14:textId="24211064" w:rsidR="005720AA" w:rsidRDefault="005720AA" w:rsidP="00BB31F7">
    <w:pPr>
      <w:pStyle w:val="OddHeader"/>
    </w:pPr>
    <w:r>
      <w:tab/>
    </w:r>
    <w:r w:rsidRPr="005720AA">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3B68" w14:textId="7F8C9B6A" w:rsidR="005720AA" w:rsidRDefault="005720AA" w:rsidP="00BB31F7">
    <w:pPr>
      <w:pStyle w:val="OddHeader"/>
    </w:pPr>
    <w:r>
      <w:tab/>
    </w:r>
    <w:r w:rsidRPr="005720AA">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1738" w14:textId="77777777" w:rsidR="005720AA" w:rsidRDefault="005720AA" w:rsidP="005720A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199</w:t>
    </w:r>
    <w:r>
      <w:rPr>
        <w:rStyle w:val="PageNumber"/>
        <w:b w:val="0"/>
        <w:caps/>
        <w:szCs w:val="24"/>
      </w:rPr>
      <w:fldChar w:fldCharType="end"/>
    </w:r>
    <w:r>
      <w:tab/>
      <w:t>Anticoagulant Rodenticides</w:t>
    </w:r>
    <w:r w:rsidRPr="008C34F2">
      <w:t xml:space="preserve"> Review Technical Report</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A9F9" w14:textId="5A542631" w:rsidR="005720AA" w:rsidRDefault="005720AA" w:rsidP="00BB31F7">
    <w:pPr>
      <w:pStyle w:val="OddHeader"/>
    </w:pPr>
    <w:r>
      <w:tab/>
    </w:r>
    <w:r w:rsidRPr="005720AA">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D6D4" w14:textId="77777777" w:rsidR="005720AA" w:rsidRDefault="005720AA" w:rsidP="005720AA">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203</w:t>
    </w:r>
    <w:r>
      <w:rPr>
        <w:rStyle w:val="PageNumber"/>
        <w:b w:val="0"/>
        <w:caps/>
        <w:szCs w:val="24"/>
      </w:rPr>
      <w:fldChar w:fldCharType="end"/>
    </w:r>
    <w:r>
      <w:tab/>
      <w:t>Anticoagulant Rodenticides</w:t>
    </w:r>
    <w:r w:rsidRPr="008C34F2">
      <w:t xml:space="preserve"> Review Technical Report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C171" w14:textId="77777777" w:rsidR="00173C61" w:rsidRDefault="00173C61" w:rsidP="00173C61">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B2BB" w14:textId="77597E03" w:rsidR="00DE07CF" w:rsidRDefault="00DE07CF"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r>
    <w:r w:rsidR="009B57A6">
      <w:t>Anticoagulant Rodenticides</w:t>
    </w:r>
    <w:r w:rsidR="009B57A6" w:rsidRPr="008C34F2">
      <w:t xml:space="preserve"> Review Technical Report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5252" w14:textId="535A0D27" w:rsidR="00173C61" w:rsidRDefault="00173C61" w:rsidP="00173C61">
    <w:pPr>
      <w:pStyle w:val="OddHeader"/>
    </w:pPr>
    <w:r>
      <w:tab/>
    </w:r>
    <w:r w:rsidRPr="00173C61">
      <w:t>Executive 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544" w14:textId="77777777" w:rsidR="00173C61" w:rsidRDefault="00173C61" w:rsidP="00173C61">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t>Anticoagulant Rodenticides</w:t>
    </w:r>
    <w:r w:rsidRPr="008C34F2">
      <w:t xml:space="preserve"> Review Technical Report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239E" w14:textId="319499A9" w:rsidR="00BB31F7" w:rsidRDefault="00BB31F7" w:rsidP="00BB31F7">
    <w:pPr>
      <w:pStyle w:val="OddHeader"/>
    </w:pPr>
    <w:r>
      <w:tab/>
    </w:r>
    <w:r w:rsidRPr="00BB31F7">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BB79" w14:textId="77777777" w:rsidR="00BB31F7" w:rsidRDefault="00BB31F7" w:rsidP="00BB31F7">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9</w:t>
    </w:r>
    <w:r>
      <w:rPr>
        <w:rStyle w:val="PageNumber"/>
        <w:b w:val="0"/>
        <w:caps/>
        <w:szCs w:val="24"/>
      </w:rPr>
      <w:fldChar w:fldCharType="end"/>
    </w:r>
    <w:r>
      <w:tab/>
      <w:t>Anticoagulant Rodenticides</w:t>
    </w:r>
    <w:r w:rsidRPr="008C34F2">
      <w:t xml:space="preserve"> Review Technical 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ACE8" w14:textId="515DB27C" w:rsidR="00BB31F7" w:rsidRDefault="00BB31F7" w:rsidP="00BB31F7">
    <w:pPr>
      <w:pStyle w:val="OddHeader"/>
    </w:pPr>
    <w:r>
      <w:tab/>
    </w:r>
    <w:r w:rsidRPr="00BB31F7">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981F" w14:textId="0F0D0CE3" w:rsidR="00BB31F7" w:rsidRDefault="00BB31F7" w:rsidP="00BB31F7">
    <w:pPr>
      <w:pStyle w:val="OddHeader"/>
    </w:pPr>
    <w:r>
      <w:tab/>
    </w:r>
    <w:r w:rsidRPr="00BB31F7">
      <w:t>Environment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452F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2278" w:hanging="576"/>
      </w:pPr>
    </w:lvl>
    <w:lvl w:ilvl="2">
      <w:start w:val="1"/>
      <w:numFmt w:val="decimal"/>
      <w:pStyle w:val="Heading3"/>
      <w:lvlText w:val="%1.%2.%3"/>
      <w:lvlJc w:val="left"/>
      <w:pPr>
        <w:ind w:left="213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FD5927"/>
    <w:multiLevelType w:val="hybridMultilevel"/>
    <w:tmpl w:val="EACE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4F05E1"/>
    <w:multiLevelType w:val="hybridMultilevel"/>
    <w:tmpl w:val="612A1AD8"/>
    <w:lvl w:ilvl="0" w:tplc="0C090019">
      <w:start w:val="1"/>
      <w:numFmt w:val="lowerLetter"/>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A86152B"/>
    <w:multiLevelType w:val="multilevel"/>
    <w:tmpl w:val="3BFEDD1C"/>
    <w:lvl w:ilvl="0">
      <w:start w:val="7"/>
      <w:numFmt w:val="decimal"/>
      <w:pStyle w:val="PreliminariesH2"/>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335302058">
    <w:abstractNumId w:val="2"/>
  </w:num>
  <w:num w:numId="2" w16cid:durableId="741297798">
    <w:abstractNumId w:val="6"/>
  </w:num>
  <w:num w:numId="3" w16cid:durableId="491216777">
    <w:abstractNumId w:val="7"/>
  </w:num>
  <w:num w:numId="4" w16cid:durableId="1143350196">
    <w:abstractNumId w:val="0"/>
  </w:num>
  <w:num w:numId="5" w16cid:durableId="507911398">
    <w:abstractNumId w:val="4"/>
  </w:num>
  <w:num w:numId="6" w16cid:durableId="195391456">
    <w:abstractNumId w:val="8"/>
  </w:num>
  <w:num w:numId="7" w16cid:durableId="1313409413">
    <w:abstractNumId w:val="1"/>
  </w:num>
  <w:num w:numId="8" w16cid:durableId="401370214">
    <w:abstractNumId w:val="10"/>
  </w:num>
  <w:num w:numId="9" w16cid:durableId="392823746">
    <w:abstractNumId w:val="12"/>
  </w:num>
  <w:num w:numId="10" w16cid:durableId="169874366">
    <w:abstractNumId w:val="3"/>
  </w:num>
  <w:num w:numId="11" w16cid:durableId="183418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292310">
    <w:abstractNumId w:val="9"/>
  </w:num>
  <w:num w:numId="13" w16cid:durableId="583149002">
    <w:abstractNumId w:val="5"/>
  </w:num>
  <w:num w:numId="14" w16cid:durableId="74457543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00A1"/>
    <w:rsid w:val="000006E4"/>
    <w:rsid w:val="00001F19"/>
    <w:rsid w:val="00004F9C"/>
    <w:rsid w:val="00005A56"/>
    <w:rsid w:val="00006D3D"/>
    <w:rsid w:val="000076BA"/>
    <w:rsid w:val="00011955"/>
    <w:rsid w:val="0001274C"/>
    <w:rsid w:val="00012A54"/>
    <w:rsid w:val="0001441B"/>
    <w:rsid w:val="00014D18"/>
    <w:rsid w:val="00023AC9"/>
    <w:rsid w:val="00025A81"/>
    <w:rsid w:val="000262C3"/>
    <w:rsid w:val="000266AA"/>
    <w:rsid w:val="000303C4"/>
    <w:rsid w:val="00030820"/>
    <w:rsid w:val="00031497"/>
    <w:rsid w:val="0003398A"/>
    <w:rsid w:val="00033AF3"/>
    <w:rsid w:val="000356EC"/>
    <w:rsid w:val="00036BAD"/>
    <w:rsid w:val="000401EA"/>
    <w:rsid w:val="000404DE"/>
    <w:rsid w:val="00042D05"/>
    <w:rsid w:val="00044A6F"/>
    <w:rsid w:val="00051855"/>
    <w:rsid w:val="00057E4A"/>
    <w:rsid w:val="0006208B"/>
    <w:rsid w:val="0006354A"/>
    <w:rsid w:val="00064C6F"/>
    <w:rsid w:val="00067828"/>
    <w:rsid w:val="000701F6"/>
    <w:rsid w:val="000706BB"/>
    <w:rsid w:val="0007074E"/>
    <w:rsid w:val="00071692"/>
    <w:rsid w:val="00072752"/>
    <w:rsid w:val="00073396"/>
    <w:rsid w:val="000765C1"/>
    <w:rsid w:val="00076C6F"/>
    <w:rsid w:val="000777EB"/>
    <w:rsid w:val="0008120C"/>
    <w:rsid w:val="0008177D"/>
    <w:rsid w:val="000834DE"/>
    <w:rsid w:val="0008350E"/>
    <w:rsid w:val="00083AA0"/>
    <w:rsid w:val="00087575"/>
    <w:rsid w:val="00091B9C"/>
    <w:rsid w:val="00096163"/>
    <w:rsid w:val="0009648B"/>
    <w:rsid w:val="000A26C1"/>
    <w:rsid w:val="000A5CA9"/>
    <w:rsid w:val="000A5D62"/>
    <w:rsid w:val="000A5DDA"/>
    <w:rsid w:val="000A6D1A"/>
    <w:rsid w:val="000A72A4"/>
    <w:rsid w:val="000A737F"/>
    <w:rsid w:val="000A7D1D"/>
    <w:rsid w:val="000A7EF6"/>
    <w:rsid w:val="000B1B37"/>
    <w:rsid w:val="000B3215"/>
    <w:rsid w:val="000B3703"/>
    <w:rsid w:val="000B3DB3"/>
    <w:rsid w:val="000B420F"/>
    <w:rsid w:val="000B56F1"/>
    <w:rsid w:val="000B69A9"/>
    <w:rsid w:val="000B73A9"/>
    <w:rsid w:val="000C05CF"/>
    <w:rsid w:val="000C2C1B"/>
    <w:rsid w:val="000C43C3"/>
    <w:rsid w:val="000C462F"/>
    <w:rsid w:val="000C5979"/>
    <w:rsid w:val="000C65C6"/>
    <w:rsid w:val="000C765E"/>
    <w:rsid w:val="000D045A"/>
    <w:rsid w:val="000D089F"/>
    <w:rsid w:val="000D1163"/>
    <w:rsid w:val="000D4974"/>
    <w:rsid w:val="000D49ED"/>
    <w:rsid w:val="000D594D"/>
    <w:rsid w:val="000E0431"/>
    <w:rsid w:val="000E1778"/>
    <w:rsid w:val="000E2E2A"/>
    <w:rsid w:val="000E372E"/>
    <w:rsid w:val="000E79A5"/>
    <w:rsid w:val="000F424D"/>
    <w:rsid w:val="000F525A"/>
    <w:rsid w:val="000F6A0B"/>
    <w:rsid w:val="0010266E"/>
    <w:rsid w:val="00105023"/>
    <w:rsid w:val="001075B0"/>
    <w:rsid w:val="0011009D"/>
    <w:rsid w:val="00110A07"/>
    <w:rsid w:val="00112289"/>
    <w:rsid w:val="00113DD4"/>
    <w:rsid w:val="0011503A"/>
    <w:rsid w:val="0011536D"/>
    <w:rsid w:val="00115C4F"/>
    <w:rsid w:val="00116A5B"/>
    <w:rsid w:val="00120E00"/>
    <w:rsid w:val="0012518A"/>
    <w:rsid w:val="00130643"/>
    <w:rsid w:val="00132FDF"/>
    <w:rsid w:val="001336A3"/>
    <w:rsid w:val="00133C8B"/>
    <w:rsid w:val="00134A81"/>
    <w:rsid w:val="0013519E"/>
    <w:rsid w:val="00136AC9"/>
    <w:rsid w:val="00136B50"/>
    <w:rsid w:val="00136C92"/>
    <w:rsid w:val="0015316C"/>
    <w:rsid w:val="001534D8"/>
    <w:rsid w:val="001549D4"/>
    <w:rsid w:val="00155D17"/>
    <w:rsid w:val="0016257A"/>
    <w:rsid w:val="00162581"/>
    <w:rsid w:val="001643EF"/>
    <w:rsid w:val="001669FE"/>
    <w:rsid w:val="00167795"/>
    <w:rsid w:val="00167BB3"/>
    <w:rsid w:val="00167F04"/>
    <w:rsid w:val="00170B92"/>
    <w:rsid w:val="0017134F"/>
    <w:rsid w:val="001737D2"/>
    <w:rsid w:val="00173C61"/>
    <w:rsid w:val="00173F22"/>
    <w:rsid w:val="00174477"/>
    <w:rsid w:val="00174E15"/>
    <w:rsid w:val="00175C8F"/>
    <w:rsid w:val="00181F9B"/>
    <w:rsid w:val="00182A6B"/>
    <w:rsid w:val="001833C0"/>
    <w:rsid w:val="00183F1B"/>
    <w:rsid w:val="00184190"/>
    <w:rsid w:val="00186171"/>
    <w:rsid w:val="00187EF7"/>
    <w:rsid w:val="00192BA4"/>
    <w:rsid w:val="00193533"/>
    <w:rsid w:val="00194702"/>
    <w:rsid w:val="00195346"/>
    <w:rsid w:val="001A39D8"/>
    <w:rsid w:val="001A42B6"/>
    <w:rsid w:val="001A7974"/>
    <w:rsid w:val="001B049C"/>
    <w:rsid w:val="001B335C"/>
    <w:rsid w:val="001B49D4"/>
    <w:rsid w:val="001B5399"/>
    <w:rsid w:val="001B5C60"/>
    <w:rsid w:val="001B628E"/>
    <w:rsid w:val="001C22F3"/>
    <w:rsid w:val="001C6607"/>
    <w:rsid w:val="001C6D19"/>
    <w:rsid w:val="001D027A"/>
    <w:rsid w:val="001D02DE"/>
    <w:rsid w:val="001D274B"/>
    <w:rsid w:val="001D2AC6"/>
    <w:rsid w:val="001D2ED4"/>
    <w:rsid w:val="001D3257"/>
    <w:rsid w:val="001D3488"/>
    <w:rsid w:val="001D7B67"/>
    <w:rsid w:val="001E69BB"/>
    <w:rsid w:val="001E7977"/>
    <w:rsid w:val="001E7D93"/>
    <w:rsid w:val="001F1C56"/>
    <w:rsid w:val="001F266F"/>
    <w:rsid w:val="001F4A1E"/>
    <w:rsid w:val="001F5215"/>
    <w:rsid w:val="001F742A"/>
    <w:rsid w:val="002016BA"/>
    <w:rsid w:val="002016BB"/>
    <w:rsid w:val="0020331C"/>
    <w:rsid w:val="00204FA7"/>
    <w:rsid w:val="00210E94"/>
    <w:rsid w:val="00211D7E"/>
    <w:rsid w:val="00214F5B"/>
    <w:rsid w:val="0022183D"/>
    <w:rsid w:val="0022329B"/>
    <w:rsid w:val="002239F2"/>
    <w:rsid w:val="00226623"/>
    <w:rsid w:val="00231A63"/>
    <w:rsid w:val="00232CED"/>
    <w:rsid w:val="00235913"/>
    <w:rsid w:val="0023633D"/>
    <w:rsid w:val="0023729D"/>
    <w:rsid w:val="00242C6D"/>
    <w:rsid w:val="0024689B"/>
    <w:rsid w:val="00250C3D"/>
    <w:rsid w:val="00252A9A"/>
    <w:rsid w:val="00252BEC"/>
    <w:rsid w:val="00253B3F"/>
    <w:rsid w:val="00253B63"/>
    <w:rsid w:val="0025418F"/>
    <w:rsid w:val="002606ED"/>
    <w:rsid w:val="00261086"/>
    <w:rsid w:val="00261C70"/>
    <w:rsid w:val="0026261F"/>
    <w:rsid w:val="002635E9"/>
    <w:rsid w:val="0026493F"/>
    <w:rsid w:val="002674A9"/>
    <w:rsid w:val="002703A0"/>
    <w:rsid w:val="00272BD3"/>
    <w:rsid w:val="00272DCD"/>
    <w:rsid w:val="002741D6"/>
    <w:rsid w:val="00274ADA"/>
    <w:rsid w:val="00275782"/>
    <w:rsid w:val="00276AC2"/>
    <w:rsid w:val="002771DB"/>
    <w:rsid w:val="00277761"/>
    <w:rsid w:val="00280720"/>
    <w:rsid w:val="0028097C"/>
    <w:rsid w:val="00280D4A"/>
    <w:rsid w:val="00282A32"/>
    <w:rsid w:val="002839E4"/>
    <w:rsid w:val="00284BE8"/>
    <w:rsid w:val="00286653"/>
    <w:rsid w:val="00286A86"/>
    <w:rsid w:val="0029077A"/>
    <w:rsid w:val="00293860"/>
    <w:rsid w:val="00293CA8"/>
    <w:rsid w:val="00294007"/>
    <w:rsid w:val="002955EF"/>
    <w:rsid w:val="002959CC"/>
    <w:rsid w:val="00295BB9"/>
    <w:rsid w:val="002A0273"/>
    <w:rsid w:val="002A08F5"/>
    <w:rsid w:val="002A1A0B"/>
    <w:rsid w:val="002A1F14"/>
    <w:rsid w:val="002A294A"/>
    <w:rsid w:val="002A3050"/>
    <w:rsid w:val="002A3239"/>
    <w:rsid w:val="002A32B9"/>
    <w:rsid w:val="002A394F"/>
    <w:rsid w:val="002A555B"/>
    <w:rsid w:val="002A69DD"/>
    <w:rsid w:val="002A6E05"/>
    <w:rsid w:val="002A7AB3"/>
    <w:rsid w:val="002B058B"/>
    <w:rsid w:val="002B332F"/>
    <w:rsid w:val="002B3F15"/>
    <w:rsid w:val="002B4C9A"/>
    <w:rsid w:val="002B5703"/>
    <w:rsid w:val="002C0C78"/>
    <w:rsid w:val="002C1082"/>
    <w:rsid w:val="002C18F1"/>
    <w:rsid w:val="002C2C92"/>
    <w:rsid w:val="002C34E3"/>
    <w:rsid w:val="002C6C86"/>
    <w:rsid w:val="002D19A0"/>
    <w:rsid w:val="002D356A"/>
    <w:rsid w:val="002D6F23"/>
    <w:rsid w:val="002D7779"/>
    <w:rsid w:val="002E20AC"/>
    <w:rsid w:val="002E3C42"/>
    <w:rsid w:val="002E4920"/>
    <w:rsid w:val="002E6926"/>
    <w:rsid w:val="002E6FE9"/>
    <w:rsid w:val="002E7D7D"/>
    <w:rsid w:val="002F1FAB"/>
    <w:rsid w:val="002F3A66"/>
    <w:rsid w:val="002F3EC0"/>
    <w:rsid w:val="002F4591"/>
    <w:rsid w:val="0030067F"/>
    <w:rsid w:val="003021F9"/>
    <w:rsid w:val="0030230B"/>
    <w:rsid w:val="0030255E"/>
    <w:rsid w:val="003043F3"/>
    <w:rsid w:val="00306DF0"/>
    <w:rsid w:val="003105DD"/>
    <w:rsid w:val="00310AF4"/>
    <w:rsid w:val="00312BB0"/>
    <w:rsid w:val="0031487D"/>
    <w:rsid w:val="003162BC"/>
    <w:rsid w:val="00316CEA"/>
    <w:rsid w:val="0032039E"/>
    <w:rsid w:val="00323163"/>
    <w:rsid w:val="00325FE4"/>
    <w:rsid w:val="0033338B"/>
    <w:rsid w:val="00335256"/>
    <w:rsid w:val="003404CF"/>
    <w:rsid w:val="0034055C"/>
    <w:rsid w:val="00343A18"/>
    <w:rsid w:val="003448CB"/>
    <w:rsid w:val="00346134"/>
    <w:rsid w:val="0034660C"/>
    <w:rsid w:val="00347883"/>
    <w:rsid w:val="003506C5"/>
    <w:rsid w:val="00350D73"/>
    <w:rsid w:val="00355CC7"/>
    <w:rsid w:val="00356DA3"/>
    <w:rsid w:val="00360705"/>
    <w:rsid w:val="00361855"/>
    <w:rsid w:val="00362B53"/>
    <w:rsid w:val="0036366A"/>
    <w:rsid w:val="00364754"/>
    <w:rsid w:val="00364899"/>
    <w:rsid w:val="00365DCF"/>
    <w:rsid w:val="003661BA"/>
    <w:rsid w:val="00367599"/>
    <w:rsid w:val="00367F74"/>
    <w:rsid w:val="00377F3A"/>
    <w:rsid w:val="00381544"/>
    <w:rsid w:val="00384CEF"/>
    <w:rsid w:val="00385202"/>
    <w:rsid w:val="003861AC"/>
    <w:rsid w:val="00386366"/>
    <w:rsid w:val="003869D1"/>
    <w:rsid w:val="00390593"/>
    <w:rsid w:val="0039338F"/>
    <w:rsid w:val="00393E2F"/>
    <w:rsid w:val="0039473D"/>
    <w:rsid w:val="003958F3"/>
    <w:rsid w:val="00396489"/>
    <w:rsid w:val="003A238E"/>
    <w:rsid w:val="003A3CD1"/>
    <w:rsid w:val="003A558F"/>
    <w:rsid w:val="003A68E3"/>
    <w:rsid w:val="003A796E"/>
    <w:rsid w:val="003A7D3A"/>
    <w:rsid w:val="003A7FAE"/>
    <w:rsid w:val="003B1368"/>
    <w:rsid w:val="003B1A67"/>
    <w:rsid w:val="003B2FCF"/>
    <w:rsid w:val="003B405A"/>
    <w:rsid w:val="003C0891"/>
    <w:rsid w:val="003C117E"/>
    <w:rsid w:val="003C2415"/>
    <w:rsid w:val="003C6C51"/>
    <w:rsid w:val="003D6082"/>
    <w:rsid w:val="003D6570"/>
    <w:rsid w:val="003E2944"/>
    <w:rsid w:val="003E4BD6"/>
    <w:rsid w:val="003E520F"/>
    <w:rsid w:val="003E59F7"/>
    <w:rsid w:val="003E68CE"/>
    <w:rsid w:val="003F1F43"/>
    <w:rsid w:val="003F3C31"/>
    <w:rsid w:val="003F3D57"/>
    <w:rsid w:val="003F74B7"/>
    <w:rsid w:val="00400F7A"/>
    <w:rsid w:val="00403E76"/>
    <w:rsid w:val="00405A1D"/>
    <w:rsid w:val="0040659E"/>
    <w:rsid w:val="004070E1"/>
    <w:rsid w:val="0041228F"/>
    <w:rsid w:val="004125FF"/>
    <w:rsid w:val="00412703"/>
    <w:rsid w:val="0041320D"/>
    <w:rsid w:val="0041559F"/>
    <w:rsid w:val="00415F43"/>
    <w:rsid w:val="00416DA9"/>
    <w:rsid w:val="00422BE7"/>
    <w:rsid w:val="00423890"/>
    <w:rsid w:val="004321DC"/>
    <w:rsid w:val="00436185"/>
    <w:rsid w:val="00436CFF"/>
    <w:rsid w:val="0043717B"/>
    <w:rsid w:val="00437439"/>
    <w:rsid w:val="00437A14"/>
    <w:rsid w:val="00440775"/>
    <w:rsid w:val="00441640"/>
    <w:rsid w:val="00442F4E"/>
    <w:rsid w:val="00443586"/>
    <w:rsid w:val="00444045"/>
    <w:rsid w:val="00444FF1"/>
    <w:rsid w:val="00450A72"/>
    <w:rsid w:val="00450C58"/>
    <w:rsid w:val="00451445"/>
    <w:rsid w:val="004540FD"/>
    <w:rsid w:val="00456760"/>
    <w:rsid w:val="00456F40"/>
    <w:rsid w:val="00457DDE"/>
    <w:rsid w:val="004616C8"/>
    <w:rsid w:val="00461D26"/>
    <w:rsid w:val="00462B45"/>
    <w:rsid w:val="00465D18"/>
    <w:rsid w:val="00470090"/>
    <w:rsid w:val="00470304"/>
    <w:rsid w:val="00470879"/>
    <w:rsid w:val="00473575"/>
    <w:rsid w:val="0047416D"/>
    <w:rsid w:val="00475444"/>
    <w:rsid w:val="00481976"/>
    <w:rsid w:val="00482193"/>
    <w:rsid w:val="00485AE5"/>
    <w:rsid w:val="00486E9D"/>
    <w:rsid w:val="00490207"/>
    <w:rsid w:val="004923E4"/>
    <w:rsid w:val="0049283E"/>
    <w:rsid w:val="00493AB9"/>
    <w:rsid w:val="004943CA"/>
    <w:rsid w:val="0049603E"/>
    <w:rsid w:val="00496EFB"/>
    <w:rsid w:val="00497968"/>
    <w:rsid w:val="00497A07"/>
    <w:rsid w:val="004A0055"/>
    <w:rsid w:val="004A19AF"/>
    <w:rsid w:val="004A37FD"/>
    <w:rsid w:val="004A42A8"/>
    <w:rsid w:val="004A62FF"/>
    <w:rsid w:val="004A692B"/>
    <w:rsid w:val="004A6CC6"/>
    <w:rsid w:val="004B0311"/>
    <w:rsid w:val="004B2883"/>
    <w:rsid w:val="004B3A89"/>
    <w:rsid w:val="004B6D4E"/>
    <w:rsid w:val="004B7447"/>
    <w:rsid w:val="004C2104"/>
    <w:rsid w:val="004C37DE"/>
    <w:rsid w:val="004C3B61"/>
    <w:rsid w:val="004C4726"/>
    <w:rsid w:val="004C4F46"/>
    <w:rsid w:val="004D2C4F"/>
    <w:rsid w:val="004D31E0"/>
    <w:rsid w:val="004E1AC5"/>
    <w:rsid w:val="004E3A02"/>
    <w:rsid w:val="004E54E3"/>
    <w:rsid w:val="004F1FB9"/>
    <w:rsid w:val="004F5C69"/>
    <w:rsid w:val="0050048D"/>
    <w:rsid w:val="005040E1"/>
    <w:rsid w:val="005043B2"/>
    <w:rsid w:val="005064D5"/>
    <w:rsid w:val="00510C36"/>
    <w:rsid w:val="00510F62"/>
    <w:rsid w:val="00511101"/>
    <w:rsid w:val="005133A7"/>
    <w:rsid w:val="00513E88"/>
    <w:rsid w:val="00515F30"/>
    <w:rsid w:val="00516085"/>
    <w:rsid w:val="00516F5A"/>
    <w:rsid w:val="00520963"/>
    <w:rsid w:val="00520AB5"/>
    <w:rsid w:val="00522E27"/>
    <w:rsid w:val="00527132"/>
    <w:rsid w:val="0053032B"/>
    <w:rsid w:val="00533B55"/>
    <w:rsid w:val="00537DD9"/>
    <w:rsid w:val="0054030B"/>
    <w:rsid w:val="00541128"/>
    <w:rsid w:val="00542C46"/>
    <w:rsid w:val="0054468D"/>
    <w:rsid w:val="0054676B"/>
    <w:rsid w:val="00546B70"/>
    <w:rsid w:val="005527B9"/>
    <w:rsid w:val="005531EF"/>
    <w:rsid w:val="00556804"/>
    <w:rsid w:val="005571DD"/>
    <w:rsid w:val="00557D38"/>
    <w:rsid w:val="00557FCB"/>
    <w:rsid w:val="005604E7"/>
    <w:rsid w:val="00560E83"/>
    <w:rsid w:val="00561342"/>
    <w:rsid w:val="00563297"/>
    <w:rsid w:val="00564F21"/>
    <w:rsid w:val="00565EF1"/>
    <w:rsid w:val="00566590"/>
    <w:rsid w:val="005702F1"/>
    <w:rsid w:val="00570A55"/>
    <w:rsid w:val="005720AA"/>
    <w:rsid w:val="00572131"/>
    <w:rsid w:val="00572D44"/>
    <w:rsid w:val="00572FEC"/>
    <w:rsid w:val="00574A5E"/>
    <w:rsid w:val="00580D6D"/>
    <w:rsid w:val="00580F2B"/>
    <w:rsid w:val="00581A17"/>
    <w:rsid w:val="005839EE"/>
    <w:rsid w:val="00585263"/>
    <w:rsid w:val="00590817"/>
    <w:rsid w:val="0059117A"/>
    <w:rsid w:val="0059188D"/>
    <w:rsid w:val="00592C8D"/>
    <w:rsid w:val="00593E73"/>
    <w:rsid w:val="005940E2"/>
    <w:rsid w:val="00594114"/>
    <w:rsid w:val="00594553"/>
    <w:rsid w:val="005953FE"/>
    <w:rsid w:val="00597DA7"/>
    <w:rsid w:val="005A2E2B"/>
    <w:rsid w:val="005A3656"/>
    <w:rsid w:val="005A5F25"/>
    <w:rsid w:val="005A5F42"/>
    <w:rsid w:val="005B0112"/>
    <w:rsid w:val="005B10DE"/>
    <w:rsid w:val="005B27FD"/>
    <w:rsid w:val="005B2F31"/>
    <w:rsid w:val="005B35C7"/>
    <w:rsid w:val="005B37D9"/>
    <w:rsid w:val="005B464D"/>
    <w:rsid w:val="005B6C99"/>
    <w:rsid w:val="005B6D99"/>
    <w:rsid w:val="005C0838"/>
    <w:rsid w:val="005C1E34"/>
    <w:rsid w:val="005C20EE"/>
    <w:rsid w:val="005C2DE8"/>
    <w:rsid w:val="005C34FD"/>
    <w:rsid w:val="005C54FB"/>
    <w:rsid w:val="005C6D3D"/>
    <w:rsid w:val="005C7C98"/>
    <w:rsid w:val="005D1A47"/>
    <w:rsid w:val="005D2EE5"/>
    <w:rsid w:val="005D3807"/>
    <w:rsid w:val="005D53BB"/>
    <w:rsid w:val="005D7727"/>
    <w:rsid w:val="005E16CB"/>
    <w:rsid w:val="005E2E21"/>
    <w:rsid w:val="005E4598"/>
    <w:rsid w:val="005E47D1"/>
    <w:rsid w:val="005E5826"/>
    <w:rsid w:val="005E584F"/>
    <w:rsid w:val="005F0EAA"/>
    <w:rsid w:val="005F2A1E"/>
    <w:rsid w:val="005F2D69"/>
    <w:rsid w:val="005F3550"/>
    <w:rsid w:val="005F4C05"/>
    <w:rsid w:val="005F54FE"/>
    <w:rsid w:val="005F7E46"/>
    <w:rsid w:val="00601347"/>
    <w:rsid w:val="00603108"/>
    <w:rsid w:val="00607CB8"/>
    <w:rsid w:val="006110AE"/>
    <w:rsid w:val="006123DB"/>
    <w:rsid w:val="006140ED"/>
    <w:rsid w:val="0061537A"/>
    <w:rsid w:val="006156EC"/>
    <w:rsid w:val="00621C4D"/>
    <w:rsid w:val="00623F42"/>
    <w:rsid w:val="0062466B"/>
    <w:rsid w:val="0062653F"/>
    <w:rsid w:val="00627072"/>
    <w:rsid w:val="00632099"/>
    <w:rsid w:val="006334F9"/>
    <w:rsid w:val="00633CAD"/>
    <w:rsid w:val="00634078"/>
    <w:rsid w:val="006344EE"/>
    <w:rsid w:val="00636B6B"/>
    <w:rsid w:val="00641D97"/>
    <w:rsid w:val="00643052"/>
    <w:rsid w:val="0064493E"/>
    <w:rsid w:val="0064579C"/>
    <w:rsid w:val="00647245"/>
    <w:rsid w:val="00650058"/>
    <w:rsid w:val="00651C16"/>
    <w:rsid w:val="00655F0E"/>
    <w:rsid w:val="00656674"/>
    <w:rsid w:val="00657A28"/>
    <w:rsid w:val="00662EF9"/>
    <w:rsid w:val="00663D41"/>
    <w:rsid w:val="00667148"/>
    <w:rsid w:val="006676FC"/>
    <w:rsid w:val="0067645B"/>
    <w:rsid w:val="00677D3B"/>
    <w:rsid w:val="00680417"/>
    <w:rsid w:val="006819EA"/>
    <w:rsid w:val="00682F7B"/>
    <w:rsid w:val="00685C0A"/>
    <w:rsid w:val="00694C07"/>
    <w:rsid w:val="0069614A"/>
    <w:rsid w:val="00696A68"/>
    <w:rsid w:val="006A1A08"/>
    <w:rsid w:val="006A23A1"/>
    <w:rsid w:val="006A5695"/>
    <w:rsid w:val="006B0008"/>
    <w:rsid w:val="006B22BC"/>
    <w:rsid w:val="006B4102"/>
    <w:rsid w:val="006B75CA"/>
    <w:rsid w:val="006C0170"/>
    <w:rsid w:val="006C08BC"/>
    <w:rsid w:val="006C15E9"/>
    <w:rsid w:val="006C1D71"/>
    <w:rsid w:val="006C532C"/>
    <w:rsid w:val="006C592C"/>
    <w:rsid w:val="006C5C28"/>
    <w:rsid w:val="006D0909"/>
    <w:rsid w:val="006D2452"/>
    <w:rsid w:val="006D5B9D"/>
    <w:rsid w:val="006D75E6"/>
    <w:rsid w:val="006E0199"/>
    <w:rsid w:val="006E2753"/>
    <w:rsid w:val="006E33F7"/>
    <w:rsid w:val="006E7BDD"/>
    <w:rsid w:val="006F0183"/>
    <w:rsid w:val="006F0BBB"/>
    <w:rsid w:val="006F2652"/>
    <w:rsid w:val="006F306A"/>
    <w:rsid w:val="006F3612"/>
    <w:rsid w:val="006F3B53"/>
    <w:rsid w:val="006F3C30"/>
    <w:rsid w:val="006F60E4"/>
    <w:rsid w:val="006F6AE5"/>
    <w:rsid w:val="006F78D3"/>
    <w:rsid w:val="00700A5F"/>
    <w:rsid w:val="00700C27"/>
    <w:rsid w:val="00702B7D"/>
    <w:rsid w:val="0070341D"/>
    <w:rsid w:val="00703922"/>
    <w:rsid w:val="0071004A"/>
    <w:rsid w:val="00710295"/>
    <w:rsid w:val="007111B9"/>
    <w:rsid w:val="007115C6"/>
    <w:rsid w:val="00711663"/>
    <w:rsid w:val="00712D4D"/>
    <w:rsid w:val="0071305A"/>
    <w:rsid w:val="00713FE9"/>
    <w:rsid w:val="0071408D"/>
    <w:rsid w:val="007145E3"/>
    <w:rsid w:val="00715CA2"/>
    <w:rsid w:val="00716611"/>
    <w:rsid w:val="007172E3"/>
    <w:rsid w:val="0071789F"/>
    <w:rsid w:val="00717FE1"/>
    <w:rsid w:val="0072093C"/>
    <w:rsid w:val="00721D60"/>
    <w:rsid w:val="00721F0A"/>
    <w:rsid w:val="0072399C"/>
    <w:rsid w:val="0072601F"/>
    <w:rsid w:val="00726615"/>
    <w:rsid w:val="007274E0"/>
    <w:rsid w:val="007275CF"/>
    <w:rsid w:val="00730B0A"/>
    <w:rsid w:val="007312CE"/>
    <w:rsid w:val="00732B06"/>
    <w:rsid w:val="00732D50"/>
    <w:rsid w:val="0073384E"/>
    <w:rsid w:val="00734103"/>
    <w:rsid w:val="00737B19"/>
    <w:rsid w:val="007437F4"/>
    <w:rsid w:val="00744CBB"/>
    <w:rsid w:val="00745C5A"/>
    <w:rsid w:val="007507AC"/>
    <w:rsid w:val="00751C09"/>
    <w:rsid w:val="00752E93"/>
    <w:rsid w:val="00754A76"/>
    <w:rsid w:val="007552E6"/>
    <w:rsid w:val="00755CD7"/>
    <w:rsid w:val="00755D72"/>
    <w:rsid w:val="007640E6"/>
    <w:rsid w:val="0076475C"/>
    <w:rsid w:val="007647EC"/>
    <w:rsid w:val="00770B96"/>
    <w:rsid w:val="00776EFF"/>
    <w:rsid w:val="007774ED"/>
    <w:rsid w:val="00782C6E"/>
    <w:rsid w:val="00783780"/>
    <w:rsid w:val="00784500"/>
    <w:rsid w:val="00784B97"/>
    <w:rsid w:val="00784EDC"/>
    <w:rsid w:val="007864A9"/>
    <w:rsid w:val="00787251"/>
    <w:rsid w:val="00792E0F"/>
    <w:rsid w:val="00794B71"/>
    <w:rsid w:val="00796CC4"/>
    <w:rsid w:val="00796F19"/>
    <w:rsid w:val="007973CE"/>
    <w:rsid w:val="0079772A"/>
    <w:rsid w:val="007A27EB"/>
    <w:rsid w:val="007A2863"/>
    <w:rsid w:val="007A39E2"/>
    <w:rsid w:val="007A4AA8"/>
    <w:rsid w:val="007A51A7"/>
    <w:rsid w:val="007A5C31"/>
    <w:rsid w:val="007A780F"/>
    <w:rsid w:val="007A7E8B"/>
    <w:rsid w:val="007B0547"/>
    <w:rsid w:val="007B0D0E"/>
    <w:rsid w:val="007B1DF2"/>
    <w:rsid w:val="007B2447"/>
    <w:rsid w:val="007B285D"/>
    <w:rsid w:val="007B3298"/>
    <w:rsid w:val="007B6D03"/>
    <w:rsid w:val="007C079E"/>
    <w:rsid w:val="007C0AD0"/>
    <w:rsid w:val="007C251E"/>
    <w:rsid w:val="007C33B9"/>
    <w:rsid w:val="007C6170"/>
    <w:rsid w:val="007C622F"/>
    <w:rsid w:val="007C6642"/>
    <w:rsid w:val="007C6C0A"/>
    <w:rsid w:val="007D16D9"/>
    <w:rsid w:val="007D2FA8"/>
    <w:rsid w:val="007D389E"/>
    <w:rsid w:val="007D6D6C"/>
    <w:rsid w:val="007E05E3"/>
    <w:rsid w:val="007E13F3"/>
    <w:rsid w:val="007E2347"/>
    <w:rsid w:val="007E2A86"/>
    <w:rsid w:val="007E38E4"/>
    <w:rsid w:val="007E420B"/>
    <w:rsid w:val="007E4887"/>
    <w:rsid w:val="007E5FBE"/>
    <w:rsid w:val="007F0040"/>
    <w:rsid w:val="007F0146"/>
    <w:rsid w:val="007F207C"/>
    <w:rsid w:val="007F2575"/>
    <w:rsid w:val="007F331A"/>
    <w:rsid w:val="007F6E99"/>
    <w:rsid w:val="00800D43"/>
    <w:rsid w:val="00801069"/>
    <w:rsid w:val="008031D8"/>
    <w:rsid w:val="0080342A"/>
    <w:rsid w:val="00806FC0"/>
    <w:rsid w:val="0080722D"/>
    <w:rsid w:val="00810E96"/>
    <w:rsid w:val="0081587E"/>
    <w:rsid w:val="008211DB"/>
    <w:rsid w:val="00821EFC"/>
    <w:rsid w:val="00825A3F"/>
    <w:rsid w:val="00827D3C"/>
    <w:rsid w:val="00831CCC"/>
    <w:rsid w:val="00832D38"/>
    <w:rsid w:val="008362F6"/>
    <w:rsid w:val="008366A3"/>
    <w:rsid w:val="0083761B"/>
    <w:rsid w:val="008404C8"/>
    <w:rsid w:val="008409AF"/>
    <w:rsid w:val="0084134E"/>
    <w:rsid w:val="00843E57"/>
    <w:rsid w:val="008450AF"/>
    <w:rsid w:val="00845BAE"/>
    <w:rsid w:val="00847050"/>
    <w:rsid w:val="008506D3"/>
    <w:rsid w:val="00850971"/>
    <w:rsid w:val="008545E1"/>
    <w:rsid w:val="0086069B"/>
    <w:rsid w:val="00860B66"/>
    <w:rsid w:val="0086176E"/>
    <w:rsid w:val="00862E63"/>
    <w:rsid w:val="008635F4"/>
    <w:rsid w:val="00865D3D"/>
    <w:rsid w:val="00866684"/>
    <w:rsid w:val="00867B5B"/>
    <w:rsid w:val="008707EE"/>
    <w:rsid w:val="0087085C"/>
    <w:rsid w:val="00876A95"/>
    <w:rsid w:val="00877C13"/>
    <w:rsid w:val="008803AC"/>
    <w:rsid w:val="00880952"/>
    <w:rsid w:val="00881029"/>
    <w:rsid w:val="0088263F"/>
    <w:rsid w:val="00884597"/>
    <w:rsid w:val="00884D58"/>
    <w:rsid w:val="00885BAE"/>
    <w:rsid w:val="00886A28"/>
    <w:rsid w:val="008871AA"/>
    <w:rsid w:val="0088788B"/>
    <w:rsid w:val="00890CA9"/>
    <w:rsid w:val="00892292"/>
    <w:rsid w:val="0089534F"/>
    <w:rsid w:val="0089701D"/>
    <w:rsid w:val="008977BD"/>
    <w:rsid w:val="008A07A7"/>
    <w:rsid w:val="008A355B"/>
    <w:rsid w:val="008A6565"/>
    <w:rsid w:val="008B07AC"/>
    <w:rsid w:val="008B1ACD"/>
    <w:rsid w:val="008B3D04"/>
    <w:rsid w:val="008B550C"/>
    <w:rsid w:val="008B650D"/>
    <w:rsid w:val="008C1DA0"/>
    <w:rsid w:val="008C5C0D"/>
    <w:rsid w:val="008C6B9D"/>
    <w:rsid w:val="008D0119"/>
    <w:rsid w:val="008D0410"/>
    <w:rsid w:val="008D06E2"/>
    <w:rsid w:val="008D67C7"/>
    <w:rsid w:val="008E0BFB"/>
    <w:rsid w:val="008E1149"/>
    <w:rsid w:val="008E14A6"/>
    <w:rsid w:val="008E2712"/>
    <w:rsid w:val="008E4ED4"/>
    <w:rsid w:val="008E5FBE"/>
    <w:rsid w:val="008E69B6"/>
    <w:rsid w:val="008F14C4"/>
    <w:rsid w:val="008F4C1C"/>
    <w:rsid w:val="0090137C"/>
    <w:rsid w:val="00904438"/>
    <w:rsid w:val="00906CCA"/>
    <w:rsid w:val="0090756D"/>
    <w:rsid w:val="00907E26"/>
    <w:rsid w:val="00910F88"/>
    <w:rsid w:val="00911F52"/>
    <w:rsid w:val="0091756F"/>
    <w:rsid w:val="00923024"/>
    <w:rsid w:val="009238B7"/>
    <w:rsid w:val="00923C10"/>
    <w:rsid w:val="00923EC8"/>
    <w:rsid w:val="009241F6"/>
    <w:rsid w:val="0092443E"/>
    <w:rsid w:val="00924F95"/>
    <w:rsid w:val="00926248"/>
    <w:rsid w:val="0092736B"/>
    <w:rsid w:val="00927D72"/>
    <w:rsid w:val="0093109D"/>
    <w:rsid w:val="009311AF"/>
    <w:rsid w:val="009313D6"/>
    <w:rsid w:val="00931642"/>
    <w:rsid w:val="00931B26"/>
    <w:rsid w:val="0093394E"/>
    <w:rsid w:val="0093501E"/>
    <w:rsid w:val="00940B52"/>
    <w:rsid w:val="0094142F"/>
    <w:rsid w:val="0094278E"/>
    <w:rsid w:val="00942967"/>
    <w:rsid w:val="00942A0E"/>
    <w:rsid w:val="00942ED1"/>
    <w:rsid w:val="00944142"/>
    <w:rsid w:val="00945A03"/>
    <w:rsid w:val="009471F9"/>
    <w:rsid w:val="0094742E"/>
    <w:rsid w:val="009475E9"/>
    <w:rsid w:val="00952833"/>
    <w:rsid w:val="0095647E"/>
    <w:rsid w:val="0095721D"/>
    <w:rsid w:val="00960E63"/>
    <w:rsid w:val="009621AC"/>
    <w:rsid w:val="00964DD3"/>
    <w:rsid w:val="00965D1C"/>
    <w:rsid w:val="009700BC"/>
    <w:rsid w:val="0097104D"/>
    <w:rsid w:val="00972247"/>
    <w:rsid w:val="00977E44"/>
    <w:rsid w:val="00980302"/>
    <w:rsid w:val="00980B2F"/>
    <w:rsid w:val="009843F3"/>
    <w:rsid w:val="00984CC6"/>
    <w:rsid w:val="009866DF"/>
    <w:rsid w:val="0098709F"/>
    <w:rsid w:val="0098768A"/>
    <w:rsid w:val="00995EE6"/>
    <w:rsid w:val="00996CF3"/>
    <w:rsid w:val="00997FDB"/>
    <w:rsid w:val="009A083C"/>
    <w:rsid w:val="009A206B"/>
    <w:rsid w:val="009A4448"/>
    <w:rsid w:val="009A5307"/>
    <w:rsid w:val="009A6D14"/>
    <w:rsid w:val="009A7614"/>
    <w:rsid w:val="009A794E"/>
    <w:rsid w:val="009A7D52"/>
    <w:rsid w:val="009B1BC7"/>
    <w:rsid w:val="009B57A6"/>
    <w:rsid w:val="009B6ACE"/>
    <w:rsid w:val="009C1998"/>
    <w:rsid w:val="009C1B37"/>
    <w:rsid w:val="009C4F80"/>
    <w:rsid w:val="009C684C"/>
    <w:rsid w:val="009D07A9"/>
    <w:rsid w:val="009D0E59"/>
    <w:rsid w:val="009D1C55"/>
    <w:rsid w:val="009D287A"/>
    <w:rsid w:val="009D452E"/>
    <w:rsid w:val="009D4996"/>
    <w:rsid w:val="009D6567"/>
    <w:rsid w:val="009D6ED6"/>
    <w:rsid w:val="009E1340"/>
    <w:rsid w:val="009E2AD6"/>
    <w:rsid w:val="009E308B"/>
    <w:rsid w:val="009E32D0"/>
    <w:rsid w:val="009E6CF4"/>
    <w:rsid w:val="009E7F9B"/>
    <w:rsid w:val="009F0755"/>
    <w:rsid w:val="009F15E6"/>
    <w:rsid w:val="009F16FF"/>
    <w:rsid w:val="009F313A"/>
    <w:rsid w:val="009F3D9A"/>
    <w:rsid w:val="009F4D56"/>
    <w:rsid w:val="009F50F0"/>
    <w:rsid w:val="009F78EC"/>
    <w:rsid w:val="009F790C"/>
    <w:rsid w:val="00A01ABB"/>
    <w:rsid w:val="00A03506"/>
    <w:rsid w:val="00A0613A"/>
    <w:rsid w:val="00A068FD"/>
    <w:rsid w:val="00A12800"/>
    <w:rsid w:val="00A12A97"/>
    <w:rsid w:val="00A137D6"/>
    <w:rsid w:val="00A167A9"/>
    <w:rsid w:val="00A2219F"/>
    <w:rsid w:val="00A2287E"/>
    <w:rsid w:val="00A23729"/>
    <w:rsid w:val="00A2448D"/>
    <w:rsid w:val="00A264E7"/>
    <w:rsid w:val="00A27577"/>
    <w:rsid w:val="00A31C95"/>
    <w:rsid w:val="00A31E5D"/>
    <w:rsid w:val="00A34371"/>
    <w:rsid w:val="00A3563C"/>
    <w:rsid w:val="00A35765"/>
    <w:rsid w:val="00A35D8F"/>
    <w:rsid w:val="00A3667E"/>
    <w:rsid w:val="00A3791C"/>
    <w:rsid w:val="00A40F70"/>
    <w:rsid w:val="00A43EC8"/>
    <w:rsid w:val="00A43EC9"/>
    <w:rsid w:val="00A453BF"/>
    <w:rsid w:val="00A47ABF"/>
    <w:rsid w:val="00A5093B"/>
    <w:rsid w:val="00A50D0B"/>
    <w:rsid w:val="00A5193C"/>
    <w:rsid w:val="00A53482"/>
    <w:rsid w:val="00A561F3"/>
    <w:rsid w:val="00A57686"/>
    <w:rsid w:val="00A6211E"/>
    <w:rsid w:val="00A623D7"/>
    <w:rsid w:val="00A6283D"/>
    <w:rsid w:val="00A64246"/>
    <w:rsid w:val="00A6521C"/>
    <w:rsid w:val="00A65621"/>
    <w:rsid w:val="00A66116"/>
    <w:rsid w:val="00A66C5F"/>
    <w:rsid w:val="00A702CA"/>
    <w:rsid w:val="00A71067"/>
    <w:rsid w:val="00A72E14"/>
    <w:rsid w:val="00A72F2D"/>
    <w:rsid w:val="00A754F5"/>
    <w:rsid w:val="00A77CE7"/>
    <w:rsid w:val="00A81D1B"/>
    <w:rsid w:val="00A82272"/>
    <w:rsid w:val="00A83702"/>
    <w:rsid w:val="00A84383"/>
    <w:rsid w:val="00A850E4"/>
    <w:rsid w:val="00A87101"/>
    <w:rsid w:val="00A901E1"/>
    <w:rsid w:val="00A911C7"/>
    <w:rsid w:val="00A916DE"/>
    <w:rsid w:val="00A968FA"/>
    <w:rsid w:val="00AA0A26"/>
    <w:rsid w:val="00AA20C4"/>
    <w:rsid w:val="00AA2AEB"/>
    <w:rsid w:val="00AA31EB"/>
    <w:rsid w:val="00AA5D9B"/>
    <w:rsid w:val="00AB5B78"/>
    <w:rsid w:val="00AB622F"/>
    <w:rsid w:val="00AB659C"/>
    <w:rsid w:val="00AB697A"/>
    <w:rsid w:val="00AC0A7C"/>
    <w:rsid w:val="00AC10D7"/>
    <w:rsid w:val="00AC25A2"/>
    <w:rsid w:val="00AC5C9A"/>
    <w:rsid w:val="00AC68CC"/>
    <w:rsid w:val="00AC7713"/>
    <w:rsid w:val="00AD1D59"/>
    <w:rsid w:val="00AD22A8"/>
    <w:rsid w:val="00AD4598"/>
    <w:rsid w:val="00AD545B"/>
    <w:rsid w:val="00AE3763"/>
    <w:rsid w:val="00AE3825"/>
    <w:rsid w:val="00AE4C11"/>
    <w:rsid w:val="00AE755F"/>
    <w:rsid w:val="00AE7591"/>
    <w:rsid w:val="00AE76E0"/>
    <w:rsid w:val="00AF232A"/>
    <w:rsid w:val="00AF30CF"/>
    <w:rsid w:val="00AF7E41"/>
    <w:rsid w:val="00B0231D"/>
    <w:rsid w:val="00B02E71"/>
    <w:rsid w:val="00B0387E"/>
    <w:rsid w:val="00B03955"/>
    <w:rsid w:val="00B05454"/>
    <w:rsid w:val="00B0597C"/>
    <w:rsid w:val="00B05995"/>
    <w:rsid w:val="00B07BDC"/>
    <w:rsid w:val="00B102DF"/>
    <w:rsid w:val="00B124E3"/>
    <w:rsid w:val="00B132D4"/>
    <w:rsid w:val="00B14075"/>
    <w:rsid w:val="00B14703"/>
    <w:rsid w:val="00B15647"/>
    <w:rsid w:val="00B16219"/>
    <w:rsid w:val="00B212A1"/>
    <w:rsid w:val="00B216C3"/>
    <w:rsid w:val="00B24917"/>
    <w:rsid w:val="00B2494D"/>
    <w:rsid w:val="00B250AE"/>
    <w:rsid w:val="00B26177"/>
    <w:rsid w:val="00B27675"/>
    <w:rsid w:val="00B301A3"/>
    <w:rsid w:val="00B339A2"/>
    <w:rsid w:val="00B33A08"/>
    <w:rsid w:val="00B3495D"/>
    <w:rsid w:val="00B35EA2"/>
    <w:rsid w:val="00B379DE"/>
    <w:rsid w:val="00B37D4D"/>
    <w:rsid w:val="00B42CB4"/>
    <w:rsid w:val="00B43016"/>
    <w:rsid w:val="00B43554"/>
    <w:rsid w:val="00B50074"/>
    <w:rsid w:val="00B52DA0"/>
    <w:rsid w:val="00B60566"/>
    <w:rsid w:val="00B63102"/>
    <w:rsid w:val="00B63513"/>
    <w:rsid w:val="00B6472E"/>
    <w:rsid w:val="00B64B3E"/>
    <w:rsid w:val="00B64E17"/>
    <w:rsid w:val="00B661C1"/>
    <w:rsid w:val="00B675C9"/>
    <w:rsid w:val="00B70B59"/>
    <w:rsid w:val="00B717B6"/>
    <w:rsid w:val="00B7183A"/>
    <w:rsid w:val="00B71BBE"/>
    <w:rsid w:val="00B8086E"/>
    <w:rsid w:val="00B80BE4"/>
    <w:rsid w:val="00B80DC2"/>
    <w:rsid w:val="00B80EF0"/>
    <w:rsid w:val="00B81231"/>
    <w:rsid w:val="00B81336"/>
    <w:rsid w:val="00B8147D"/>
    <w:rsid w:val="00B85512"/>
    <w:rsid w:val="00B862C5"/>
    <w:rsid w:val="00B86630"/>
    <w:rsid w:val="00B86D42"/>
    <w:rsid w:val="00B87243"/>
    <w:rsid w:val="00B96141"/>
    <w:rsid w:val="00B9713B"/>
    <w:rsid w:val="00B97F88"/>
    <w:rsid w:val="00BA36C8"/>
    <w:rsid w:val="00BA50B0"/>
    <w:rsid w:val="00BA5BE3"/>
    <w:rsid w:val="00BA7F4F"/>
    <w:rsid w:val="00BA7F5F"/>
    <w:rsid w:val="00BB0826"/>
    <w:rsid w:val="00BB2624"/>
    <w:rsid w:val="00BB31F7"/>
    <w:rsid w:val="00BB75BC"/>
    <w:rsid w:val="00BB7AD2"/>
    <w:rsid w:val="00BC105E"/>
    <w:rsid w:val="00BC2C64"/>
    <w:rsid w:val="00BC5423"/>
    <w:rsid w:val="00BC694E"/>
    <w:rsid w:val="00BC6D09"/>
    <w:rsid w:val="00BD021C"/>
    <w:rsid w:val="00BD1439"/>
    <w:rsid w:val="00BD1774"/>
    <w:rsid w:val="00BD2289"/>
    <w:rsid w:val="00BD2924"/>
    <w:rsid w:val="00BD2F8D"/>
    <w:rsid w:val="00BD4655"/>
    <w:rsid w:val="00BD54DC"/>
    <w:rsid w:val="00BD55DB"/>
    <w:rsid w:val="00BD70E8"/>
    <w:rsid w:val="00BD7A65"/>
    <w:rsid w:val="00BE130D"/>
    <w:rsid w:val="00BE2FDC"/>
    <w:rsid w:val="00BE36F9"/>
    <w:rsid w:val="00BF2333"/>
    <w:rsid w:val="00BF275F"/>
    <w:rsid w:val="00BF3AA9"/>
    <w:rsid w:val="00BF7092"/>
    <w:rsid w:val="00BF767C"/>
    <w:rsid w:val="00C01365"/>
    <w:rsid w:val="00C02D3C"/>
    <w:rsid w:val="00C056C3"/>
    <w:rsid w:val="00C058EA"/>
    <w:rsid w:val="00C07E3A"/>
    <w:rsid w:val="00C10362"/>
    <w:rsid w:val="00C141A9"/>
    <w:rsid w:val="00C14CE9"/>
    <w:rsid w:val="00C14DB9"/>
    <w:rsid w:val="00C15CED"/>
    <w:rsid w:val="00C178FB"/>
    <w:rsid w:val="00C215F8"/>
    <w:rsid w:val="00C228B7"/>
    <w:rsid w:val="00C24EA3"/>
    <w:rsid w:val="00C2685A"/>
    <w:rsid w:val="00C27E3B"/>
    <w:rsid w:val="00C3503D"/>
    <w:rsid w:val="00C36537"/>
    <w:rsid w:val="00C370BF"/>
    <w:rsid w:val="00C4080D"/>
    <w:rsid w:val="00C40FF9"/>
    <w:rsid w:val="00C41291"/>
    <w:rsid w:val="00C428E9"/>
    <w:rsid w:val="00C43B06"/>
    <w:rsid w:val="00C47F6D"/>
    <w:rsid w:val="00C47F8F"/>
    <w:rsid w:val="00C501FF"/>
    <w:rsid w:val="00C51276"/>
    <w:rsid w:val="00C53C96"/>
    <w:rsid w:val="00C53CEC"/>
    <w:rsid w:val="00C55E5D"/>
    <w:rsid w:val="00C5791F"/>
    <w:rsid w:val="00C60158"/>
    <w:rsid w:val="00C61D6B"/>
    <w:rsid w:val="00C66440"/>
    <w:rsid w:val="00C66E16"/>
    <w:rsid w:val="00C72012"/>
    <w:rsid w:val="00C73BAE"/>
    <w:rsid w:val="00C73D24"/>
    <w:rsid w:val="00C74363"/>
    <w:rsid w:val="00C75073"/>
    <w:rsid w:val="00C806AC"/>
    <w:rsid w:val="00C81C64"/>
    <w:rsid w:val="00C81CC2"/>
    <w:rsid w:val="00C83A5F"/>
    <w:rsid w:val="00C8524B"/>
    <w:rsid w:val="00C867E4"/>
    <w:rsid w:val="00C874AD"/>
    <w:rsid w:val="00C900A0"/>
    <w:rsid w:val="00C9043C"/>
    <w:rsid w:val="00C9153E"/>
    <w:rsid w:val="00C93E95"/>
    <w:rsid w:val="00C95323"/>
    <w:rsid w:val="00C9656F"/>
    <w:rsid w:val="00C96D85"/>
    <w:rsid w:val="00CA0C9C"/>
    <w:rsid w:val="00CA17DC"/>
    <w:rsid w:val="00CA2140"/>
    <w:rsid w:val="00CA44DB"/>
    <w:rsid w:val="00CA58F0"/>
    <w:rsid w:val="00CA614A"/>
    <w:rsid w:val="00CB0698"/>
    <w:rsid w:val="00CB2403"/>
    <w:rsid w:val="00CB2EB7"/>
    <w:rsid w:val="00CB3605"/>
    <w:rsid w:val="00CB467B"/>
    <w:rsid w:val="00CB5371"/>
    <w:rsid w:val="00CB77BB"/>
    <w:rsid w:val="00CB7CCD"/>
    <w:rsid w:val="00CC2546"/>
    <w:rsid w:val="00CC48E5"/>
    <w:rsid w:val="00CC6A6F"/>
    <w:rsid w:val="00CD3FF9"/>
    <w:rsid w:val="00CD6650"/>
    <w:rsid w:val="00CD7E30"/>
    <w:rsid w:val="00CE0A8B"/>
    <w:rsid w:val="00CE1B78"/>
    <w:rsid w:val="00CE36D5"/>
    <w:rsid w:val="00CE39FD"/>
    <w:rsid w:val="00CE456A"/>
    <w:rsid w:val="00CE5650"/>
    <w:rsid w:val="00CE7F45"/>
    <w:rsid w:val="00CF029D"/>
    <w:rsid w:val="00CF0504"/>
    <w:rsid w:val="00CF2769"/>
    <w:rsid w:val="00CF58F7"/>
    <w:rsid w:val="00CF6505"/>
    <w:rsid w:val="00CF78CB"/>
    <w:rsid w:val="00CF7D3A"/>
    <w:rsid w:val="00D00FE4"/>
    <w:rsid w:val="00D01126"/>
    <w:rsid w:val="00D0149D"/>
    <w:rsid w:val="00D017AB"/>
    <w:rsid w:val="00D10F59"/>
    <w:rsid w:val="00D12CA0"/>
    <w:rsid w:val="00D14493"/>
    <w:rsid w:val="00D14B85"/>
    <w:rsid w:val="00D20A82"/>
    <w:rsid w:val="00D22225"/>
    <w:rsid w:val="00D22E64"/>
    <w:rsid w:val="00D239A8"/>
    <w:rsid w:val="00D23D6A"/>
    <w:rsid w:val="00D2467C"/>
    <w:rsid w:val="00D267E9"/>
    <w:rsid w:val="00D27A5C"/>
    <w:rsid w:val="00D3408D"/>
    <w:rsid w:val="00D3519B"/>
    <w:rsid w:val="00D40BF1"/>
    <w:rsid w:val="00D4143D"/>
    <w:rsid w:val="00D45F9D"/>
    <w:rsid w:val="00D4766E"/>
    <w:rsid w:val="00D505AD"/>
    <w:rsid w:val="00D514C1"/>
    <w:rsid w:val="00D52F6E"/>
    <w:rsid w:val="00D53B1E"/>
    <w:rsid w:val="00D54D4D"/>
    <w:rsid w:val="00D560AB"/>
    <w:rsid w:val="00D56BAE"/>
    <w:rsid w:val="00D56D5A"/>
    <w:rsid w:val="00D570B6"/>
    <w:rsid w:val="00D61643"/>
    <w:rsid w:val="00D6226E"/>
    <w:rsid w:val="00D62992"/>
    <w:rsid w:val="00D62E8C"/>
    <w:rsid w:val="00D63DEA"/>
    <w:rsid w:val="00D66120"/>
    <w:rsid w:val="00D66E8E"/>
    <w:rsid w:val="00D67788"/>
    <w:rsid w:val="00D75F5B"/>
    <w:rsid w:val="00D8406A"/>
    <w:rsid w:val="00D842BB"/>
    <w:rsid w:val="00D84E65"/>
    <w:rsid w:val="00D86C44"/>
    <w:rsid w:val="00D86C8A"/>
    <w:rsid w:val="00D86D2D"/>
    <w:rsid w:val="00D874AA"/>
    <w:rsid w:val="00D91DD5"/>
    <w:rsid w:val="00D922E7"/>
    <w:rsid w:val="00D9318E"/>
    <w:rsid w:val="00D93C66"/>
    <w:rsid w:val="00D942C8"/>
    <w:rsid w:val="00D9694F"/>
    <w:rsid w:val="00D97F70"/>
    <w:rsid w:val="00DA7109"/>
    <w:rsid w:val="00DA7D5E"/>
    <w:rsid w:val="00DB1B8F"/>
    <w:rsid w:val="00DB3BF5"/>
    <w:rsid w:val="00DB4107"/>
    <w:rsid w:val="00DB4169"/>
    <w:rsid w:val="00DB4D32"/>
    <w:rsid w:val="00DB564C"/>
    <w:rsid w:val="00DB5938"/>
    <w:rsid w:val="00DB5DD7"/>
    <w:rsid w:val="00DC057A"/>
    <w:rsid w:val="00DC0950"/>
    <w:rsid w:val="00DC0AD7"/>
    <w:rsid w:val="00DC118C"/>
    <w:rsid w:val="00DC4FEF"/>
    <w:rsid w:val="00DD08E2"/>
    <w:rsid w:val="00DD27CC"/>
    <w:rsid w:val="00DD3164"/>
    <w:rsid w:val="00DD50A7"/>
    <w:rsid w:val="00DD60EB"/>
    <w:rsid w:val="00DD62D2"/>
    <w:rsid w:val="00DD7A21"/>
    <w:rsid w:val="00DE07CF"/>
    <w:rsid w:val="00DE0F31"/>
    <w:rsid w:val="00DE0F63"/>
    <w:rsid w:val="00DE1E2D"/>
    <w:rsid w:val="00DE3F69"/>
    <w:rsid w:val="00DE5F5E"/>
    <w:rsid w:val="00DE5F99"/>
    <w:rsid w:val="00DE66E7"/>
    <w:rsid w:val="00DE799C"/>
    <w:rsid w:val="00DF0CEB"/>
    <w:rsid w:val="00DF50FD"/>
    <w:rsid w:val="00DF52DB"/>
    <w:rsid w:val="00DF6AB8"/>
    <w:rsid w:val="00DF77A4"/>
    <w:rsid w:val="00DF7BEB"/>
    <w:rsid w:val="00E003D7"/>
    <w:rsid w:val="00E03A64"/>
    <w:rsid w:val="00E06AAD"/>
    <w:rsid w:val="00E110A8"/>
    <w:rsid w:val="00E1328F"/>
    <w:rsid w:val="00E1429D"/>
    <w:rsid w:val="00E1527D"/>
    <w:rsid w:val="00E20193"/>
    <w:rsid w:val="00E210E0"/>
    <w:rsid w:val="00E22AF9"/>
    <w:rsid w:val="00E24494"/>
    <w:rsid w:val="00E25174"/>
    <w:rsid w:val="00E30533"/>
    <w:rsid w:val="00E318E3"/>
    <w:rsid w:val="00E33698"/>
    <w:rsid w:val="00E33D53"/>
    <w:rsid w:val="00E34C0A"/>
    <w:rsid w:val="00E35DE7"/>
    <w:rsid w:val="00E37D04"/>
    <w:rsid w:val="00E40973"/>
    <w:rsid w:val="00E41FED"/>
    <w:rsid w:val="00E42681"/>
    <w:rsid w:val="00E42F5F"/>
    <w:rsid w:val="00E44150"/>
    <w:rsid w:val="00E4418A"/>
    <w:rsid w:val="00E452B4"/>
    <w:rsid w:val="00E50409"/>
    <w:rsid w:val="00E50604"/>
    <w:rsid w:val="00E51476"/>
    <w:rsid w:val="00E51E04"/>
    <w:rsid w:val="00E52A56"/>
    <w:rsid w:val="00E54C2E"/>
    <w:rsid w:val="00E55825"/>
    <w:rsid w:val="00E55F65"/>
    <w:rsid w:val="00E57EA0"/>
    <w:rsid w:val="00E62F45"/>
    <w:rsid w:val="00E65803"/>
    <w:rsid w:val="00E675C6"/>
    <w:rsid w:val="00E676C2"/>
    <w:rsid w:val="00E677C3"/>
    <w:rsid w:val="00E67D1D"/>
    <w:rsid w:val="00E67F58"/>
    <w:rsid w:val="00E70840"/>
    <w:rsid w:val="00E70A03"/>
    <w:rsid w:val="00E7258E"/>
    <w:rsid w:val="00E761A4"/>
    <w:rsid w:val="00E801E8"/>
    <w:rsid w:val="00E80588"/>
    <w:rsid w:val="00E8257B"/>
    <w:rsid w:val="00E83C67"/>
    <w:rsid w:val="00E86001"/>
    <w:rsid w:val="00E860B7"/>
    <w:rsid w:val="00E8798C"/>
    <w:rsid w:val="00E906EA"/>
    <w:rsid w:val="00E935FC"/>
    <w:rsid w:val="00E95339"/>
    <w:rsid w:val="00E97570"/>
    <w:rsid w:val="00EA1831"/>
    <w:rsid w:val="00EA3F36"/>
    <w:rsid w:val="00EA511C"/>
    <w:rsid w:val="00EA7802"/>
    <w:rsid w:val="00EA7C6C"/>
    <w:rsid w:val="00EB17A4"/>
    <w:rsid w:val="00EB333A"/>
    <w:rsid w:val="00EB460A"/>
    <w:rsid w:val="00EB4670"/>
    <w:rsid w:val="00EB6F59"/>
    <w:rsid w:val="00EB7378"/>
    <w:rsid w:val="00EC1976"/>
    <w:rsid w:val="00EC2A31"/>
    <w:rsid w:val="00EC2C76"/>
    <w:rsid w:val="00EC3910"/>
    <w:rsid w:val="00EC47E5"/>
    <w:rsid w:val="00EC7C97"/>
    <w:rsid w:val="00ED464C"/>
    <w:rsid w:val="00ED48C7"/>
    <w:rsid w:val="00ED6D9D"/>
    <w:rsid w:val="00EE1A38"/>
    <w:rsid w:val="00EE24E4"/>
    <w:rsid w:val="00EE297E"/>
    <w:rsid w:val="00EE415C"/>
    <w:rsid w:val="00EE474A"/>
    <w:rsid w:val="00EE4DA9"/>
    <w:rsid w:val="00EE5679"/>
    <w:rsid w:val="00EE5B09"/>
    <w:rsid w:val="00EE77EF"/>
    <w:rsid w:val="00EF068B"/>
    <w:rsid w:val="00EF1177"/>
    <w:rsid w:val="00EF2B5A"/>
    <w:rsid w:val="00EF525C"/>
    <w:rsid w:val="00F00DB1"/>
    <w:rsid w:val="00F01266"/>
    <w:rsid w:val="00F02E5F"/>
    <w:rsid w:val="00F03136"/>
    <w:rsid w:val="00F0383D"/>
    <w:rsid w:val="00F053A1"/>
    <w:rsid w:val="00F0607F"/>
    <w:rsid w:val="00F06A0E"/>
    <w:rsid w:val="00F06DCB"/>
    <w:rsid w:val="00F11AE8"/>
    <w:rsid w:val="00F14654"/>
    <w:rsid w:val="00F16AD4"/>
    <w:rsid w:val="00F20ADF"/>
    <w:rsid w:val="00F24485"/>
    <w:rsid w:val="00F24F7B"/>
    <w:rsid w:val="00F25443"/>
    <w:rsid w:val="00F30BDA"/>
    <w:rsid w:val="00F317F3"/>
    <w:rsid w:val="00F31EA6"/>
    <w:rsid w:val="00F345D2"/>
    <w:rsid w:val="00F37651"/>
    <w:rsid w:val="00F41081"/>
    <w:rsid w:val="00F42256"/>
    <w:rsid w:val="00F46E1A"/>
    <w:rsid w:val="00F50E71"/>
    <w:rsid w:val="00F5191B"/>
    <w:rsid w:val="00F51AA7"/>
    <w:rsid w:val="00F520A3"/>
    <w:rsid w:val="00F55713"/>
    <w:rsid w:val="00F56C76"/>
    <w:rsid w:val="00F60033"/>
    <w:rsid w:val="00F61F03"/>
    <w:rsid w:val="00F63763"/>
    <w:rsid w:val="00F652A3"/>
    <w:rsid w:val="00F67073"/>
    <w:rsid w:val="00F6733A"/>
    <w:rsid w:val="00F73A04"/>
    <w:rsid w:val="00F80D5B"/>
    <w:rsid w:val="00F85D43"/>
    <w:rsid w:val="00F85DAA"/>
    <w:rsid w:val="00F8647A"/>
    <w:rsid w:val="00F916A0"/>
    <w:rsid w:val="00F92A4A"/>
    <w:rsid w:val="00FA286C"/>
    <w:rsid w:val="00FA4E31"/>
    <w:rsid w:val="00FA5C20"/>
    <w:rsid w:val="00FA6982"/>
    <w:rsid w:val="00FA7E7A"/>
    <w:rsid w:val="00FA7FFB"/>
    <w:rsid w:val="00FB0015"/>
    <w:rsid w:val="00FB0FEB"/>
    <w:rsid w:val="00FB20F9"/>
    <w:rsid w:val="00FB6E73"/>
    <w:rsid w:val="00FC09D2"/>
    <w:rsid w:val="00FC198C"/>
    <w:rsid w:val="00FC2247"/>
    <w:rsid w:val="00FC2A4E"/>
    <w:rsid w:val="00FC3F77"/>
    <w:rsid w:val="00FC535C"/>
    <w:rsid w:val="00FC7C02"/>
    <w:rsid w:val="00FD1470"/>
    <w:rsid w:val="00FD1D26"/>
    <w:rsid w:val="00FD32F4"/>
    <w:rsid w:val="00FD344F"/>
    <w:rsid w:val="00FD45AF"/>
    <w:rsid w:val="00FE54CA"/>
    <w:rsid w:val="00FE61F1"/>
    <w:rsid w:val="00FE7A25"/>
    <w:rsid w:val="00FF2B95"/>
    <w:rsid w:val="00FF49F2"/>
    <w:rsid w:val="00FF4FC1"/>
    <w:rsid w:val="00FF71BE"/>
    <w:rsid w:val="00FF727B"/>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3"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4" w:unhideWhenUsed="1"/>
    <w:lsdException w:name="header" w:semiHidden="1" w:uiPriority="4" w:unhideWhenUsed="1"/>
    <w:lsdException w:name="footer" w:semiHidden="1" w:uiPriority="4"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lsdException w:name="Strong" w:uiPriority="22"/>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qFormat/>
    <w:rsid w:val="008B1AC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aliases w:val="APVMA_H1,H1,Titre 1 bka,MINUTE"/>
    <w:basedOn w:val="NormalText"/>
    <w:next w:val="NormalText"/>
    <w:link w:val="Heading1Char"/>
    <w:qFormat/>
    <w:rsid w:val="00DC0950"/>
    <w:pPr>
      <w:keepNext/>
      <w:keepLines/>
      <w:pageBreakBefore/>
      <w:numPr>
        <w:numId w:val="10"/>
      </w:numPr>
      <w:spacing w:before="0" w:after="80" w:line="360" w:lineRule="exact"/>
      <w:outlineLvl w:val="0"/>
    </w:pPr>
    <w:rPr>
      <w:rFonts w:ascii="Franklin Gothic Medium" w:hAnsi="Franklin Gothic Medium"/>
      <w:color w:val="53284F"/>
      <w:sz w:val="32"/>
      <w:szCs w:val="32"/>
    </w:rPr>
  </w:style>
  <w:style w:type="paragraph" w:styleId="Heading2">
    <w:name w:val="heading 2"/>
    <w:aliases w:val="APVMA_H2,H2,bro Titre 2,h2,heading2,Heading 2 (Abstract),JMPR Überschrift 2"/>
    <w:basedOn w:val="Heading1"/>
    <w:next w:val="Normal"/>
    <w:link w:val="Heading2Char"/>
    <w:qFormat/>
    <w:rsid w:val="00DC0950"/>
    <w:pPr>
      <w:pageBreakBefore w:val="0"/>
      <w:numPr>
        <w:ilvl w:val="1"/>
      </w:numPr>
      <w:spacing w:before="400" w:after="0" w:line="320" w:lineRule="exact"/>
      <w:ind w:left="576"/>
      <w:outlineLvl w:val="1"/>
    </w:pPr>
    <w:rPr>
      <w:kern w:val="0"/>
      <w:sz w:val="28"/>
      <w:szCs w:val="28"/>
    </w:rPr>
  </w:style>
  <w:style w:type="paragraph" w:styleId="Heading3">
    <w:name w:val="heading 3"/>
    <w:aliases w:val="APVMA_H3,H3,bro Titre 3,h3,JMPR Überschrift 3"/>
    <w:basedOn w:val="Heading2"/>
    <w:next w:val="NormalText"/>
    <w:link w:val="Heading3Char"/>
    <w:uiPriority w:val="3"/>
    <w:qFormat/>
    <w:rsid w:val="00DC0950"/>
    <w:pPr>
      <w:numPr>
        <w:ilvl w:val="2"/>
      </w:numPr>
      <w:spacing w:before="320" w:line="280" w:lineRule="exact"/>
      <w:ind w:left="720"/>
      <w:outlineLvl w:val="2"/>
    </w:pPr>
    <w:rPr>
      <w:sz w:val="24"/>
      <w:szCs w:val="26"/>
    </w:rPr>
  </w:style>
  <w:style w:type="paragraph" w:styleId="Heading4">
    <w:name w:val="heading 4"/>
    <w:aliases w:val="APVMA_H4,H4,bro Titre 4,h4,JMPR Überschrift 4"/>
    <w:basedOn w:val="Heading3"/>
    <w:next w:val="NormalText"/>
    <w:link w:val="Heading4Char"/>
    <w:uiPriority w:val="4"/>
    <w:rsid w:val="00274ADA"/>
    <w:pPr>
      <w:numPr>
        <w:ilvl w:val="0"/>
        <w:numId w:val="0"/>
      </w:numPr>
      <w:spacing w:before="280" w:line="260" w:lineRule="exact"/>
      <w:outlineLvl w:val="3"/>
    </w:pPr>
    <w:rPr>
      <w:sz w:val="22"/>
      <w:szCs w:val="28"/>
    </w:rPr>
  </w:style>
  <w:style w:type="paragraph" w:styleId="Heading5">
    <w:name w:val="heading 5"/>
    <w:aliases w:val="APVMA_H5,H5,bro Titre 5"/>
    <w:basedOn w:val="Heading4"/>
    <w:next w:val="NormalText"/>
    <w:link w:val="Heading5Char"/>
    <w:uiPriority w:val="4"/>
    <w:rsid w:val="00274ADA"/>
    <w:pPr>
      <w:numPr>
        <w:ilvl w:val="4"/>
      </w:numPr>
      <w:tabs>
        <w:tab w:val="num" w:pos="907"/>
      </w:tabs>
      <w:spacing w:before="260"/>
      <w:outlineLvl w:val="4"/>
    </w:pPr>
    <w:rPr>
      <w:sz w:val="21"/>
      <w:szCs w:val="26"/>
    </w:rPr>
  </w:style>
  <w:style w:type="paragraph" w:styleId="Heading6">
    <w:name w:val="heading 6"/>
    <w:basedOn w:val="Normal"/>
    <w:next w:val="Normal"/>
    <w:link w:val="Heading6Char"/>
    <w:uiPriority w:val="4"/>
    <w:rsid w:val="00274ADA"/>
    <w:pPr>
      <w:numPr>
        <w:ilvl w:val="5"/>
        <w:numId w:val="10"/>
      </w:numPr>
      <w:spacing w:before="240" w:after="60"/>
      <w:outlineLvl w:val="5"/>
    </w:pPr>
    <w:rPr>
      <w:rFonts w:ascii="Times New Roman" w:hAnsi="Times New Roman"/>
      <w:b/>
      <w:bCs/>
    </w:rPr>
  </w:style>
  <w:style w:type="paragraph" w:styleId="Heading7">
    <w:name w:val="heading 7"/>
    <w:aliases w:val="Heading 7 centered,q1"/>
    <w:basedOn w:val="Normal"/>
    <w:next w:val="Normal"/>
    <w:link w:val="Heading7Char"/>
    <w:uiPriority w:val="4"/>
    <w:rsid w:val="007973CE"/>
    <w:pPr>
      <w:numPr>
        <w:ilvl w:val="6"/>
        <w:numId w:val="10"/>
      </w:numPr>
      <w:spacing w:before="240" w:after="60"/>
      <w:outlineLvl w:val="6"/>
    </w:pPr>
    <w:rPr>
      <w:rFonts w:ascii="Times New Roman" w:hAnsi="Times New Roman"/>
    </w:rPr>
  </w:style>
  <w:style w:type="paragraph" w:styleId="Heading8">
    <w:name w:val="heading 8"/>
    <w:basedOn w:val="Normal"/>
    <w:next w:val="Normal"/>
    <w:link w:val="Heading8Char"/>
    <w:uiPriority w:val="4"/>
    <w:rsid w:val="007973CE"/>
    <w:pPr>
      <w:numPr>
        <w:ilvl w:val="7"/>
        <w:numId w:val="10"/>
      </w:numPr>
      <w:spacing w:before="240" w:after="60"/>
      <w:outlineLvl w:val="7"/>
    </w:pPr>
    <w:rPr>
      <w:rFonts w:ascii="Times New Roman" w:hAnsi="Times New Roman"/>
      <w:i/>
      <w:iCs/>
    </w:rPr>
  </w:style>
  <w:style w:type="paragraph" w:styleId="Heading9">
    <w:name w:val="heading 9"/>
    <w:aliases w:val="Heading 9 Figure,Heading 9 Table,Tables and Figures"/>
    <w:basedOn w:val="Normal"/>
    <w:next w:val="Normal"/>
    <w:link w:val="Heading9Char"/>
    <w:uiPriority w:val="4"/>
    <w:rsid w:val="00274ADA"/>
    <w:pPr>
      <w:numPr>
        <w:ilvl w:val="8"/>
        <w:numId w:val="10"/>
      </w:numPr>
      <w:spacing w:before="240" w:after="60"/>
      <w:outlineLvl w:val="8"/>
    </w:pPr>
    <w:rPr>
      <w:rFonts w:cs="Arial"/>
    </w:rPr>
  </w:style>
  <w:style w:type="character" w:default="1" w:styleId="DefaultParagraphFont">
    <w:name w:val="Default Paragraph Font"/>
    <w:uiPriority w:val="1"/>
    <w:semiHidden/>
    <w:unhideWhenUsed/>
    <w:rsid w:val="008B1A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1ACD"/>
  </w:style>
  <w:style w:type="paragraph" w:customStyle="1" w:styleId="NormalText">
    <w:name w:val="Normal Text"/>
    <w:basedOn w:val="Normal"/>
    <w:link w:val="NormalTextChar"/>
    <w:qFormat/>
    <w:rsid w:val="007C079E"/>
    <w:pPr>
      <w:suppressAutoHyphens/>
      <w:spacing w:before="240" w:after="240" w:line="280" w:lineRule="exact"/>
    </w:pPr>
    <w:rPr>
      <w:rFonts w:ascii="Arial" w:hAnsi="Arial" w:cs="Arial"/>
      <w:kern w:val="20"/>
      <w:sz w:val="19"/>
      <w:u w:color="000000"/>
    </w:rPr>
  </w:style>
  <w:style w:type="paragraph" w:styleId="CommentText">
    <w:name w:val="annotation text"/>
    <w:link w:val="CommentTextChar"/>
    <w:uiPriority w:val="4"/>
    <w:rsid w:val="00274ADA"/>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274ADA"/>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uiPriority w:val="4"/>
    <w:rsid w:val="00274ADA"/>
    <w:pPr>
      <w:spacing w:after="0" w:line="180" w:lineRule="exact"/>
      <w:ind w:left="227" w:hanging="227"/>
    </w:pPr>
    <w:rPr>
      <w:spacing w:val="6"/>
      <w:sz w:val="16"/>
      <w:szCs w:val="20"/>
    </w:rPr>
  </w:style>
  <w:style w:type="character" w:styleId="Emphasis">
    <w:name w:val="Emphasis"/>
    <w:uiPriority w:val="4"/>
    <w:rsid w:val="00274ADA"/>
    <w:rPr>
      <w:i/>
      <w:iCs/>
    </w:rPr>
  </w:style>
  <w:style w:type="paragraph" w:styleId="TOC2">
    <w:name w:val="toc 2"/>
    <w:aliases w:val="ToC - Level 2,APVMA_TOC 2"/>
    <w:basedOn w:val="Normal"/>
    <w:uiPriority w:val="39"/>
    <w:rsid w:val="00274ADA"/>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rsid w:val="00274ADA"/>
    <w:pPr>
      <w:tabs>
        <w:tab w:val="right" w:pos="9639"/>
      </w:tabs>
      <w:spacing w:before="40" w:line="240" w:lineRule="exact"/>
      <w:ind w:left="454"/>
    </w:pPr>
    <w:rPr>
      <w:noProof/>
      <w:sz w:val="18"/>
    </w:rPr>
  </w:style>
  <w:style w:type="paragraph" w:styleId="TOC4">
    <w:name w:val="toc 4"/>
    <w:basedOn w:val="Normal"/>
    <w:next w:val="Normal"/>
    <w:autoRedefine/>
    <w:uiPriority w:val="39"/>
    <w:rsid w:val="00274ADA"/>
    <w:pPr>
      <w:ind w:left="600"/>
    </w:pPr>
  </w:style>
  <w:style w:type="paragraph" w:styleId="TOC5">
    <w:name w:val="toc 5"/>
    <w:basedOn w:val="Normal"/>
    <w:next w:val="Normal"/>
    <w:autoRedefine/>
    <w:uiPriority w:val="39"/>
    <w:rsid w:val="00274ADA"/>
    <w:pPr>
      <w:ind w:left="800"/>
    </w:pPr>
  </w:style>
  <w:style w:type="paragraph" w:styleId="TOC6">
    <w:name w:val="toc 6"/>
    <w:basedOn w:val="Normal"/>
    <w:next w:val="Normal"/>
    <w:autoRedefine/>
    <w:uiPriority w:val="39"/>
    <w:rsid w:val="00274ADA"/>
    <w:pPr>
      <w:ind w:left="1200"/>
    </w:pPr>
  </w:style>
  <w:style w:type="paragraph" w:styleId="TOC7">
    <w:name w:val="toc 7"/>
    <w:basedOn w:val="Normal"/>
    <w:next w:val="Normal"/>
    <w:autoRedefine/>
    <w:uiPriority w:val="39"/>
    <w:rsid w:val="00274ADA"/>
    <w:pPr>
      <w:ind w:left="1440"/>
    </w:pPr>
  </w:style>
  <w:style w:type="paragraph" w:styleId="TOC8">
    <w:name w:val="toc 8"/>
    <w:basedOn w:val="Normal"/>
    <w:next w:val="Normal"/>
    <w:autoRedefine/>
    <w:uiPriority w:val="39"/>
    <w:rsid w:val="00274ADA"/>
    <w:pPr>
      <w:ind w:left="1680"/>
    </w:pPr>
  </w:style>
  <w:style w:type="paragraph" w:styleId="TOC9">
    <w:name w:val="toc 9"/>
    <w:basedOn w:val="Normal"/>
    <w:next w:val="Normal"/>
    <w:autoRedefine/>
    <w:uiPriority w:val="39"/>
    <w:rsid w:val="00274ADA"/>
    <w:pPr>
      <w:ind w:left="1920"/>
    </w:pPr>
  </w:style>
  <w:style w:type="character" w:styleId="Hyperlink">
    <w:name w:val="Hyperlink"/>
    <w:aliases w:val="OECD Hyperlink"/>
    <w:uiPriority w:val="99"/>
    <w:rsid w:val="00274ADA"/>
    <w:rPr>
      <w:color w:val="0000FF"/>
      <w:u w:val="single"/>
    </w:rPr>
  </w:style>
  <w:style w:type="paragraph" w:customStyle="1" w:styleId="TableBullet">
    <w:name w:val="TableBullet"/>
    <w:basedOn w:val="TableText"/>
    <w:uiPriority w:val="4"/>
    <w:rsid w:val="00274ADA"/>
    <w:pPr>
      <w:numPr>
        <w:numId w:val="6"/>
      </w:numPr>
      <w:spacing w:after="60"/>
    </w:pPr>
  </w:style>
  <w:style w:type="paragraph" w:customStyle="1" w:styleId="TableText">
    <w:name w:val="TableText"/>
    <w:basedOn w:val="NormalText"/>
    <w:uiPriority w:val="4"/>
    <w:qFormat/>
    <w:rsid w:val="00274ADA"/>
    <w:pPr>
      <w:spacing w:before="120" w:after="120" w:line="210" w:lineRule="exact"/>
    </w:pPr>
    <w:rPr>
      <w:spacing w:val="6"/>
      <w:sz w:val="17"/>
    </w:rPr>
  </w:style>
  <w:style w:type="paragraph" w:customStyle="1" w:styleId="TableHead">
    <w:name w:val="TableHead"/>
    <w:basedOn w:val="TableText"/>
    <w:uiPriority w:val="4"/>
    <w:qFormat/>
    <w:rsid w:val="00274ADA"/>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rsid w:val="00274ADA"/>
    <w:pPr>
      <w:numPr>
        <w:numId w:val="5"/>
      </w:numPr>
      <w:spacing w:before="120" w:after="120"/>
    </w:pPr>
  </w:style>
  <w:style w:type="paragraph" w:styleId="Header">
    <w:name w:val="header"/>
    <w:basedOn w:val="Normal"/>
    <w:link w:val="HeaderChar"/>
    <w:uiPriority w:val="4"/>
    <w:rsid w:val="00274ADA"/>
    <w:pPr>
      <w:tabs>
        <w:tab w:val="center" w:pos="4153"/>
        <w:tab w:val="right" w:pos="8306"/>
      </w:tabs>
    </w:pPr>
  </w:style>
  <w:style w:type="character" w:styleId="Strong">
    <w:name w:val="Strong"/>
    <w:uiPriority w:val="4"/>
    <w:rsid w:val="00274ADA"/>
    <w:rPr>
      <w:b/>
      <w:bCs/>
    </w:rPr>
  </w:style>
  <w:style w:type="paragraph" w:styleId="Footer">
    <w:name w:val="footer"/>
    <w:basedOn w:val="Normal"/>
    <w:link w:val="FooterChar"/>
    <w:uiPriority w:val="4"/>
    <w:rsid w:val="00274ADA"/>
    <w:pPr>
      <w:tabs>
        <w:tab w:val="center" w:pos="4153"/>
        <w:tab w:val="right" w:pos="8306"/>
      </w:tabs>
    </w:pPr>
  </w:style>
  <w:style w:type="character" w:styleId="PageNumber">
    <w:name w:val="page number"/>
    <w:aliases w:val="APVMA Page Number"/>
    <w:uiPriority w:val="4"/>
    <w:rsid w:val="00274ADA"/>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274ADA"/>
    <w:pPr>
      <w:spacing w:before="0" w:after="0" w:line="280" w:lineRule="atLeast"/>
    </w:pPr>
    <w:rPr>
      <w:spacing w:val="6"/>
      <w:sz w:val="16"/>
    </w:rPr>
  </w:style>
  <w:style w:type="character" w:styleId="CommentReference">
    <w:name w:val="annotation reference"/>
    <w:uiPriority w:val="4"/>
    <w:rsid w:val="00274ADA"/>
    <w:rPr>
      <w:sz w:val="16"/>
      <w:szCs w:val="16"/>
    </w:rPr>
  </w:style>
  <w:style w:type="paragraph" w:customStyle="1" w:styleId="EvenHeader">
    <w:name w:val="Even_Header"/>
    <w:basedOn w:val="OddHeader"/>
    <w:uiPriority w:val="4"/>
    <w:rsid w:val="00274ADA"/>
    <w:pPr>
      <w:tabs>
        <w:tab w:val="clear" w:pos="9072"/>
        <w:tab w:val="left" w:pos="567"/>
      </w:tabs>
      <w:ind w:left="567" w:hanging="567"/>
    </w:pPr>
  </w:style>
  <w:style w:type="paragraph" w:customStyle="1" w:styleId="Bullet1">
    <w:name w:val="Bullet1"/>
    <w:basedOn w:val="NormalText"/>
    <w:link w:val="Bullet1Char"/>
    <w:uiPriority w:val="4"/>
    <w:qFormat/>
    <w:rsid w:val="00274ADA"/>
    <w:pPr>
      <w:numPr>
        <w:numId w:val="2"/>
      </w:numPr>
      <w:spacing w:before="120" w:after="120"/>
    </w:pPr>
  </w:style>
  <w:style w:type="paragraph" w:customStyle="1" w:styleId="TableHeadRight">
    <w:name w:val="TableHead_Right"/>
    <w:basedOn w:val="TableHead"/>
    <w:uiPriority w:val="4"/>
    <w:rsid w:val="00274ADA"/>
    <w:pPr>
      <w:jc w:val="right"/>
    </w:pPr>
  </w:style>
  <w:style w:type="paragraph" w:customStyle="1" w:styleId="Bullet2">
    <w:name w:val="Bullet2"/>
    <w:basedOn w:val="Bullet1"/>
    <w:link w:val="Bullet2Char"/>
    <w:uiPriority w:val="4"/>
    <w:qFormat/>
    <w:rsid w:val="00274ADA"/>
    <w:pPr>
      <w:numPr>
        <w:numId w:val="1"/>
      </w:numPr>
      <w:spacing w:before="60"/>
    </w:pPr>
  </w:style>
  <w:style w:type="character" w:styleId="FootnoteReference">
    <w:name w:val="footnote reference"/>
    <w:uiPriority w:val="4"/>
    <w:rsid w:val="00274ADA"/>
    <w:rPr>
      <w:vertAlign w:val="superscript"/>
    </w:rPr>
  </w:style>
  <w:style w:type="paragraph" w:customStyle="1" w:styleId="Quotes">
    <w:name w:val="Quotes"/>
    <w:basedOn w:val="NormalText"/>
    <w:uiPriority w:val="4"/>
    <w:rsid w:val="00274ADA"/>
    <w:pPr>
      <w:ind w:left="567" w:right="567"/>
    </w:pPr>
    <w:rPr>
      <w:rFonts w:ascii="Franklin Gothic Medium" w:hAnsi="Franklin Gothic Medium"/>
      <w:sz w:val="20"/>
    </w:rPr>
  </w:style>
  <w:style w:type="paragraph" w:customStyle="1" w:styleId="TableTextRight">
    <w:name w:val="TableText_Right"/>
    <w:basedOn w:val="TableText"/>
    <w:uiPriority w:val="4"/>
    <w:rsid w:val="00274ADA"/>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rsid w:val="00274ADA"/>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rsid w:val="00274ADA"/>
    <w:pPr>
      <w:pageBreakBefore w:val="0"/>
      <w:outlineLvl w:val="9"/>
    </w:pPr>
    <w:rPr>
      <w:bCs/>
      <w:szCs w:val="20"/>
    </w:rPr>
  </w:style>
  <w:style w:type="paragraph" w:customStyle="1" w:styleId="TableSubHead">
    <w:name w:val="Table_SubHead"/>
    <w:basedOn w:val="TableHead"/>
    <w:uiPriority w:val="4"/>
    <w:rsid w:val="00274ADA"/>
    <w:rPr>
      <w:color w:val="5C2946"/>
    </w:rPr>
  </w:style>
  <w:style w:type="paragraph" w:styleId="TableofFigures">
    <w:name w:val="table of figures"/>
    <w:aliases w:val="APVMA_ToF"/>
    <w:basedOn w:val="TOC3"/>
    <w:uiPriority w:val="99"/>
    <w:rsid w:val="00274ADA"/>
    <w:pPr>
      <w:ind w:left="851" w:hanging="851"/>
    </w:pPr>
  </w:style>
  <w:style w:type="paragraph" w:customStyle="1" w:styleId="OddHeader">
    <w:name w:val="Odd_Header"/>
    <w:basedOn w:val="NormalText"/>
    <w:uiPriority w:val="4"/>
    <w:rsid w:val="00274ADA"/>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274ADA"/>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274ADA"/>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rsid w:val="00274ADA"/>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rsid w:val="00274ADA"/>
    <w:pPr>
      <w:spacing w:before="960"/>
    </w:pPr>
    <w:rPr>
      <w:color w:val="666666"/>
    </w:rPr>
  </w:style>
  <w:style w:type="paragraph" w:customStyle="1" w:styleId="APVMAAddress">
    <w:name w:val="APVMA_Address"/>
    <w:basedOn w:val="NormalText"/>
    <w:uiPriority w:val="4"/>
    <w:rsid w:val="00274ADA"/>
    <w:pPr>
      <w:tabs>
        <w:tab w:val="left" w:pos="1361"/>
      </w:tabs>
      <w:spacing w:before="0" w:after="60"/>
      <w:ind w:left="567"/>
    </w:pPr>
    <w:rPr>
      <w:bCs/>
    </w:rPr>
  </w:style>
  <w:style w:type="paragraph" w:customStyle="1" w:styleId="APVMATextIndented">
    <w:name w:val="APVMA_Text_Indented"/>
    <w:basedOn w:val="NormalText"/>
    <w:uiPriority w:val="4"/>
    <w:rsid w:val="00274ADA"/>
    <w:pPr>
      <w:ind w:left="340"/>
    </w:pPr>
  </w:style>
  <w:style w:type="paragraph" w:customStyle="1" w:styleId="APVMAImprintText">
    <w:name w:val="APVMA_Imprint_Text"/>
    <w:basedOn w:val="Normal"/>
    <w:rsid w:val="00274ADA"/>
    <w:pPr>
      <w:spacing w:before="120" w:after="120" w:line="240" w:lineRule="exact"/>
    </w:pPr>
    <w:rPr>
      <w:spacing w:val="6"/>
    </w:rPr>
  </w:style>
  <w:style w:type="paragraph" w:customStyle="1" w:styleId="AppendixH1">
    <w:name w:val="Appendix_H1"/>
    <w:basedOn w:val="PreliminariesH1"/>
    <w:next w:val="NormalText"/>
    <w:uiPriority w:val="4"/>
    <w:rsid w:val="00274ADA"/>
    <w:pPr>
      <w:tabs>
        <w:tab w:val="left" w:pos="2058"/>
      </w:tabs>
      <w:ind w:left="2044" w:hanging="2044"/>
    </w:pPr>
  </w:style>
  <w:style w:type="character" w:styleId="FollowedHyperlink">
    <w:name w:val="FollowedHyperlink"/>
    <w:uiPriority w:val="4"/>
    <w:semiHidden/>
    <w:rsid w:val="00274ADA"/>
    <w:rPr>
      <w:color w:val="800080"/>
      <w:u w:val="single"/>
    </w:rPr>
  </w:style>
  <w:style w:type="paragraph" w:customStyle="1" w:styleId="PreliminariesH1">
    <w:name w:val="Preliminaries_H1"/>
    <w:basedOn w:val="Heading1"/>
    <w:next w:val="NormalText"/>
    <w:uiPriority w:val="4"/>
    <w:rsid w:val="00DC0950"/>
    <w:pPr>
      <w:numPr>
        <w:numId w:val="0"/>
      </w:numPr>
    </w:pPr>
    <w:rPr>
      <w:bCs/>
      <w:szCs w:val="30"/>
    </w:rPr>
  </w:style>
  <w:style w:type="paragraph" w:customStyle="1" w:styleId="PreliminariesH2">
    <w:name w:val="Preliminaries_H2"/>
    <w:basedOn w:val="Heading2"/>
    <w:next w:val="NormalText"/>
    <w:uiPriority w:val="4"/>
    <w:rsid w:val="00DC0950"/>
    <w:pPr>
      <w:numPr>
        <w:ilvl w:val="0"/>
        <w:numId w:val="9"/>
      </w:numPr>
      <w:tabs>
        <w:tab w:val="num" w:pos="907"/>
      </w:tabs>
    </w:pPr>
  </w:style>
  <w:style w:type="paragraph" w:customStyle="1" w:styleId="PreliminariesH3">
    <w:name w:val="Preliminaries_H3"/>
    <w:basedOn w:val="Heading3"/>
    <w:uiPriority w:val="4"/>
    <w:rsid w:val="00DC0950"/>
    <w:pPr>
      <w:numPr>
        <w:ilvl w:val="0"/>
        <w:numId w:val="0"/>
      </w:numPr>
    </w:pPr>
  </w:style>
  <w:style w:type="paragraph" w:customStyle="1" w:styleId="GlossaryRefH1">
    <w:name w:val="Glossary/Ref_H1"/>
    <w:basedOn w:val="PreliminariesH1"/>
    <w:uiPriority w:val="4"/>
    <w:rsid w:val="00274ADA"/>
    <w:pPr>
      <w:spacing w:after="240"/>
    </w:pPr>
  </w:style>
  <w:style w:type="paragraph" w:customStyle="1" w:styleId="APVMAImage">
    <w:name w:val="APVMA_Image"/>
    <w:basedOn w:val="Normal"/>
    <w:uiPriority w:val="4"/>
    <w:rsid w:val="00274ADA"/>
    <w:pPr>
      <w:spacing w:before="240" w:after="240"/>
    </w:pPr>
  </w:style>
  <w:style w:type="paragraph" w:customStyle="1" w:styleId="ListAlpha">
    <w:name w:val="List_Alpha"/>
    <w:basedOn w:val="NormalText"/>
    <w:uiPriority w:val="4"/>
    <w:qFormat/>
    <w:rsid w:val="00274ADA"/>
    <w:pPr>
      <w:numPr>
        <w:numId w:val="4"/>
      </w:numPr>
      <w:spacing w:before="120" w:after="120"/>
    </w:pPr>
  </w:style>
  <w:style w:type="paragraph" w:customStyle="1" w:styleId="AppendixH2">
    <w:name w:val="Appendix_H2"/>
    <w:basedOn w:val="PreliminariesH2"/>
    <w:next w:val="NormalText"/>
    <w:uiPriority w:val="4"/>
    <w:rsid w:val="00274ADA"/>
    <w:rPr>
      <w:bCs/>
    </w:rPr>
  </w:style>
  <w:style w:type="paragraph" w:customStyle="1" w:styleId="AppendixH3">
    <w:name w:val="Appendix_H3"/>
    <w:basedOn w:val="PreliminariesH3"/>
    <w:next w:val="NormalText"/>
    <w:uiPriority w:val="4"/>
    <w:rsid w:val="00274ADA"/>
  </w:style>
  <w:style w:type="paragraph" w:customStyle="1" w:styleId="APVMABullet3">
    <w:name w:val="APVMA_Bullet3"/>
    <w:basedOn w:val="Bullet2"/>
    <w:uiPriority w:val="4"/>
    <w:rsid w:val="00274ADA"/>
    <w:pPr>
      <w:numPr>
        <w:numId w:val="3"/>
      </w:numPr>
      <w:spacing w:before="120"/>
      <w:ind w:left="1020" w:hanging="340"/>
    </w:pPr>
  </w:style>
  <w:style w:type="paragraph" w:customStyle="1" w:styleId="APVMASectionTitle">
    <w:name w:val="APVMA_Section_Title"/>
    <w:basedOn w:val="Normal"/>
    <w:uiPriority w:val="4"/>
    <w:rsid w:val="00274ADA"/>
    <w:pPr>
      <w:spacing w:before="840"/>
      <w:jc w:val="right"/>
    </w:pPr>
    <w:rPr>
      <w:rFonts w:ascii="Trebuchet MS" w:hAnsi="Trebuchet MS"/>
      <w:caps/>
      <w:color w:val="53284F"/>
      <w:sz w:val="48"/>
    </w:rPr>
  </w:style>
  <w:style w:type="paragraph" w:customStyle="1" w:styleId="APVMACoverDate">
    <w:name w:val="APVMA_Cover_Date"/>
    <w:basedOn w:val="Normal"/>
    <w:uiPriority w:val="4"/>
    <w:rsid w:val="007973CE"/>
    <w:rPr>
      <w:rFonts w:ascii="Orator Std" w:hAnsi="Orator Std"/>
      <w:caps/>
      <w:color w:val="F8F8F8"/>
    </w:rPr>
  </w:style>
  <w:style w:type="paragraph" w:styleId="BalloonText">
    <w:name w:val="Balloon Text"/>
    <w:basedOn w:val="Normal"/>
    <w:link w:val="BalloonTextChar"/>
    <w:uiPriority w:val="99"/>
    <w:semiHidden/>
    <w:unhideWhenUsed/>
    <w:rsid w:val="00274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DA"/>
    <w:rPr>
      <w:rFonts w:ascii="Segoe UI" w:hAnsi="Segoe UI" w:cs="Segoe UI"/>
      <w:color w:val="1A1B1A" w:themeColor="text1" w:themeShade="80"/>
      <w:sz w:val="18"/>
      <w:szCs w:val="18"/>
      <w:lang w:eastAsia="en-US"/>
    </w:rPr>
  </w:style>
  <w:style w:type="character" w:styleId="PlaceholderText">
    <w:name w:val="Placeholder Text"/>
    <w:basedOn w:val="DefaultParagraphFont"/>
    <w:uiPriority w:val="99"/>
    <w:semiHidden/>
    <w:rsid w:val="00274ADA"/>
    <w:rPr>
      <w:color w:val="808080"/>
    </w:rPr>
  </w:style>
  <w:style w:type="character" w:customStyle="1" w:styleId="Superscript">
    <w:name w:val="Superscript"/>
    <w:basedOn w:val="DefaultParagraphFont"/>
    <w:uiPriority w:val="1"/>
    <w:qFormat/>
    <w:rsid w:val="00274ADA"/>
    <w:rPr>
      <w:vertAlign w:val="superscript"/>
    </w:rPr>
  </w:style>
  <w:style w:type="character" w:customStyle="1" w:styleId="APVMASubscript">
    <w:name w:val="APVMA_Subscript"/>
    <w:basedOn w:val="DefaultParagraphFont"/>
    <w:uiPriority w:val="1"/>
    <w:rsid w:val="00274ADA"/>
    <w:rPr>
      <w:vertAlign w:val="subscript"/>
    </w:rPr>
  </w:style>
  <w:style w:type="character" w:customStyle="1" w:styleId="CommentTextChar">
    <w:name w:val="Comment Text Char"/>
    <w:basedOn w:val="DefaultParagraphFont"/>
    <w:link w:val="CommentText"/>
    <w:uiPriority w:val="4"/>
    <w:rsid w:val="00274ADA"/>
    <w:rPr>
      <w:rFonts w:ascii="Arial" w:hAnsi="Arial"/>
      <w:lang w:eastAsia="en-US"/>
    </w:rPr>
  </w:style>
  <w:style w:type="paragraph" w:customStyle="1" w:styleId="TOCH1">
    <w:name w:val="TOC H1"/>
    <w:basedOn w:val="TOAHeading"/>
    <w:uiPriority w:val="4"/>
    <w:rsid w:val="00274ADA"/>
    <w:pPr>
      <w:spacing w:after="240"/>
    </w:pPr>
  </w:style>
  <w:style w:type="paragraph" w:customStyle="1" w:styleId="Coverdate">
    <w:name w:val="Cover date"/>
    <w:basedOn w:val="CoverSubtitle"/>
    <w:uiPriority w:val="4"/>
    <w:rsid w:val="00274ADA"/>
    <w:pPr>
      <w:jc w:val="center"/>
    </w:pPr>
    <w:rPr>
      <w:sz w:val="28"/>
    </w:rPr>
  </w:style>
  <w:style w:type="paragraph" w:customStyle="1" w:styleId="Boxcaption">
    <w:name w:val="Box caption"/>
    <w:basedOn w:val="Caption"/>
    <w:uiPriority w:val="4"/>
    <w:rsid w:val="00274ADA"/>
  </w:style>
  <w:style w:type="paragraph" w:customStyle="1" w:styleId="Boxtext">
    <w:name w:val="Box text"/>
    <w:basedOn w:val="TableText"/>
    <w:uiPriority w:val="4"/>
    <w:rsid w:val="00274ADA"/>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274ADA"/>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274ADA"/>
    <w:rPr>
      <w:rFonts w:ascii="Arial" w:hAnsi="Arial"/>
      <w:b/>
      <w:bCs/>
      <w:color w:val="1A1B1A" w:themeColor="text1" w:themeShade="80"/>
      <w:lang w:eastAsia="en-US"/>
    </w:rPr>
  </w:style>
  <w:style w:type="paragraph" w:styleId="Revision">
    <w:name w:val="Revision"/>
    <w:hidden/>
    <w:uiPriority w:val="99"/>
    <w:semiHidden/>
    <w:rsid w:val="00274ADA"/>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274ADA"/>
    <w:pPr>
      <w:spacing w:before="1440"/>
      <w:jc w:val="center"/>
    </w:pPr>
    <w:rPr>
      <w:i/>
      <w:noProof/>
      <w:sz w:val="28"/>
      <w:szCs w:val="28"/>
    </w:rPr>
  </w:style>
  <w:style w:type="character" w:customStyle="1" w:styleId="NormalTextChar">
    <w:name w:val="Normal Text Char"/>
    <w:basedOn w:val="DefaultParagraphFont"/>
    <w:link w:val="NormalText"/>
    <w:rsid w:val="007C079E"/>
    <w:rPr>
      <w:rFonts w:ascii="Arial" w:eastAsiaTheme="minorHAnsi" w:hAnsi="Arial" w:cs="Arial"/>
      <w:kern w:val="20"/>
      <w:sz w:val="19"/>
      <w:szCs w:val="22"/>
      <w:u w:color="000000"/>
      <w:lang w:eastAsia="en-US"/>
      <w14:ligatures w14:val="standardContextual"/>
    </w:rPr>
  </w:style>
  <w:style w:type="character" w:customStyle="1" w:styleId="Bullet1Char">
    <w:name w:val="Bullet1 Char"/>
    <w:basedOn w:val="NormalTextChar"/>
    <w:link w:val="Bullet1"/>
    <w:uiPriority w:val="4"/>
    <w:rsid w:val="00274ADA"/>
    <w:rPr>
      <w:rFonts w:ascii="Arial" w:eastAsiaTheme="minorHAnsi" w:hAnsi="Arial" w:cs="Arial"/>
      <w:kern w:val="20"/>
      <w:sz w:val="19"/>
      <w:szCs w:val="24"/>
      <w:u w:color="000000"/>
      <w:lang w:eastAsia="en-US"/>
      <w14:ligatures w14:val="standardContextual"/>
    </w:rPr>
  </w:style>
  <w:style w:type="character" w:customStyle="1" w:styleId="Bullet2Char">
    <w:name w:val="Bullet2 Char"/>
    <w:basedOn w:val="Bullet1Char"/>
    <w:link w:val="Bullet2"/>
    <w:uiPriority w:val="4"/>
    <w:rsid w:val="00274ADA"/>
    <w:rPr>
      <w:rFonts w:ascii="Arial" w:eastAsiaTheme="minorHAnsi" w:hAnsi="Arial" w:cs="Arial"/>
      <w:kern w:val="20"/>
      <w:sz w:val="19"/>
      <w:szCs w:val="24"/>
      <w:u w:color="000000"/>
      <w:lang w:eastAsia="en-US"/>
      <w14:ligatures w14:val="standardContextual"/>
    </w:rPr>
  </w:style>
  <w:style w:type="character" w:customStyle="1" w:styleId="BulletendashChar">
    <w:name w:val="Bullet en dash Char"/>
    <w:basedOn w:val="Bullet2Char"/>
    <w:link w:val="Bulletendash"/>
    <w:uiPriority w:val="4"/>
    <w:rsid w:val="00274ADA"/>
    <w:rPr>
      <w:rFonts w:ascii="Arial" w:eastAsiaTheme="minorHAnsi" w:hAnsi="Arial" w:cs="Arial"/>
      <w:i/>
      <w:noProof/>
      <w:kern w:val="20"/>
      <w:sz w:val="28"/>
      <w:szCs w:val="28"/>
      <w:u w:color="000000"/>
      <w:lang w:eastAsia="en-US"/>
      <w14:ligatures w14:val="standardContextual"/>
    </w:rPr>
  </w:style>
  <w:style w:type="paragraph" w:customStyle="1" w:styleId="Figurecaption">
    <w:name w:val="Figure caption"/>
    <w:basedOn w:val="Caption"/>
    <w:link w:val="FigurecaptionChar"/>
    <w:uiPriority w:val="4"/>
    <w:qFormat/>
    <w:rsid w:val="00274ADA"/>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274ADA"/>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274ADA"/>
    <w:rPr>
      <w:rFonts w:ascii="Franklin Gothic Medium" w:hAnsi="Franklin Gothic Medium"/>
      <w:color w:val="5C2946"/>
      <w:szCs w:val="24"/>
      <w:lang w:eastAsia="en-US"/>
    </w:rPr>
  </w:style>
  <w:style w:type="character" w:customStyle="1" w:styleId="Heading2Char">
    <w:name w:val="Heading 2 Char"/>
    <w:aliases w:val="APVMA_H2 Char,H2 Char,bro Titre 2 Char,h2 Char,heading2 Char,Heading 2 (Abstract) Char,JMPR Überschrift 2 Char"/>
    <w:basedOn w:val="DefaultParagraphFont"/>
    <w:link w:val="Heading2"/>
    <w:rsid w:val="00DC0950"/>
    <w:rPr>
      <w:rFonts w:ascii="Franklin Gothic Medium" w:eastAsiaTheme="minorHAnsi" w:hAnsi="Franklin Gothic Medium" w:cs="Arial"/>
      <w:color w:val="53284F"/>
      <w:sz w:val="28"/>
      <w:szCs w:val="28"/>
      <w:u w:color="000000"/>
      <w:lang w:eastAsia="en-US"/>
      <w14:ligatures w14:val="standardContextual"/>
    </w:rPr>
  </w:style>
  <w:style w:type="paragraph" w:styleId="BodyText">
    <w:name w:val="Body Text"/>
    <w:aliases w:val="style5,bt"/>
    <w:basedOn w:val="Normal"/>
    <w:link w:val="BodyTextChar"/>
    <w:qFormat/>
    <w:rsid w:val="00A12A97"/>
    <w:pPr>
      <w:spacing w:after="120" w:line="240" w:lineRule="auto"/>
    </w:pPr>
    <w:rPr>
      <w:rFonts w:ascii="Times New Roman" w:hAnsi="Times New Roman"/>
    </w:rPr>
  </w:style>
  <w:style w:type="character" w:customStyle="1" w:styleId="BodyTextChar">
    <w:name w:val="Body Text Char"/>
    <w:aliases w:val="style5 Char,bt Char"/>
    <w:basedOn w:val="DefaultParagraphFont"/>
    <w:link w:val="BodyText"/>
    <w:rsid w:val="00A12A97"/>
    <w:rPr>
      <w:sz w:val="24"/>
      <w:szCs w:val="24"/>
      <w:lang w:eastAsia="en-US"/>
    </w:rPr>
  </w:style>
  <w:style w:type="paragraph" w:customStyle="1" w:styleId="APVMATableBullet">
    <w:name w:val="APVMA_TableBullet"/>
    <w:basedOn w:val="Normal"/>
    <w:uiPriority w:val="4"/>
    <w:rsid w:val="006123DB"/>
    <w:pPr>
      <w:suppressAutoHyphens/>
      <w:spacing w:before="120" w:after="60" w:line="210" w:lineRule="exact"/>
      <w:ind w:left="700" w:hanging="360"/>
    </w:pPr>
    <w:rPr>
      <w:rFonts w:cs="Arial"/>
      <w:spacing w:val="6"/>
      <w:kern w:val="20"/>
      <w:sz w:val="17"/>
      <w:u w:color="000000"/>
    </w:rPr>
  </w:style>
  <w:style w:type="paragraph" w:customStyle="1" w:styleId="APVMAListNumbered">
    <w:name w:val="APVMA_List_Numbered"/>
    <w:basedOn w:val="NormalText"/>
    <w:uiPriority w:val="4"/>
    <w:qFormat/>
    <w:rsid w:val="00A12A97"/>
    <w:pPr>
      <w:tabs>
        <w:tab w:val="num" w:pos="340"/>
      </w:tabs>
      <w:spacing w:before="120" w:after="120"/>
      <w:ind w:left="340" w:hanging="340"/>
    </w:pPr>
  </w:style>
  <w:style w:type="paragraph" w:customStyle="1" w:styleId="APVMASourceTableNote">
    <w:name w:val="APVMA_Source/TableNote"/>
    <w:basedOn w:val="NormalText"/>
    <w:uiPriority w:val="4"/>
    <w:rsid w:val="00A12A97"/>
    <w:pPr>
      <w:spacing w:before="0" w:after="0" w:line="280" w:lineRule="atLeast"/>
    </w:pPr>
    <w:rPr>
      <w:i/>
      <w:spacing w:val="6"/>
      <w:sz w:val="16"/>
    </w:rPr>
  </w:style>
  <w:style w:type="paragraph" w:customStyle="1" w:styleId="APVMAEvenHeader">
    <w:name w:val="APVMA_Even_Header"/>
    <w:basedOn w:val="APVMAOddHeader"/>
    <w:uiPriority w:val="4"/>
    <w:rsid w:val="00A12A97"/>
    <w:pPr>
      <w:tabs>
        <w:tab w:val="clear" w:pos="9072"/>
        <w:tab w:val="left" w:pos="567"/>
      </w:tabs>
      <w:ind w:left="567" w:hanging="567"/>
    </w:pPr>
  </w:style>
  <w:style w:type="paragraph" w:customStyle="1" w:styleId="APVMATableHeadRight">
    <w:name w:val="APVMA_TableHead_Right"/>
    <w:basedOn w:val="Normal"/>
    <w:uiPriority w:val="4"/>
    <w:rsid w:val="006123DB"/>
    <w:pPr>
      <w:keepNext/>
      <w:keepLines/>
      <w:suppressAutoHyphens/>
      <w:spacing w:before="60" w:after="60" w:line="240" w:lineRule="exact"/>
      <w:jc w:val="right"/>
    </w:pPr>
    <w:rPr>
      <w:rFonts w:ascii="Franklin Gothic Medium" w:hAnsi="Franklin Gothic Medium" w:cs="Arial"/>
      <w:bCs/>
      <w:color w:val="F8F8F8"/>
      <w:spacing w:val="6"/>
      <w:kern w:val="20"/>
      <w:sz w:val="18"/>
      <w:u w:color="000000"/>
    </w:rPr>
  </w:style>
  <w:style w:type="paragraph" w:customStyle="1" w:styleId="APVMAQuote">
    <w:name w:val="APVMA_Quote"/>
    <w:basedOn w:val="NormalText"/>
    <w:uiPriority w:val="4"/>
    <w:rsid w:val="00A12A97"/>
    <w:pPr>
      <w:ind w:left="567" w:right="567"/>
    </w:pPr>
  </w:style>
  <w:style w:type="paragraph" w:customStyle="1" w:styleId="APVMATableTextRight">
    <w:name w:val="APVMA_TableText_Right"/>
    <w:basedOn w:val="Normal"/>
    <w:uiPriority w:val="4"/>
    <w:rsid w:val="006123DB"/>
    <w:pPr>
      <w:suppressAutoHyphens/>
      <w:spacing w:before="120" w:after="120" w:line="210" w:lineRule="exact"/>
      <w:jc w:val="right"/>
    </w:pPr>
    <w:rPr>
      <w:rFonts w:cs="Arial"/>
      <w:spacing w:val="6"/>
      <w:kern w:val="20"/>
      <w:sz w:val="17"/>
      <w:u w:color="000000"/>
    </w:rPr>
  </w:style>
  <w:style w:type="paragraph" w:customStyle="1" w:styleId="APVMATableSubHead">
    <w:name w:val="APVMA_Table_SubHead"/>
    <w:basedOn w:val="Normal"/>
    <w:uiPriority w:val="4"/>
    <w:rsid w:val="006123DB"/>
    <w:pPr>
      <w:keepNext/>
      <w:keepLines/>
      <w:suppressAutoHyphens/>
      <w:spacing w:before="60" w:after="60" w:line="240" w:lineRule="exact"/>
    </w:pPr>
    <w:rPr>
      <w:rFonts w:ascii="Franklin Gothic Medium" w:hAnsi="Franklin Gothic Medium" w:cs="Arial"/>
      <w:bCs/>
      <w:color w:val="5C2946"/>
      <w:spacing w:val="6"/>
      <w:kern w:val="20"/>
      <w:sz w:val="18"/>
      <w:u w:color="000000"/>
    </w:rPr>
  </w:style>
  <w:style w:type="paragraph" w:customStyle="1" w:styleId="APVMAOddHeader">
    <w:name w:val="APVMA_Odd_Header"/>
    <w:basedOn w:val="NormalText"/>
    <w:uiPriority w:val="4"/>
    <w:rsid w:val="00A12A97"/>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A12A97"/>
    <w:pPr>
      <w:spacing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A12A97"/>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qFormat/>
    <w:rsid w:val="00DC0950"/>
    <w:pPr>
      <w:numPr>
        <w:numId w:val="0"/>
      </w:numPr>
      <w:tabs>
        <w:tab w:val="left" w:pos="2058"/>
      </w:tabs>
    </w:pPr>
  </w:style>
  <w:style w:type="paragraph" w:customStyle="1" w:styleId="APVMAPreliminariesH1">
    <w:name w:val="APVMA_Preliminaries_H1"/>
    <w:basedOn w:val="Heading1"/>
    <w:next w:val="NormalText"/>
    <w:uiPriority w:val="4"/>
    <w:rsid w:val="00A12A97"/>
    <w:rPr>
      <w:bCs/>
      <w:caps/>
      <w:szCs w:val="30"/>
    </w:rPr>
  </w:style>
  <w:style w:type="paragraph" w:customStyle="1" w:styleId="APVMAPreliminariesH2">
    <w:name w:val="APVMA_Preliminaries_H2"/>
    <w:basedOn w:val="Heading2"/>
    <w:next w:val="NormalText"/>
    <w:uiPriority w:val="4"/>
    <w:rsid w:val="00A12A97"/>
    <w:pPr>
      <w:numPr>
        <w:ilvl w:val="0"/>
      </w:numPr>
      <w:tabs>
        <w:tab w:val="num" w:pos="907"/>
      </w:tabs>
    </w:pPr>
  </w:style>
  <w:style w:type="paragraph" w:customStyle="1" w:styleId="APVMAPreliminariesH3">
    <w:name w:val="APVMA_Preliminaries_H3"/>
    <w:basedOn w:val="Heading3"/>
    <w:uiPriority w:val="4"/>
    <w:rsid w:val="00A12A97"/>
    <w:pPr>
      <w:numPr>
        <w:ilvl w:val="0"/>
      </w:numPr>
      <w:tabs>
        <w:tab w:val="num" w:pos="907"/>
      </w:tabs>
    </w:pPr>
  </w:style>
  <w:style w:type="paragraph" w:customStyle="1" w:styleId="APVMAGlossaryRefH1">
    <w:name w:val="APVMA_Glossary/Ref_H1"/>
    <w:basedOn w:val="APVMAPreliminariesH1"/>
    <w:uiPriority w:val="4"/>
    <w:rsid w:val="00A12A97"/>
  </w:style>
  <w:style w:type="paragraph" w:customStyle="1" w:styleId="APVMAListAlpha">
    <w:name w:val="APVMA_List_Alpha"/>
    <w:basedOn w:val="NormalText"/>
    <w:uiPriority w:val="4"/>
    <w:qFormat/>
    <w:rsid w:val="00A12A97"/>
    <w:pPr>
      <w:tabs>
        <w:tab w:val="num" w:pos="340"/>
      </w:tabs>
      <w:spacing w:before="120" w:after="120"/>
      <w:ind w:left="340" w:hanging="340"/>
    </w:pPr>
  </w:style>
  <w:style w:type="paragraph" w:customStyle="1" w:styleId="APVMAAppendixH2">
    <w:name w:val="APVMA_Appendix_H2"/>
    <w:basedOn w:val="APVMAPreliminariesH2"/>
    <w:next w:val="NormalText"/>
    <w:uiPriority w:val="4"/>
    <w:qFormat/>
    <w:rsid w:val="00DC0950"/>
    <w:pPr>
      <w:numPr>
        <w:numId w:val="0"/>
      </w:numPr>
    </w:pPr>
    <w:rPr>
      <w:bCs/>
    </w:rPr>
  </w:style>
  <w:style w:type="paragraph" w:customStyle="1" w:styleId="APVMAAppendixH3">
    <w:name w:val="APVMA_Appendix_H3"/>
    <w:basedOn w:val="APVMAPreliminariesH3"/>
    <w:next w:val="NormalText"/>
    <w:uiPriority w:val="4"/>
    <w:qFormat/>
    <w:rsid w:val="00DC0950"/>
    <w:pPr>
      <w:numPr>
        <w:numId w:val="0"/>
      </w:numPr>
    </w:pPr>
  </w:style>
  <w:style w:type="character" w:customStyle="1" w:styleId="APVMASuperscript">
    <w:name w:val="APVMA_Superscript"/>
    <w:basedOn w:val="DefaultParagraphFont"/>
    <w:uiPriority w:val="1"/>
    <w:qFormat/>
    <w:rsid w:val="00A12A97"/>
    <w:rPr>
      <w:vertAlign w:val="superscript"/>
    </w:rPr>
  </w:style>
  <w:style w:type="character" w:customStyle="1" w:styleId="FootnoteTextChar">
    <w:name w:val="Footnote Text Char"/>
    <w:aliases w:val="APVMA_Footnote Char,DAR001 Char,Tabellenanmerkung Char"/>
    <w:basedOn w:val="DefaultParagraphFont"/>
    <w:link w:val="FootnoteText"/>
    <w:uiPriority w:val="4"/>
    <w:rsid w:val="00A12A97"/>
    <w:rPr>
      <w:rFonts w:ascii="Arial" w:hAnsi="Arial" w:cs="Arial"/>
      <w:color w:val="1A1B1A" w:themeColor="text1" w:themeShade="80"/>
      <w:spacing w:val="6"/>
      <w:kern w:val="20"/>
      <w:sz w:val="16"/>
      <w:u w:color="000000"/>
      <w:lang w:eastAsia="en-US"/>
    </w:rPr>
  </w:style>
  <w:style w:type="table" w:styleId="TableGrid">
    <w:name w:val="Table Grid"/>
    <w:basedOn w:val="TableNormal"/>
    <w:uiPriority w:val="59"/>
    <w:rsid w:val="00A1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4"/>
    <w:rsid w:val="00A12A97"/>
    <w:rPr>
      <w:rFonts w:ascii="Arial" w:hAnsi="Arial"/>
      <w:color w:val="1A1B1A" w:themeColor="text1" w:themeShade="80"/>
      <w:sz w:val="16"/>
      <w:szCs w:val="24"/>
      <w:lang w:eastAsia="en-US"/>
    </w:rPr>
  </w:style>
  <w:style w:type="character" w:customStyle="1" w:styleId="Heading3Char">
    <w:name w:val="Heading 3 Char"/>
    <w:aliases w:val="APVMA_H3 Char,H3 Char,bro Titre 3 Char,h3 Char,JMPR Überschrift 3 Char"/>
    <w:basedOn w:val="DefaultParagraphFont"/>
    <w:link w:val="Heading3"/>
    <w:uiPriority w:val="3"/>
    <w:rsid w:val="00DC0950"/>
    <w:rPr>
      <w:rFonts w:ascii="Franklin Gothic Medium" w:eastAsiaTheme="minorHAnsi" w:hAnsi="Franklin Gothic Medium" w:cs="Arial"/>
      <w:color w:val="53284F"/>
      <w:sz w:val="24"/>
      <w:szCs w:val="26"/>
      <w:u w:color="000000"/>
      <w:lang w:eastAsia="en-US"/>
      <w14:ligatures w14:val="standardContextual"/>
    </w:rPr>
  </w:style>
  <w:style w:type="paragraph" w:styleId="ListParagraph">
    <w:name w:val="List Paragraph"/>
    <w:basedOn w:val="Normal"/>
    <w:uiPriority w:val="34"/>
    <w:qFormat/>
    <w:rsid w:val="00A12A97"/>
    <w:pPr>
      <w:spacing w:after="0"/>
      <w:ind w:left="720"/>
      <w:contextualSpacing/>
    </w:pPr>
    <w:rPr>
      <w:sz w:val="20"/>
    </w:rPr>
  </w:style>
  <w:style w:type="paragraph" w:styleId="ListBullet2">
    <w:name w:val="List Bullet 2"/>
    <w:basedOn w:val="Normal"/>
    <w:uiPriority w:val="8"/>
    <w:unhideWhenUsed/>
    <w:qFormat/>
    <w:rsid w:val="00A12A97"/>
    <w:pPr>
      <w:tabs>
        <w:tab w:val="num" w:pos="643"/>
      </w:tabs>
      <w:spacing w:after="0" w:line="240" w:lineRule="auto"/>
      <w:ind w:left="643" w:hanging="360"/>
      <w:contextualSpacing/>
    </w:pPr>
    <w:rPr>
      <w:rFonts w:cs="Arial"/>
      <w:lang w:eastAsia="en-AU"/>
    </w:rPr>
  </w:style>
  <w:style w:type="paragraph" w:customStyle="1" w:styleId="TableNumberLevel1">
    <w:name w:val="Table: Number Level 1"/>
    <w:aliases w:val="Table N1"/>
    <w:basedOn w:val="Normal"/>
    <w:uiPriority w:val="12"/>
    <w:qFormat/>
    <w:rsid w:val="00A12A97"/>
    <w:pPr>
      <w:numPr>
        <w:numId w:val="7"/>
      </w:numPr>
      <w:spacing w:before="60" w:after="60"/>
    </w:pPr>
    <w:rPr>
      <w:rFonts w:cs="Arial"/>
      <w:sz w:val="20"/>
      <w:lang w:eastAsia="en-AU"/>
    </w:rPr>
  </w:style>
  <w:style w:type="paragraph" w:customStyle="1" w:styleId="TableNumberLevel2">
    <w:name w:val="Table: Number Level 2"/>
    <w:basedOn w:val="Normal"/>
    <w:uiPriority w:val="12"/>
    <w:rsid w:val="00A12A97"/>
    <w:pPr>
      <w:numPr>
        <w:ilvl w:val="1"/>
        <w:numId w:val="7"/>
      </w:numPr>
      <w:tabs>
        <w:tab w:val="clear" w:pos="567"/>
        <w:tab w:val="num" w:pos="1440"/>
      </w:tabs>
      <w:spacing w:before="60" w:after="60"/>
      <w:ind w:left="1440" w:hanging="360"/>
    </w:pPr>
    <w:rPr>
      <w:rFonts w:cs="Arial"/>
      <w:sz w:val="20"/>
      <w:lang w:eastAsia="en-AU"/>
    </w:rPr>
  </w:style>
  <w:style w:type="paragraph" w:customStyle="1" w:styleId="TableNumberLevel3">
    <w:name w:val="Table: Number Level 3"/>
    <w:basedOn w:val="Normal"/>
    <w:uiPriority w:val="12"/>
    <w:rsid w:val="00A12A97"/>
    <w:pPr>
      <w:numPr>
        <w:ilvl w:val="2"/>
        <w:numId w:val="7"/>
      </w:numPr>
      <w:tabs>
        <w:tab w:val="clear" w:pos="567"/>
        <w:tab w:val="num" w:pos="2160"/>
      </w:tabs>
      <w:spacing w:before="60" w:after="60"/>
      <w:ind w:left="2160" w:hanging="180"/>
    </w:pPr>
    <w:rPr>
      <w:rFonts w:cs="Arial"/>
      <w:sz w:val="20"/>
      <w:lang w:eastAsia="en-AU"/>
    </w:rPr>
  </w:style>
  <w:style w:type="paragraph" w:customStyle="1" w:styleId="TableNumberLevel4">
    <w:name w:val="Table: Number Level 4"/>
    <w:basedOn w:val="Normal"/>
    <w:uiPriority w:val="12"/>
    <w:rsid w:val="00A12A97"/>
    <w:pPr>
      <w:numPr>
        <w:ilvl w:val="3"/>
        <w:numId w:val="7"/>
      </w:numPr>
      <w:tabs>
        <w:tab w:val="clear" w:pos="850"/>
        <w:tab w:val="num" w:pos="2880"/>
      </w:tabs>
      <w:spacing w:after="60"/>
      <w:ind w:left="2880" w:hanging="360"/>
    </w:pPr>
    <w:rPr>
      <w:rFonts w:cs="Arial"/>
      <w:sz w:val="20"/>
      <w:lang w:eastAsia="en-AU"/>
    </w:rPr>
  </w:style>
  <w:style w:type="paragraph" w:customStyle="1" w:styleId="TableNumberLevel5">
    <w:name w:val="Table: Number Level 5"/>
    <w:basedOn w:val="Normal"/>
    <w:uiPriority w:val="12"/>
    <w:semiHidden/>
    <w:rsid w:val="00A12A97"/>
    <w:pPr>
      <w:numPr>
        <w:ilvl w:val="4"/>
        <w:numId w:val="7"/>
      </w:numPr>
      <w:tabs>
        <w:tab w:val="clear" w:pos="1134"/>
        <w:tab w:val="num" w:pos="360"/>
        <w:tab w:val="num" w:pos="3600"/>
      </w:tabs>
      <w:spacing w:after="60"/>
      <w:ind w:left="3600" w:hanging="360"/>
    </w:pPr>
    <w:rPr>
      <w:rFonts w:cs="Arial"/>
      <w:sz w:val="20"/>
      <w:lang w:eastAsia="en-AU"/>
    </w:rPr>
  </w:style>
  <w:style w:type="paragraph" w:customStyle="1" w:styleId="TableNumberLevel6">
    <w:name w:val="Table: Number Level 6"/>
    <w:basedOn w:val="Normal"/>
    <w:uiPriority w:val="12"/>
    <w:semiHidden/>
    <w:rsid w:val="00A12A97"/>
    <w:pPr>
      <w:numPr>
        <w:ilvl w:val="5"/>
        <w:numId w:val="7"/>
      </w:numPr>
      <w:tabs>
        <w:tab w:val="clear" w:pos="1417"/>
        <w:tab w:val="num" w:pos="360"/>
        <w:tab w:val="num" w:pos="4320"/>
      </w:tabs>
      <w:spacing w:after="60"/>
      <w:ind w:left="4320" w:hanging="180"/>
    </w:pPr>
    <w:rPr>
      <w:rFonts w:cs="Arial"/>
      <w:sz w:val="20"/>
      <w:lang w:eastAsia="en-AU"/>
    </w:rPr>
  </w:style>
  <w:style w:type="paragraph" w:customStyle="1" w:styleId="TableNumberLevel7">
    <w:name w:val="Table: Number Level 7"/>
    <w:basedOn w:val="Normal"/>
    <w:uiPriority w:val="12"/>
    <w:semiHidden/>
    <w:rsid w:val="00A12A97"/>
    <w:pPr>
      <w:numPr>
        <w:ilvl w:val="6"/>
        <w:numId w:val="7"/>
      </w:numPr>
      <w:tabs>
        <w:tab w:val="clear" w:pos="1701"/>
        <w:tab w:val="num" w:pos="360"/>
        <w:tab w:val="num" w:pos="5040"/>
      </w:tabs>
      <w:spacing w:after="60"/>
      <w:ind w:left="5040" w:hanging="360"/>
    </w:pPr>
    <w:rPr>
      <w:rFonts w:cs="Arial"/>
      <w:sz w:val="20"/>
      <w:lang w:eastAsia="en-AU"/>
    </w:rPr>
  </w:style>
  <w:style w:type="paragraph" w:customStyle="1" w:styleId="TableNumberLevel8">
    <w:name w:val="Table: Number Level 8"/>
    <w:basedOn w:val="Normal"/>
    <w:uiPriority w:val="12"/>
    <w:semiHidden/>
    <w:rsid w:val="00A12A97"/>
    <w:pPr>
      <w:numPr>
        <w:ilvl w:val="7"/>
        <w:numId w:val="7"/>
      </w:numPr>
      <w:tabs>
        <w:tab w:val="clear" w:pos="1984"/>
        <w:tab w:val="num" w:pos="360"/>
        <w:tab w:val="num" w:pos="5760"/>
      </w:tabs>
      <w:spacing w:after="60"/>
      <w:ind w:left="5760" w:hanging="360"/>
    </w:pPr>
    <w:rPr>
      <w:rFonts w:cs="Arial"/>
      <w:sz w:val="20"/>
      <w:lang w:eastAsia="en-AU"/>
    </w:rPr>
  </w:style>
  <w:style w:type="paragraph" w:customStyle="1" w:styleId="TableNumberLevel9">
    <w:name w:val="Table: Number Level 9"/>
    <w:basedOn w:val="Normal"/>
    <w:uiPriority w:val="12"/>
    <w:semiHidden/>
    <w:rsid w:val="00A12A97"/>
    <w:pPr>
      <w:numPr>
        <w:ilvl w:val="8"/>
        <w:numId w:val="7"/>
      </w:numPr>
      <w:tabs>
        <w:tab w:val="clear" w:pos="2268"/>
        <w:tab w:val="num" w:pos="360"/>
        <w:tab w:val="num" w:pos="6480"/>
      </w:tabs>
      <w:spacing w:after="60"/>
      <w:ind w:left="6480" w:hanging="180"/>
    </w:pPr>
    <w:rPr>
      <w:rFonts w:cs="Arial"/>
      <w:sz w:val="20"/>
      <w:lang w:eastAsia="en-AU"/>
    </w:rPr>
  </w:style>
  <w:style w:type="paragraph" w:customStyle="1" w:styleId="MRLTableText">
    <w:name w:val="MRL Table Text"/>
    <w:basedOn w:val="Normal"/>
    <w:rsid w:val="00A12A97"/>
    <w:pPr>
      <w:spacing w:before="60" w:after="60" w:line="280" w:lineRule="exact"/>
    </w:pPr>
    <w:rPr>
      <w:rFonts w:ascii="Times New Roman" w:hAnsi="Times New Roman"/>
    </w:rPr>
  </w:style>
  <w:style w:type="paragraph" w:customStyle="1" w:styleId="MRLActiveName">
    <w:name w:val="MRL Active Name"/>
    <w:basedOn w:val="Normal"/>
    <w:rsid w:val="00A12A97"/>
    <w:pPr>
      <w:spacing w:before="120" w:after="120" w:line="240" w:lineRule="auto"/>
    </w:pPr>
    <w:rPr>
      <w:rFonts w:ascii="Times New Roman" w:hAnsi="Times New Roman"/>
      <w:b/>
      <w:bCs/>
    </w:rPr>
  </w:style>
  <w:style w:type="paragraph" w:customStyle="1" w:styleId="MRLTableCaption">
    <w:name w:val="MRL Table Caption"/>
    <w:basedOn w:val="Normal"/>
    <w:next w:val="BodyText"/>
    <w:rsid w:val="00A12A97"/>
    <w:pPr>
      <w:keepNext/>
      <w:spacing w:before="120" w:after="120" w:line="280" w:lineRule="atLeast"/>
      <w:ind w:left="1134" w:hanging="1134"/>
    </w:pPr>
    <w:rPr>
      <w:rFonts w:ascii="Times New Roman" w:hAnsi="Times New Roman"/>
      <w:b/>
      <w:spacing w:val="6"/>
    </w:rPr>
  </w:style>
  <w:style w:type="paragraph" w:customStyle="1" w:styleId="MRLTableHeading">
    <w:name w:val="MRL Table Heading"/>
    <w:basedOn w:val="Normal"/>
    <w:rsid w:val="00A12A97"/>
    <w:pPr>
      <w:spacing w:before="60" w:after="60" w:line="240" w:lineRule="auto"/>
    </w:pPr>
    <w:rPr>
      <w:rFonts w:ascii="Times New Roman" w:hAnsi="Times New Roman"/>
      <w:b/>
    </w:rPr>
  </w:style>
  <w:style w:type="paragraph" w:customStyle="1" w:styleId="MRLValue">
    <w:name w:val="MRL Value"/>
    <w:basedOn w:val="MRLTableText"/>
    <w:rsid w:val="00A12A97"/>
    <w:pPr>
      <w:tabs>
        <w:tab w:val="decimal" w:pos="792"/>
      </w:tabs>
      <w:jc w:val="both"/>
    </w:pPr>
  </w:style>
  <w:style w:type="paragraph" w:customStyle="1" w:styleId="MRLTableBullet">
    <w:name w:val="MRL Table Bullet"/>
    <w:basedOn w:val="MRLTableText"/>
    <w:rsid w:val="00A12A97"/>
    <w:pPr>
      <w:numPr>
        <w:numId w:val="8"/>
      </w:numPr>
    </w:pPr>
    <w:rPr>
      <w:noProof/>
      <w:lang w:val="en-US"/>
    </w:rPr>
  </w:style>
  <w:style w:type="paragraph" w:customStyle="1" w:styleId="paragraph">
    <w:name w:val="paragraph"/>
    <w:aliases w:val="a"/>
    <w:basedOn w:val="Normal"/>
    <w:link w:val="paragraphChar"/>
    <w:rsid w:val="00A12A97"/>
    <w:pPr>
      <w:tabs>
        <w:tab w:val="right" w:pos="1531"/>
      </w:tabs>
      <w:spacing w:before="40" w:after="0" w:line="240" w:lineRule="auto"/>
      <w:ind w:left="1644" w:hanging="1644"/>
    </w:pPr>
    <w:rPr>
      <w:rFonts w:ascii="Times New Roman" w:hAnsi="Times New Roman"/>
      <w:szCs w:val="20"/>
      <w:lang w:eastAsia="en-AU"/>
    </w:rPr>
  </w:style>
  <w:style w:type="character" w:customStyle="1" w:styleId="paragraphChar">
    <w:name w:val="paragraph Char"/>
    <w:aliases w:val="a Char"/>
    <w:basedOn w:val="DefaultParagraphFont"/>
    <w:link w:val="paragraph"/>
    <w:rsid w:val="00A12A97"/>
    <w:rPr>
      <w:sz w:val="22"/>
    </w:rPr>
  </w:style>
  <w:style w:type="character" w:customStyle="1" w:styleId="Heading1Char">
    <w:name w:val="Heading 1 Char"/>
    <w:aliases w:val="APVMA_H1 Char,H1 Char,Titre 1 bka Char,MINUTE Char"/>
    <w:basedOn w:val="DefaultParagraphFont"/>
    <w:link w:val="Heading1"/>
    <w:rsid w:val="00DC0950"/>
    <w:rPr>
      <w:rFonts w:ascii="Franklin Gothic Medium" w:eastAsiaTheme="minorHAnsi" w:hAnsi="Franklin Gothic Medium" w:cs="Arial"/>
      <w:color w:val="53284F"/>
      <w:kern w:val="20"/>
      <w:sz w:val="32"/>
      <w:szCs w:val="32"/>
      <w:u w:color="000000"/>
      <w:lang w:eastAsia="en-US"/>
      <w14:ligatures w14:val="standardContextual"/>
    </w:rPr>
  </w:style>
  <w:style w:type="paragraph" w:customStyle="1" w:styleId="InstructionalText">
    <w:name w:val="Instructional Text"/>
    <w:basedOn w:val="Normal"/>
    <w:rsid w:val="00A12A97"/>
    <w:pPr>
      <w:spacing w:before="240" w:after="240" w:line="280" w:lineRule="exact"/>
    </w:pPr>
    <w:rPr>
      <w:color w:val="3366FF"/>
      <w:sz w:val="18"/>
    </w:rPr>
  </w:style>
  <w:style w:type="character" w:styleId="UnresolvedMention">
    <w:name w:val="Unresolved Mention"/>
    <w:basedOn w:val="DefaultParagraphFont"/>
    <w:uiPriority w:val="99"/>
    <w:semiHidden/>
    <w:unhideWhenUsed/>
    <w:rsid w:val="00A12A97"/>
    <w:rPr>
      <w:color w:val="605E5C"/>
      <w:shd w:val="clear" w:color="auto" w:fill="E1DFDD"/>
    </w:rPr>
  </w:style>
  <w:style w:type="character" w:styleId="SubtleEmphasis">
    <w:name w:val="Subtle Emphasis"/>
    <w:basedOn w:val="DefaultParagraphFont"/>
    <w:uiPriority w:val="19"/>
    <w:qFormat/>
    <w:rsid w:val="00A12A97"/>
    <w:rPr>
      <w:i/>
      <w:iCs/>
      <w:color w:val="666A66" w:themeColor="text1" w:themeTint="BF"/>
    </w:rPr>
  </w:style>
  <w:style w:type="character" w:customStyle="1" w:styleId="cf01">
    <w:name w:val="cf01"/>
    <w:basedOn w:val="DefaultParagraphFont"/>
    <w:rsid w:val="00261086"/>
    <w:rPr>
      <w:rFonts w:ascii="Segoe UI" w:hAnsi="Segoe UI" w:cs="Segoe UI" w:hint="default"/>
      <w:sz w:val="18"/>
      <w:szCs w:val="18"/>
    </w:rPr>
  </w:style>
  <w:style w:type="character" w:customStyle="1" w:styleId="Heading4Char">
    <w:name w:val="Heading 4 Char"/>
    <w:aliases w:val="APVMA_H4 Char,H4 Char,bro Titre 4 Char,h4 Char,JMPR Überschrift 4 Char"/>
    <w:basedOn w:val="DefaultParagraphFont"/>
    <w:link w:val="Heading4"/>
    <w:uiPriority w:val="4"/>
    <w:rsid w:val="00796CC4"/>
    <w:rPr>
      <w:rFonts w:ascii="Franklin Gothic Medium" w:hAnsi="Franklin Gothic Medium" w:cs="Arial"/>
      <w:color w:val="5C2946"/>
      <w:sz w:val="22"/>
      <w:szCs w:val="28"/>
      <w:u w:color="000000"/>
      <w:lang w:eastAsia="en-US"/>
    </w:rPr>
  </w:style>
  <w:style w:type="paragraph" w:customStyle="1" w:styleId="MRLCompound">
    <w:name w:val="MRL Compound"/>
    <w:basedOn w:val="MRLTableText"/>
    <w:rsid w:val="00CF7D3A"/>
    <w:pPr>
      <w:tabs>
        <w:tab w:val="left" w:pos="972"/>
      </w:tabs>
      <w:ind w:left="432"/>
    </w:pPr>
  </w:style>
  <w:style w:type="character" w:customStyle="1" w:styleId="Heading5Char">
    <w:name w:val="Heading 5 Char"/>
    <w:aliases w:val="APVMA_H5 Char,H5 Char,bro Titre 5 Char"/>
    <w:basedOn w:val="DefaultParagraphFont"/>
    <w:link w:val="Heading5"/>
    <w:uiPriority w:val="4"/>
    <w:rsid w:val="00CF7D3A"/>
    <w:rPr>
      <w:rFonts w:ascii="Franklin Gothic Medium" w:hAnsi="Franklin Gothic Medium" w:cs="Arial"/>
      <w:color w:val="5C2946"/>
      <w:sz w:val="21"/>
      <w:szCs w:val="26"/>
      <w:u w:color="000000"/>
      <w:lang w:eastAsia="en-US"/>
    </w:rPr>
  </w:style>
  <w:style w:type="character" w:customStyle="1" w:styleId="Heading6Char">
    <w:name w:val="Heading 6 Char"/>
    <w:basedOn w:val="DefaultParagraphFont"/>
    <w:link w:val="Heading6"/>
    <w:uiPriority w:val="4"/>
    <w:rsid w:val="00CF7D3A"/>
    <w:rPr>
      <w:rFonts w:eastAsiaTheme="minorHAnsi" w:cstheme="minorBidi"/>
      <w:b/>
      <w:bCs/>
      <w:kern w:val="2"/>
      <w:sz w:val="24"/>
      <w:szCs w:val="24"/>
      <w:lang w:eastAsia="en-US"/>
      <w14:ligatures w14:val="standardContextual"/>
    </w:rPr>
  </w:style>
  <w:style w:type="character" w:customStyle="1" w:styleId="Heading7Char">
    <w:name w:val="Heading 7 Char"/>
    <w:aliases w:val="Heading 7 centered Char,q1 Char"/>
    <w:basedOn w:val="DefaultParagraphFont"/>
    <w:link w:val="Heading7"/>
    <w:uiPriority w:val="4"/>
    <w:rsid w:val="00CF7D3A"/>
    <w:rPr>
      <w:rFonts w:eastAsiaTheme="minorHAnsi" w:cstheme="minorBidi"/>
      <w:kern w:val="2"/>
      <w:sz w:val="24"/>
      <w:szCs w:val="24"/>
      <w:lang w:eastAsia="en-US"/>
      <w14:ligatures w14:val="standardContextual"/>
    </w:rPr>
  </w:style>
  <w:style w:type="character" w:customStyle="1" w:styleId="Heading8Char">
    <w:name w:val="Heading 8 Char"/>
    <w:basedOn w:val="DefaultParagraphFont"/>
    <w:link w:val="Heading8"/>
    <w:uiPriority w:val="4"/>
    <w:rsid w:val="00CF7D3A"/>
    <w:rPr>
      <w:rFonts w:eastAsiaTheme="minorHAnsi" w:cstheme="minorBidi"/>
      <w:i/>
      <w:iCs/>
      <w:kern w:val="2"/>
      <w:sz w:val="24"/>
      <w:szCs w:val="24"/>
      <w:lang w:eastAsia="en-US"/>
      <w14:ligatures w14:val="standardContextual"/>
    </w:rPr>
  </w:style>
  <w:style w:type="character" w:customStyle="1" w:styleId="Heading9Char">
    <w:name w:val="Heading 9 Char"/>
    <w:aliases w:val="Heading 9 Figure Char,Heading 9 Table Char,Tables and Figures Char"/>
    <w:basedOn w:val="DefaultParagraphFont"/>
    <w:link w:val="Heading9"/>
    <w:uiPriority w:val="4"/>
    <w:rsid w:val="00CF7D3A"/>
    <w:rPr>
      <w:rFonts w:asciiTheme="minorHAnsi" w:eastAsiaTheme="minorHAnsi" w:hAnsiTheme="minorHAnsi" w:cs="Arial"/>
      <w:kern w:val="2"/>
      <w:sz w:val="24"/>
      <w:szCs w:val="24"/>
      <w:lang w:eastAsia="en-US"/>
      <w14:ligatures w14:val="standardContextual"/>
    </w:rPr>
  </w:style>
  <w:style w:type="character" w:customStyle="1" w:styleId="HeaderChar">
    <w:name w:val="Header Char"/>
    <w:basedOn w:val="DefaultParagraphFont"/>
    <w:link w:val="Header"/>
    <w:uiPriority w:val="4"/>
    <w:rsid w:val="00CF7D3A"/>
    <w:rPr>
      <w:rFonts w:ascii="Arial" w:hAnsi="Arial"/>
      <w:color w:val="1A1B1A" w:themeColor="text1" w:themeShade="80"/>
      <w:sz w:val="16"/>
      <w:szCs w:val="24"/>
      <w:lang w:eastAsia="en-US"/>
    </w:rPr>
  </w:style>
  <w:style w:type="paragraph" w:customStyle="1" w:styleId="commentsorinstructions">
    <w:name w:val="comments or instructions"/>
    <w:basedOn w:val="Normal"/>
    <w:link w:val="commentsorinstructionsChar"/>
    <w:qFormat/>
    <w:rsid w:val="00CF7D3A"/>
    <w:pPr>
      <w:spacing w:after="120" w:line="240" w:lineRule="auto"/>
      <w:ind w:left="567" w:right="567"/>
    </w:pPr>
    <w:rPr>
      <w:rFonts w:ascii="Bradley Hand ITC" w:hAnsi="Bradley Hand ITC"/>
      <w:color w:val="53682B" w:themeColor="accent2"/>
    </w:rPr>
  </w:style>
  <w:style w:type="character" w:customStyle="1" w:styleId="commentsorinstructionsChar">
    <w:name w:val="comments or instructions Char"/>
    <w:basedOn w:val="DefaultParagraphFont"/>
    <w:link w:val="commentsorinstructions"/>
    <w:rsid w:val="00CF7D3A"/>
    <w:rPr>
      <w:rFonts w:ascii="Bradley Hand ITC" w:hAnsi="Bradley Hand ITC"/>
      <w:color w:val="53682B" w:themeColor="accent2"/>
      <w:sz w:val="24"/>
      <w:szCs w:val="24"/>
      <w:lang w:eastAsia="en-US"/>
    </w:rPr>
  </w:style>
  <w:style w:type="paragraph" w:customStyle="1" w:styleId="APVMATableTextSpecial">
    <w:name w:val="APVMA_TableTextSpecial"/>
    <w:basedOn w:val="Normal"/>
    <w:rsid w:val="00C02D3C"/>
    <w:pPr>
      <w:suppressAutoHyphens/>
      <w:spacing w:before="120" w:after="0" w:line="210" w:lineRule="exact"/>
    </w:pPr>
    <w:rPr>
      <w:rFonts w:cs="Arial"/>
      <w:spacing w:val="6"/>
      <w:sz w:val="17"/>
      <w:u w:color="000000"/>
    </w:rPr>
  </w:style>
  <w:style w:type="paragraph" w:styleId="NormalWeb">
    <w:name w:val="Normal (Web)"/>
    <w:basedOn w:val="Normal"/>
    <w:uiPriority w:val="99"/>
    <w:semiHidden/>
    <w:unhideWhenUsed/>
    <w:rsid w:val="00CF7D3A"/>
    <w:pPr>
      <w:spacing w:beforeAutospacing="1" w:afterAutospacing="1" w:line="240" w:lineRule="auto"/>
    </w:pPr>
    <w:rPr>
      <w:rFonts w:ascii="Times New Roman" w:eastAsiaTheme="minorEastAsia" w:hAnsi="Times New Roman"/>
      <w:lang w:eastAsia="en-AU"/>
    </w:rPr>
  </w:style>
  <w:style w:type="paragraph" w:styleId="TOCHeading">
    <w:name w:val="TOC Heading"/>
    <w:basedOn w:val="Heading1"/>
    <w:next w:val="Normal"/>
    <w:uiPriority w:val="39"/>
    <w:unhideWhenUsed/>
    <w:qFormat/>
    <w:rsid w:val="00CF7D3A"/>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instruction">
    <w:name w:val="instruction"/>
    <w:basedOn w:val="Normal"/>
    <w:next w:val="Normal"/>
    <w:qFormat/>
    <w:rsid w:val="00CF7D3A"/>
    <w:pPr>
      <w:spacing w:after="120" w:line="240" w:lineRule="auto"/>
    </w:pPr>
    <w:rPr>
      <w:rFonts w:ascii="Cambria" w:eastAsiaTheme="minorEastAsia" w:hAnsi="Cambria"/>
      <w:i/>
      <w:color w:val="53682B" w:themeColor="accent2"/>
      <w:sz w:val="20"/>
      <w:szCs w:val="20"/>
    </w:rPr>
  </w:style>
  <w:style w:type="paragraph" w:styleId="NoSpacing">
    <w:name w:val="No Spacing"/>
    <w:uiPriority w:val="1"/>
    <w:qFormat/>
    <w:rsid w:val="00CF7D3A"/>
    <w:rPr>
      <w:sz w:val="24"/>
      <w:szCs w:val="24"/>
      <w:lang w:eastAsia="en-US"/>
    </w:rPr>
  </w:style>
  <w:style w:type="paragraph" w:styleId="Title">
    <w:name w:val="Title"/>
    <w:basedOn w:val="Normal"/>
    <w:next w:val="Normal"/>
    <w:link w:val="TitleChar"/>
    <w:uiPriority w:val="10"/>
    <w:qFormat/>
    <w:rsid w:val="00607CB8"/>
    <w:pPr>
      <w:spacing w:before="120" w:after="80" w:line="240" w:lineRule="auto"/>
      <w:ind w:left="568" w:hanging="284"/>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CB8"/>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607CB8"/>
    <w:pPr>
      <w:numPr>
        <w:ilvl w:val="1"/>
      </w:numPr>
      <w:spacing w:before="120" w:after="120" w:line="240" w:lineRule="auto"/>
      <w:ind w:left="568" w:hanging="284"/>
      <w:jc w:val="both"/>
    </w:pPr>
    <w:rPr>
      <w:rFonts w:ascii="Times New Roman" w:eastAsiaTheme="majorEastAsia" w:hAnsi="Times New Roman" w:cstheme="majorBidi"/>
      <w:color w:val="797E79" w:themeColor="text1" w:themeTint="A6"/>
      <w:spacing w:val="15"/>
      <w:sz w:val="28"/>
      <w:szCs w:val="28"/>
    </w:rPr>
  </w:style>
  <w:style w:type="character" w:customStyle="1" w:styleId="SubtitleChar">
    <w:name w:val="Subtitle Char"/>
    <w:basedOn w:val="DefaultParagraphFont"/>
    <w:link w:val="Subtitle"/>
    <w:uiPriority w:val="11"/>
    <w:rsid w:val="00607CB8"/>
    <w:rPr>
      <w:rFonts w:eastAsiaTheme="majorEastAsia" w:cstheme="majorBidi"/>
      <w:color w:val="797E7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607CB8"/>
    <w:pPr>
      <w:spacing w:before="160" w:after="120" w:line="240" w:lineRule="auto"/>
      <w:ind w:left="568" w:hanging="284"/>
      <w:jc w:val="center"/>
    </w:pPr>
    <w:rPr>
      <w:rFonts w:ascii="Times New Roman" w:hAnsi="Times New Roman"/>
      <w:i/>
      <w:iCs/>
      <w:color w:val="666A66" w:themeColor="text1" w:themeTint="BF"/>
    </w:rPr>
  </w:style>
  <w:style w:type="character" w:customStyle="1" w:styleId="QuoteChar">
    <w:name w:val="Quote Char"/>
    <w:basedOn w:val="DefaultParagraphFont"/>
    <w:link w:val="Quote"/>
    <w:uiPriority w:val="29"/>
    <w:rsid w:val="00607CB8"/>
    <w:rPr>
      <w:rFonts w:eastAsiaTheme="minorHAnsi" w:cstheme="minorBidi"/>
      <w:i/>
      <w:iCs/>
      <w:color w:val="666A66" w:themeColor="text1" w:themeTint="BF"/>
      <w:kern w:val="2"/>
      <w:sz w:val="24"/>
      <w:szCs w:val="22"/>
      <w:lang w:eastAsia="en-US"/>
      <w14:ligatures w14:val="standardContextual"/>
    </w:rPr>
  </w:style>
  <w:style w:type="character" w:styleId="IntenseEmphasis">
    <w:name w:val="Intense Emphasis"/>
    <w:basedOn w:val="DefaultParagraphFont"/>
    <w:uiPriority w:val="21"/>
    <w:qFormat/>
    <w:rsid w:val="00607CB8"/>
    <w:rPr>
      <w:i/>
      <w:iCs/>
      <w:color w:val="7E9BA8" w:themeColor="accent1" w:themeShade="BF"/>
    </w:rPr>
  </w:style>
  <w:style w:type="paragraph" w:styleId="IntenseQuote">
    <w:name w:val="Intense Quote"/>
    <w:basedOn w:val="Normal"/>
    <w:next w:val="Normal"/>
    <w:link w:val="IntenseQuoteChar"/>
    <w:uiPriority w:val="30"/>
    <w:qFormat/>
    <w:rsid w:val="00607CB8"/>
    <w:pPr>
      <w:pBdr>
        <w:top w:val="single" w:sz="4" w:space="10" w:color="7E9BA8" w:themeColor="accent1" w:themeShade="BF"/>
        <w:bottom w:val="single" w:sz="4" w:space="10" w:color="7E9BA8" w:themeColor="accent1" w:themeShade="BF"/>
      </w:pBdr>
      <w:spacing w:before="360" w:after="360" w:line="240" w:lineRule="auto"/>
      <w:ind w:left="864" w:right="864" w:hanging="284"/>
      <w:jc w:val="center"/>
    </w:pPr>
    <w:rPr>
      <w:rFonts w:ascii="Times New Roman" w:hAnsi="Times New Roman"/>
      <w:i/>
      <w:iCs/>
      <w:color w:val="7E9BA8" w:themeColor="accent1" w:themeShade="BF"/>
    </w:rPr>
  </w:style>
  <w:style w:type="character" w:customStyle="1" w:styleId="IntenseQuoteChar">
    <w:name w:val="Intense Quote Char"/>
    <w:basedOn w:val="DefaultParagraphFont"/>
    <w:link w:val="IntenseQuote"/>
    <w:uiPriority w:val="30"/>
    <w:rsid w:val="00607CB8"/>
    <w:rPr>
      <w:rFonts w:eastAsiaTheme="minorHAnsi" w:cstheme="minorBidi"/>
      <w:i/>
      <w:iCs/>
      <w:color w:val="7E9BA8" w:themeColor="accent1" w:themeShade="BF"/>
      <w:kern w:val="2"/>
      <w:sz w:val="24"/>
      <w:szCs w:val="22"/>
      <w:lang w:eastAsia="en-US"/>
      <w14:ligatures w14:val="standardContextual"/>
    </w:rPr>
  </w:style>
  <w:style w:type="character" w:styleId="IntenseReference">
    <w:name w:val="Intense Reference"/>
    <w:basedOn w:val="DefaultParagraphFont"/>
    <w:uiPriority w:val="32"/>
    <w:qFormat/>
    <w:rsid w:val="00607CB8"/>
    <w:rPr>
      <w:b/>
      <w:bCs/>
      <w:smallCaps/>
      <w:color w:val="7E9BA8" w:themeColor="accent1" w:themeShade="BF"/>
      <w:spacing w:val="5"/>
    </w:rPr>
  </w:style>
  <w:style w:type="paragraph" w:customStyle="1" w:styleId="pf0">
    <w:name w:val="pf0"/>
    <w:basedOn w:val="Normal"/>
    <w:rsid w:val="00607CB8"/>
    <w:pPr>
      <w:spacing w:beforeAutospacing="1" w:afterAutospacing="1" w:line="240" w:lineRule="auto"/>
    </w:pPr>
    <w:rPr>
      <w:rFonts w:ascii="Times New Roman" w:hAnsi="Times New Roman"/>
      <w:lang w:eastAsia="en-AU"/>
    </w:rPr>
  </w:style>
  <w:style w:type="character" w:customStyle="1" w:styleId="doilink">
    <w:name w:val="doi_link"/>
    <w:basedOn w:val="DefaultParagraphFont"/>
    <w:rsid w:val="00607CB8"/>
  </w:style>
  <w:style w:type="paragraph" w:styleId="BodyText2">
    <w:name w:val="Body Text 2"/>
    <w:basedOn w:val="Normal"/>
    <w:link w:val="BodyText2Char"/>
    <w:rsid w:val="00607CB8"/>
    <w:pPr>
      <w:widowControl w:val="0"/>
      <w:spacing w:line="480" w:lineRule="auto"/>
    </w:pPr>
    <w:rPr>
      <w:rFonts w:ascii="Times New Roman" w:eastAsiaTheme="minorEastAsia" w:hAnsi="Times New Roman"/>
      <w:lang w:val="en-GB"/>
    </w:rPr>
  </w:style>
  <w:style w:type="character" w:customStyle="1" w:styleId="BodyText2Char">
    <w:name w:val="Body Text 2 Char"/>
    <w:basedOn w:val="DefaultParagraphFont"/>
    <w:link w:val="BodyText2"/>
    <w:rsid w:val="00607CB8"/>
    <w:rPr>
      <w:rFonts w:eastAsiaTheme="minorEastAsia" w:cstheme="minorBidi"/>
      <w:sz w:val="22"/>
      <w:szCs w:val="22"/>
      <w:lang w:val="en-GB" w:eastAsia="en-US"/>
    </w:rPr>
  </w:style>
  <w:style w:type="table" w:customStyle="1" w:styleId="TableGrid2">
    <w:name w:val="Table Grid2"/>
    <w:basedOn w:val="TableNormal"/>
    <w:next w:val="TableGrid"/>
    <w:rsid w:val="00607CB8"/>
    <w:pPr>
      <w:spacing w:after="160" w:line="252" w:lineRule="auto"/>
      <w:jc w:val="both"/>
    </w:pPr>
    <w:rPr>
      <w:rFonts w:asciiTheme="minorHAnsi" w:eastAsiaTheme="minorHAnsi" w:hAnsi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
    <w:name w:val="Dot point"/>
    <w:basedOn w:val="Normal"/>
    <w:rsid w:val="00607CB8"/>
    <w:pPr>
      <w:tabs>
        <w:tab w:val="num" w:pos="344"/>
      </w:tabs>
      <w:spacing w:line="252" w:lineRule="auto"/>
      <w:ind w:left="911" w:hanging="284"/>
    </w:pPr>
    <w:rPr>
      <w:rFonts w:ascii="Times New Roman" w:eastAsiaTheme="minorEastAsia" w:hAnsi="Times New Roman"/>
      <w:lang w:eastAsia="en-AU"/>
    </w:rPr>
  </w:style>
  <w:style w:type="table" w:customStyle="1" w:styleId="TableGrid3">
    <w:name w:val="Table Grid3"/>
    <w:basedOn w:val="TableNormal"/>
    <w:next w:val="TableGrid"/>
    <w:uiPriority w:val="39"/>
    <w:rsid w:val="00607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n">
    <w:name w:val="green"/>
    <w:basedOn w:val="DefaultParagraphFont"/>
    <w:uiPriority w:val="1"/>
    <w:qFormat/>
    <w:rsid w:val="00B124E3"/>
    <w:rPr>
      <w:color w:val="8D2825" w:themeColor="accent6" w:themeShade="BF"/>
    </w:rPr>
  </w:style>
  <w:style w:type="paragraph" w:customStyle="1" w:styleId="modelheading">
    <w:name w:val="model heading"/>
    <w:basedOn w:val="Normal"/>
    <w:qFormat/>
    <w:rsid w:val="00B124E3"/>
    <w:pPr>
      <w:spacing w:before="240" w:after="120" w:line="240" w:lineRule="auto"/>
      <w:ind w:left="96"/>
    </w:pPr>
    <w:rPr>
      <w:sz w:val="20"/>
      <w:szCs w:val="20"/>
    </w:rPr>
  </w:style>
  <w:style w:type="paragraph" w:customStyle="1" w:styleId="Default">
    <w:name w:val="Default"/>
    <w:rsid w:val="00001F19"/>
    <w:pPr>
      <w:autoSpaceDE w:val="0"/>
      <w:autoSpaceDN w:val="0"/>
      <w:adjustRightInd w:val="0"/>
    </w:pPr>
    <w:rPr>
      <w:rFonts w:ascii="Arial" w:hAnsi="Arial" w:cs="Arial"/>
      <w:color w:val="000000"/>
      <w:sz w:val="24"/>
      <w:szCs w:val="24"/>
    </w:rPr>
  </w:style>
  <w:style w:type="paragraph" w:customStyle="1" w:styleId="GazetteListNumbered">
    <w:name w:val="Gazette List Numbered"/>
    <w:basedOn w:val="Normal"/>
    <w:qFormat/>
    <w:rsid w:val="00294007"/>
    <w:pPr>
      <w:numPr>
        <w:numId w:val="13"/>
      </w:numPr>
      <w:pBdr>
        <w:top w:val="nil"/>
        <w:left w:val="nil"/>
        <w:bottom w:val="nil"/>
        <w:right w:val="nil"/>
        <w:between w:val="nil"/>
        <w:bar w:val="nil"/>
      </w:pBdr>
      <w:tabs>
        <w:tab w:val="left" w:pos="720"/>
      </w:tabs>
      <w:spacing w:before="120" w:after="120" w:line="280" w:lineRule="exact"/>
      <w:ind w:left="454" w:hanging="454"/>
    </w:pPr>
    <w:rPr>
      <w:rFonts w:ascii="Arial" w:eastAsia="Arial Unicode MS" w:hAnsi="Arial Unicode MS" w:cs="Arial Unicode MS"/>
      <w:color w:val="000000"/>
      <w:kern w:val="0"/>
      <w:sz w:val="18"/>
      <w:szCs w:val="18"/>
      <w:u w:color="000000"/>
      <w:bdr w:val="nil"/>
      <w:lang w:val="en-GB" w:eastAsia="en-AU"/>
      <w14:ligatures w14:val="none"/>
    </w:rPr>
  </w:style>
  <w:style w:type="paragraph" w:customStyle="1" w:styleId="PreliminariesH4">
    <w:name w:val="Preliminaries_H4"/>
    <w:basedOn w:val="Heading4"/>
    <w:link w:val="PreliminariesH4Char"/>
    <w:uiPriority w:val="4"/>
    <w:qFormat/>
    <w:rsid w:val="00DC0950"/>
    <w:rPr>
      <w:rFonts w:eastAsia="Times New Roman"/>
      <w14:ligatures w14:val="none"/>
    </w:rPr>
  </w:style>
  <w:style w:type="character" w:customStyle="1" w:styleId="PreliminariesH4Char">
    <w:name w:val="Preliminaries_H4 Char"/>
    <w:basedOn w:val="Heading4Char"/>
    <w:link w:val="PreliminariesH4"/>
    <w:uiPriority w:val="4"/>
    <w:rsid w:val="00DC0950"/>
    <w:rPr>
      <w:rFonts w:ascii="Franklin Gothic Medium" w:hAnsi="Franklin Gothic Medium" w:cs="Arial"/>
      <w:color w:val="53284F"/>
      <w:sz w:val="22"/>
      <w:szCs w:val="2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479">
      <w:bodyDiv w:val="1"/>
      <w:marLeft w:val="0"/>
      <w:marRight w:val="0"/>
      <w:marTop w:val="0"/>
      <w:marBottom w:val="0"/>
      <w:divBdr>
        <w:top w:val="none" w:sz="0" w:space="0" w:color="auto"/>
        <w:left w:val="none" w:sz="0" w:space="0" w:color="auto"/>
        <w:bottom w:val="none" w:sz="0" w:space="0" w:color="auto"/>
        <w:right w:val="none" w:sz="0" w:space="0" w:color="auto"/>
      </w:divBdr>
    </w:div>
    <w:div w:id="93404849">
      <w:bodyDiv w:val="1"/>
      <w:marLeft w:val="0"/>
      <w:marRight w:val="0"/>
      <w:marTop w:val="0"/>
      <w:marBottom w:val="0"/>
      <w:divBdr>
        <w:top w:val="none" w:sz="0" w:space="0" w:color="auto"/>
        <w:left w:val="none" w:sz="0" w:space="0" w:color="auto"/>
        <w:bottom w:val="none" w:sz="0" w:space="0" w:color="auto"/>
        <w:right w:val="none" w:sz="0" w:space="0" w:color="auto"/>
      </w:divBdr>
    </w:div>
    <w:div w:id="101924587">
      <w:bodyDiv w:val="1"/>
      <w:marLeft w:val="0"/>
      <w:marRight w:val="0"/>
      <w:marTop w:val="0"/>
      <w:marBottom w:val="0"/>
      <w:divBdr>
        <w:top w:val="none" w:sz="0" w:space="0" w:color="auto"/>
        <w:left w:val="none" w:sz="0" w:space="0" w:color="auto"/>
        <w:bottom w:val="none" w:sz="0" w:space="0" w:color="auto"/>
        <w:right w:val="none" w:sz="0" w:space="0" w:color="auto"/>
      </w:divBdr>
    </w:div>
    <w:div w:id="427121522">
      <w:bodyDiv w:val="1"/>
      <w:marLeft w:val="0"/>
      <w:marRight w:val="0"/>
      <w:marTop w:val="0"/>
      <w:marBottom w:val="0"/>
      <w:divBdr>
        <w:top w:val="none" w:sz="0" w:space="0" w:color="auto"/>
        <w:left w:val="none" w:sz="0" w:space="0" w:color="auto"/>
        <w:bottom w:val="none" w:sz="0" w:space="0" w:color="auto"/>
        <w:right w:val="none" w:sz="0" w:space="0" w:color="auto"/>
      </w:divBdr>
    </w:div>
    <w:div w:id="490407258">
      <w:bodyDiv w:val="1"/>
      <w:marLeft w:val="0"/>
      <w:marRight w:val="0"/>
      <w:marTop w:val="0"/>
      <w:marBottom w:val="0"/>
      <w:divBdr>
        <w:top w:val="none" w:sz="0" w:space="0" w:color="auto"/>
        <w:left w:val="none" w:sz="0" w:space="0" w:color="auto"/>
        <w:bottom w:val="none" w:sz="0" w:space="0" w:color="auto"/>
        <w:right w:val="none" w:sz="0" w:space="0" w:color="auto"/>
      </w:divBdr>
    </w:div>
    <w:div w:id="539778672">
      <w:bodyDiv w:val="1"/>
      <w:marLeft w:val="0"/>
      <w:marRight w:val="0"/>
      <w:marTop w:val="0"/>
      <w:marBottom w:val="0"/>
      <w:divBdr>
        <w:top w:val="none" w:sz="0" w:space="0" w:color="auto"/>
        <w:left w:val="none" w:sz="0" w:space="0" w:color="auto"/>
        <w:bottom w:val="none" w:sz="0" w:space="0" w:color="auto"/>
        <w:right w:val="none" w:sz="0" w:space="0" w:color="auto"/>
      </w:divBdr>
    </w:div>
    <w:div w:id="675302580">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37842373">
      <w:bodyDiv w:val="1"/>
      <w:marLeft w:val="0"/>
      <w:marRight w:val="0"/>
      <w:marTop w:val="0"/>
      <w:marBottom w:val="0"/>
      <w:divBdr>
        <w:top w:val="none" w:sz="0" w:space="0" w:color="auto"/>
        <w:left w:val="none" w:sz="0" w:space="0" w:color="auto"/>
        <w:bottom w:val="none" w:sz="0" w:space="0" w:color="auto"/>
        <w:right w:val="none" w:sz="0" w:space="0" w:color="auto"/>
      </w:divBdr>
    </w:div>
    <w:div w:id="1154368971">
      <w:bodyDiv w:val="1"/>
      <w:marLeft w:val="0"/>
      <w:marRight w:val="0"/>
      <w:marTop w:val="0"/>
      <w:marBottom w:val="0"/>
      <w:divBdr>
        <w:top w:val="none" w:sz="0" w:space="0" w:color="auto"/>
        <w:left w:val="none" w:sz="0" w:space="0" w:color="auto"/>
        <w:bottom w:val="none" w:sz="0" w:space="0" w:color="auto"/>
        <w:right w:val="none" w:sz="0" w:space="0" w:color="auto"/>
      </w:divBdr>
    </w:div>
    <w:div w:id="1224869909">
      <w:bodyDiv w:val="1"/>
      <w:marLeft w:val="0"/>
      <w:marRight w:val="0"/>
      <w:marTop w:val="0"/>
      <w:marBottom w:val="0"/>
      <w:divBdr>
        <w:top w:val="none" w:sz="0" w:space="0" w:color="auto"/>
        <w:left w:val="none" w:sz="0" w:space="0" w:color="auto"/>
        <w:bottom w:val="none" w:sz="0" w:space="0" w:color="auto"/>
        <w:right w:val="none" w:sz="0" w:space="0" w:color="auto"/>
      </w:divBdr>
    </w:div>
    <w:div w:id="1290237363">
      <w:bodyDiv w:val="1"/>
      <w:marLeft w:val="0"/>
      <w:marRight w:val="0"/>
      <w:marTop w:val="0"/>
      <w:marBottom w:val="0"/>
      <w:divBdr>
        <w:top w:val="none" w:sz="0" w:space="0" w:color="auto"/>
        <w:left w:val="none" w:sz="0" w:space="0" w:color="auto"/>
        <w:bottom w:val="none" w:sz="0" w:space="0" w:color="auto"/>
        <w:right w:val="none" w:sz="0" w:space="0" w:color="auto"/>
      </w:divBdr>
    </w:div>
    <w:div w:id="1320648360">
      <w:bodyDiv w:val="1"/>
      <w:marLeft w:val="0"/>
      <w:marRight w:val="0"/>
      <w:marTop w:val="0"/>
      <w:marBottom w:val="0"/>
      <w:divBdr>
        <w:top w:val="none" w:sz="0" w:space="0" w:color="auto"/>
        <w:left w:val="none" w:sz="0" w:space="0" w:color="auto"/>
        <w:bottom w:val="none" w:sz="0" w:space="0" w:color="auto"/>
        <w:right w:val="none" w:sz="0" w:space="0" w:color="auto"/>
      </w:divBdr>
    </w:div>
    <w:div w:id="1339961130">
      <w:bodyDiv w:val="1"/>
      <w:marLeft w:val="0"/>
      <w:marRight w:val="0"/>
      <w:marTop w:val="0"/>
      <w:marBottom w:val="0"/>
      <w:divBdr>
        <w:top w:val="none" w:sz="0" w:space="0" w:color="auto"/>
        <w:left w:val="none" w:sz="0" w:space="0" w:color="auto"/>
        <w:bottom w:val="none" w:sz="0" w:space="0" w:color="auto"/>
        <w:right w:val="none" w:sz="0" w:space="0" w:color="auto"/>
      </w:divBdr>
    </w:div>
    <w:div w:id="1392656017">
      <w:bodyDiv w:val="1"/>
      <w:marLeft w:val="0"/>
      <w:marRight w:val="0"/>
      <w:marTop w:val="0"/>
      <w:marBottom w:val="0"/>
      <w:divBdr>
        <w:top w:val="none" w:sz="0" w:space="0" w:color="auto"/>
        <w:left w:val="none" w:sz="0" w:space="0" w:color="auto"/>
        <w:bottom w:val="none" w:sz="0" w:space="0" w:color="auto"/>
        <w:right w:val="none" w:sz="0" w:space="0" w:color="auto"/>
      </w:divBdr>
    </w:div>
    <w:div w:id="1397699782">
      <w:bodyDiv w:val="1"/>
      <w:marLeft w:val="0"/>
      <w:marRight w:val="0"/>
      <w:marTop w:val="0"/>
      <w:marBottom w:val="0"/>
      <w:divBdr>
        <w:top w:val="none" w:sz="0" w:space="0" w:color="auto"/>
        <w:left w:val="none" w:sz="0" w:space="0" w:color="auto"/>
        <w:bottom w:val="none" w:sz="0" w:space="0" w:color="auto"/>
        <w:right w:val="none" w:sz="0" w:space="0" w:color="auto"/>
      </w:divBdr>
    </w:div>
    <w:div w:id="1452554615">
      <w:bodyDiv w:val="1"/>
      <w:marLeft w:val="0"/>
      <w:marRight w:val="0"/>
      <w:marTop w:val="0"/>
      <w:marBottom w:val="0"/>
      <w:divBdr>
        <w:top w:val="none" w:sz="0" w:space="0" w:color="auto"/>
        <w:left w:val="none" w:sz="0" w:space="0" w:color="auto"/>
        <w:bottom w:val="none" w:sz="0" w:space="0" w:color="auto"/>
        <w:right w:val="none" w:sz="0" w:space="0" w:color="auto"/>
      </w:divBdr>
    </w:div>
    <w:div w:id="1510481240">
      <w:bodyDiv w:val="1"/>
      <w:marLeft w:val="0"/>
      <w:marRight w:val="0"/>
      <w:marTop w:val="0"/>
      <w:marBottom w:val="0"/>
      <w:divBdr>
        <w:top w:val="none" w:sz="0" w:space="0" w:color="auto"/>
        <w:left w:val="none" w:sz="0" w:space="0" w:color="auto"/>
        <w:bottom w:val="none" w:sz="0" w:space="0" w:color="auto"/>
        <w:right w:val="none" w:sz="0" w:space="0" w:color="auto"/>
      </w:divBdr>
    </w:div>
    <w:div w:id="1532457535">
      <w:bodyDiv w:val="1"/>
      <w:marLeft w:val="0"/>
      <w:marRight w:val="0"/>
      <w:marTop w:val="0"/>
      <w:marBottom w:val="0"/>
      <w:divBdr>
        <w:top w:val="none" w:sz="0" w:space="0" w:color="auto"/>
        <w:left w:val="none" w:sz="0" w:space="0" w:color="auto"/>
        <w:bottom w:val="none" w:sz="0" w:space="0" w:color="auto"/>
        <w:right w:val="none" w:sz="0" w:space="0" w:color="auto"/>
      </w:divBdr>
    </w:div>
    <w:div w:id="1612397666">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76486251">
      <w:bodyDiv w:val="1"/>
      <w:marLeft w:val="0"/>
      <w:marRight w:val="0"/>
      <w:marTop w:val="0"/>
      <w:marBottom w:val="0"/>
      <w:divBdr>
        <w:top w:val="none" w:sz="0" w:space="0" w:color="auto"/>
        <w:left w:val="none" w:sz="0" w:space="0" w:color="auto"/>
        <w:bottom w:val="none" w:sz="0" w:space="0" w:color="auto"/>
        <w:right w:val="none" w:sz="0" w:space="0" w:color="auto"/>
      </w:divBdr>
    </w:div>
    <w:div w:id="1974864211">
      <w:bodyDiv w:val="1"/>
      <w:marLeft w:val="0"/>
      <w:marRight w:val="0"/>
      <w:marTop w:val="0"/>
      <w:marBottom w:val="0"/>
      <w:divBdr>
        <w:top w:val="none" w:sz="0" w:space="0" w:color="auto"/>
        <w:left w:val="none" w:sz="0" w:space="0" w:color="auto"/>
        <w:bottom w:val="none" w:sz="0" w:space="0" w:color="auto"/>
        <w:right w:val="none" w:sz="0" w:space="0" w:color="auto"/>
      </w:divBdr>
    </w:div>
    <w:div w:id="2016347549">
      <w:bodyDiv w:val="1"/>
      <w:marLeft w:val="0"/>
      <w:marRight w:val="0"/>
      <w:marTop w:val="0"/>
      <w:marBottom w:val="0"/>
      <w:divBdr>
        <w:top w:val="none" w:sz="0" w:space="0" w:color="auto"/>
        <w:left w:val="none" w:sz="0" w:space="0" w:color="auto"/>
        <w:bottom w:val="none" w:sz="0" w:space="0" w:color="auto"/>
        <w:right w:val="none" w:sz="0" w:space="0" w:color="auto"/>
      </w:divBdr>
    </w:div>
    <w:div w:id="2113360752">
      <w:bodyDiv w:val="1"/>
      <w:marLeft w:val="0"/>
      <w:marRight w:val="0"/>
      <w:marTop w:val="0"/>
      <w:marBottom w:val="0"/>
      <w:divBdr>
        <w:top w:val="none" w:sz="0" w:space="0" w:color="auto"/>
        <w:left w:val="none" w:sz="0" w:space="0" w:color="auto"/>
        <w:bottom w:val="none" w:sz="0" w:space="0" w:color="auto"/>
        <w:right w:val="none" w:sz="0" w:space="0" w:color="auto"/>
      </w:divBdr>
    </w:div>
    <w:div w:id="21464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7.xml" Id="rId26" /><Relationship Type="http://schemas.openxmlformats.org/officeDocument/2006/relationships/header" Target="header11.xml" Id="rId39" /><Relationship Type="http://schemas.openxmlformats.org/officeDocument/2006/relationships/header" Target="header3.xml" Id="rId21" /><Relationship Type="http://schemas.openxmlformats.org/officeDocument/2006/relationships/image" Target="media/image11.png" Id="rId34" /><Relationship Type="http://schemas.openxmlformats.org/officeDocument/2006/relationships/header" Target="header14.xm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hyperlink" Target="mailto:communications@apvma.gov.au" TargetMode="External" Id="rId16" /><Relationship Type="http://schemas.openxmlformats.org/officeDocument/2006/relationships/image" Target="media/image6.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5.xml" Id="rId24" /><Relationship Type="http://schemas.openxmlformats.org/officeDocument/2006/relationships/image" Target="media/image9.png" Id="rId32" /><Relationship Type="http://schemas.openxmlformats.org/officeDocument/2006/relationships/header" Target="header9.xml" Id="rId37" /><Relationship Type="http://schemas.openxmlformats.org/officeDocument/2006/relationships/header" Target="header12.xml" Id="rId40" /><Relationship Type="http://schemas.openxmlformats.org/officeDocument/2006/relationships/header" Target="header17.xml" Id="rId45"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4.xml" Id="rId23" /><Relationship Type="http://schemas.openxmlformats.org/officeDocument/2006/relationships/hyperlink" Target="https://www.fao.org/3/ca9610en/ca9610en.pdf" TargetMode="External" Id="rId28" /><Relationship Type="http://schemas.openxmlformats.org/officeDocument/2006/relationships/header" Target="header8.xml" Id="rId36"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image" Target="media/image8.png" Id="rId31" /><Relationship Type="http://schemas.openxmlformats.org/officeDocument/2006/relationships/header" Target="header16.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yperlink" Target="https://www.apvma.gov.au/node/93341" TargetMode="External" Id="rId22" /><Relationship Type="http://schemas.openxmlformats.org/officeDocument/2006/relationships/image" Target="media/image5.png" Id="rId27" /><Relationship Type="http://schemas.openxmlformats.org/officeDocument/2006/relationships/image" Target="media/image7.png" Id="rId30" /><Relationship Type="http://schemas.openxmlformats.org/officeDocument/2006/relationships/image" Target="media/image12.png" Id="rId35" /><Relationship Type="http://schemas.openxmlformats.org/officeDocument/2006/relationships/header" Target="header15.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6.xml" Id="rId25" /><Relationship Type="http://schemas.openxmlformats.org/officeDocument/2006/relationships/image" Target="media/image10.png" Id="rId33" /><Relationship Type="http://schemas.openxmlformats.org/officeDocument/2006/relationships/header" Target="header10.xml" Id="rId38" /><Relationship Type="http://schemas.openxmlformats.org/officeDocument/2006/relationships/fontTable" Target="fontTable.xml" Id="rId46" /><Relationship Type="http://schemas.openxmlformats.org/officeDocument/2006/relationships/footer" Target="footer1.xml" Id="rId20" /><Relationship Type="http://schemas.openxmlformats.org/officeDocument/2006/relationships/header" Target="header13.xml" Id="rId41" /><Relationship Type="http://schemas.openxmlformats.org/officeDocument/2006/relationships/customXml" Target="/customXML/item3.xml" Id="R870bd02a87064a83" /></Relationships>
</file>

<file path=word/_rels/footnotes.xml.rels><?xml version="1.0" encoding="UTF-8" standalone="yes"?>
<Relationships xmlns="http://schemas.openxmlformats.org/package/2006/relationships"><Relationship Id="rId8" Type="http://schemas.openxmlformats.org/officeDocument/2006/relationships/hyperlink" Target="https://db.ffcr.or.jp/front/pesticide_comp" TargetMode="External"/><Relationship Id="rId3" Type="http://schemas.openxmlformats.org/officeDocument/2006/relationships/hyperlink" Target="https://www.legislation.gov.au/F2015L00533/asmade/text" TargetMode="External"/><Relationship Id="rId7" Type="http://schemas.openxmlformats.org/officeDocument/2006/relationships/hyperlink" Target="https://ec.europa.eu/food/plant/pesticides/eu-pesticides-database/active-substances/?event=search.as" TargetMode="External"/><Relationship Id="rId2" Type="http://schemas.openxmlformats.org/officeDocument/2006/relationships/hyperlink" Target="https://www.thinkwildlife.org/" TargetMode="External"/><Relationship Id="rId1" Type="http://schemas.openxmlformats.org/officeDocument/2006/relationships/hyperlink" Target="https://www.legislation.gov.au/F2022L00137/latest/text" TargetMode="External"/><Relationship Id="rId6" Type="http://schemas.openxmlformats.org/officeDocument/2006/relationships/hyperlink" Target="https://www.fao.org/fao-who-codexalimentarius/codex-texts/dbs/pestres/pesticides/en/" TargetMode="External"/><Relationship Id="rId11" Type="http://schemas.openxmlformats.org/officeDocument/2006/relationships/hyperlink" Target="https://www.ecfr.gov/current/title-40/chapter-I/subchapter-E/part-180/subpart-D/section-180.1223" TargetMode="External"/><Relationship Id="rId5" Type="http://schemas.openxmlformats.org/officeDocument/2006/relationships/hyperlink" Target="https://www.legislation.gov.au/Details/F2023L01350" TargetMode="External"/><Relationship Id="rId10" Type="http://schemas.openxmlformats.org/officeDocument/2006/relationships/hyperlink" Target="https://consumer.fda.gov.tw/Law/Detail.aspx?nodeID=518&amp;lang=1&amp;lawid=127" TargetMode="External"/><Relationship Id="rId4" Type="http://schemas.openxmlformats.org/officeDocument/2006/relationships/hyperlink" Target="https://australianpork.com.au/sites/default/files/2021-07/8-7-21Rodenticide-stewardship-plan_0.pdf" TargetMode="External"/><Relationship Id="rId9" Type="http://schemas.openxmlformats.org/officeDocument/2006/relationships/hyperlink" Target="http://www.foodsafetykorea.go.kr/residue/prd/mrls/list.do?currentPageNo=1&amp;searchCode=&amp;searchFoodCode=&amp;menuKey=1&amp;subMenuKey=161&amp;subChildMenuKey=&amp;searchConsonantFlag=en&amp;searchConsonantFlag2=en&amp;searchValue2=I&amp;searchFlag=prd&amp;searchClassLCode=&amp;searchClassMCode=&amp;searchClassScode=&amp;searchValue=I"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A3644239</value>
    </field>
    <field name="Objective-Title">
      <value order="0">2025 - Draft Review Technical Report - Anticoagulant Rodenticides</value>
    </field>
    <field name="Objective-Description">
      <value order="0"/>
    </field>
    <field name="Objective-CreationStamp">
      <value order="0">2025-10-14T23:07:30Z</value>
    </field>
    <field name="Objective-IsApproved">
      <value order="0">false</value>
    </field>
    <field name="Objective-IsPublished">
      <value order="0">false</value>
    </field>
    <field name="Objective-DatePublished">
      <value order="0"/>
    </field>
    <field name="Objective-ModificationStamp">
      <value order="0">2025-12-15T01:56:45Z</value>
    </field>
    <field name="Objective-Owner">
      <value order="0">Cameron Adams</value>
    </field>
    <field name="Objective-Path">
      <value order="0">APVMA:SCIENCE AND ASSURANCE:02 - Science and Assurance - Chemical Review:Scientific Assessment - Chemical Review - Products and Actives:Scientific Assessment - Chemical Review - Products and Actives - R:First &amp; Second Generation Rodenticides:05 - Assessment</value>
    </field>
    <field name="Objective-Parent">
      <value order="0">05 - Assessment</value>
    </field>
    <field name="Objective-State">
      <value order="0">Being Drafted</value>
    </field>
    <field name="Objective-VersionId">
      <value order="0">vA5554931</value>
    </field>
    <field name="Objective-Version">
      <value order="0">1.1</value>
    </field>
    <field name="Objective-VersionNumber">
      <value order="0">36</value>
    </field>
    <field name="Objective-VersionComment">
      <value order="0"/>
    </field>
    <field name="Objective-FileNumber">
      <value order="0">2015\5422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E9F5B86-27DA-4E54-B113-5867C9DF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2514</TotalTime>
  <Pages>1</Pages>
  <Words>84092</Words>
  <Characters>479325</Characters>
  <Application>Microsoft Office Word</Application>
  <DocSecurity>0</DocSecurity>
  <Lines>3994</Lines>
  <Paragraphs>1124</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562293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Technical Report - Anticoagulant Rodenticides</dc:title>
  <dc:subject/>
  <dc:creator>APVMA</dc:creator>
  <cp:keywords/>
  <dc:description/>
  <cp:lastModifiedBy>GRIFFIN, Jordanna</cp:lastModifiedBy>
  <cp:revision>89</cp:revision>
  <cp:lastPrinted>2025-12-15T01:54:00Z</cp:lastPrinted>
  <dcterms:created xsi:type="dcterms:W3CDTF">2025-11-24T00:27:00Z</dcterms:created>
  <dcterms:modified xsi:type="dcterms:W3CDTF">2025-12-15T01:56:00Z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A3644239</vt:lpwstr>
  </property>
  <property fmtid="{D5CDD505-2E9C-101B-9397-08002B2CF9AE}" pid="4" name="Objective-Title">
    <vt:lpwstr>2025 - Draft Review Technical Report - Anticoagulant Rodenticides</vt:lpwstr>
  </property>
  <property fmtid="{D5CDD505-2E9C-101B-9397-08002B2CF9AE}" pid="5" name="Objective-Comment">
    <vt:lpwstr/>
  </property>
  <property fmtid="{D5CDD505-2E9C-101B-9397-08002B2CF9AE}" pid="6" name="Objective-CreationStamp">
    <vt:filetime>2025-10-14T23:07:30Z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2025-12-15T01:56:45Z</vt:filetime>
  </property>
  <property fmtid="{D5CDD505-2E9C-101B-9397-08002B2CF9AE}" pid="11" name="Objective-Owner">
    <vt:lpwstr>Cameron Adams</vt:lpwstr>
  </property>
  <property fmtid="{D5CDD505-2E9C-101B-9397-08002B2CF9AE}" pid="12" name="Objective-Path">
    <vt:lpwstr>APVMA:SCIENCE AND ASSURANCE:02 - Science and Assurance - Chemical Review:Scientific Assessment - Chemical Review - Products and Actives:Scientific Assessment - Chemical Review - Products and Actives - R:First &amp; Second Generation Rodenticides:05 - Assessment:</vt:lpwstr>
  </property>
  <property fmtid="{D5CDD505-2E9C-101B-9397-08002B2CF9AE}" pid="13" name="Objective-Parent">
    <vt:lpwstr>05 - Assessment</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36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vA5554931</vt:lpwstr>
  </property>
  <property fmtid="{D5CDD505-2E9C-101B-9397-08002B2CF9AE}" pid="23" name="Objective-Connect Creator">
    <vt:lpwstr/>
  </property>
</Properties>
</file>