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7A11EE52" w:rsidR="00CA3C84" w:rsidRDefault="00CA3C84" w:rsidP="006636BA">
      <w:pPr>
        <w:pStyle w:val="GazetteCoverH3"/>
      </w:pPr>
      <w:bookmarkStart w:id="16" w:name="_Toc135143729"/>
      <w:bookmarkStart w:id="17" w:name="_Toc135143785"/>
      <w:r>
        <w:t xml:space="preserve">No. APVMA </w:t>
      </w:r>
      <w:r w:rsidR="00472B6A">
        <w:t>26</w:t>
      </w:r>
      <w:r>
        <w:t xml:space="preserve">, </w:t>
      </w:r>
      <w:bookmarkEnd w:id="16"/>
      <w:bookmarkEnd w:id="17"/>
      <w:r w:rsidR="00472B6A">
        <w:t>Tuesday 23 December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A327251"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72E89">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54E5F0C"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9975D2">
        <w:t>G</w:t>
      </w:r>
      <w:r w:rsidR="009975D2" w:rsidRPr="009975D2">
        <w:t>PO Box 574</w:t>
      </w:r>
      <w:r w:rsidR="009975D2">
        <w:br/>
      </w:r>
      <w:r w:rsidR="009975D2" w:rsidRPr="009975D2">
        <w:t>Canberra ACT 2601</w:t>
      </w:r>
      <w:r w:rsidR="009975D2">
        <w:t>,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1A2904C"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16F57C4" w14:textId="77777777" w:rsidR="007E5F3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786EF8A" w14:textId="3611324A"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27" w:history="1">
        <w:r w:rsidRPr="001E4BD9">
          <w:rPr>
            <w:rStyle w:val="Hyperlink"/>
            <w:rFonts w:eastAsia="Arial Unicode MS"/>
          </w:rPr>
          <w:t>Agricultural chemical products and approved labels</w:t>
        </w:r>
        <w:r>
          <w:rPr>
            <w:webHidden/>
          </w:rPr>
          <w:tab/>
        </w:r>
        <w:r>
          <w:rPr>
            <w:webHidden/>
          </w:rPr>
          <w:fldChar w:fldCharType="begin"/>
        </w:r>
        <w:r>
          <w:rPr>
            <w:webHidden/>
          </w:rPr>
          <w:instrText xml:space="preserve"> PAGEREF _Toc217376727 \h </w:instrText>
        </w:r>
        <w:r>
          <w:rPr>
            <w:webHidden/>
          </w:rPr>
        </w:r>
        <w:r>
          <w:rPr>
            <w:webHidden/>
          </w:rPr>
          <w:fldChar w:fldCharType="separate"/>
        </w:r>
        <w:r w:rsidR="00472E89">
          <w:rPr>
            <w:webHidden/>
          </w:rPr>
          <w:t>1</w:t>
        </w:r>
        <w:r>
          <w:rPr>
            <w:webHidden/>
          </w:rPr>
          <w:fldChar w:fldCharType="end"/>
        </w:r>
      </w:hyperlink>
    </w:p>
    <w:p w14:paraId="6EA06C5A" w14:textId="744C7838"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28" w:history="1">
        <w:r w:rsidRPr="001E4BD9">
          <w:rPr>
            <w:rStyle w:val="Hyperlink"/>
            <w:rFonts w:eastAsia="Arial Unicode MS"/>
          </w:rPr>
          <w:t>Veterinary chemical products and approved labels</w:t>
        </w:r>
        <w:r>
          <w:rPr>
            <w:webHidden/>
          </w:rPr>
          <w:tab/>
        </w:r>
        <w:r>
          <w:rPr>
            <w:webHidden/>
          </w:rPr>
          <w:fldChar w:fldCharType="begin"/>
        </w:r>
        <w:r>
          <w:rPr>
            <w:webHidden/>
          </w:rPr>
          <w:instrText xml:space="preserve"> PAGEREF _Toc217376728 \h </w:instrText>
        </w:r>
        <w:r>
          <w:rPr>
            <w:webHidden/>
          </w:rPr>
        </w:r>
        <w:r>
          <w:rPr>
            <w:webHidden/>
          </w:rPr>
          <w:fldChar w:fldCharType="separate"/>
        </w:r>
        <w:r w:rsidR="00472E89">
          <w:rPr>
            <w:webHidden/>
          </w:rPr>
          <w:t>5</w:t>
        </w:r>
        <w:r>
          <w:rPr>
            <w:webHidden/>
          </w:rPr>
          <w:fldChar w:fldCharType="end"/>
        </w:r>
      </w:hyperlink>
    </w:p>
    <w:p w14:paraId="1B69B621" w14:textId="6C139096"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29" w:history="1">
        <w:r w:rsidRPr="001E4BD9">
          <w:rPr>
            <w:rStyle w:val="Hyperlink"/>
            <w:rFonts w:eastAsia="Arial Unicode MS"/>
          </w:rPr>
          <w:t>Approved active constituents</w:t>
        </w:r>
        <w:r>
          <w:rPr>
            <w:webHidden/>
          </w:rPr>
          <w:tab/>
        </w:r>
        <w:r>
          <w:rPr>
            <w:webHidden/>
          </w:rPr>
          <w:fldChar w:fldCharType="begin"/>
        </w:r>
        <w:r>
          <w:rPr>
            <w:webHidden/>
          </w:rPr>
          <w:instrText xml:space="preserve"> PAGEREF _Toc217376729 \h </w:instrText>
        </w:r>
        <w:r>
          <w:rPr>
            <w:webHidden/>
          </w:rPr>
        </w:r>
        <w:r>
          <w:rPr>
            <w:webHidden/>
          </w:rPr>
          <w:fldChar w:fldCharType="separate"/>
        </w:r>
        <w:r w:rsidR="00472E89">
          <w:rPr>
            <w:webHidden/>
          </w:rPr>
          <w:t>9</w:t>
        </w:r>
        <w:r>
          <w:rPr>
            <w:webHidden/>
          </w:rPr>
          <w:fldChar w:fldCharType="end"/>
        </w:r>
      </w:hyperlink>
    </w:p>
    <w:p w14:paraId="417CC629" w14:textId="750160CB"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30" w:history="1">
        <w:r w:rsidRPr="001E4BD9">
          <w:rPr>
            <w:rStyle w:val="Hyperlink"/>
            <w:rFonts w:eastAsia="Arial Unicode MS"/>
          </w:rPr>
          <w:t>Revocation of suspension of registration</w:t>
        </w:r>
        <w:r>
          <w:rPr>
            <w:webHidden/>
          </w:rPr>
          <w:tab/>
        </w:r>
        <w:r>
          <w:rPr>
            <w:webHidden/>
          </w:rPr>
          <w:fldChar w:fldCharType="begin"/>
        </w:r>
        <w:r>
          <w:rPr>
            <w:webHidden/>
          </w:rPr>
          <w:instrText xml:space="preserve"> PAGEREF _Toc217376730 \h </w:instrText>
        </w:r>
        <w:r>
          <w:rPr>
            <w:webHidden/>
          </w:rPr>
        </w:r>
        <w:r>
          <w:rPr>
            <w:webHidden/>
          </w:rPr>
          <w:fldChar w:fldCharType="separate"/>
        </w:r>
        <w:r w:rsidR="00472E89">
          <w:rPr>
            <w:webHidden/>
          </w:rPr>
          <w:t>12</w:t>
        </w:r>
        <w:r>
          <w:rPr>
            <w:webHidden/>
          </w:rPr>
          <w:fldChar w:fldCharType="end"/>
        </w:r>
      </w:hyperlink>
    </w:p>
    <w:p w14:paraId="6ACAF93F" w14:textId="6D859E54"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31" w:history="1">
        <w:r w:rsidRPr="001E4BD9">
          <w:rPr>
            <w:rStyle w:val="Hyperlink"/>
            <w:rFonts w:eastAsia="Arial Unicode MS"/>
          </w:rPr>
          <w:t>New veterinary chemical products containing a new veterinary active constituent</w:t>
        </w:r>
        <w:r>
          <w:rPr>
            <w:webHidden/>
          </w:rPr>
          <w:tab/>
        </w:r>
        <w:r>
          <w:rPr>
            <w:webHidden/>
          </w:rPr>
          <w:fldChar w:fldCharType="begin"/>
        </w:r>
        <w:r>
          <w:rPr>
            <w:webHidden/>
          </w:rPr>
          <w:instrText xml:space="preserve"> PAGEREF _Toc217376731 \h </w:instrText>
        </w:r>
        <w:r>
          <w:rPr>
            <w:webHidden/>
          </w:rPr>
        </w:r>
        <w:r>
          <w:rPr>
            <w:webHidden/>
          </w:rPr>
          <w:fldChar w:fldCharType="separate"/>
        </w:r>
        <w:r w:rsidR="00472E89">
          <w:rPr>
            <w:webHidden/>
          </w:rPr>
          <w:t>13</w:t>
        </w:r>
        <w:r>
          <w:rPr>
            <w:webHidden/>
          </w:rPr>
          <w:fldChar w:fldCharType="end"/>
        </w:r>
      </w:hyperlink>
    </w:p>
    <w:p w14:paraId="07C8C460" w14:textId="457D8E35"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32" w:history="1">
        <w:r w:rsidRPr="001E4BD9">
          <w:rPr>
            <w:rStyle w:val="Hyperlink"/>
            <w:rFonts w:eastAsia="Arial Unicode MS"/>
          </w:rPr>
          <w:t>Licensing of veterinary chemical manufacturers</w:t>
        </w:r>
        <w:r>
          <w:rPr>
            <w:webHidden/>
          </w:rPr>
          <w:tab/>
        </w:r>
        <w:r>
          <w:rPr>
            <w:webHidden/>
          </w:rPr>
          <w:fldChar w:fldCharType="begin"/>
        </w:r>
        <w:r>
          <w:rPr>
            <w:webHidden/>
          </w:rPr>
          <w:instrText xml:space="preserve"> PAGEREF _Toc217376732 \h </w:instrText>
        </w:r>
        <w:r>
          <w:rPr>
            <w:webHidden/>
          </w:rPr>
        </w:r>
        <w:r>
          <w:rPr>
            <w:webHidden/>
          </w:rPr>
          <w:fldChar w:fldCharType="separate"/>
        </w:r>
        <w:r w:rsidR="00472E89">
          <w:rPr>
            <w:webHidden/>
          </w:rPr>
          <w:t>26</w:t>
        </w:r>
        <w:r>
          <w:rPr>
            <w:webHidden/>
          </w:rPr>
          <w:fldChar w:fldCharType="end"/>
        </w:r>
      </w:hyperlink>
    </w:p>
    <w:p w14:paraId="3C224C4D" w14:textId="3CF3B2D4" w:rsidR="007E5F33" w:rsidRDefault="007E5F33">
      <w:pPr>
        <w:pStyle w:val="TOC2"/>
        <w:rPr>
          <w:rFonts w:asciiTheme="minorHAnsi" w:eastAsiaTheme="minorEastAsia" w:hAnsiTheme="minorHAnsi" w:cstheme="minorBidi"/>
          <w:kern w:val="2"/>
          <w:sz w:val="24"/>
          <w:szCs w:val="24"/>
          <w:lang w:eastAsia="en-AU"/>
          <w14:ligatures w14:val="standardContextual"/>
        </w:rPr>
      </w:pPr>
      <w:hyperlink w:anchor="_Toc217376733" w:history="1">
        <w:r w:rsidRPr="001E4BD9">
          <w:rPr>
            <w:rStyle w:val="Hyperlink"/>
            <w:rFonts w:eastAsia="Arial Unicode MS"/>
          </w:rPr>
          <w:t>Agvet chemical voluntary recall: Bloat-Drench Oral Bloat Control</w:t>
        </w:r>
        <w:r>
          <w:rPr>
            <w:webHidden/>
          </w:rPr>
          <w:tab/>
        </w:r>
        <w:r>
          <w:rPr>
            <w:webHidden/>
          </w:rPr>
          <w:fldChar w:fldCharType="begin"/>
        </w:r>
        <w:r>
          <w:rPr>
            <w:webHidden/>
          </w:rPr>
          <w:instrText xml:space="preserve"> PAGEREF _Toc217376733 \h </w:instrText>
        </w:r>
        <w:r>
          <w:rPr>
            <w:webHidden/>
          </w:rPr>
        </w:r>
        <w:r>
          <w:rPr>
            <w:webHidden/>
          </w:rPr>
          <w:fldChar w:fldCharType="separate"/>
        </w:r>
        <w:r w:rsidR="00472E89">
          <w:rPr>
            <w:webHidden/>
          </w:rPr>
          <w:t>29</w:t>
        </w:r>
        <w:r>
          <w:rPr>
            <w:webHidden/>
          </w:rPr>
          <w:fldChar w:fldCharType="end"/>
        </w:r>
      </w:hyperlink>
    </w:p>
    <w:p w14:paraId="0D431B07" w14:textId="2D23AAE0" w:rsidR="00E73E38" w:rsidRPr="00616EBE" w:rsidRDefault="00FD71D4" w:rsidP="009975D2">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E6E36B2" w14:textId="77777777" w:rsidR="00472B6A" w:rsidRDefault="00472B6A" w:rsidP="00472B6A">
      <w:pPr>
        <w:pStyle w:val="GazetteHeading1"/>
      </w:pPr>
      <w:bookmarkStart w:id="18" w:name="_Toc217376727"/>
      <w:r>
        <w:lastRenderedPageBreak/>
        <w:t>Agricultural chemical products and approved labels</w:t>
      </w:r>
      <w:bookmarkEnd w:id="18"/>
    </w:p>
    <w:p w14:paraId="7AAB4427" w14:textId="77777777" w:rsidR="00075167" w:rsidRDefault="00472B6A" w:rsidP="0007516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D26266A" w14:textId="6484568C" w:rsidR="00472B6A" w:rsidRDefault="00472B6A" w:rsidP="00075167">
      <w:pPr>
        <w:pStyle w:val="Caption"/>
      </w:pPr>
      <w:r>
        <w:t xml:space="preserve">Table </w:t>
      </w:r>
      <w:r>
        <w:fldChar w:fldCharType="begin"/>
      </w:r>
      <w:r>
        <w:instrText xml:space="preserve"> SEQ Table \* ARABIC </w:instrText>
      </w:r>
      <w:r>
        <w:fldChar w:fldCharType="separate"/>
      </w:r>
      <w:r w:rsidR="00472E89">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731937DA" w14:textId="77777777" w:rsidTr="00075167">
        <w:trPr>
          <w:cantSplit/>
        </w:trPr>
        <w:tc>
          <w:tcPr>
            <w:tcW w:w="2120" w:type="dxa"/>
            <w:shd w:val="clear" w:color="auto" w:fill="D9D9D9"/>
          </w:tcPr>
          <w:p w14:paraId="1858FD71" w14:textId="3EF2FC99" w:rsidR="00472B6A" w:rsidRPr="00877F20" w:rsidRDefault="00075167" w:rsidP="00075167">
            <w:pPr>
              <w:pStyle w:val="S8Gazettetableheading"/>
            </w:pPr>
            <w:r>
              <w:t>Application no.</w:t>
            </w:r>
          </w:p>
        </w:tc>
        <w:tc>
          <w:tcPr>
            <w:tcW w:w="7512" w:type="dxa"/>
            <w:shd w:val="clear" w:color="auto" w:fill="FFFFFF"/>
          </w:tcPr>
          <w:p w14:paraId="28FFA993" w14:textId="18FEE47D" w:rsidR="00472B6A" w:rsidRPr="00DA0FCC" w:rsidRDefault="00075167" w:rsidP="00075167">
            <w:pPr>
              <w:pStyle w:val="S8Gazettetabletext"/>
              <w:rPr>
                <w:rFonts w:hAnsi="Arial"/>
                <w:noProof/>
                <w:highlight w:val="yellow"/>
              </w:rPr>
            </w:pPr>
            <w:r>
              <w:rPr>
                <w:noProof/>
              </w:rPr>
              <w:t>149860</w:t>
            </w:r>
          </w:p>
        </w:tc>
      </w:tr>
      <w:tr w:rsidR="00472B6A" w:rsidRPr="00DA0FCC" w14:paraId="286FA39F" w14:textId="77777777" w:rsidTr="00075167">
        <w:trPr>
          <w:cantSplit/>
        </w:trPr>
        <w:tc>
          <w:tcPr>
            <w:tcW w:w="2120" w:type="dxa"/>
            <w:shd w:val="clear" w:color="auto" w:fill="D9D9D9"/>
          </w:tcPr>
          <w:p w14:paraId="2980A307" w14:textId="0E92FFE7" w:rsidR="00472B6A" w:rsidRPr="00877F20" w:rsidRDefault="00075167" w:rsidP="00075167">
            <w:pPr>
              <w:pStyle w:val="S8Gazettetableheading"/>
            </w:pPr>
            <w:r>
              <w:t>Product name</w:t>
            </w:r>
          </w:p>
        </w:tc>
        <w:tc>
          <w:tcPr>
            <w:tcW w:w="7512" w:type="dxa"/>
            <w:shd w:val="clear" w:color="auto" w:fill="FFFFFF"/>
          </w:tcPr>
          <w:p w14:paraId="46FB0EB2" w14:textId="3989BDAB" w:rsidR="00472B6A" w:rsidRPr="00DA0FCC" w:rsidRDefault="00075167" w:rsidP="00075167">
            <w:pPr>
              <w:pStyle w:val="S8Gazettetabletext"/>
              <w:rPr>
                <w:highlight w:val="yellow"/>
              </w:rPr>
            </w:pPr>
            <w:r>
              <w:t>One Dose Australia Liquid Chlorine</w:t>
            </w:r>
          </w:p>
        </w:tc>
      </w:tr>
      <w:tr w:rsidR="00472B6A" w:rsidRPr="00DA0FCC" w14:paraId="1644D563" w14:textId="77777777" w:rsidTr="00075167">
        <w:trPr>
          <w:cantSplit/>
        </w:trPr>
        <w:tc>
          <w:tcPr>
            <w:tcW w:w="2120" w:type="dxa"/>
            <w:shd w:val="clear" w:color="auto" w:fill="D9D9D9"/>
          </w:tcPr>
          <w:p w14:paraId="5DE4E63F" w14:textId="0B521143" w:rsidR="00472B6A" w:rsidRPr="00877F20" w:rsidRDefault="00075167" w:rsidP="00075167">
            <w:pPr>
              <w:pStyle w:val="S8Gazettetableheading"/>
            </w:pPr>
            <w:r>
              <w:t>Active constituent</w:t>
            </w:r>
          </w:p>
        </w:tc>
        <w:tc>
          <w:tcPr>
            <w:tcW w:w="7512" w:type="dxa"/>
            <w:shd w:val="clear" w:color="auto" w:fill="FFFFFF"/>
          </w:tcPr>
          <w:p w14:paraId="3161F6C6" w14:textId="7DC38B36" w:rsidR="00472B6A" w:rsidRPr="00DA0FCC" w:rsidRDefault="00075167" w:rsidP="00075167">
            <w:pPr>
              <w:pStyle w:val="S8Gazettetabletext"/>
              <w:rPr>
                <w:highlight w:val="yellow"/>
              </w:rPr>
            </w:pPr>
            <w:r>
              <w:t>125 g/L available chlorine (CI) present as sodium hypochlorite</w:t>
            </w:r>
          </w:p>
        </w:tc>
      </w:tr>
      <w:tr w:rsidR="00472B6A" w:rsidRPr="00DA0FCC" w14:paraId="159A6F85" w14:textId="77777777" w:rsidTr="00075167">
        <w:trPr>
          <w:cantSplit/>
        </w:trPr>
        <w:tc>
          <w:tcPr>
            <w:tcW w:w="2120" w:type="dxa"/>
            <w:shd w:val="clear" w:color="auto" w:fill="D9D9D9"/>
          </w:tcPr>
          <w:p w14:paraId="69BAE711" w14:textId="64D4031F" w:rsidR="00472B6A" w:rsidRPr="00877F20" w:rsidRDefault="00075167" w:rsidP="00075167">
            <w:pPr>
              <w:pStyle w:val="S8Gazettetableheading"/>
            </w:pPr>
            <w:r>
              <w:t>Applicant name</w:t>
            </w:r>
          </w:p>
        </w:tc>
        <w:tc>
          <w:tcPr>
            <w:tcW w:w="7512" w:type="dxa"/>
            <w:shd w:val="clear" w:color="auto" w:fill="FFFFFF"/>
          </w:tcPr>
          <w:p w14:paraId="423F688B" w14:textId="77748F4B" w:rsidR="00472B6A" w:rsidRPr="00DA0FCC" w:rsidRDefault="00075167" w:rsidP="00075167">
            <w:pPr>
              <w:pStyle w:val="S8Gazettetabletext"/>
              <w:rPr>
                <w:highlight w:val="yellow"/>
              </w:rPr>
            </w:pPr>
            <w:r>
              <w:t>One Dose Australia Pty Ltd</w:t>
            </w:r>
          </w:p>
        </w:tc>
      </w:tr>
      <w:tr w:rsidR="00472B6A" w:rsidRPr="00DA0FCC" w14:paraId="536638D4" w14:textId="77777777" w:rsidTr="00075167">
        <w:trPr>
          <w:cantSplit/>
        </w:trPr>
        <w:tc>
          <w:tcPr>
            <w:tcW w:w="2120" w:type="dxa"/>
            <w:shd w:val="clear" w:color="auto" w:fill="D9D9D9"/>
          </w:tcPr>
          <w:p w14:paraId="60B4FEAE" w14:textId="15F49363" w:rsidR="00472B6A" w:rsidRPr="00877F20" w:rsidRDefault="00075167" w:rsidP="00075167">
            <w:pPr>
              <w:pStyle w:val="S8Gazettetableheading"/>
            </w:pPr>
            <w:r>
              <w:t>Applicant ACN</w:t>
            </w:r>
          </w:p>
        </w:tc>
        <w:tc>
          <w:tcPr>
            <w:tcW w:w="7512" w:type="dxa"/>
            <w:shd w:val="clear" w:color="auto" w:fill="FFFFFF"/>
          </w:tcPr>
          <w:p w14:paraId="1A9B5059" w14:textId="043C99A6" w:rsidR="00472B6A" w:rsidRPr="00DA0FCC" w:rsidRDefault="00075167" w:rsidP="00075167">
            <w:pPr>
              <w:pStyle w:val="S8Gazettetabletext"/>
              <w:rPr>
                <w:highlight w:val="yellow"/>
              </w:rPr>
            </w:pPr>
            <w:r>
              <w:t>684 878 993</w:t>
            </w:r>
          </w:p>
        </w:tc>
      </w:tr>
      <w:tr w:rsidR="00472B6A" w:rsidRPr="00DA0FCC" w14:paraId="0A5C2898" w14:textId="77777777" w:rsidTr="00075167">
        <w:trPr>
          <w:cantSplit/>
        </w:trPr>
        <w:tc>
          <w:tcPr>
            <w:tcW w:w="2120" w:type="dxa"/>
            <w:shd w:val="clear" w:color="auto" w:fill="D9D9D9"/>
          </w:tcPr>
          <w:p w14:paraId="139EF655" w14:textId="457997D1" w:rsidR="00472B6A" w:rsidRPr="00877F20" w:rsidRDefault="00075167" w:rsidP="00075167">
            <w:pPr>
              <w:pStyle w:val="S8Gazettetableheading"/>
            </w:pPr>
            <w:r>
              <w:t>Date of registration</w:t>
            </w:r>
          </w:p>
        </w:tc>
        <w:tc>
          <w:tcPr>
            <w:tcW w:w="7512" w:type="dxa"/>
            <w:shd w:val="clear" w:color="auto" w:fill="FFFFFF"/>
          </w:tcPr>
          <w:p w14:paraId="545CE223" w14:textId="02598114" w:rsidR="00472B6A" w:rsidRPr="00DA0FCC" w:rsidRDefault="00075167" w:rsidP="00075167">
            <w:pPr>
              <w:pStyle w:val="S8Gazettetabletext"/>
              <w:rPr>
                <w:highlight w:val="yellow"/>
              </w:rPr>
            </w:pPr>
            <w:r>
              <w:t>1 December 2025</w:t>
            </w:r>
          </w:p>
        </w:tc>
      </w:tr>
      <w:tr w:rsidR="00472B6A" w:rsidRPr="00DA0FCC" w14:paraId="2DDD7D68" w14:textId="77777777" w:rsidTr="00075167">
        <w:trPr>
          <w:cantSplit/>
        </w:trPr>
        <w:tc>
          <w:tcPr>
            <w:tcW w:w="2120" w:type="dxa"/>
            <w:shd w:val="clear" w:color="auto" w:fill="D9D9D9"/>
          </w:tcPr>
          <w:p w14:paraId="0C8DF476" w14:textId="6EBB29FB" w:rsidR="00472B6A" w:rsidRPr="00877F20" w:rsidRDefault="00075167" w:rsidP="00075167">
            <w:pPr>
              <w:pStyle w:val="S8Gazettetableheading"/>
            </w:pPr>
            <w:r>
              <w:t>Product registration no.</w:t>
            </w:r>
          </w:p>
        </w:tc>
        <w:tc>
          <w:tcPr>
            <w:tcW w:w="7512" w:type="dxa"/>
            <w:shd w:val="clear" w:color="auto" w:fill="FFFFFF"/>
          </w:tcPr>
          <w:p w14:paraId="3CE810E9" w14:textId="33D42F6C" w:rsidR="00472B6A" w:rsidRPr="00DA0FCC" w:rsidRDefault="00075167" w:rsidP="00075167">
            <w:pPr>
              <w:pStyle w:val="S8Gazettetabletext"/>
              <w:rPr>
                <w:highlight w:val="yellow"/>
              </w:rPr>
            </w:pPr>
            <w:r>
              <w:t>96559</w:t>
            </w:r>
          </w:p>
        </w:tc>
      </w:tr>
      <w:tr w:rsidR="00472B6A" w:rsidRPr="00DA0FCC" w14:paraId="11E58393" w14:textId="77777777" w:rsidTr="00075167">
        <w:trPr>
          <w:cantSplit/>
        </w:trPr>
        <w:tc>
          <w:tcPr>
            <w:tcW w:w="2120" w:type="dxa"/>
            <w:shd w:val="clear" w:color="auto" w:fill="D9D9D9"/>
          </w:tcPr>
          <w:p w14:paraId="2520D28E" w14:textId="2AB153EF" w:rsidR="00472B6A" w:rsidRPr="00877F20" w:rsidRDefault="00075167" w:rsidP="00075167">
            <w:pPr>
              <w:pStyle w:val="S8Gazettetableheading"/>
            </w:pPr>
            <w:r>
              <w:t>Label approval no.</w:t>
            </w:r>
          </w:p>
        </w:tc>
        <w:tc>
          <w:tcPr>
            <w:tcW w:w="7512" w:type="dxa"/>
            <w:shd w:val="clear" w:color="auto" w:fill="FFFFFF"/>
          </w:tcPr>
          <w:p w14:paraId="773A47E8" w14:textId="0DF961D1" w:rsidR="00472B6A" w:rsidRPr="00DA0FCC" w:rsidRDefault="00075167" w:rsidP="00075167">
            <w:pPr>
              <w:pStyle w:val="S8Gazettetabletext"/>
              <w:rPr>
                <w:highlight w:val="yellow"/>
              </w:rPr>
            </w:pPr>
            <w:r>
              <w:t>96559/149860</w:t>
            </w:r>
          </w:p>
        </w:tc>
      </w:tr>
      <w:tr w:rsidR="00472B6A" w:rsidRPr="00DA0FCC" w14:paraId="0E9018C9" w14:textId="77777777" w:rsidTr="00075167">
        <w:trPr>
          <w:cantSplit/>
        </w:trPr>
        <w:tc>
          <w:tcPr>
            <w:tcW w:w="2120" w:type="dxa"/>
            <w:shd w:val="clear" w:color="auto" w:fill="D9D9D9"/>
          </w:tcPr>
          <w:p w14:paraId="2CF54E48" w14:textId="795EA2C6"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59C8FC9E" w14:textId="2A1278F6" w:rsidR="00472B6A" w:rsidRPr="00DA0FCC" w:rsidRDefault="00075167" w:rsidP="00075167">
            <w:pPr>
              <w:pStyle w:val="S8Gazettetabletext"/>
            </w:pPr>
            <w:r>
              <w:t>Registration of a 125 g/L sodium hypochlorite aqueous solution for the control of algae and bacteria in swimming pools</w:t>
            </w:r>
          </w:p>
        </w:tc>
      </w:tr>
    </w:tbl>
    <w:p w14:paraId="49139343" w14:textId="77777777" w:rsidR="00472B6A" w:rsidRDefault="00472B6A" w:rsidP="0007516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244FCFCE" w14:textId="77777777" w:rsidTr="00075167">
        <w:trPr>
          <w:cantSplit/>
        </w:trPr>
        <w:tc>
          <w:tcPr>
            <w:tcW w:w="2120" w:type="dxa"/>
            <w:shd w:val="clear" w:color="auto" w:fill="D9D9D9"/>
          </w:tcPr>
          <w:p w14:paraId="0F054CAE" w14:textId="26A09EAA" w:rsidR="00472B6A" w:rsidRPr="00877F20" w:rsidRDefault="00075167" w:rsidP="00075167">
            <w:pPr>
              <w:pStyle w:val="S8Gazettetableheading"/>
            </w:pPr>
            <w:r>
              <w:t>Application no.</w:t>
            </w:r>
          </w:p>
        </w:tc>
        <w:tc>
          <w:tcPr>
            <w:tcW w:w="7512" w:type="dxa"/>
            <w:shd w:val="clear" w:color="auto" w:fill="FFFFFF"/>
          </w:tcPr>
          <w:p w14:paraId="595B72CC" w14:textId="6F8C1DA3" w:rsidR="00472B6A" w:rsidRPr="00DA0FCC" w:rsidRDefault="00075167" w:rsidP="00075167">
            <w:pPr>
              <w:pStyle w:val="S8Gazettetabletext"/>
              <w:rPr>
                <w:rFonts w:hAnsi="Arial"/>
                <w:noProof/>
                <w:highlight w:val="yellow"/>
              </w:rPr>
            </w:pPr>
            <w:r>
              <w:rPr>
                <w:noProof/>
              </w:rPr>
              <w:t>148376</w:t>
            </w:r>
          </w:p>
        </w:tc>
      </w:tr>
      <w:tr w:rsidR="00472B6A" w:rsidRPr="00DA0FCC" w14:paraId="17B990B9" w14:textId="77777777" w:rsidTr="00075167">
        <w:trPr>
          <w:cantSplit/>
        </w:trPr>
        <w:tc>
          <w:tcPr>
            <w:tcW w:w="2120" w:type="dxa"/>
            <w:shd w:val="clear" w:color="auto" w:fill="D9D9D9"/>
          </w:tcPr>
          <w:p w14:paraId="24E3E78E" w14:textId="2BABE285" w:rsidR="00472B6A" w:rsidRPr="00877F20" w:rsidRDefault="00075167" w:rsidP="00075167">
            <w:pPr>
              <w:pStyle w:val="S8Gazettetableheading"/>
            </w:pPr>
            <w:r>
              <w:t>Product name</w:t>
            </w:r>
          </w:p>
        </w:tc>
        <w:tc>
          <w:tcPr>
            <w:tcW w:w="7512" w:type="dxa"/>
            <w:shd w:val="clear" w:color="auto" w:fill="FFFFFF"/>
          </w:tcPr>
          <w:p w14:paraId="563704A2" w14:textId="21576BC2" w:rsidR="00472B6A" w:rsidRPr="00DA0FCC" w:rsidRDefault="00075167" w:rsidP="00075167">
            <w:pPr>
              <w:pStyle w:val="S8Gazettetabletext"/>
              <w:rPr>
                <w:highlight w:val="yellow"/>
              </w:rPr>
            </w:pPr>
            <w:r>
              <w:t xml:space="preserve">Etong </w:t>
            </w:r>
            <w:proofErr w:type="spellStart"/>
            <w:r>
              <w:t>TwinAzole</w:t>
            </w:r>
            <w:proofErr w:type="spellEnd"/>
            <w:r>
              <w:t xml:space="preserve"> WG Fungicide</w:t>
            </w:r>
          </w:p>
        </w:tc>
      </w:tr>
      <w:tr w:rsidR="00472B6A" w:rsidRPr="00DA0FCC" w14:paraId="740DD04F" w14:textId="77777777" w:rsidTr="00075167">
        <w:trPr>
          <w:cantSplit/>
        </w:trPr>
        <w:tc>
          <w:tcPr>
            <w:tcW w:w="2120" w:type="dxa"/>
            <w:shd w:val="clear" w:color="auto" w:fill="D9D9D9"/>
          </w:tcPr>
          <w:p w14:paraId="44F1C2D4" w14:textId="3ADBE3B1" w:rsidR="00472B6A" w:rsidRPr="00877F20" w:rsidRDefault="00075167" w:rsidP="00075167">
            <w:pPr>
              <w:pStyle w:val="S8Gazettetableheading"/>
            </w:pPr>
            <w:r>
              <w:t>Active constituents</w:t>
            </w:r>
          </w:p>
        </w:tc>
        <w:tc>
          <w:tcPr>
            <w:tcW w:w="7512" w:type="dxa"/>
            <w:shd w:val="clear" w:color="auto" w:fill="FFFFFF"/>
          </w:tcPr>
          <w:p w14:paraId="09CC0CA5" w14:textId="38193191" w:rsidR="00472B6A" w:rsidRPr="00DA0FCC" w:rsidRDefault="00075167" w:rsidP="00075167">
            <w:pPr>
              <w:pStyle w:val="S8Gazettetabletext"/>
              <w:rPr>
                <w:highlight w:val="yellow"/>
              </w:rPr>
            </w:pPr>
            <w:r>
              <w:t xml:space="preserve">300 g/kg </w:t>
            </w:r>
            <w:proofErr w:type="spellStart"/>
            <w:r>
              <w:t>prothioconazole</w:t>
            </w:r>
            <w:proofErr w:type="spellEnd"/>
            <w:r>
              <w:t>, 300 g/kg tebuconazole</w:t>
            </w:r>
          </w:p>
        </w:tc>
      </w:tr>
      <w:tr w:rsidR="00472B6A" w:rsidRPr="00DA0FCC" w14:paraId="16715517" w14:textId="77777777" w:rsidTr="00075167">
        <w:trPr>
          <w:cantSplit/>
        </w:trPr>
        <w:tc>
          <w:tcPr>
            <w:tcW w:w="2120" w:type="dxa"/>
            <w:shd w:val="clear" w:color="auto" w:fill="D9D9D9"/>
          </w:tcPr>
          <w:p w14:paraId="50FD53A5" w14:textId="493E7D6C" w:rsidR="00472B6A" w:rsidRPr="00877F20" w:rsidRDefault="00075167" w:rsidP="00075167">
            <w:pPr>
              <w:pStyle w:val="S8Gazettetableheading"/>
            </w:pPr>
            <w:r>
              <w:t>Applicant name</w:t>
            </w:r>
          </w:p>
        </w:tc>
        <w:tc>
          <w:tcPr>
            <w:tcW w:w="7512" w:type="dxa"/>
            <w:shd w:val="clear" w:color="auto" w:fill="FFFFFF"/>
          </w:tcPr>
          <w:p w14:paraId="217EBEFB" w14:textId="2C87465A" w:rsidR="00472B6A" w:rsidRPr="00DA0FCC" w:rsidRDefault="00075167" w:rsidP="00075167">
            <w:pPr>
              <w:pStyle w:val="S8Gazettetabletext"/>
              <w:rPr>
                <w:highlight w:val="yellow"/>
              </w:rPr>
            </w:pPr>
            <w:r>
              <w:t>Shanghai E-Tong Chemical Co Ltd</w:t>
            </w:r>
          </w:p>
        </w:tc>
      </w:tr>
      <w:tr w:rsidR="00472B6A" w:rsidRPr="00DA0FCC" w14:paraId="662060A4" w14:textId="77777777" w:rsidTr="00075167">
        <w:trPr>
          <w:cantSplit/>
        </w:trPr>
        <w:tc>
          <w:tcPr>
            <w:tcW w:w="2120" w:type="dxa"/>
            <w:shd w:val="clear" w:color="auto" w:fill="D9D9D9"/>
          </w:tcPr>
          <w:p w14:paraId="14DA05C9" w14:textId="6697C446" w:rsidR="00472B6A" w:rsidRPr="00877F20" w:rsidRDefault="00075167" w:rsidP="00075167">
            <w:pPr>
              <w:pStyle w:val="S8Gazettetableheading"/>
            </w:pPr>
            <w:r>
              <w:t>Applicant ACN</w:t>
            </w:r>
          </w:p>
        </w:tc>
        <w:tc>
          <w:tcPr>
            <w:tcW w:w="7512" w:type="dxa"/>
            <w:shd w:val="clear" w:color="auto" w:fill="FFFFFF"/>
          </w:tcPr>
          <w:p w14:paraId="0B1CACDD" w14:textId="416C444E" w:rsidR="00472B6A" w:rsidRPr="00DA0FCC" w:rsidRDefault="00075167" w:rsidP="00075167">
            <w:pPr>
              <w:pStyle w:val="S8Gazettetabletext"/>
              <w:rPr>
                <w:highlight w:val="yellow"/>
              </w:rPr>
            </w:pPr>
            <w:r>
              <w:t>N/A</w:t>
            </w:r>
          </w:p>
        </w:tc>
      </w:tr>
      <w:tr w:rsidR="00472B6A" w:rsidRPr="00DA0FCC" w14:paraId="0C670B83" w14:textId="77777777" w:rsidTr="00075167">
        <w:trPr>
          <w:cantSplit/>
        </w:trPr>
        <w:tc>
          <w:tcPr>
            <w:tcW w:w="2120" w:type="dxa"/>
            <w:shd w:val="clear" w:color="auto" w:fill="D9D9D9"/>
          </w:tcPr>
          <w:p w14:paraId="032862ED" w14:textId="1D1FB382" w:rsidR="00472B6A" w:rsidRPr="00877F20" w:rsidRDefault="00075167" w:rsidP="00075167">
            <w:pPr>
              <w:pStyle w:val="S8Gazettetableheading"/>
            </w:pPr>
            <w:r>
              <w:t>Date of registration</w:t>
            </w:r>
          </w:p>
        </w:tc>
        <w:tc>
          <w:tcPr>
            <w:tcW w:w="7512" w:type="dxa"/>
            <w:shd w:val="clear" w:color="auto" w:fill="FFFFFF"/>
          </w:tcPr>
          <w:p w14:paraId="3F67CE6D" w14:textId="117FEBFE" w:rsidR="00472B6A" w:rsidRPr="00DA0FCC" w:rsidRDefault="00075167" w:rsidP="00075167">
            <w:pPr>
              <w:pStyle w:val="S8Gazettetabletext"/>
              <w:rPr>
                <w:highlight w:val="yellow"/>
              </w:rPr>
            </w:pPr>
            <w:r>
              <w:t>2 December 2025</w:t>
            </w:r>
          </w:p>
        </w:tc>
      </w:tr>
      <w:tr w:rsidR="00472B6A" w:rsidRPr="00DA0FCC" w14:paraId="155633A6" w14:textId="77777777" w:rsidTr="00075167">
        <w:trPr>
          <w:cantSplit/>
        </w:trPr>
        <w:tc>
          <w:tcPr>
            <w:tcW w:w="2120" w:type="dxa"/>
            <w:shd w:val="clear" w:color="auto" w:fill="D9D9D9"/>
          </w:tcPr>
          <w:p w14:paraId="683157E3" w14:textId="0A7A9A68" w:rsidR="00472B6A" w:rsidRPr="00877F20" w:rsidRDefault="00075167" w:rsidP="00075167">
            <w:pPr>
              <w:pStyle w:val="S8Gazettetableheading"/>
            </w:pPr>
            <w:r>
              <w:t>Product registration no.</w:t>
            </w:r>
          </w:p>
        </w:tc>
        <w:tc>
          <w:tcPr>
            <w:tcW w:w="7512" w:type="dxa"/>
            <w:shd w:val="clear" w:color="auto" w:fill="FFFFFF"/>
          </w:tcPr>
          <w:p w14:paraId="48057B40" w14:textId="4A64AD71" w:rsidR="00472B6A" w:rsidRPr="00DA0FCC" w:rsidRDefault="00075167" w:rsidP="00075167">
            <w:pPr>
              <w:pStyle w:val="S8Gazettetabletext"/>
              <w:rPr>
                <w:highlight w:val="yellow"/>
              </w:rPr>
            </w:pPr>
            <w:r>
              <w:t>96156</w:t>
            </w:r>
          </w:p>
        </w:tc>
      </w:tr>
      <w:tr w:rsidR="00472B6A" w:rsidRPr="00DA0FCC" w14:paraId="6DB098F8" w14:textId="77777777" w:rsidTr="00075167">
        <w:trPr>
          <w:cantSplit/>
        </w:trPr>
        <w:tc>
          <w:tcPr>
            <w:tcW w:w="2120" w:type="dxa"/>
            <w:shd w:val="clear" w:color="auto" w:fill="D9D9D9"/>
          </w:tcPr>
          <w:p w14:paraId="27082246" w14:textId="3224A61A" w:rsidR="00472B6A" w:rsidRPr="00877F20" w:rsidRDefault="00075167" w:rsidP="00075167">
            <w:pPr>
              <w:pStyle w:val="S8Gazettetableheading"/>
            </w:pPr>
            <w:r>
              <w:t>Label approval no.</w:t>
            </w:r>
          </w:p>
        </w:tc>
        <w:tc>
          <w:tcPr>
            <w:tcW w:w="7512" w:type="dxa"/>
            <w:shd w:val="clear" w:color="auto" w:fill="FFFFFF"/>
          </w:tcPr>
          <w:p w14:paraId="7E17AF64" w14:textId="33238378" w:rsidR="00472B6A" w:rsidRPr="00DA0FCC" w:rsidRDefault="00075167" w:rsidP="00075167">
            <w:pPr>
              <w:pStyle w:val="S8Gazettetabletext"/>
              <w:rPr>
                <w:highlight w:val="yellow"/>
              </w:rPr>
            </w:pPr>
            <w:r>
              <w:t>96156/148376</w:t>
            </w:r>
          </w:p>
        </w:tc>
      </w:tr>
      <w:tr w:rsidR="00472B6A" w:rsidRPr="00DA0FCC" w14:paraId="25B30C91" w14:textId="77777777" w:rsidTr="00075167">
        <w:trPr>
          <w:cantSplit/>
        </w:trPr>
        <w:tc>
          <w:tcPr>
            <w:tcW w:w="2120" w:type="dxa"/>
            <w:shd w:val="clear" w:color="auto" w:fill="D9D9D9"/>
          </w:tcPr>
          <w:p w14:paraId="2AE955DC" w14:textId="23BE790D"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548FA4D3" w14:textId="15D82394" w:rsidR="00472B6A" w:rsidRPr="00DA0FCC" w:rsidRDefault="00075167" w:rsidP="00075167">
            <w:pPr>
              <w:pStyle w:val="S8Gazettetabletext"/>
            </w:pPr>
            <w:r>
              <w:t xml:space="preserve">Registration of a 300 g/kg </w:t>
            </w:r>
            <w:proofErr w:type="spellStart"/>
            <w:r>
              <w:t>prothioconazole</w:t>
            </w:r>
            <w:proofErr w:type="spellEnd"/>
            <w:r>
              <w:t xml:space="preserve"> and 300 g/kg tebuconazole product, formulated as a water dispersible granule (WG) for the control of various diseases in wheat, barley, oats, triticale, canola and pyrethrum</w:t>
            </w:r>
          </w:p>
        </w:tc>
      </w:tr>
    </w:tbl>
    <w:p w14:paraId="55EACBB1" w14:textId="77777777" w:rsidR="00472B6A" w:rsidRDefault="00472B6A" w:rsidP="0007516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05555090" w14:textId="77777777" w:rsidTr="001A4A93">
        <w:trPr>
          <w:cantSplit/>
          <w:tblHeader/>
        </w:trPr>
        <w:tc>
          <w:tcPr>
            <w:tcW w:w="2120" w:type="dxa"/>
            <w:shd w:val="clear" w:color="auto" w:fill="D9D9D9"/>
          </w:tcPr>
          <w:p w14:paraId="2B953A44" w14:textId="7A089050" w:rsidR="00472B6A" w:rsidRPr="00877F20" w:rsidRDefault="00075167" w:rsidP="00075167">
            <w:pPr>
              <w:pStyle w:val="S8Gazettetableheading"/>
            </w:pPr>
            <w:r>
              <w:lastRenderedPageBreak/>
              <w:t>Application no.</w:t>
            </w:r>
          </w:p>
        </w:tc>
        <w:tc>
          <w:tcPr>
            <w:tcW w:w="7512" w:type="dxa"/>
            <w:shd w:val="clear" w:color="auto" w:fill="FFFFFF"/>
          </w:tcPr>
          <w:p w14:paraId="16E90AF0" w14:textId="3A690AF8" w:rsidR="00472B6A" w:rsidRPr="00DA0FCC" w:rsidRDefault="00075167" w:rsidP="00075167">
            <w:pPr>
              <w:pStyle w:val="S8Gazettetabletext"/>
              <w:rPr>
                <w:rFonts w:hAnsi="Arial"/>
                <w:noProof/>
                <w:highlight w:val="yellow"/>
              </w:rPr>
            </w:pPr>
            <w:r>
              <w:rPr>
                <w:noProof/>
              </w:rPr>
              <w:t>149553</w:t>
            </w:r>
          </w:p>
        </w:tc>
      </w:tr>
      <w:tr w:rsidR="00472B6A" w:rsidRPr="00DA0FCC" w14:paraId="685AD576" w14:textId="77777777" w:rsidTr="001A4A93">
        <w:trPr>
          <w:cantSplit/>
          <w:tblHeader/>
        </w:trPr>
        <w:tc>
          <w:tcPr>
            <w:tcW w:w="2120" w:type="dxa"/>
            <w:shd w:val="clear" w:color="auto" w:fill="D9D9D9"/>
          </w:tcPr>
          <w:p w14:paraId="350060B5" w14:textId="4801AF7D" w:rsidR="00472B6A" w:rsidRPr="00877F20" w:rsidRDefault="00075167" w:rsidP="00075167">
            <w:pPr>
              <w:pStyle w:val="S8Gazettetableheading"/>
            </w:pPr>
            <w:r>
              <w:t>Product name</w:t>
            </w:r>
          </w:p>
        </w:tc>
        <w:tc>
          <w:tcPr>
            <w:tcW w:w="7512" w:type="dxa"/>
            <w:shd w:val="clear" w:color="auto" w:fill="FFFFFF"/>
          </w:tcPr>
          <w:p w14:paraId="6A8AC2AA" w14:textId="7C3EC76C" w:rsidR="00472B6A" w:rsidRPr="00DA0FCC" w:rsidRDefault="00075167" w:rsidP="00075167">
            <w:pPr>
              <w:pStyle w:val="S8Gazettetabletext"/>
              <w:rPr>
                <w:highlight w:val="yellow"/>
              </w:rPr>
            </w:pPr>
            <w:r>
              <w:t>ACARION Miticide</w:t>
            </w:r>
          </w:p>
        </w:tc>
      </w:tr>
      <w:tr w:rsidR="00472B6A" w:rsidRPr="00DA0FCC" w14:paraId="4BFAAD07" w14:textId="77777777" w:rsidTr="001A4A93">
        <w:trPr>
          <w:cantSplit/>
          <w:tblHeader/>
        </w:trPr>
        <w:tc>
          <w:tcPr>
            <w:tcW w:w="2120" w:type="dxa"/>
            <w:shd w:val="clear" w:color="auto" w:fill="D9D9D9"/>
          </w:tcPr>
          <w:p w14:paraId="7FBC0AAC" w14:textId="270F81A5" w:rsidR="00472B6A" w:rsidRPr="00877F20" w:rsidRDefault="00075167" w:rsidP="00075167">
            <w:pPr>
              <w:pStyle w:val="S8Gazettetableheading"/>
            </w:pPr>
            <w:r>
              <w:t>Active constituent</w:t>
            </w:r>
          </w:p>
        </w:tc>
        <w:tc>
          <w:tcPr>
            <w:tcW w:w="7512" w:type="dxa"/>
            <w:shd w:val="clear" w:color="auto" w:fill="FFFFFF"/>
          </w:tcPr>
          <w:p w14:paraId="6BF25D85" w14:textId="66D3286C" w:rsidR="00472B6A" w:rsidRPr="00DA0FCC" w:rsidRDefault="00075167" w:rsidP="00075167">
            <w:pPr>
              <w:pStyle w:val="S8Gazettetabletext"/>
              <w:rPr>
                <w:highlight w:val="yellow"/>
              </w:rPr>
            </w:pPr>
            <w:r>
              <w:t xml:space="preserve">500 g/kg </w:t>
            </w:r>
            <w:proofErr w:type="spellStart"/>
            <w:r>
              <w:t>bifenazate</w:t>
            </w:r>
            <w:proofErr w:type="spellEnd"/>
          </w:p>
        </w:tc>
      </w:tr>
      <w:tr w:rsidR="00472B6A" w:rsidRPr="00DA0FCC" w14:paraId="509C46DA" w14:textId="77777777" w:rsidTr="001A4A93">
        <w:trPr>
          <w:cantSplit/>
          <w:tblHeader/>
        </w:trPr>
        <w:tc>
          <w:tcPr>
            <w:tcW w:w="2120" w:type="dxa"/>
            <w:shd w:val="clear" w:color="auto" w:fill="D9D9D9"/>
          </w:tcPr>
          <w:p w14:paraId="6ACCCD2B" w14:textId="40468968" w:rsidR="00472B6A" w:rsidRPr="00877F20" w:rsidRDefault="00075167" w:rsidP="00075167">
            <w:pPr>
              <w:pStyle w:val="S8Gazettetableheading"/>
            </w:pPr>
            <w:r>
              <w:t>Applicant name</w:t>
            </w:r>
          </w:p>
        </w:tc>
        <w:tc>
          <w:tcPr>
            <w:tcW w:w="7512" w:type="dxa"/>
            <w:shd w:val="clear" w:color="auto" w:fill="FFFFFF"/>
          </w:tcPr>
          <w:p w14:paraId="4DE7CC7A" w14:textId="6C65C15B" w:rsidR="00472B6A" w:rsidRPr="00DA0FCC" w:rsidRDefault="00075167" w:rsidP="00075167">
            <w:pPr>
              <w:pStyle w:val="S8Gazettetabletext"/>
              <w:rPr>
                <w:highlight w:val="yellow"/>
              </w:rPr>
            </w:pPr>
            <w:r>
              <w:t>Centris Solutions Pty Ltd</w:t>
            </w:r>
          </w:p>
        </w:tc>
      </w:tr>
      <w:tr w:rsidR="00472B6A" w:rsidRPr="00DA0FCC" w14:paraId="2029D1ED" w14:textId="77777777" w:rsidTr="001A4A93">
        <w:trPr>
          <w:cantSplit/>
          <w:tblHeader/>
        </w:trPr>
        <w:tc>
          <w:tcPr>
            <w:tcW w:w="2120" w:type="dxa"/>
            <w:shd w:val="clear" w:color="auto" w:fill="D9D9D9"/>
          </w:tcPr>
          <w:p w14:paraId="1656ED91" w14:textId="218E6524" w:rsidR="00472B6A" w:rsidRPr="00877F20" w:rsidRDefault="00075167" w:rsidP="00075167">
            <w:pPr>
              <w:pStyle w:val="S8Gazettetableheading"/>
            </w:pPr>
            <w:r>
              <w:t>Applicant ACN</w:t>
            </w:r>
          </w:p>
        </w:tc>
        <w:tc>
          <w:tcPr>
            <w:tcW w:w="7512" w:type="dxa"/>
            <w:shd w:val="clear" w:color="auto" w:fill="FFFFFF"/>
          </w:tcPr>
          <w:p w14:paraId="1FE49B62" w14:textId="7899D09A" w:rsidR="00472B6A" w:rsidRPr="00DA0FCC" w:rsidRDefault="00075167" w:rsidP="00075167">
            <w:pPr>
              <w:pStyle w:val="S8Gazettetabletext"/>
              <w:rPr>
                <w:highlight w:val="yellow"/>
              </w:rPr>
            </w:pPr>
            <w:r>
              <w:t>682 650 577</w:t>
            </w:r>
          </w:p>
        </w:tc>
      </w:tr>
      <w:tr w:rsidR="00472B6A" w:rsidRPr="00DA0FCC" w14:paraId="3A4A7C51" w14:textId="77777777" w:rsidTr="001A4A93">
        <w:trPr>
          <w:cantSplit/>
          <w:tblHeader/>
        </w:trPr>
        <w:tc>
          <w:tcPr>
            <w:tcW w:w="2120" w:type="dxa"/>
            <w:shd w:val="clear" w:color="auto" w:fill="D9D9D9"/>
          </w:tcPr>
          <w:p w14:paraId="7F6723F8" w14:textId="41E192E5" w:rsidR="00472B6A" w:rsidRPr="00877F20" w:rsidRDefault="00075167" w:rsidP="00075167">
            <w:pPr>
              <w:pStyle w:val="S8Gazettetableheading"/>
            </w:pPr>
            <w:r>
              <w:t>Date of registration</w:t>
            </w:r>
          </w:p>
        </w:tc>
        <w:tc>
          <w:tcPr>
            <w:tcW w:w="7512" w:type="dxa"/>
            <w:shd w:val="clear" w:color="auto" w:fill="FFFFFF"/>
          </w:tcPr>
          <w:p w14:paraId="32DBEE1C" w14:textId="2E35D189" w:rsidR="00472B6A" w:rsidRPr="00DA0FCC" w:rsidRDefault="00075167" w:rsidP="00075167">
            <w:pPr>
              <w:pStyle w:val="S8Gazettetabletext"/>
              <w:rPr>
                <w:highlight w:val="yellow"/>
              </w:rPr>
            </w:pPr>
            <w:r>
              <w:t>4 December 2025</w:t>
            </w:r>
          </w:p>
        </w:tc>
      </w:tr>
      <w:tr w:rsidR="00472B6A" w:rsidRPr="00DA0FCC" w14:paraId="01054E41" w14:textId="77777777" w:rsidTr="001A4A93">
        <w:trPr>
          <w:cantSplit/>
          <w:tblHeader/>
        </w:trPr>
        <w:tc>
          <w:tcPr>
            <w:tcW w:w="2120" w:type="dxa"/>
            <w:shd w:val="clear" w:color="auto" w:fill="D9D9D9"/>
          </w:tcPr>
          <w:p w14:paraId="56900897" w14:textId="596A142F" w:rsidR="00472B6A" w:rsidRPr="00877F20" w:rsidRDefault="00075167" w:rsidP="00075167">
            <w:pPr>
              <w:pStyle w:val="S8Gazettetableheading"/>
            </w:pPr>
            <w:r>
              <w:t>Product registration no.</w:t>
            </w:r>
          </w:p>
        </w:tc>
        <w:tc>
          <w:tcPr>
            <w:tcW w:w="7512" w:type="dxa"/>
            <w:shd w:val="clear" w:color="auto" w:fill="FFFFFF"/>
          </w:tcPr>
          <w:p w14:paraId="6EA66889" w14:textId="58A26FE8" w:rsidR="00472B6A" w:rsidRPr="00DA0FCC" w:rsidRDefault="00075167" w:rsidP="00075167">
            <w:pPr>
              <w:pStyle w:val="S8Gazettetabletext"/>
              <w:rPr>
                <w:highlight w:val="yellow"/>
              </w:rPr>
            </w:pPr>
            <w:r>
              <w:t>96501</w:t>
            </w:r>
          </w:p>
        </w:tc>
      </w:tr>
      <w:tr w:rsidR="00472B6A" w:rsidRPr="00DA0FCC" w14:paraId="4C222A43" w14:textId="77777777" w:rsidTr="001A4A93">
        <w:trPr>
          <w:cantSplit/>
          <w:tblHeader/>
        </w:trPr>
        <w:tc>
          <w:tcPr>
            <w:tcW w:w="2120" w:type="dxa"/>
            <w:shd w:val="clear" w:color="auto" w:fill="D9D9D9"/>
          </w:tcPr>
          <w:p w14:paraId="4397B81A" w14:textId="65A0B224" w:rsidR="00472B6A" w:rsidRPr="00877F20" w:rsidRDefault="00075167" w:rsidP="00075167">
            <w:pPr>
              <w:pStyle w:val="S8Gazettetableheading"/>
            </w:pPr>
            <w:r>
              <w:t>Label approval no.</w:t>
            </w:r>
          </w:p>
        </w:tc>
        <w:tc>
          <w:tcPr>
            <w:tcW w:w="7512" w:type="dxa"/>
            <w:shd w:val="clear" w:color="auto" w:fill="FFFFFF"/>
          </w:tcPr>
          <w:p w14:paraId="2E7EA8E5" w14:textId="663AC745" w:rsidR="00472B6A" w:rsidRPr="00DA0FCC" w:rsidRDefault="00075167" w:rsidP="00075167">
            <w:pPr>
              <w:pStyle w:val="S8Gazettetabletext"/>
              <w:rPr>
                <w:highlight w:val="yellow"/>
              </w:rPr>
            </w:pPr>
            <w:r>
              <w:t>96501/149553</w:t>
            </w:r>
          </w:p>
        </w:tc>
      </w:tr>
      <w:tr w:rsidR="00472B6A" w:rsidRPr="00DA0FCC" w14:paraId="786DD308" w14:textId="77777777" w:rsidTr="001A4A93">
        <w:trPr>
          <w:cantSplit/>
          <w:tblHeader/>
        </w:trPr>
        <w:tc>
          <w:tcPr>
            <w:tcW w:w="2120" w:type="dxa"/>
            <w:shd w:val="clear" w:color="auto" w:fill="D9D9D9"/>
          </w:tcPr>
          <w:p w14:paraId="55BC3AB5" w14:textId="077991B0"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312520F3" w14:textId="12897538" w:rsidR="00472B6A" w:rsidRPr="00DA0FCC" w:rsidRDefault="00075167" w:rsidP="00075167">
            <w:pPr>
              <w:pStyle w:val="S8Gazettetabletext"/>
            </w:pPr>
            <w:r>
              <w:t xml:space="preserve">Registration of a 500 g/kg </w:t>
            </w:r>
            <w:proofErr w:type="spellStart"/>
            <w:r>
              <w:t>bifenazate</w:t>
            </w:r>
            <w:proofErr w:type="spellEnd"/>
            <w:r>
              <w:t xml:space="preserve"> product, formulated as a water dispersible granule (WG) for the control of two-spotted mite, </w:t>
            </w:r>
            <w:proofErr w:type="spellStart"/>
            <w:r>
              <w:t>european</w:t>
            </w:r>
            <w:proofErr w:type="spellEnd"/>
            <w:r>
              <w:t xml:space="preserve"> red mite and </w:t>
            </w:r>
            <w:proofErr w:type="spellStart"/>
            <w:r>
              <w:t>bryobia</w:t>
            </w:r>
            <w:proofErr w:type="spellEnd"/>
            <w:r>
              <w:t xml:space="preserve"> mite in pome fruits, stone fruits and almonds as indicated in the directions for use table</w:t>
            </w:r>
          </w:p>
        </w:tc>
      </w:tr>
    </w:tbl>
    <w:p w14:paraId="2845C20F" w14:textId="77777777" w:rsidR="00472B6A" w:rsidRDefault="00472B6A" w:rsidP="0007516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00E0A0D8" w14:textId="77777777" w:rsidTr="00075167">
        <w:trPr>
          <w:cantSplit/>
        </w:trPr>
        <w:tc>
          <w:tcPr>
            <w:tcW w:w="2120" w:type="dxa"/>
            <w:shd w:val="clear" w:color="auto" w:fill="D9D9D9"/>
          </w:tcPr>
          <w:p w14:paraId="17327F83" w14:textId="66AD4C0C" w:rsidR="00472B6A" w:rsidRPr="00877F20" w:rsidRDefault="00075167" w:rsidP="00075167">
            <w:pPr>
              <w:pStyle w:val="S8Gazettetableheading"/>
            </w:pPr>
            <w:r>
              <w:t>Application no.</w:t>
            </w:r>
          </w:p>
        </w:tc>
        <w:tc>
          <w:tcPr>
            <w:tcW w:w="7512" w:type="dxa"/>
            <w:shd w:val="clear" w:color="auto" w:fill="FFFFFF"/>
          </w:tcPr>
          <w:p w14:paraId="075271B3" w14:textId="6153D7E2" w:rsidR="00472B6A" w:rsidRPr="00DA0FCC" w:rsidRDefault="00075167" w:rsidP="00075167">
            <w:pPr>
              <w:pStyle w:val="S8Gazettetabletext"/>
              <w:rPr>
                <w:rFonts w:hAnsi="Arial"/>
                <w:noProof/>
                <w:highlight w:val="yellow"/>
              </w:rPr>
            </w:pPr>
            <w:r>
              <w:rPr>
                <w:noProof/>
              </w:rPr>
              <w:t>147849</w:t>
            </w:r>
          </w:p>
        </w:tc>
      </w:tr>
      <w:tr w:rsidR="00472B6A" w:rsidRPr="00DA0FCC" w14:paraId="382FB4AD" w14:textId="77777777" w:rsidTr="00075167">
        <w:trPr>
          <w:cantSplit/>
        </w:trPr>
        <w:tc>
          <w:tcPr>
            <w:tcW w:w="2120" w:type="dxa"/>
            <w:shd w:val="clear" w:color="auto" w:fill="D9D9D9"/>
          </w:tcPr>
          <w:p w14:paraId="44873684" w14:textId="287144B8" w:rsidR="00472B6A" w:rsidRPr="00877F20" w:rsidRDefault="00075167" w:rsidP="00075167">
            <w:pPr>
              <w:pStyle w:val="S8Gazettetableheading"/>
            </w:pPr>
            <w:r>
              <w:t>Product name</w:t>
            </w:r>
          </w:p>
        </w:tc>
        <w:tc>
          <w:tcPr>
            <w:tcW w:w="7512" w:type="dxa"/>
            <w:shd w:val="clear" w:color="auto" w:fill="FFFFFF"/>
          </w:tcPr>
          <w:p w14:paraId="12433AB4" w14:textId="1168D4A2" w:rsidR="00472B6A" w:rsidRPr="00DA0FCC" w:rsidRDefault="00075167" w:rsidP="00075167">
            <w:pPr>
              <w:pStyle w:val="S8Gazettetabletext"/>
              <w:rPr>
                <w:highlight w:val="yellow"/>
              </w:rPr>
            </w:pPr>
            <w:proofErr w:type="spellStart"/>
            <w:r>
              <w:t>Imtrade</w:t>
            </w:r>
            <w:proofErr w:type="spellEnd"/>
            <w:r>
              <w:t xml:space="preserve"> Nonanoic Acid Herbicide</w:t>
            </w:r>
          </w:p>
        </w:tc>
      </w:tr>
      <w:tr w:rsidR="00472B6A" w:rsidRPr="00DA0FCC" w14:paraId="34A8CA5C" w14:textId="77777777" w:rsidTr="00075167">
        <w:trPr>
          <w:cantSplit/>
        </w:trPr>
        <w:tc>
          <w:tcPr>
            <w:tcW w:w="2120" w:type="dxa"/>
            <w:shd w:val="clear" w:color="auto" w:fill="D9D9D9"/>
          </w:tcPr>
          <w:p w14:paraId="19332DE9" w14:textId="328D5622" w:rsidR="00472B6A" w:rsidRPr="00877F20" w:rsidRDefault="00075167" w:rsidP="00075167">
            <w:pPr>
              <w:pStyle w:val="S8Gazettetableheading"/>
            </w:pPr>
            <w:r>
              <w:t>Active constituent</w:t>
            </w:r>
          </w:p>
        </w:tc>
        <w:tc>
          <w:tcPr>
            <w:tcW w:w="7512" w:type="dxa"/>
            <w:shd w:val="clear" w:color="auto" w:fill="FFFFFF"/>
          </w:tcPr>
          <w:p w14:paraId="5B750E0C" w14:textId="4E0718F4" w:rsidR="00472B6A" w:rsidRPr="00DA0FCC" w:rsidRDefault="00075167" w:rsidP="00075167">
            <w:pPr>
              <w:pStyle w:val="S8Gazettetabletext"/>
              <w:rPr>
                <w:highlight w:val="yellow"/>
              </w:rPr>
            </w:pPr>
            <w:r>
              <w:t>525 g/L nonanoic acid</w:t>
            </w:r>
          </w:p>
        </w:tc>
      </w:tr>
      <w:tr w:rsidR="00472B6A" w:rsidRPr="00DA0FCC" w14:paraId="21E0F6EC" w14:textId="77777777" w:rsidTr="00075167">
        <w:trPr>
          <w:cantSplit/>
        </w:trPr>
        <w:tc>
          <w:tcPr>
            <w:tcW w:w="2120" w:type="dxa"/>
            <w:shd w:val="clear" w:color="auto" w:fill="D9D9D9"/>
          </w:tcPr>
          <w:p w14:paraId="4A6809C2" w14:textId="3D54751C" w:rsidR="00472B6A" w:rsidRPr="00877F20" w:rsidRDefault="00075167" w:rsidP="00075167">
            <w:pPr>
              <w:pStyle w:val="S8Gazettetableheading"/>
            </w:pPr>
            <w:r>
              <w:t>Applicant name</w:t>
            </w:r>
          </w:p>
        </w:tc>
        <w:tc>
          <w:tcPr>
            <w:tcW w:w="7512" w:type="dxa"/>
            <w:shd w:val="clear" w:color="auto" w:fill="FFFFFF"/>
          </w:tcPr>
          <w:p w14:paraId="144B2541" w14:textId="450245DD" w:rsidR="00472B6A" w:rsidRPr="00DA0FCC" w:rsidRDefault="00075167" w:rsidP="00075167">
            <w:pPr>
              <w:pStyle w:val="S8Gazettetabletext"/>
              <w:rPr>
                <w:highlight w:val="yellow"/>
              </w:rPr>
            </w:pPr>
            <w:proofErr w:type="spellStart"/>
            <w:r>
              <w:t>Imtrade</w:t>
            </w:r>
            <w:proofErr w:type="spellEnd"/>
            <w:r>
              <w:t xml:space="preserve"> Australia Pty Ltd</w:t>
            </w:r>
          </w:p>
        </w:tc>
      </w:tr>
      <w:tr w:rsidR="00472B6A" w:rsidRPr="00DA0FCC" w14:paraId="3207B66B" w14:textId="77777777" w:rsidTr="00075167">
        <w:trPr>
          <w:cantSplit/>
        </w:trPr>
        <w:tc>
          <w:tcPr>
            <w:tcW w:w="2120" w:type="dxa"/>
            <w:shd w:val="clear" w:color="auto" w:fill="D9D9D9"/>
          </w:tcPr>
          <w:p w14:paraId="4E6D7A13" w14:textId="243CA313" w:rsidR="00472B6A" w:rsidRPr="00877F20" w:rsidRDefault="00075167" w:rsidP="00075167">
            <w:pPr>
              <w:pStyle w:val="S8Gazettetableheading"/>
            </w:pPr>
            <w:r>
              <w:t>Applicant ACN</w:t>
            </w:r>
          </w:p>
        </w:tc>
        <w:tc>
          <w:tcPr>
            <w:tcW w:w="7512" w:type="dxa"/>
            <w:shd w:val="clear" w:color="auto" w:fill="FFFFFF"/>
          </w:tcPr>
          <w:p w14:paraId="58F10989" w14:textId="171F9F04" w:rsidR="00472B6A" w:rsidRPr="00DA0FCC" w:rsidRDefault="00075167" w:rsidP="00075167">
            <w:pPr>
              <w:pStyle w:val="S8Gazettetabletext"/>
              <w:rPr>
                <w:highlight w:val="yellow"/>
              </w:rPr>
            </w:pPr>
            <w:r>
              <w:t>090 151 134</w:t>
            </w:r>
          </w:p>
        </w:tc>
      </w:tr>
      <w:tr w:rsidR="00472B6A" w:rsidRPr="00DA0FCC" w14:paraId="24F7776F" w14:textId="77777777" w:rsidTr="00075167">
        <w:trPr>
          <w:cantSplit/>
        </w:trPr>
        <w:tc>
          <w:tcPr>
            <w:tcW w:w="2120" w:type="dxa"/>
            <w:shd w:val="clear" w:color="auto" w:fill="D9D9D9"/>
          </w:tcPr>
          <w:p w14:paraId="6CEE050E" w14:textId="093652A1" w:rsidR="00472B6A" w:rsidRPr="00877F20" w:rsidRDefault="00075167" w:rsidP="00075167">
            <w:pPr>
              <w:pStyle w:val="S8Gazettetableheading"/>
            </w:pPr>
            <w:r>
              <w:t>Date of registration</w:t>
            </w:r>
          </w:p>
        </w:tc>
        <w:tc>
          <w:tcPr>
            <w:tcW w:w="7512" w:type="dxa"/>
            <w:shd w:val="clear" w:color="auto" w:fill="FFFFFF"/>
          </w:tcPr>
          <w:p w14:paraId="0244D04B" w14:textId="727105C5" w:rsidR="00472B6A" w:rsidRPr="00DA0FCC" w:rsidRDefault="00075167" w:rsidP="00075167">
            <w:pPr>
              <w:pStyle w:val="S8Gazettetabletext"/>
              <w:rPr>
                <w:highlight w:val="yellow"/>
              </w:rPr>
            </w:pPr>
            <w:r>
              <w:t>11 December 2025</w:t>
            </w:r>
          </w:p>
        </w:tc>
      </w:tr>
      <w:tr w:rsidR="00472B6A" w:rsidRPr="00DA0FCC" w14:paraId="1A89E65F" w14:textId="77777777" w:rsidTr="00075167">
        <w:trPr>
          <w:cantSplit/>
        </w:trPr>
        <w:tc>
          <w:tcPr>
            <w:tcW w:w="2120" w:type="dxa"/>
            <w:shd w:val="clear" w:color="auto" w:fill="D9D9D9"/>
          </w:tcPr>
          <w:p w14:paraId="44AD9AEB" w14:textId="506C6DDE" w:rsidR="00472B6A" w:rsidRPr="00877F20" w:rsidRDefault="00075167" w:rsidP="00075167">
            <w:pPr>
              <w:pStyle w:val="S8Gazettetableheading"/>
            </w:pPr>
            <w:r>
              <w:t>Product registration no.</w:t>
            </w:r>
          </w:p>
        </w:tc>
        <w:tc>
          <w:tcPr>
            <w:tcW w:w="7512" w:type="dxa"/>
            <w:shd w:val="clear" w:color="auto" w:fill="FFFFFF"/>
          </w:tcPr>
          <w:p w14:paraId="531CFFB0" w14:textId="572B90E0" w:rsidR="00472B6A" w:rsidRPr="00DA0FCC" w:rsidRDefault="00075167" w:rsidP="00075167">
            <w:pPr>
              <w:pStyle w:val="S8Gazettetabletext"/>
              <w:rPr>
                <w:highlight w:val="yellow"/>
              </w:rPr>
            </w:pPr>
            <w:r>
              <w:t>95994</w:t>
            </w:r>
          </w:p>
        </w:tc>
      </w:tr>
      <w:tr w:rsidR="00472B6A" w:rsidRPr="00DA0FCC" w14:paraId="01871D72" w14:textId="77777777" w:rsidTr="00075167">
        <w:trPr>
          <w:cantSplit/>
        </w:trPr>
        <w:tc>
          <w:tcPr>
            <w:tcW w:w="2120" w:type="dxa"/>
            <w:shd w:val="clear" w:color="auto" w:fill="D9D9D9"/>
          </w:tcPr>
          <w:p w14:paraId="37577F69" w14:textId="6B072B40" w:rsidR="00472B6A" w:rsidRPr="00877F20" w:rsidRDefault="00075167" w:rsidP="00075167">
            <w:pPr>
              <w:pStyle w:val="S8Gazettetableheading"/>
            </w:pPr>
            <w:r>
              <w:t>Label approval no.</w:t>
            </w:r>
          </w:p>
        </w:tc>
        <w:tc>
          <w:tcPr>
            <w:tcW w:w="7512" w:type="dxa"/>
            <w:shd w:val="clear" w:color="auto" w:fill="FFFFFF"/>
          </w:tcPr>
          <w:p w14:paraId="32BFC220" w14:textId="3464DA2A" w:rsidR="00472B6A" w:rsidRPr="00DA0FCC" w:rsidRDefault="00075167" w:rsidP="00075167">
            <w:pPr>
              <w:pStyle w:val="S8Gazettetabletext"/>
              <w:rPr>
                <w:highlight w:val="yellow"/>
              </w:rPr>
            </w:pPr>
            <w:r>
              <w:t>95994/147849</w:t>
            </w:r>
          </w:p>
        </w:tc>
      </w:tr>
      <w:tr w:rsidR="00472B6A" w:rsidRPr="00DA0FCC" w14:paraId="186E66EB" w14:textId="77777777" w:rsidTr="00075167">
        <w:trPr>
          <w:cantSplit/>
        </w:trPr>
        <w:tc>
          <w:tcPr>
            <w:tcW w:w="2120" w:type="dxa"/>
            <w:shd w:val="clear" w:color="auto" w:fill="D9D9D9"/>
          </w:tcPr>
          <w:p w14:paraId="37814D65" w14:textId="06E648C8"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7682F142" w14:textId="780AABC0" w:rsidR="00472B6A" w:rsidRPr="00DA0FCC" w:rsidRDefault="00075167" w:rsidP="00075167">
            <w:pPr>
              <w:pStyle w:val="S8Gazettetabletext"/>
            </w:pPr>
            <w:r>
              <w:t>Registration of a 525 g/L nonanoic acid emulsifiable concentrate product for non-selective control of seedling and young broadleaf and grass weeds, for suppression of established weeds and perennial species and for control of moss and algae</w:t>
            </w:r>
          </w:p>
        </w:tc>
      </w:tr>
    </w:tbl>
    <w:p w14:paraId="5E6EF540" w14:textId="77777777" w:rsidR="00472B6A" w:rsidRDefault="00472B6A" w:rsidP="0007516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094D961C" w14:textId="77777777" w:rsidTr="00075167">
        <w:trPr>
          <w:cantSplit/>
        </w:trPr>
        <w:tc>
          <w:tcPr>
            <w:tcW w:w="2120" w:type="dxa"/>
            <w:shd w:val="clear" w:color="auto" w:fill="D9D9D9"/>
          </w:tcPr>
          <w:p w14:paraId="61C374B6" w14:textId="5F7AF625" w:rsidR="00472B6A" w:rsidRPr="00877F20" w:rsidRDefault="00075167" w:rsidP="00075167">
            <w:pPr>
              <w:pStyle w:val="S8Gazettetableheading"/>
            </w:pPr>
            <w:r>
              <w:t>Application no.</w:t>
            </w:r>
          </w:p>
        </w:tc>
        <w:tc>
          <w:tcPr>
            <w:tcW w:w="7512" w:type="dxa"/>
            <w:shd w:val="clear" w:color="auto" w:fill="FFFFFF"/>
          </w:tcPr>
          <w:p w14:paraId="22614981" w14:textId="78C76677" w:rsidR="00472B6A" w:rsidRPr="00DA0FCC" w:rsidRDefault="00075167" w:rsidP="00075167">
            <w:pPr>
              <w:pStyle w:val="S8Gazettetabletext"/>
              <w:rPr>
                <w:rFonts w:hAnsi="Arial"/>
                <w:noProof/>
                <w:highlight w:val="yellow"/>
              </w:rPr>
            </w:pPr>
            <w:r>
              <w:rPr>
                <w:noProof/>
              </w:rPr>
              <w:t>149795</w:t>
            </w:r>
          </w:p>
        </w:tc>
      </w:tr>
      <w:tr w:rsidR="00472B6A" w:rsidRPr="00DA0FCC" w14:paraId="2FB29E07" w14:textId="77777777" w:rsidTr="00075167">
        <w:trPr>
          <w:cantSplit/>
        </w:trPr>
        <w:tc>
          <w:tcPr>
            <w:tcW w:w="2120" w:type="dxa"/>
            <w:shd w:val="clear" w:color="auto" w:fill="D9D9D9"/>
          </w:tcPr>
          <w:p w14:paraId="00846526" w14:textId="2E9DC18F" w:rsidR="00472B6A" w:rsidRPr="00877F20" w:rsidRDefault="00075167" w:rsidP="00075167">
            <w:pPr>
              <w:pStyle w:val="S8Gazettetableheading"/>
            </w:pPr>
            <w:r>
              <w:t>Product name</w:t>
            </w:r>
          </w:p>
        </w:tc>
        <w:tc>
          <w:tcPr>
            <w:tcW w:w="7512" w:type="dxa"/>
            <w:shd w:val="clear" w:color="auto" w:fill="FFFFFF"/>
          </w:tcPr>
          <w:p w14:paraId="72292663" w14:textId="189A4393" w:rsidR="00472B6A" w:rsidRPr="00DA0FCC" w:rsidRDefault="00075167" w:rsidP="00075167">
            <w:pPr>
              <w:pStyle w:val="S8Gazettetabletext"/>
              <w:rPr>
                <w:highlight w:val="yellow"/>
              </w:rPr>
            </w:pPr>
            <w:proofErr w:type="spellStart"/>
            <w:r>
              <w:t>Genfarm</w:t>
            </w:r>
            <w:proofErr w:type="spellEnd"/>
            <w:r>
              <w:t xml:space="preserve"> </w:t>
            </w:r>
            <w:proofErr w:type="spellStart"/>
            <w:r>
              <w:t>Asulam</w:t>
            </w:r>
            <w:proofErr w:type="spellEnd"/>
            <w:r>
              <w:t xml:space="preserve"> 400 SL Selective Herbicide</w:t>
            </w:r>
          </w:p>
        </w:tc>
      </w:tr>
      <w:tr w:rsidR="00472B6A" w:rsidRPr="00DA0FCC" w14:paraId="5E8D7504" w14:textId="77777777" w:rsidTr="00075167">
        <w:trPr>
          <w:cantSplit/>
        </w:trPr>
        <w:tc>
          <w:tcPr>
            <w:tcW w:w="2120" w:type="dxa"/>
            <w:shd w:val="clear" w:color="auto" w:fill="D9D9D9"/>
          </w:tcPr>
          <w:p w14:paraId="72652D82" w14:textId="4F9BFACE" w:rsidR="00472B6A" w:rsidRPr="00877F20" w:rsidRDefault="00075167" w:rsidP="00075167">
            <w:pPr>
              <w:pStyle w:val="S8Gazettetableheading"/>
            </w:pPr>
            <w:r>
              <w:t>Active constituent</w:t>
            </w:r>
          </w:p>
        </w:tc>
        <w:tc>
          <w:tcPr>
            <w:tcW w:w="7512" w:type="dxa"/>
            <w:shd w:val="clear" w:color="auto" w:fill="FFFFFF"/>
          </w:tcPr>
          <w:p w14:paraId="2E8FD28F" w14:textId="2A10B61A" w:rsidR="00472B6A" w:rsidRPr="00DA0FCC" w:rsidRDefault="00075167" w:rsidP="00075167">
            <w:pPr>
              <w:pStyle w:val="S8Gazettetabletext"/>
              <w:rPr>
                <w:highlight w:val="yellow"/>
              </w:rPr>
            </w:pPr>
            <w:r>
              <w:t xml:space="preserve">400 g/L </w:t>
            </w:r>
            <w:proofErr w:type="spellStart"/>
            <w:r>
              <w:t>asulam</w:t>
            </w:r>
            <w:proofErr w:type="spellEnd"/>
            <w:r>
              <w:t xml:space="preserve"> present as the sodium salt</w:t>
            </w:r>
          </w:p>
        </w:tc>
      </w:tr>
      <w:tr w:rsidR="00472B6A" w:rsidRPr="00DA0FCC" w14:paraId="77DC96C1" w14:textId="77777777" w:rsidTr="00075167">
        <w:trPr>
          <w:cantSplit/>
        </w:trPr>
        <w:tc>
          <w:tcPr>
            <w:tcW w:w="2120" w:type="dxa"/>
            <w:shd w:val="clear" w:color="auto" w:fill="D9D9D9"/>
          </w:tcPr>
          <w:p w14:paraId="73CEF5B7" w14:textId="1299DB7D" w:rsidR="00472B6A" w:rsidRPr="00877F20" w:rsidRDefault="00075167" w:rsidP="00075167">
            <w:pPr>
              <w:pStyle w:val="S8Gazettetableheading"/>
            </w:pPr>
            <w:r>
              <w:t>Applicant name</w:t>
            </w:r>
          </w:p>
        </w:tc>
        <w:tc>
          <w:tcPr>
            <w:tcW w:w="7512" w:type="dxa"/>
            <w:shd w:val="clear" w:color="auto" w:fill="FFFFFF"/>
          </w:tcPr>
          <w:p w14:paraId="65B55075" w14:textId="396C1C7A" w:rsidR="00472B6A" w:rsidRPr="00DA0FCC" w:rsidRDefault="00075167" w:rsidP="00075167">
            <w:pPr>
              <w:pStyle w:val="S8Gazettetabletext"/>
              <w:rPr>
                <w:highlight w:val="yellow"/>
              </w:rPr>
            </w:pPr>
            <w:proofErr w:type="spellStart"/>
            <w:r>
              <w:t>Nutrien</w:t>
            </w:r>
            <w:proofErr w:type="spellEnd"/>
            <w:r>
              <w:t xml:space="preserve"> Ag Solutions Limited</w:t>
            </w:r>
          </w:p>
        </w:tc>
      </w:tr>
      <w:tr w:rsidR="00472B6A" w:rsidRPr="00DA0FCC" w14:paraId="083879DE" w14:textId="77777777" w:rsidTr="00075167">
        <w:trPr>
          <w:cantSplit/>
        </w:trPr>
        <w:tc>
          <w:tcPr>
            <w:tcW w:w="2120" w:type="dxa"/>
            <w:shd w:val="clear" w:color="auto" w:fill="D9D9D9"/>
          </w:tcPr>
          <w:p w14:paraId="64906CC9" w14:textId="60217F60" w:rsidR="00472B6A" w:rsidRPr="00877F20" w:rsidRDefault="00075167" w:rsidP="00075167">
            <w:pPr>
              <w:pStyle w:val="S8Gazettetableheading"/>
            </w:pPr>
            <w:r>
              <w:t>Applicant ACN</w:t>
            </w:r>
          </w:p>
        </w:tc>
        <w:tc>
          <w:tcPr>
            <w:tcW w:w="7512" w:type="dxa"/>
            <w:shd w:val="clear" w:color="auto" w:fill="FFFFFF"/>
          </w:tcPr>
          <w:p w14:paraId="13AA52D5" w14:textId="7532BF15" w:rsidR="00472B6A" w:rsidRPr="00DA0FCC" w:rsidRDefault="00075167" w:rsidP="00075167">
            <w:pPr>
              <w:pStyle w:val="S8Gazettetabletext"/>
              <w:rPr>
                <w:highlight w:val="yellow"/>
              </w:rPr>
            </w:pPr>
            <w:r>
              <w:t>008 743 217</w:t>
            </w:r>
          </w:p>
        </w:tc>
      </w:tr>
      <w:tr w:rsidR="00472B6A" w:rsidRPr="00DA0FCC" w14:paraId="2E5E7DE8" w14:textId="77777777" w:rsidTr="00075167">
        <w:trPr>
          <w:cantSplit/>
        </w:trPr>
        <w:tc>
          <w:tcPr>
            <w:tcW w:w="2120" w:type="dxa"/>
            <w:shd w:val="clear" w:color="auto" w:fill="D9D9D9"/>
          </w:tcPr>
          <w:p w14:paraId="79A7EDDF" w14:textId="4E3023E1" w:rsidR="00472B6A" w:rsidRPr="00877F20" w:rsidRDefault="00075167" w:rsidP="00075167">
            <w:pPr>
              <w:pStyle w:val="S8Gazettetableheading"/>
            </w:pPr>
            <w:r>
              <w:t>Date of registration</w:t>
            </w:r>
          </w:p>
        </w:tc>
        <w:tc>
          <w:tcPr>
            <w:tcW w:w="7512" w:type="dxa"/>
            <w:shd w:val="clear" w:color="auto" w:fill="FFFFFF"/>
          </w:tcPr>
          <w:p w14:paraId="3A5D7501" w14:textId="707AF8D2" w:rsidR="00472B6A" w:rsidRPr="00DA0FCC" w:rsidRDefault="00075167" w:rsidP="00075167">
            <w:pPr>
              <w:pStyle w:val="S8Gazettetabletext"/>
              <w:rPr>
                <w:highlight w:val="yellow"/>
              </w:rPr>
            </w:pPr>
            <w:r>
              <w:t>12 December 2025</w:t>
            </w:r>
          </w:p>
        </w:tc>
      </w:tr>
      <w:tr w:rsidR="00472B6A" w:rsidRPr="00DA0FCC" w14:paraId="6FB498C4" w14:textId="77777777" w:rsidTr="00075167">
        <w:trPr>
          <w:cantSplit/>
        </w:trPr>
        <w:tc>
          <w:tcPr>
            <w:tcW w:w="2120" w:type="dxa"/>
            <w:shd w:val="clear" w:color="auto" w:fill="D9D9D9"/>
          </w:tcPr>
          <w:p w14:paraId="7A10FF40" w14:textId="34DEAD8E" w:rsidR="00472B6A" w:rsidRPr="00877F20" w:rsidRDefault="00075167" w:rsidP="00075167">
            <w:pPr>
              <w:pStyle w:val="S8Gazettetableheading"/>
            </w:pPr>
            <w:r>
              <w:t>Product registration no.</w:t>
            </w:r>
          </w:p>
        </w:tc>
        <w:tc>
          <w:tcPr>
            <w:tcW w:w="7512" w:type="dxa"/>
            <w:shd w:val="clear" w:color="auto" w:fill="FFFFFF"/>
          </w:tcPr>
          <w:p w14:paraId="791D2F82" w14:textId="00CD323C" w:rsidR="00472B6A" w:rsidRPr="00DA0FCC" w:rsidRDefault="00075167" w:rsidP="00075167">
            <w:pPr>
              <w:pStyle w:val="S8Gazettetabletext"/>
              <w:rPr>
                <w:highlight w:val="yellow"/>
              </w:rPr>
            </w:pPr>
            <w:r>
              <w:t>96542</w:t>
            </w:r>
          </w:p>
        </w:tc>
      </w:tr>
      <w:tr w:rsidR="00472B6A" w:rsidRPr="00DA0FCC" w14:paraId="56107991" w14:textId="77777777" w:rsidTr="00075167">
        <w:trPr>
          <w:cantSplit/>
        </w:trPr>
        <w:tc>
          <w:tcPr>
            <w:tcW w:w="2120" w:type="dxa"/>
            <w:shd w:val="clear" w:color="auto" w:fill="D9D9D9"/>
          </w:tcPr>
          <w:p w14:paraId="7E5591DB" w14:textId="15A9D099" w:rsidR="00472B6A" w:rsidRPr="00877F20" w:rsidRDefault="00075167" w:rsidP="00075167">
            <w:pPr>
              <w:pStyle w:val="S8Gazettetableheading"/>
            </w:pPr>
            <w:r>
              <w:t>Label approval no.</w:t>
            </w:r>
          </w:p>
        </w:tc>
        <w:tc>
          <w:tcPr>
            <w:tcW w:w="7512" w:type="dxa"/>
            <w:shd w:val="clear" w:color="auto" w:fill="FFFFFF"/>
          </w:tcPr>
          <w:p w14:paraId="33C98C19" w14:textId="5585332F" w:rsidR="00472B6A" w:rsidRPr="00DA0FCC" w:rsidRDefault="00075167" w:rsidP="00075167">
            <w:pPr>
              <w:pStyle w:val="S8Gazettetabletext"/>
              <w:rPr>
                <w:highlight w:val="yellow"/>
              </w:rPr>
            </w:pPr>
            <w:r>
              <w:t>96542/149795</w:t>
            </w:r>
          </w:p>
        </w:tc>
      </w:tr>
      <w:tr w:rsidR="00472B6A" w:rsidRPr="00DA0FCC" w14:paraId="1AD750C9" w14:textId="77777777" w:rsidTr="00075167">
        <w:trPr>
          <w:cantSplit/>
        </w:trPr>
        <w:tc>
          <w:tcPr>
            <w:tcW w:w="2120" w:type="dxa"/>
            <w:shd w:val="clear" w:color="auto" w:fill="D9D9D9"/>
          </w:tcPr>
          <w:p w14:paraId="51148B63" w14:textId="705AEC35"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1C343B65" w14:textId="374E1B11" w:rsidR="00472B6A" w:rsidRPr="00DA0FCC" w:rsidRDefault="00075167" w:rsidP="00075167">
            <w:pPr>
              <w:pStyle w:val="S8Gazettetabletext"/>
            </w:pPr>
            <w:r>
              <w:t xml:space="preserve">Registration of a 400 g/L </w:t>
            </w:r>
            <w:proofErr w:type="spellStart"/>
            <w:r>
              <w:t>asulam</w:t>
            </w:r>
            <w:proofErr w:type="spellEnd"/>
            <w:r>
              <w:t xml:space="preserve"> present as the </w:t>
            </w:r>
            <w:r w:rsidR="00713D0D">
              <w:t>s</w:t>
            </w:r>
            <w:r>
              <w:t>odium salt, formulated as a soluble concentrate (SL) product for control of bracken fern in pastures, grasses in sugar cane, and a range of weeds and grasses in crops and pastures</w:t>
            </w:r>
          </w:p>
        </w:tc>
      </w:tr>
    </w:tbl>
    <w:p w14:paraId="1010BCDF" w14:textId="77777777" w:rsidR="00472B6A" w:rsidRDefault="00472B6A" w:rsidP="0007516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6BF31175" w14:textId="77777777" w:rsidTr="001A4A93">
        <w:trPr>
          <w:cantSplit/>
          <w:tblHeader/>
        </w:trPr>
        <w:tc>
          <w:tcPr>
            <w:tcW w:w="2120" w:type="dxa"/>
            <w:shd w:val="clear" w:color="auto" w:fill="D9D9D9"/>
          </w:tcPr>
          <w:p w14:paraId="6D2A79FF" w14:textId="7EF960F0" w:rsidR="00472B6A" w:rsidRPr="00877F20" w:rsidRDefault="00075167" w:rsidP="00075167">
            <w:pPr>
              <w:pStyle w:val="S8Gazettetableheading"/>
            </w:pPr>
            <w:r>
              <w:lastRenderedPageBreak/>
              <w:t>Application no.</w:t>
            </w:r>
          </w:p>
        </w:tc>
        <w:tc>
          <w:tcPr>
            <w:tcW w:w="7512" w:type="dxa"/>
            <w:shd w:val="clear" w:color="auto" w:fill="FFFFFF"/>
          </w:tcPr>
          <w:p w14:paraId="11971451" w14:textId="3060F073" w:rsidR="00472B6A" w:rsidRPr="00DA0FCC" w:rsidRDefault="00075167" w:rsidP="00075167">
            <w:pPr>
              <w:pStyle w:val="S8Gazettetabletext"/>
              <w:rPr>
                <w:rFonts w:hAnsi="Arial"/>
                <w:noProof/>
                <w:highlight w:val="yellow"/>
              </w:rPr>
            </w:pPr>
            <w:r>
              <w:rPr>
                <w:noProof/>
              </w:rPr>
              <w:t>148603</w:t>
            </w:r>
          </w:p>
        </w:tc>
      </w:tr>
      <w:tr w:rsidR="00472B6A" w:rsidRPr="00DA0FCC" w14:paraId="3FC6C090" w14:textId="77777777" w:rsidTr="001A4A93">
        <w:trPr>
          <w:cantSplit/>
          <w:tblHeader/>
        </w:trPr>
        <w:tc>
          <w:tcPr>
            <w:tcW w:w="2120" w:type="dxa"/>
            <w:shd w:val="clear" w:color="auto" w:fill="D9D9D9"/>
          </w:tcPr>
          <w:p w14:paraId="66F1B1E2" w14:textId="08883B11" w:rsidR="00472B6A" w:rsidRPr="00877F20" w:rsidRDefault="00075167" w:rsidP="00075167">
            <w:pPr>
              <w:pStyle w:val="S8Gazettetableheading"/>
            </w:pPr>
            <w:r>
              <w:t>Product name</w:t>
            </w:r>
          </w:p>
        </w:tc>
        <w:tc>
          <w:tcPr>
            <w:tcW w:w="7512" w:type="dxa"/>
            <w:shd w:val="clear" w:color="auto" w:fill="FFFFFF"/>
          </w:tcPr>
          <w:p w14:paraId="61421905" w14:textId="7F3E6673" w:rsidR="00472B6A" w:rsidRPr="00DA0FCC" w:rsidRDefault="00075167" w:rsidP="00075167">
            <w:pPr>
              <w:pStyle w:val="S8Gazettetabletext"/>
              <w:rPr>
                <w:highlight w:val="yellow"/>
              </w:rPr>
            </w:pPr>
            <w:proofErr w:type="spellStart"/>
            <w:r>
              <w:t>Novaguard</w:t>
            </w:r>
            <w:proofErr w:type="spellEnd"/>
            <w:r>
              <w:t xml:space="preserve"> </w:t>
            </w:r>
            <w:proofErr w:type="spellStart"/>
            <w:r>
              <w:t>Boscalid</w:t>
            </w:r>
            <w:proofErr w:type="spellEnd"/>
            <w:r>
              <w:t xml:space="preserve"> 500 WG Fungicide</w:t>
            </w:r>
          </w:p>
        </w:tc>
      </w:tr>
      <w:tr w:rsidR="00472B6A" w:rsidRPr="00DA0FCC" w14:paraId="3638C558" w14:textId="77777777" w:rsidTr="001A4A93">
        <w:trPr>
          <w:cantSplit/>
          <w:tblHeader/>
        </w:trPr>
        <w:tc>
          <w:tcPr>
            <w:tcW w:w="2120" w:type="dxa"/>
            <w:shd w:val="clear" w:color="auto" w:fill="D9D9D9"/>
          </w:tcPr>
          <w:p w14:paraId="46D635CB" w14:textId="0200192E" w:rsidR="00472B6A" w:rsidRPr="00877F20" w:rsidRDefault="00075167" w:rsidP="00075167">
            <w:pPr>
              <w:pStyle w:val="S8Gazettetableheading"/>
            </w:pPr>
            <w:r>
              <w:t>Active constituent</w:t>
            </w:r>
          </w:p>
        </w:tc>
        <w:tc>
          <w:tcPr>
            <w:tcW w:w="7512" w:type="dxa"/>
            <w:shd w:val="clear" w:color="auto" w:fill="FFFFFF"/>
          </w:tcPr>
          <w:p w14:paraId="22DA92A7" w14:textId="25E8F500" w:rsidR="00472B6A" w:rsidRPr="00DA0FCC" w:rsidRDefault="00075167" w:rsidP="00075167">
            <w:pPr>
              <w:pStyle w:val="S8Gazettetabletext"/>
              <w:rPr>
                <w:highlight w:val="yellow"/>
              </w:rPr>
            </w:pPr>
            <w:r>
              <w:t xml:space="preserve">500 g/kg </w:t>
            </w:r>
            <w:proofErr w:type="spellStart"/>
            <w:r>
              <w:t>boscalid</w:t>
            </w:r>
            <w:proofErr w:type="spellEnd"/>
          </w:p>
        </w:tc>
      </w:tr>
      <w:tr w:rsidR="00472B6A" w:rsidRPr="00DA0FCC" w14:paraId="59C9FB91" w14:textId="77777777" w:rsidTr="001A4A93">
        <w:trPr>
          <w:cantSplit/>
          <w:tblHeader/>
        </w:trPr>
        <w:tc>
          <w:tcPr>
            <w:tcW w:w="2120" w:type="dxa"/>
            <w:shd w:val="clear" w:color="auto" w:fill="D9D9D9"/>
          </w:tcPr>
          <w:p w14:paraId="3AF78F0B" w14:textId="60FFD0FC" w:rsidR="00472B6A" w:rsidRPr="00877F20" w:rsidRDefault="00075167" w:rsidP="00075167">
            <w:pPr>
              <w:pStyle w:val="S8Gazettetableheading"/>
            </w:pPr>
            <w:r>
              <w:t>Applicant name</w:t>
            </w:r>
          </w:p>
        </w:tc>
        <w:tc>
          <w:tcPr>
            <w:tcW w:w="7512" w:type="dxa"/>
            <w:shd w:val="clear" w:color="auto" w:fill="FFFFFF"/>
          </w:tcPr>
          <w:p w14:paraId="46377D2D" w14:textId="38B7D84A" w:rsidR="00472B6A" w:rsidRPr="00DA0FCC" w:rsidRDefault="00075167" w:rsidP="00075167">
            <w:pPr>
              <w:pStyle w:val="S8Gazettetabletext"/>
              <w:rPr>
                <w:highlight w:val="yellow"/>
              </w:rPr>
            </w:pPr>
            <w:proofErr w:type="spellStart"/>
            <w:r>
              <w:t>Novaguard</w:t>
            </w:r>
            <w:proofErr w:type="spellEnd"/>
            <w:r>
              <w:t xml:space="preserve"> Pty Ltd</w:t>
            </w:r>
          </w:p>
        </w:tc>
      </w:tr>
      <w:tr w:rsidR="00472B6A" w:rsidRPr="00DA0FCC" w14:paraId="2B414255" w14:textId="77777777" w:rsidTr="001A4A93">
        <w:trPr>
          <w:cantSplit/>
          <w:tblHeader/>
        </w:trPr>
        <w:tc>
          <w:tcPr>
            <w:tcW w:w="2120" w:type="dxa"/>
            <w:shd w:val="clear" w:color="auto" w:fill="D9D9D9"/>
          </w:tcPr>
          <w:p w14:paraId="34C4C9CF" w14:textId="684335CB" w:rsidR="00472B6A" w:rsidRPr="00877F20" w:rsidRDefault="00075167" w:rsidP="00075167">
            <w:pPr>
              <w:pStyle w:val="S8Gazettetableheading"/>
            </w:pPr>
            <w:r>
              <w:t>Applicant ACN</w:t>
            </w:r>
          </w:p>
        </w:tc>
        <w:tc>
          <w:tcPr>
            <w:tcW w:w="7512" w:type="dxa"/>
            <w:shd w:val="clear" w:color="auto" w:fill="FFFFFF"/>
          </w:tcPr>
          <w:p w14:paraId="7C7EE5C2" w14:textId="71B33877" w:rsidR="00472B6A" w:rsidRPr="00DA0FCC" w:rsidRDefault="00075167" w:rsidP="00075167">
            <w:pPr>
              <w:pStyle w:val="S8Gazettetabletext"/>
              <w:rPr>
                <w:highlight w:val="yellow"/>
              </w:rPr>
            </w:pPr>
            <w:r>
              <w:t>153 121 156</w:t>
            </w:r>
          </w:p>
        </w:tc>
      </w:tr>
      <w:tr w:rsidR="00472B6A" w:rsidRPr="00DA0FCC" w14:paraId="4EA6443D" w14:textId="77777777" w:rsidTr="001A4A93">
        <w:trPr>
          <w:cantSplit/>
          <w:tblHeader/>
        </w:trPr>
        <w:tc>
          <w:tcPr>
            <w:tcW w:w="2120" w:type="dxa"/>
            <w:shd w:val="clear" w:color="auto" w:fill="D9D9D9"/>
          </w:tcPr>
          <w:p w14:paraId="019A7E4A" w14:textId="63AAF359" w:rsidR="00472B6A" w:rsidRPr="00877F20" w:rsidRDefault="00075167" w:rsidP="00075167">
            <w:pPr>
              <w:pStyle w:val="S8Gazettetableheading"/>
            </w:pPr>
            <w:r>
              <w:t>Date of registration</w:t>
            </w:r>
          </w:p>
        </w:tc>
        <w:tc>
          <w:tcPr>
            <w:tcW w:w="7512" w:type="dxa"/>
            <w:shd w:val="clear" w:color="auto" w:fill="FFFFFF"/>
          </w:tcPr>
          <w:p w14:paraId="1EEB9455" w14:textId="1FE584A4" w:rsidR="00472B6A" w:rsidRPr="00DA0FCC" w:rsidRDefault="00075167" w:rsidP="00075167">
            <w:pPr>
              <w:pStyle w:val="S8Gazettetabletext"/>
              <w:rPr>
                <w:highlight w:val="yellow"/>
              </w:rPr>
            </w:pPr>
            <w:r>
              <w:t>12 December 2025</w:t>
            </w:r>
          </w:p>
        </w:tc>
      </w:tr>
      <w:tr w:rsidR="00472B6A" w:rsidRPr="00DA0FCC" w14:paraId="7DBDD2A4" w14:textId="77777777" w:rsidTr="001A4A93">
        <w:trPr>
          <w:cantSplit/>
          <w:tblHeader/>
        </w:trPr>
        <w:tc>
          <w:tcPr>
            <w:tcW w:w="2120" w:type="dxa"/>
            <w:shd w:val="clear" w:color="auto" w:fill="D9D9D9"/>
          </w:tcPr>
          <w:p w14:paraId="5B94C8D0" w14:textId="7E7B03D3" w:rsidR="00472B6A" w:rsidRPr="00877F20" w:rsidRDefault="00075167" w:rsidP="00075167">
            <w:pPr>
              <w:pStyle w:val="S8Gazettetableheading"/>
            </w:pPr>
            <w:r>
              <w:t>Product registration no.</w:t>
            </w:r>
          </w:p>
        </w:tc>
        <w:tc>
          <w:tcPr>
            <w:tcW w:w="7512" w:type="dxa"/>
            <w:shd w:val="clear" w:color="auto" w:fill="FFFFFF"/>
          </w:tcPr>
          <w:p w14:paraId="75E8C440" w14:textId="77BFF793" w:rsidR="00472B6A" w:rsidRPr="00DA0FCC" w:rsidRDefault="00075167" w:rsidP="00075167">
            <w:pPr>
              <w:pStyle w:val="S8Gazettetabletext"/>
              <w:rPr>
                <w:highlight w:val="yellow"/>
              </w:rPr>
            </w:pPr>
            <w:r>
              <w:t>96231</w:t>
            </w:r>
          </w:p>
        </w:tc>
      </w:tr>
      <w:tr w:rsidR="00472B6A" w:rsidRPr="00DA0FCC" w14:paraId="5D58322B" w14:textId="77777777" w:rsidTr="001A4A93">
        <w:trPr>
          <w:cantSplit/>
          <w:tblHeader/>
        </w:trPr>
        <w:tc>
          <w:tcPr>
            <w:tcW w:w="2120" w:type="dxa"/>
            <w:shd w:val="clear" w:color="auto" w:fill="D9D9D9"/>
          </w:tcPr>
          <w:p w14:paraId="7646E678" w14:textId="305AB8E2" w:rsidR="00472B6A" w:rsidRPr="00877F20" w:rsidRDefault="00075167" w:rsidP="00075167">
            <w:pPr>
              <w:pStyle w:val="S8Gazettetableheading"/>
            </w:pPr>
            <w:r>
              <w:t>Label approval no.</w:t>
            </w:r>
          </w:p>
        </w:tc>
        <w:tc>
          <w:tcPr>
            <w:tcW w:w="7512" w:type="dxa"/>
            <w:shd w:val="clear" w:color="auto" w:fill="FFFFFF"/>
          </w:tcPr>
          <w:p w14:paraId="19048467" w14:textId="22FB8703" w:rsidR="00472B6A" w:rsidRPr="00DA0FCC" w:rsidRDefault="00075167" w:rsidP="00075167">
            <w:pPr>
              <w:pStyle w:val="S8Gazettetabletext"/>
              <w:rPr>
                <w:highlight w:val="yellow"/>
              </w:rPr>
            </w:pPr>
            <w:r>
              <w:t>96231/148603</w:t>
            </w:r>
          </w:p>
        </w:tc>
      </w:tr>
      <w:tr w:rsidR="00472B6A" w:rsidRPr="00DA0FCC" w14:paraId="46099FE1" w14:textId="77777777" w:rsidTr="001A4A93">
        <w:trPr>
          <w:cantSplit/>
          <w:tblHeader/>
        </w:trPr>
        <w:tc>
          <w:tcPr>
            <w:tcW w:w="2120" w:type="dxa"/>
            <w:shd w:val="clear" w:color="auto" w:fill="D9D9D9"/>
          </w:tcPr>
          <w:p w14:paraId="1B8971CB" w14:textId="457EBBCE"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02DF27E1" w14:textId="1D138795" w:rsidR="00472B6A" w:rsidRPr="00DA0FCC" w:rsidRDefault="00075167" w:rsidP="00075167">
            <w:pPr>
              <w:pStyle w:val="S8Gazettetabletext"/>
            </w:pPr>
            <w:r>
              <w:t xml:space="preserve">Registration of a 500 g/kg </w:t>
            </w:r>
            <w:proofErr w:type="spellStart"/>
            <w:r>
              <w:t>boscalid</w:t>
            </w:r>
            <w:proofErr w:type="spellEnd"/>
            <w:r>
              <w:t xml:space="preserve"> product, formulated as a water dispersible granule (WG) for the control of bunch rot (botrytis cinerea) in grapevines</w:t>
            </w:r>
          </w:p>
        </w:tc>
      </w:tr>
    </w:tbl>
    <w:p w14:paraId="7A475CF8" w14:textId="77777777" w:rsidR="00472B6A" w:rsidRDefault="00472B6A" w:rsidP="00075167">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472B6A" w:rsidRPr="00DA0FCC" w14:paraId="49787581" w14:textId="77777777" w:rsidTr="00075167">
        <w:trPr>
          <w:cantSplit/>
        </w:trPr>
        <w:tc>
          <w:tcPr>
            <w:tcW w:w="2120" w:type="dxa"/>
            <w:shd w:val="clear" w:color="auto" w:fill="D9D9D9"/>
          </w:tcPr>
          <w:p w14:paraId="1EC68BF5" w14:textId="24125D06" w:rsidR="00472B6A" w:rsidRPr="00877F20" w:rsidRDefault="00075167" w:rsidP="00075167">
            <w:pPr>
              <w:pStyle w:val="S8Gazettetableheading"/>
            </w:pPr>
            <w:r>
              <w:t>Application no.</w:t>
            </w:r>
          </w:p>
        </w:tc>
        <w:tc>
          <w:tcPr>
            <w:tcW w:w="7512" w:type="dxa"/>
            <w:shd w:val="clear" w:color="auto" w:fill="FFFFFF"/>
          </w:tcPr>
          <w:p w14:paraId="41F40534" w14:textId="395927C3" w:rsidR="00472B6A" w:rsidRPr="00DA0FCC" w:rsidRDefault="00075167" w:rsidP="00075167">
            <w:pPr>
              <w:pStyle w:val="S8Gazettetabletext"/>
              <w:rPr>
                <w:rFonts w:hAnsi="Arial"/>
                <w:noProof/>
                <w:highlight w:val="yellow"/>
              </w:rPr>
            </w:pPr>
            <w:r>
              <w:rPr>
                <w:noProof/>
              </w:rPr>
              <w:t>149696</w:t>
            </w:r>
          </w:p>
        </w:tc>
      </w:tr>
      <w:tr w:rsidR="00472B6A" w:rsidRPr="00DA0FCC" w14:paraId="24BDAFA5" w14:textId="77777777" w:rsidTr="00075167">
        <w:trPr>
          <w:cantSplit/>
        </w:trPr>
        <w:tc>
          <w:tcPr>
            <w:tcW w:w="2120" w:type="dxa"/>
            <w:shd w:val="clear" w:color="auto" w:fill="D9D9D9"/>
          </w:tcPr>
          <w:p w14:paraId="2D40B8FF" w14:textId="296D5351" w:rsidR="00472B6A" w:rsidRPr="00877F20" w:rsidRDefault="00075167" w:rsidP="00075167">
            <w:pPr>
              <w:pStyle w:val="S8Gazettetableheading"/>
            </w:pPr>
            <w:r>
              <w:t>Product name</w:t>
            </w:r>
          </w:p>
        </w:tc>
        <w:tc>
          <w:tcPr>
            <w:tcW w:w="7512" w:type="dxa"/>
            <w:shd w:val="clear" w:color="auto" w:fill="FFFFFF"/>
          </w:tcPr>
          <w:p w14:paraId="2705CE07" w14:textId="4FF6377B" w:rsidR="00472B6A" w:rsidRPr="00DA0FCC" w:rsidRDefault="00075167" w:rsidP="00075167">
            <w:pPr>
              <w:pStyle w:val="S8Gazettetabletext"/>
              <w:rPr>
                <w:highlight w:val="yellow"/>
              </w:rPr>
            </w:pPr>
            <w:proofErr w:type="spellStart"/>
            <w:r>
              <w:t>Genfarm</w:t>
            </w:r>
            <w:proofErr w:type="spellEnd"/>
            <w:r>
              <w:t xml:space="preserve"> </w:t>
            </w:r>
            <w:proofErr w:type="spellStart"/>
            <w:r>
              <w:t>Pinox</w:t>
            </w:r>
            <w:proofErr w:type="spellEnd"/>
            <w:r>
              <w:t xml:space="preserve"> 100 EC Herbicide</w:t>
            </w:r>
          </w:p>
        </w:tc>
      </w:tr>
      <w:tr w:rsidR="00472B6A" w:rsidRPr="00DA0FCC" w14:paraId="7527370A" w14:textId="77777777" w:rsidTr="00075167">
        <w:trPr>
          <w:cantSplit/>
        </w:trPr>
        <w:tc>
          <w:tcPr>
            <w:tcW w:w="2120" w:type="dxa"/>
            <w:shd w:val="clear" w:color="auto" w:fill="D9D9D9"/>
          </w:tcPr>
          <w:p w14:paraId="1C082343" w14:textId="34E8DD05" w:rsidR="00472B6A" w:rsidRPr="00877F20" w:rsidRDefault="00075167" w:rsidP="00075167">
            <w:pPr>
              <w:pStyle w:val="S8Gazettetableheading"/>
            </w:pPr>
            <w:r>
              <w:t>Active constituents</w:t>
            </w:r>
          </w:p>
        </w:tc>
        <w:tc>
          <w:tcPr>
            <w:tcW w:w="7512" w:type="dxa"/>
            <w:shd w:val="clear" w:color="auto" w:fill="FFFFFF"/>
          </w:tcPr>
          <w:p w14:paraId="7F3D7E67" w14:textId="4D8E8FE9" w:rsidR="00472B6A" w:rsidRPr="00DA0FCC" w:rsidRDefault="00075167" w:rsidP="00075167">
            <w:pPr>
              <w:pStyle w:val="S8Gazettetabletext"/>
              <w:rPr>
                <w:highlight w:val="yellow"/>
              </w:rPr>
            </w:pPr>
            <w:r>
              <w:t xml:space="preserve">100 g/L </w:t>
            </w:r>
            <w:proofErr w:type="spellStart"/>
            <w:r>
              <w:t>pinoxaden</w:t>
            </w:r>
            <w:proofErr w:type="spellEnd"/>
            <w:r>
              <w:t>, 25 g/L cloquintocet-</w:t>
            </w:r>
            <w:proofErr w:type="spellStart"/>
            <w:r>
              <w:t>mexyl</w:t>
            </w:r>
            <w:proofErr w:type="spellEnd"/>
          </w:p>
        </w:tc>
      </w:tr>
      <w:tr w:rsidR="00472B6A" w:rsidRPr="00DA0FCC" w14:paraId="031C274A" w14:textId="77777777" w:rsidTr="00075167">
        <w:trPr>
          <w:cantSplit/>
        </w:trPr>
        <w:tc>
          <w:tcPr>
            <w:tcW w:w="2120" w:type="dxa"/>
            <w:shd w:val="clear" w:color="auto" w:fill="D9D9D9"/>
          </w:tcPr>
          <w:p w14:paraId="7C77841F" w14:textId="664136AB" w:rsidR="00472B6A" w:rsidRPr="00877F20" w:rsidRDefault="00075167" w:rsidP="00075167">
            <w:pPr>
              <w:pStyle w:val="S8Gazettetableheading"/>
            </w:pPr>
            <w:r>
              <w:t>Applicant name</w:t>
            </w:r>
          </w:p>
        </w:tc>
        <w:tc>
          <w:tcPr>
            <w:tcW w:w="7512" w:type="dxa"/>
            <w:shd w:val="clear" w:color="auto" w:fill="FFFFFF"/>
          </w:tcPr>
          <w:p w14:paraId="1014A575" w14:textId="6871F02C" w:rsidR="00472B6A" w:rsidRPr="00DA0FCC" w:rsidRDefault="00075167" w:rsidP="00075167">
            <w:pPr>
              <w:pStyle w:val="S8Gazettetabletext"/>
              <w:rPr>
                <w:highlight w:val="yellow"/>
              </w:rPr>
            </w:pPr>
            <w:proofErr w:type="spellStart"/>
            <w:r>
              <w:t>Nutrien</w:t>
            </w:r>
            <w:proofErr w:type="spellEnd"/>
            <w:r>
              <w:t xml:space="preserve"> Ag Solutions Limited</w:t>
            </w:r>
          </w:p>
        </w:tc>
      </w:tr>
      <w:tr w:rsidR="00472B6A" w:rsidRPr="00DA0FCC" w14:paraId="45177C18" w14:textId="77777777" w:rsidTr="00075167">
        <w:trPr>
          <w:cantSplit/>
        </w:trPr>
        <w:tc>
          <w:tcPr>
            <w:tcW w:w="2120" w:type="dxa"/>
            <w:shd w:val="clear" w:color="auto" w:fill="D9D9D9"/>
          </w:tcPr>
          <w:p w14:paraId="6A1BF4AF" w14:textId="06934BB4" w:rsidR="00472B6A" w:rsidRPr="00877F20" w:rsidRDefault="00075167" w:rsidP="00075167">
            <w:pPr>
              <w:pStyle w:val="S8Gazettetableheading"/>
            </w:pPr>
            <w:r>
              <w:t>Applicant ACN</w:t>
            </w:r>
          </w:p>
        </w:tc>
        <w:tc>
          <w:tcPr>
            <w:tcW w:w="7512" w:type="dxa"/>
            <w:shd w:val="clear" w:color="auto" w:fill="FFFFFF"/>
          </w:tcPr>
          <w:p w14:paraId="4D86BD42" w14:textId="3980712F" w:rsidR="00472B6A" w:rsidRPr="00DA0FCC" w:rsidRDefault="00075167" w:rsidP="00075167">
            <w:pPr>
              <w:pStyle w:val="S8Gazettetabletext"/>
              <w:rPr>
                <w:highlight w:val="yellow"/>
              </w:rPr>
            </w:pPr>
            <w:r>
              <w:t>008 743 217</w:t>
            </w:r>
          </w:p>
        </w:tc>
      </w:tr>
      <w:tr w:rsidR="00472B6A" w:rsidRPr="00DA0FCC" w14:paraId="2AE17F45" w14:textId="77777777" w:rsidTr="00075167">
        <w:trPr>
          <w:cantSplit/>
        </w:trPr>
        <w:tc>
          <w:tcPr>
            <w:tcW w:w="2120" w:type="dxa"/>
            <w:shd w:val="clear" w:color="auto" w:fill="D9D9D9"/>
          </w:tcPr>
          <w:p w14:paraId="31008CDF" w14:textId="2AF24D6D" w:rsidR="00472B6A" w:rsidRPr="00877F20" w:rsidRDefault="00075167" w:rsidP="00075167">
            <w:pPr>
              <w:pStyle w:val="S8Gazettetableheading"/>
            </w:pPr>
            <w:r>
              <w:t>Date of registration</w:t>
            </w:r>
          </w:p>
        </w:tc>
        <w:tc>
          <w:tcPr>
            <w:tcW w:w="7512" w:type="dxa"/>
            <w:shd w:val="clear" w:color="auto" w:fill="FFFFFF"/>
          </w:tcPr>
          <w:p w14:paraId="7D290CEB" w14:textId="5608B688" w:rsidR="00472B6A" w:rsidRPr="00DA0FCC" w:rsidRDefault="00075167" w:rsidP="00075167">
            <w:pPr>
              <w:pStyle w:val="S8Gazettetabletext"/>
              <w:rPr>
                <w:highlight w:val="yellow"/>
              </w:rPr>
            </w:pPr>
            <w:r>
              <w:t>12 December 2025</w:t>
            </w:r>
          </w:p>
        </w:tc>
      </w:tr>
      <w:tr w:rsidR="00472B6A" w:rsidRPr="00DA0FCC" w14:paraId="70400E85" w14:textId="77777777" w:rsidTr="00075167">
        <w:trPr>
          <w:cantSplit/>
        </w:trPr>
        <w:tc>
          <w:tcPr>
            <w:tcW w:w="2120" w:type="dxa"/>
            <w:shd w:val="clear" w:color="auto" w:fill="D9D9D9"/>
          </w:tcPr>
          <w:p w14:paraId="27DC4320" w14:textId="2E69A628" w:rsidR="00472B6A" w:rsidRPr="00877F20" w:rsidRDefault="00075167" w:rsidP="00075167">
            <w:pPr>
              <w:pStyle w:val="S8Gazettetableheading"/>
            </w:pPr>
            <w:r>
              <w:t>Product registration no.</w:t>
            </w:r>
          </w:p>
        </w:tc>
        <w:tc>
          <w:tcPr>
            <w:tcW w:w="7512" w:type="dxa"/>
            <w:shd w:val="clear" w:color="auto" w:fill="FFFFFF"/>
          </w:tcPr>
          <w:p w14:paraId="4807D9EC" w14:textId="073FDF4B" w:rsidR="00472B6A" w:rsidRPr="00DA0FCC" w:rsidRDefault="00075167" w:rsidP="00075167">
            <w:pPr>
              <w:pStyle w:val="S8Gazettetabletext"/>
              <w:rPr>
                <w:highlight w:val="yellow"/>
              </w:rPr>
            </w:pPr>
            <w:r>
              <w:t>96532</w:t>
            </w:r>
          </w:p>
        </w:tc>
      </w:tr>
      <w:tr w:rsidR="00472B6A" w:rsidRPr="00DA0FCC" w14:paraId="282977BF" w14:textId="77777777" w:rsidTr="00075167">
        <w:trPr>
          <w:cantSplit/>
        </w:trPr>
        <w:tc>
          <w:tcPr>
            <w:tcW w:w="2120" w:type="dxa"/>
            <w:shd w:val="clear" w:color="auto" w:fill="D9D9D9"/>
          </w:tcPr>
          <w:p w14:paraId="6479F1B6" w14:textId="37C5AE97" w:rsidR="00472B6A" w:rsidRPr="00877F20" w:rsidRDefault="00075167" w:rsidP="00075167">
            <w:pPr>
              <w:pStyle w:val="S8Gazettetableheading"/>
            </w:pPr>
            <w:r>
              <w:t>Label approval no.</w:t>
            </w:r>
          </w:p>
        </w:tc>
        <w:tc>
          <w:tcPr>
            <w:tcW w:w="7512" w:type="dxa"/>
            <w:shd w:val="clear" w:color="auto" w:fill="FFFFFF"/>
          </w:tcPr>
          <w:p w14:paraId="353AB473" w14:textId="47E0F933" w:rsidR="00472B6A" w:rsidRPr="00DA0FCC" w:rsidRDefault="00075167" w:rsidP="00075167">
            <w:pPr>
              <w:pStyle w:val="S8Gazettetabletext"/>
              <w:rPr>
                <w:highlight w:val="yellow"/>
              </w:rPr>
            </w:pPr>
            <w:r>
              <w:t>96532/149696</w:t>
            </w:r>
          </w:p>
        </w:tc>
      </w:tr>
      <w:tr w:rsidR="00472B6A" w:rsidRPr="00DA0FCC" w14:paraId="58C6369E" w14:textId="77777777" w:rsidTr="00075167">
        <w:trPr>
          <w:cantSplit/>
        </w:trPr>
        <w:tc>
          <w:tcPr>
            <w:tcW w:w="2120" w:type="dxa"/>
            <w:shd w:val="clear" w:color="auto" w:fill="D9D9D9"/>
          </w:tcPr>
          <w:p w14:paraId="59E3974D" w14:textId="4ACA6E0B" w:rsidR="00472B6A" w:rsidRPr="00877F20" w:rsidRDefault="00075167" w:rsidP="00075167">
            <w:pPr>
              <w:pStyle w:val="S8Gazettetableheading"/>
            </w:pPr>
            <w:r>
              <w:t>Description of the application and its purpose, including the intended use of the chemical product</w:t>
            </w:r>
          </w:p>
        </w:tc>
        <w:tc>
          <w:tcPr>
            <w:tcW w:w="7512" w:type="dxa"/>
            <w:shd w:val="clear" w:color="auto" w:fill="FFFFFF"/>
          </w:tcPr>
          <w:p w14:paraId="0B3058AA" w14:textId="566B4DA7" w:rsidR="00472B6A" w:rsidRPr="00DA0FCC" w:rsidRDefault="00075167" w:rsidP="00075167">
            <w:pPr>
              <w:pStyle w:val="S8Gazettetabletext"/>
            </w:pPr>
            <w:r>
              <w:t xml:space="preserve">Registration of a 100 g/L </w:t>
            </w:r>
            <w:proofErr w:type="spellStart"/>
            <w:r>
              <w:t>pinoxaden</w:t>
            </w:r>
            <w:proofErr w:type="spellEnd"/>
            <w:r>
              <w:t xml:space="preserve"> product, formulated as an emulsifiable concentrate (EC) for control of key grass weeds and selective spray topping of wild oats in barley and wheat</w:t>
            </w:r>
          </w:p>
        </w:tc>
      </w:tr>
    </w:tbl>
    <w:p w14:paraId="3725069E" w14:textId="32C0A9E9" w:rsidR="00472B6A" w:rsidRDefault="00472B6A" w:rsidP="00472B6A">
      <w:pPr>
        <w:pStyle w:val="Caption"/>
      </w:pPr>
      <w:r>
        <w:t xml:space="preserve">Table </w:t>
      </w:r>
      <w:r>
        <w:fldChar w:fldCharType="begin"/>
      </w:r>
      <w:r>
        <w:instrText xml:space="preserve"> SEQ Table \* ARABIC </w:instrText>
      </w:r>
      <w:r>
        <w:fldChar w:fldCharType="separate"/>
      </w:r>
      <w:r w:rsidR="00472E89">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6E2A65" w14:paraId="1B95BDD6" w14:textId="77777777" w:rsidTr="00075167">
        <w:trPr>
          <w:cantSplit/>
        </w:trPr>
        <w:tc>
          <w:tcPr>
            <w:tcW w:w="1100" w:type="pct"/>
            <w:shd w:val="clear" w:color="auto" w:fill="D9D9D9"/>
            <w:hideMark/>
          </w:tcPr>
          <w:p w14:paraId="669A7D54" w14:textId="501A3DC3" w:rsidR="00472B6A" w:rsidRPr="006E2A65" w:rsidRDefault="00075167" w:rsidP="00075167">
            <w:pPr>
              <w:pStyle w:val="S8Gazettetableheading"/>
              <w:rPr>
                <w:rFonts w:eastAsia="Times New Roman"/>
              </w:rPr>
            </w:pPr>
            <w:r>
              <w:t>Application no.</w:t>
            </w:r>
          </w:p>
        </w:tc>
        <w:tc>
          <w:tcPr>
            <w:tcW w:w="3900" w:type="pct"/>
            <w:shd w:val="clear" w:color="auto" w:fill="FFFFFF"/>
            <w:hideMark/>
          </w:tcPr>
          <w:p w14:paraId="4FC6E03F" w14:textId="01AF7201" w:rsidR="00472B6A" w:rsidRPr="006E2A65" w:rsidRDefault="00075167" w:rsidP="00075167">
            <w:pPr>
              <w:pStyle w:val="S8Gazettetabletext"/>
              <w:rPr>
                <w:rFonts w:eastAsia="Times New Roman" w:hAnsi="Arial" w:cs="Times New Roman"/>
                <w:szCs w:val="24"/>
              </w:rPr>
            </w:pPr>
            <w:r>
              <w:t>151009</w:t>
            </w:r>
          </w:p>
        </w:tc>
      </w:tr>
      <w:tr w:rsidR="00472B6A" w:rsidRPr="006E2A65" w14:paraId="05CCC4F1" w14:textId="77777777" w:rsidTr="00075167">
        <w:trPr>
          <w:cantSplit/>
        </w:trPr>
        <w:tc>
          <w:tcPr>
            <w:tcW w:w="1100" w:type="pct"/>
            <w:shd w:val="clear" w:color="auto" w:fill="D9D9D9"/>
            <w:hideMark/>
          </w:tcPr>
          <w:p w14:paraId="5AA07243" w14:textId="3E126B20" w:rsidR="00472B6A" w:rsidRPr="006E2A65" w:rsidRDefault="00075167" w:rsidP="00075167">
            <w:pPr>
              <w:pStyle w:val="S8Gazettetableheading"/>
              <w:rPr>
                <w:rFonts w:eastAsia="Times New Roman"/>
              </w:rPr>
            </w:pPr>
            <w:r>
              <w:t>Product name</w:t>
            </w:r>
          </w:p>
        </w:tc>
        <w:tc>
          <w:tcPr>
            <w:tcW w:w="3900" w:type="pct"/>
            <w:shd w:val="clear" w:color="auto" w:fill="FFFFFF"/>
            <w:hideMark/>
          </w:tcPr>
          <w:p w14:paraId="584C6508" w14:textId="3A85EEE0" w:rsidR="00472B6A" w:rsidRPr="006E2A65" w:rsidRDefault="00075167" w:rsidP="00075167">
            <w:pPr>
              <w:pStyle w:val="S8Gazettetabletext"/>
              <w:rPr>
                <w:rFonts w:eastAsia="Times New Roman" w:hAnsi="Arial" w:cs="Times New Roman"/>
                <w:szCs w:val="24"/>
              </w:rPr>
            </w:pPr>
            <w:r>
              <w:t>Quantum Poly Penetrant</w:t>
            </w:r>
          </w:p>
        </w:tc>
      </w:tr>
      <w:tr w:rsidR="00472B6A" w:rsidRPr="006E2A65" w14:paraId="7C753BCB" w14:textId="77777777" w:rsidTr="00075167">
        <w:trPr>
          <w:cantSplit/>
        </w:trPr>
        <w:tc>
          <w:tcPr>
            <w:tcW w:w="1100" w:type="pct"/>
            <w:shd w:val="clear" w:color="auto" w:fill="D9D9D9"/>
            <w:hideMark/>
          </w:tcPr>
          <w:p w14:paraId="1BAC0DA5" w14:textId="44AEECC8" w:rsidR="00472B6A" w:rsidRPr="006E2A65" w:rsidRDefault="00075167" w:rsidP="00075167">
            <w:pPr>
              <w:pStyle w:val="S8Gazettetableheading"/>
              <w:rPr>
                <w:rFonts w:eastAsia="Times New Roman"/>
              </w:rPr>
            </w:pPr>
            <w:r>
              <w:t>Active constituent</w:t>
            </w:r>
          </w:p>
        </w:tc>
        <w:tc>
          <w:tcPr>
            <w:tcW w:w="3900" w:type="pct"/>
            <w:shd w:val="clear" w:color="auto" w:fill="FFFFFF"/>
            <w:hideMark/>
          </w:tcPr>
          <w:p w14:paraId="32944058" w14:textId="7AFA4978" w:rsidR="00472B6A" w:rsidRPr="006E2A65" w:rsidRDefault="00075167" w:rsidP="00075167">
            <w:pPr>
              <w:pStyle w:val="S8Gazettetabletext"/>
              <w:rPr>
                <w:rFonts w:eastAsia="Times New Roman" w:hAnsi="Arial" w:cs="Times New Roman"/>
                <w:szCs w:val="24"/>
              </w:rPr>
            </w:pPr>
            <w:r>
              <w:t>1020 g/L polyether modified polysiloxane</w:t>
            </w:r>
          </w:p>
        </w:tc>
      </w:tr>
      <w:tr w:rsidR="00472B6A" w:rsidRPr="006E2A65" w14:paraId="0702AE9A" w14:textId="77777777" w:rsidTr="00075167">
        <w:trPr>
          <w:cantSplit/>
        </w:trPr>
        <w:tc>
          <w:tcPr>
            <w:tcW w:w="1100" w:type="pct"/>
            <w:shd w:val="clear" w:color="auto" w:fill="D9D9D9"/>
            <w:hideMark/>
          </w:tcPr>
          <w:p w14:paraId="3883D40E" w14:textId="5A81962A" w:rsidR="00472B6A" w:rsidRPr="006E2A65" w:rsidRDefault="00075167" w:rsidP="00075167">
            <w:pPr>
              <w:pStyle w:val="S8Gazettetableheading"/>
              <w:rPr>
                <w:rFonts w:eastAsia="Times New Roman"/>
              </w:rPr>
            </w:pPr>
            <w:r>
              <w:t>Applicant name</w:t>
            </w:r>
          </w:p>
        </w:tc>
        <w:tc>
          <w:tcPr>
            <w:tcW w:w="3900" w:type="pct"/>
            <w:shd w:val="clear" w:color="auto" w:fill="FFFFFF"/>
            <w:hideMark/>
          </w:tcPr>
          <w:p w14:paraId="346AF9EC" w14:textId="70DFA6A5" w:rsidR="00472B6A" w:rsidRPr="006E2A65" w:rsidRDefault="00075167" w:rsidP="00075167">
            <w:pPr>
              <w:pStyle w:val="S8Gazettetabletext"/>
              <w:rPr>
                <w:rFonts w:eastAsia="Times New Roman" w:hAnsi="Arial" w:cs="Times New Roman"/>
                <w:szCs w:val="24"/>
              </w:rPr>
            </w:pPr>
            <w:r>
              <w:t>Quantum Agrosciences Holdings Pty Ltd</w:t>
            </w:r>
          </w:p>
        </w:tc>
      </w:tr>
      <w:tr w:rsidR="00472B6A" w:rsidRPr="006E2A65" w14:paraId="0A42E7F3" w14:textId="77777777" w:rsidTr="00075167">
        <w:trPr>
          <w:cantSplit/>
        </w:trPr>
        <w:tc>
          <w:tcPr>
            <w:tcW w:w="1100" w:type="pct"/>
            <w:shd w:val="clear" w:color="auto" w:fill="D9D9D9"/>
            <w:hideMark/>
          </w:tcPr>
          <w:p w14:paraId="0CF0F196" w14:textId="25992713" w:rsidR="00472B6A" w:rsidRPr="006E2A65" w:rsidRDefault="00075167" w:rsidP="00075167">
            <w:pPr>
              <w:pStyle w:val="S8Gazettetableheading"/>
              <w:rPr>
                <w:rFonts w:eastAsia="Times New Roman"/>
              </w:rPr>
            </w:pPr>
            <w:r>
              <w:t>Applicant ACN</w:t>
            </w:r>
          </w:p>
        </w:tc>
        <w:tc>
          <w:tcPr>
            <w:tcW w:w="3900" w:type="pct"/>
            <w:shd w:val="clear" w:color="auto" w:fill="FFFFFF"/>
            <w:hideMark/>
          </w:tcPr>
          <w:p w14:paraId="1270BE58" w14:textId="7062A116" w:rsidR="00472B6A" w:rsidRPr="006E2A65" w:rsidRDefault="00075167" w:rsidP="00075167">
            <w:pPr>
              <w:pStyle w:val="S8Gazettetabletext"/>
              <w:rPr>
                <w:rFonts w:eastAsia="Times New Roman" w:hAnsi="Arial" w:cs="Times New Roman"/>
              </w:rPr>
            </w:pPr>
            <w:r>
              <w:t>680 792 625</w:t>
            </w:r>
          </w:p>
        </w:tc>
      </w:tr>
      <w:tr w:rsidR="00472B6A" w:rsidRPr="006E2A65" w14:paraId="4EDC96C5" w14:textId="77777777" w:rsidTr="00075167">
        <w:trPr>
          <w:cantSplit/>
        </w:trPr>
        <w:tc>
          <w:tcPr>
            <w:tcW w:w="1100" w:type="pct"/>
            <w:shd w:val="clear" w:color="auto" w:fill="D9D9D9"/>
            <w:hideMark/>
          </w:tcPr>
          <w:p w14:paraId="43C90EAC" w14:textId="06D4E917" w:rsidR="00472B6A" w:rsidRPr="006E2A65" w:rsidRDefault="00075167" w:rsidP="00075167">
            <w:pPr>
              <w:pStyle w:val="S8Gazettetableheading"/>
              <w:rPr>
                <w:rFonts w:eastAsia="Times New Roman"/>
              </w:rPr>
            </w:pPr>
            <w:r>
              <w:t>Date of variation</w:t>
            </w:r>
          </w:p>
        </w:tc>
        <w:tc>
          <w:tcPr>
            <w:tcW w:w="3900" w:type="pct"/>
            <w:shd w:val="clear" w:color="auto" w:fill="FFFFFF"/>
            <w:hideMark/>
          </w:tcPr>
          <w:p w14:paraId="1344BB92" w14:textId="394DC3D6" w:rsidR="00472B6A" w:rsidRPr="006E2A65" w:rsidRDefault="00075167" w:rsidP="00075167">
            <w:pPr>
              <w:pStyle w:val="S8Gazettetabletext"/>
              <w:rPr>
                <w:rFonts w:eastAsia="Times New Roman" w:hAnsi="Arial" w:cs="Times New Roman"/>
                <w:szCs w:val="24"/>
              </w:rPr>
            </w:pPr>
            <w:r>
              <w:t>18 November 2025</w:t>
            </w:r>
          </w:p>
        </w:tc>
      </w:tr>
      <w:tr w:rsidR="00472B6A" w:rsidRPr="006E2A65" w14:paraId="0CA37171" w14:textId="77777777" w:rsidTr="00075167">
        <w:trPr>
          <w:cantSplit/>
        </w:trPr>
        <w:tc>
          <w:tcPr>
            <w:tcW w:w="1100" w:type="pct"/>
            <w:shd w:val="clear" w:color="auto" w:fill="D9D9D9"/>
            <w:hideMark/>
          </w:tcPr>
          <w:p w14:paraId="7F90EF62" w14:textId="09250243" w:rsidR="00472B6A" w:rsidRPr="006E2A65" w:rsidRDefault="00075167" w:rsidP="00075167">
            <w:pPr>
              <w:pStyle w:val="S8Gazettetableheading"/>
              <w:rPr>
                <w:rFonts w:eastAsia="Times New Roman"/>
              </w:rPr>
            </w:pPr>
            <w:r>
              <w:t>Product registration no.</w:t>
            </w:r>
          </w:p>
        </w:tc>
        <w:tc>
          <w:tcPr>
            <w:tcW w:w="3900" w:type="pct"/>
            <w:shd w:val="clear" w:color="auto" w:fill="FFFFFF"/>
            <w:hideMark/>
          </w:tcPr>
          <w:p w14:paraId="763C9169" w14:textId="51335C87" w:rsidR="00472B6A" w:rsidRPr="006E2A65" w:rsidRDefault="00075167" w:rsidP="00075167">
            <w:pPr>
              <w:pStyle w:val="S8Gazettetabletext"/>
              <w:rPr>
                <w:rFonts w:eastAsia="Times New Roman" w:hAnsi="Arial" w:cs="Times New Roman"/>
                <w:szCs w:val="24"/>
              </w:rPr>
            </w:pPr>
            <w:r>
              <w:t>91880</w:t>
            </w:r>
          </w:p>
        </w:tc>
      </w:tr>
      <w:tr w:rsidR="00472B6A" w:rsidRPr="006E2A65" w14:paraId="127F1248" w14:textId="77777777" w:rsidTr="00075167">
        <w:trPr>
          <w:cantSplit/>
        </w:trPr>
        <w:tc>
          <w:tcPr>
            <w:tcW w:w="1100" w:type="pct"/>
            <w:shd w:val="clear" w:color="auto" w:fill="D9D9D9"/>
            <w:hideMark/>
          </w:tcPr>
          <w:p w14:paraId="7543BF1C" w14:textId="30FC9DAB" w:rsidR="00472B6A" w:rsidRPr="006E2A65" w:rsidRDefault="00075167" w:rsidP="00075167">
            <w:pPr>
              <w:pStyle w:val="S8Gazettetableheading"/>
              <w:rPr>
                <w:rFonts w:eastAsia="Times New Roman"/>
              </w:rPr>
            </w:pPr>
            <w:r>
              <w:t>Label approval no.</w:t>
            </w:r>
          </w:p>
        </w:tc>
        <w:tc>
          <w:tcPr>
            <w:tcW w:w="3900" w:type="pct"/>
            <w:shd w:val="clear" w:color="auto" w:fill="FFFFFF"/>
            <w:hideMark/>
          </w:tcPr>
          <w:p w14:paraId="430784D1" w14:textId="47172C67" w:rsidR="00472B6A" w:rsidRPr="006E2A65" w:rsidRDefault="00075167" w:rsidP="00075167">
            <w:pPr>
              <w:pStyle w:val="S8Gazettetabletext"/>
              <w:rPr>
                <w:rFonts w:eastAsia="Times New Roman" w:hAnsi="Arial" w:cs="Times New Roman"/>
                <w:szCs w:val="24"/>
              </w:rPr>
            </w:pPr>
            <w:r>
              <w:t>91880/151009</w:t>
            </w:r>
          </w:p>
        </w:tc>
      </w:tr>
      <w:tr w:rsidR="00472B6A" w:rsidRPr="006E2A65" w14:paraId="105D95EF" w14:textId="77777777" w:rsidTr="00075167">
        <w:trPr>
          <w:cantSplit/>
        </w:trPr>
        <w:tc>
          <w:tcPr>
            <w:tcW w:w="1100" w:type="pct"/>
            <w:shd w:val="clear" w:color="auto" w:fill="D9D9D9"/>
            <w:hideMark/>
          </w:tcPr>
          <w:p w14:paraId="2FED0B28" w14:textId="669ED522" w:rsidR="00472B6A" w:rsidRPr="006E2A65" w:rsidRDefault="00075167" w:rsidP="00075167">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33D1BD72" w14:textId="5B980F2E" w:rsidR="00472B6A" w:rsidRPr="006E2A65" w:rsidRDefault="00075167" w:rsidP="00075167">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r>
              <w:t xml:space="preserve">Quantum </w:t>
            </w:r>
            <w:proofErr w:type="spellStart"/>
            <w:r>
              <w:t>Organosilicone</w:t>
            </w:r>
            <w:proofErr w:type="spellEnd"/>
            <w:r>
              <w:t xml:space="preserve"> 1020 Penetrant</w:t>
            </w:r>
            <w:r>
              <w:t>’</w:t>
            </w:r>
            <w:r>
              <w:t xml:space="preserve"> to </w:t>
            </w:r>
            <w:r>
              <w:t>‘</w:t>
            </w:r>
            <w:r>
              <w:t>Quantum Poly Penetrant</w:t>
            </w:r>
            <w:r>
              <w:t>’</w:t>
            </w:r>
          </w:p>
        </w:tc>
      </w:tr>
    </w:tbl>
    <w:p w14:paraId="714DAB4B" w14:textId="77777777" w:rsidR="00472B6A" w:rsidRDefault="00472B6A" w:rsidP="0007516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C4F64" w14:paraId="182B6E12" w14:textId="77777777" w:rsidTr="001A4A93">
        <w:trPr>
          <w:cantSplit/>
          <w:tblHeader/>
        </w:trPr>
        <w:tc>
          <w:tcPr>
            <w:tcW w:w="1100" w:type="pct"/>
            <w:shd w:val="clear" w:color="auto" w:fill="D9D9D9"/>
          </w:tcPr>
          <w:p w14:paraId="4BB1424C" w14:textId="3D7A4596" w:rsidR="00472B6A" w:rsidRPr="00BC4F64" w:rsidRDefault="00075167" w:rsidP="00075167">
            <w:pPr>
              <w:pStyle w:val="S8Gazettetableheading"/>
            </w:pPr>
            <w:r>
              <w:lastRenderedPageBreak/>
              <w:t>Application no.</w:t>
            </w:r>
          </w:p>
        </w:tc>
        <w:tc>
          <w:tcPr>
            <w:tcW w:w="3900" w:type="pct"/>
            <w:shd w:val="clear" w:color="auto" w:fill="FFFFFF"/>
          </w:tcPr>
          <w:p w14:paraId="6A4946BB" w14:textId="38BA522D" w:rsidR="00472B6A" w:rsidRPr="00BC4F64" w:rsidRDefault="00075167" w:rsidP="00075167">
            <w:pPr>
              <w:pStyle w:val="S8Gazettetabletext"/>
            </w:pPr>
            <w:r>
              <w:t>151145</w:t>
            </w:r>
          </w:p>
        </w:tc>
      </w:tr>
      <w:tr w:rsidR="00472B6A" w:rsidRPr="00BC4F64" w14:paraId="137577DD" w14:textId="77777777" w:rsidTr="001A4A93">
        <w:trPr>
          <w:cantSplit/>
          <w:tblHeader/>
        </w:trPr>
        <w:tc>
          <w:tcPr>
            <w:tcW w:w="1100" w:type="pct"/>
            <w:shd w:val="clear" w:color="auto" w:fill="D9D9D9"/>
          </w:tcPr>
          <w:p w14:paraId="552A5EDC" w14:textId="1D778110" w:rsidR="00472B6A" w:rsidRPr="00362E71" w:rsidRDefault="00075167" w:rsidP="00075167">
            <w:pPr>
              <w:pStyle w:val="S8Gazettetableheading"/>
            </w:pPr>
            <w:r>
              <w:t>Product name</w:t>
            </w:r>
          </w:p>
        </w:tc>
        <w:tc>
          <w:tcPr>
            <w:tcW w:w="3900" w:type="pct"/>
            <w:shd w:val="clear" w:color="auto" w:fill="FFFFFF"/>
          </w:tcPr>
          <w:p w14:paraId="55861236" w14:textId="4E408E2B" w:rsidR="00472B6A" w:rsidRPr="00BC4F64" w:rsidRDefault="00075167" w:rsidP="00075167">
            <w:pPr>
              <w:pStyle w:val="S8Gazettetabletext"/>
            </w:pPr>
            <w:r>
              <w:t>Titan DFF 25 + Brom 250 Selective Herbicide</w:t>
            </w:r>
          </w:p>
        </w:tc>
      </w:tr>
      <w:tr w:rsidR="00472B6A" w:rsidRPr="00BC4F64" w14:paraId="1F0C0328" w14:textId="77777777" w:rsidTr="001A4A93">
        <w:trPr>
          <w:cantSplit/>
          <w:tblHeader/>
        </w:trPr>
        <w:tc>
          <w:tcPr>
            <w:tcW w:w="1100" w:type="pct"/>
            <w:shd w:val="clear" w:color="auto" w:fill="D9D9D9"/>
          </w:tcPr>
          <w:p w14:paraId="1C840F63" w14:textId="5AA87373" w:rsidR="00472B6A" w:rsidRPr="00362E71" w:rsidRDefault="00075167" w:rsidP="00075167">
            <w:pPr>
              <w:pStyle w:val="S8Gazettetableheading"/>
            </w:pPr>
            <w:r>
              <w:t>Active constituents</w:t>
            </w:r>
          </w:p>
        </w:tc>
        <w:tc>
          <w:tcPr>
            <w:tcW w:w="3900" w:type="pct"/>
            <w:shd w:val="clear" w:color="auto" w:fill="FFFFFF"/>
          </w:tcPr>
          <w:p w14:paraId="114F01FD" w14:textId="47DA42B8" w:rsidR="00472B6A" w:rsidRPr="00BC4F64" w:rsidRDefault="00075167" w:rsidP="00075167">
            <w:pPr>
              <w:pStyle w:val="S8Gazettetabletext"/>
            </w:pPr>
            <w:r>
              <w:t xml:space="preserve">250 g/L bromoxynil present as the octanoate, 25 g/L </w:t>
            </w:r>
            <w:proofErr w:type="spellStart"/>
            <w:r>
              <w:t>diflufenican</w:t>
            </w:r>
            <w:proofErr w:type="spellEnd"/>
          </w:p>
        </w:tc>
      </w:tr>
      <w:tr w:rsidR="00472B6A" w:rsidRPr="00BC4F64" w14:paraId="52801F42" w14:textId="77777777" w:rsidTr="001A4A93">
        <w:trPr>
          <w:cantSplit/>
          <w:tblHeader/>
        </w:trPr>
        <w:tc>
          <w:tcPr>
            <w:tcW w:w="1100" w:type="pct"/>
            <w:shd w:val="clear" w:color="auto" w:fill="D9D9D9"/>
          </w:tcPr>
          <w:p w14:paraId="2AE1CA82" w14:textId="46ADB9F3" w:rsidR="00472B6A" w:rsidRPr="00362E71" w:rsidRDefault="00075167" w:rsidP="00075167">
            <w:pPr>
              <w:pStyle w:val="S8Gazettetableheading"/>
            </w:pPr>
            <w:r>
              <w:t>Applicant name</w:t>
            </w:r>
          </w:p>
        </w:tc>
        <w:tc>
          <w:tcPr>
            <w:tcW w:w="3900" w:type="pct"/>
            <w:shd w:val="clear" w:color="auto" w:fill="FFFFFF"/>
          </w:tcPr>
          <w:p w14:paraId="3322A0D0" w14:textId="12FEC617" w:rsidR="00472B6A" w:rsidRPr="00BC4F64" w:rsidRDefault="00075167" w:rsidP="00075167">
            <w:pPr>
              <w:pStyle w:val="S8Gazettetabletext"/>
            </w:pPr>
            <w:r>
              <w:t>Titan Ag Pty Ltd</w:t>
            </w:r>
          </w:p>
        </w:tc>
      </w:tr>
      <w:tr w:rsidR="00472B6A" w:rsidRPr="00FA2079" w14:paraId="2959BDFD" w14:textId="77777777" w:rsidTr="001A4A93">
        <w:trPr>
          <w:cantSplit/>
          <w:tblHeader/>
        </w:trPr>
        <w:tc>
          <w:tcPr>
            <w:tcW w:w="1100" w:type="pct"/>
            <w:shd w:val="clear" w:color="auto" w:fill="D9D9D9"/>
          </w:tcPr>
          <w:p w14:paraId="183BFCB3" w14:textId="1426C861" w:rsidR="00472B6A" w:rsidRPr="00BC4F64" w:rsidRDefault="00075167" w:rsidP="00075167">
            <w:pPr>
              <w:pStyle w:val="S8Gazettetableheading"/>
            </w:pPr>
            <w:r>
              <w:t>Applicant ACN</w:t>
            </w:r>
          </w:p>
        </w:tc>
        <w:tc>
          <w:tcPr>
            <w:tcW w:w="3900" w:type="pct"/>
            <w:shd w:val="clear" w:color="auto" w:fill="FFFFFF"/>
          </w:tcPr>
          <w:p w14:paraId="505A0AB6" w14:textId="2B101227" w:rsidR="00472B6A" w:rsidRPr="00FA2079" w:rsidRDefault="00075167" w:rsidP="00075167">
            <w:pPr>
              <w:pStyle w:val="S8Gazettetabletext"/>
            </w:pPr>
            <w:r>
              <w:t>122 081 574</w:t>
            </w:r>
          </w:p>
        </w:tc>
      </w:tr>
      <w:tr w:rsidR="00472B6A" w:rsidRPr="00BC4F64" w14:paraId="6E97D2A3" w14:textId="77777777" w:rsidTr="001A4A93">
        <w:trPr>
          <w:cantSplit/>
          <w:tblHeader/>
        </w:trPr>
        <w:tc>
          <w:tcPr>
            <w:tcW w:w="1100" w:type="pct"/>
            <w:shd w:val="clear" w:color="auto" w:fill="D9D9D9"/>
          </w:tcPr>
          <w:p w14:paraId="72DA4C87" w14:textId="521AAB2C" w:rsidR="00472B6A" w:rsidRPr="00362E71" w:rsidRDefault="00075167" w:rsidP="00075167">
            <w:pPr>
              <w:pStyle w:val="S8Gazettetableheading"/>
            </w:pPr>
            <w:r>
              <w:t>Date of variation</w:t>
            </w:r>
          </w:p>
        </w:tc>
        <w:tc>
          <w:tcPr>
            <w:tcW w:w="3900" w:type="pct"/>
            <w:shd w:val="clear" w:color="auto" w:fill="FFFFFF"/>
          </w:tcPr>
          <w:p w14:paraId="3BB6CB08" w14:textId="13D5166D" w:rsidR="00472B6A" w:rsidRPr="00BC4F64" w:rsidRDefault="00075167" w:rsidP="00075167">
            <w:pPr>
              <w:pStyle w:val="S8Gazettetabletext"/>
            </w:pPr>
            <w:r>
              <w:t>26 November 2025</w:t>
            </w:r>
          </w:p>
        </w:tc>
      </w:tr>
      <w:tr w:rsidR="00472B6A" w:rsidRPr="00BC4F64" w14:paraId="283100BA" w14:textId="77777777" w:rsidTr="001A4A93">
        <w:trPr>
          <w:cantSplit/>
          <w:tblHeader/>
        </w:trPr>
        <w:tc>
          <w:tcPr>
            <w:tcW w:w="1100" w:type="pct"/>
            <w:shd w:val="clear" w:color="auto" w:fill="D9D9D9"/>
          </w:tcPr>
          <w:p w14:paraId="5178A429" w14:textId="128C696C" w:rsidR="00472B6A" w:rsidRPr="00362E71" w:rsidRDefault="00075167" w:rsidP="00075167">
            <w:pPr>
              <w:pStyle w:val="S8Gazettetableheading"/>
            </w:pPr>
            <w:r>
              <w:t>Product registration no.</w:t>
            </w:r>
          </w:p>
        </w:tc>
        <w:tc>
          <w:tcPr>
            <w:tcW w:w="3900" w:type="pct"/>
            <w:shd w:val="clear" w:color="auto" w:fill="FFFFFF"/>
          </w:tcPr>
          <w:p w14:paraId="1C3E96EF" w14:textId="4E54AA08" w:rsidR="00472B6A" w:rsidRPr="00BC4F64" w:rsidRDefault="00075167" w:rsidP="00075167">
            <w:pPr>
              <w:pStyle w:val="S8Gazettetabletext"/>
            </w:pPr>
            <w:r>
              <w:t>69416</w:t>
            </w:r>
          </w:p>
        </w:tc>
      </w:tr>
      <w:tr w:rsidR="00472B6A" w:rsidRPr="00BC4F64" w14:paraId="2522DAD9" w14:textId="77777777" w:rsidTr="001A4A93">
        <w:trPr>
          <w:cantSplit/>
          <w:tblHeader/>
        </w:trPr>
        <w:tc>
          <w:tcPr>
            <w:tcW w:w="1100" w:type="pct"/>
            <w:shd w:val="clear" w:color="auto" w:fill="D9D9D9"/>
          </w:tcPr>
          <w:p w14:paraId="7AF5B85B" w14:textId="5D0D06CC" w:rsidR="00472B6A" w:rsidRPr="00362E71" w:rsidRDefault="00075167" w:rsidP="00075167">
            <w:pPr>
              <w:pStyle w:val="S8Gazettetableheading"/>
            </w:pPr>
            <w:r>
              <w:t>Label approval no.</w:t>
            </w:r>
          </w:p>
        </w:tc>
        <w:tc>
          <w:tcPr>
            <w:tcW w:w="3900" w:type="pct"/>
            <w:shd w:val="clear" w:color="auto" w:fill="FFFFFF"/>
          </w:tcPr>
          <w:p w14:paraId="3FAE84A1" w14:textId="16F31DBD" w:rsidR="00472B6A" w:rsidRPr="00BC4F64" w:rsidRDefault="00075167" w:rsidP="00075167">
            <w:pPr>
              <w:pStyle w:val="S8Gazettetabletext"/>
            </w:pPr>
            <w:r>
              <w:t>69416/151145</w:t>
            </w:r>
          </w:p>
        </w:tc>
      </w:tr>
      <w:tr w:rsidR="00472B6A" w:rsidRPr="00BC4F64" w14:paraId="5FC80E85" w14:textId="77777777" w:rsidTr="001A4A93">
        <w:trPr>
          <w:cantSplit/>
          <w:tblHeader/>
        </w:trPr>
        <w:tc>
          <w:tcPr>
            <w:tcW w:w="1100" w:type="pct"/>
            <w:shd w:val="clear" w:color="auto" w:fill="D9D9D9"/>
          </w:tcPr>
          <w:p w14:paraId="45327FD0" w14:textId="36BD25A5" w:rsidR="00472B6A" w:rsidRPr="00362E71"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3D5E2541" w14:textId="5F09BE24" w:rsidR="00472B6A" w:rsidRPr="00BC4F64" w:rsidRDefault="00075167" w:rsidP="00075167">
            <w:pPr>
              <w:pStyle w:val="S8Gazettetabletext"/>
            </w:pPr>
            <w:r>
              <w:t xml:space="preserve">Variation to the particulars of registration and label approval to change the distinguishing product name and the name that appears on the label from </w:t>
            </w:r>
            <w:r>
              <w:t>‘</w:t>
            </w:r>
            <w:r>
              <w:t>TITAN DIFLUFENICAN 25 + BROMOXYNIL 250 SELECTIVE HERBICIDE</w:t>
            </w:r>
            <w:r>
              <w:t>’</w:t>
            </w:r>
            <w:r>
              <w:t xml:space="preserve"> to </w:t>
            </w:r>
            <w:r>
              <w:t>‘</w:t>
            </w:r>
            <w:r>
              <w:t>Titan DFF 25 + Brom 250 Selective Herbicide</w:t>
            </w:r>
            <w:r>
              <w:t>’</w:t>
            </w:r>
          </w:p>
        </w:tc>
      </w:tr>
    </w:tbl>
    <w:p w14:paraId="5DA36968" w14:textId="77777777" w:rsidR="00472B6A" w:rsidRDefault="00472B6A" w:rsidP="0007516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472B6A" w14:paraId="47EE3D77" w14:textId="77777777" w:rsidTr="00075167">
        <w:trPr>
          <w:cantSplit/>
        </w:trPr>
        <w:tc>
          <w:tcPr>
            <w:tcW w:w="1100" w:type="pct"/>
            <w:shd w:val="clear" w:color="auto" w:fill="D9D9D9"/>
          </w:tcPr>
          <w:p w14:paraId="379A8EA6" w14:textId="38891630" w:rsidR="00472B6A" w:rsidRDefault="00075167" w:rsidP="00075167">
            <w:pPr>
              <w:pStyle w:val="S8Gazettetableheading"/>
            </w:pPr>
            <w:r>
              <w:t>Application no.</w:t>
            </w:r>
          </w:p>
        </w:tc>
        <w:tc>
          <w:tcPr>
            <w:tcW w:w="3900" w:type="pct"/>
            <w:shd w:val="clear" w:color="auto" w:fill="FFFFFF"/>
          </w:tcPr>
          <w:p w14:paraId="3F5F5936" w14:textId="6F93C6EF" w:rsidR="00472B6A" w:rsidRDefault="00075167" w:rsidP="00075167">
            <w:pPr>
              <w:pStyle w:val="S8Gazettetabletext"/>
            </w:pPr>
            <w:r>
              <w:t xml:space="preserve">N/A </w:t>
            </w:r>
            <w:r>
              <w:t>–</w:t>
            </w:r>
            <w:r>
              <w:t xml:space="preserve"> variation under s29A</w:t>
            </w:r>
          </w:p>
        </w:tc>
      </w:tr>
      <w:tr w:rsidR="00472B6A" w14:paraId="67896B8D" w14:textId="77777777" w:rsidTr="00075167">
        <w:trPr>
          <w:cantSplit/>
        </w:trPr>
        <w:tc>
          <w:tcPr>
            <w:tcW w:w="1100" w:type="pct"/>
            <w:shd w:val="clear" w:color="auto" w:fill="D9D9D9"/>
          </w:tcPr>
          <w:p w14:paraId="19B8D7B3" w14:textId="27B1108D" w:rsidR="00472B6A" w:rsidRDefault="00075167" w:rsidP="00075167">
            <w:pPr>
              <w:pStyle w:val="S8Gazettetableheading"/>
            </w:pPr>
            <w:r>
              <w:t>Product name</w:t>
            </w:r>
          </w:p>
        </w:tc>
        <w:tc>
          <w:tcPr>
            <w:tcW w:w="3900" w:type="pct"/>
            <w:shd w:val="clear" w:color="auto" w:fill="FFFFFF"/>
          </w:tcPr>
          <w:p w14:paraId="63379CDB" w14:textId="539BE0B3" w:rsidR="00472B6A" w:rsidRDefault="00075167" w:rsidP="00075167">
            <w:pPr>
              <w:pStyle w:val="S8Gazettetabletext"/>
            </w:pPr>
            <w:proofErr w:type="spellStart"/>
            <w:r>
              <w:t>Farmalinx</w:t>
            </w:r>
            <w:proofErr w:type="spellEnd"/>
            <w:r>
              <w:t xml:space="preserve"> </w:t>
            </w:r>
            <w:proofErr w:type="spellStart"/>
            <w:r>
              <w:t>Dimetholinx</w:t>
            </w:r>
            <w:proofErr w:type="spellEnd"/>
            <w:r>
              <w:t xml:space="preserve"> Insecticide</w:t>
            </w:r>
          </w:p>
        </w:tc>
      </w:tr>
      <w:tr w:rsidR="00472B6A" w14:paraId="7065E722" w14:textId="77777777" w:rsidTr="00075167">
        <w:trPr>
          <w:cantSplit/>
        </w:trPr>
        <w:tc>
          <w:tcPr>
            <w:tcW w:w="1100" w:type="pct"/>
            <w:shd w:val="clear" w:color="auto" w:fill="D9D9D9"/>
          </w:tcPr>
          <w:p w14:paraId="1DEFF2F1" w14:textId="389CF2E5" w:rsidR="00472B6A" w:rsidRDefault="00075167" w:rsidP="00075167">
            <w:pPr>
              <w:pStyle w:val="S8Gazettetableheading"/>
            </w:pPr>
            <w:r>
              <w:t>Active constituent/s</w:t>
            </w:r>
          </w:p>
        </w:tc>
        <w:tc>
          <w:tcPr>
            <w:tcW w:w="3900" w:type="pct"/>
            <w:shd w:val="clear" w:color="auto" w:fill="FFFFFF"/>
          </w:tcPr>
          <w:p w14:paraId="1947BE8D" w14:textId="5ACD0D35" w:rsidR="00472B6A" w:rsidRDefault="00075167" w:rsidP="00075167">
            <w:pPr>
              <w:pStyle w:val="S8Gazettetabletext"/>
            </w:pPr>
            <w:r>
              <w:t>400 g/L dimethoate</w:t>
            </w:r>
          </w:p>
        </w:tc>
      </w:tr>
      <w:tr w:rsidR="00472B6A" w14:paraId="640B5AC1" w14:textId="77777777" w:rsidTr="00075167">
        <w:trPr>
          <w:cantSplit/>
        </w:trPr>
        <w:tc>
          <w:tcPr>
            <w:tcW w:w="1100" w:type="pct"/>
            <w:shd w:val="clear" w:color="auto" w:fill="D9D9D9"/>
          </w:tcPr>
          <w:p w14:paraId="1061013C" w14:textId="6A3B48A9" w:rsidR="00472B6A" w:rsidRDefault="00075167" w:rsidP="00075167">
            <w:pPr>
              <w:pStyle w:val="S8Gazettetableheading"/>
            </w:pPr>
            <w:r>
              <w:t>Applicant name</w:t>
            </w:r>
          </w:p>
        </w:tc>
        <w:tc>
          <w:tcPr>
            <w:tcW w:w="3900" w:type="pct"/>
            <w:shd w:val="clear" w:color="auto" w:fill="FFFFFF"/>
          </w:tcPr>
          <w:p w14:paraId="74791444" w14:textId="0CBF3223" w:rsidR="00472B6A" w:rsidRDefault="00075167" w:rsidP="00075167">
            <w:pPr>
              <w:pStyle w:val="S8Gazettetabletext"/>
            </w:pPr>
            <w:proofErr w:type="spellStart"/>
            <w:r>
              <w:t>Farmalinx</w:t>
            </w:r>
            <w:proofErr w:type="spellEnd"/>
            <w:r>
              <w:t xml:space="preserve"> Pty Ltd</w:t>
            </w:r>
          </w:p>
        </w:tc>
      </w:tr>
      <w:tr w:rsidR="00472B6A" w14:paraId="56774125" w14:textId="77777777" w:rsidTr="00075167">
        <w:trPr>
          <w:cantSplit/>
        </w:trPr>
        <w:tc>
          <w:tcPr>
            <w:tcW w:w="1100" w:type="pct"/>
            <w:shd w:val="clear" w:color="auto" w:fill="D9D9D9"/>
          </w:tcPr>
          <w:p w14:paraId="22A5873D" w14:textId="13C3C782" w:rsidR="00472B6A" w:rsidRDefault="00075167" w:rsidP="00075167">
            <w:pPr>
              <w:pStyle w:val="S8Gazettetableheading"/>
            </w:pPr>
            <w:r>
              <w:t>Applicant ACN</w:t>
            </w:r>
          </w:p>
        </w:tc>
        <w:tc>
          <w:tcPr>
            <w:tcW w:w="3900" w:type="pct"/>
            <w:shd w:val="clear" w:color="auto" w:fill="FFFFFF"/>
          </w:tcPr>
          <w:p w14:paraId="434202EE" w14:textId="4687E675" w:rsidR="00472B6A" w:rsidRDefault="00075167" w:rsidP="00075167">
            <w:pPr>
              <w:pStyle w:val="S8Gazettetabletext"/>
            </w:pPr>
            <w:r>
              <w:t>134 353 245</w:t>
            </w:r>
          </w:p>
        </w:tc>
      </w:tr>
      <w:tr w:rsidR="00472B6A" w14:paraId="21F882D0" w14:textId="77777777" w:rsidTr="00075167">
        <w:trPr>
          <w:cantSplit/>
        </w:trPr>
        <w:tc>
          <w:tcPr>
            <w:tcW w:w="1100" w:type="pct"/>
            <w:shd w:val="clear" w:color="auto" w:fill="D9D9D9"/>
          </w:tcPr>
          <w:p w14:paraId="380B1CBB" w14:textId="45934443" w:rsidR="00472B6A" w:rsidRPr="00922728" w:rsidRDefault="00075167" w:rsidP="00075167">
            <w:pPr>
              <w:pStyle w:val="S8Gazettetableheading"/>
              <w:rPr>
                <w:highlight w:val="yellow"/>
              </w:rPr>
            </w:pPr>
            <w:r>
              <w:t>Date of variation</w:t>
            </w:r>
          </w:p>
        </w:tc>
        <w:tc>
          <w:tcPr>
            <w:tcW w:w="3900" w:type="pct"/>
            <w:shd w:val="clear" w:color="auto" w:fill="FFFFFF"/>
          </w:tcPr>
          <w:p w14:paraId="1D5A082E" w14:textId="70B1901E" w:rsidR="00472B6A" w:rsidRDefault="00075167" w:rsidP="00075167">
            <w:pPr>
              <w:pStyle w:val="S8Gazettetabletext"/>
            </w:pPr>
            <w:r>
              <w:t>8 December 2025</w:t>
            </w:r>
          </w:p>
        </w:tc>
      </w:tr>
      <w:tr w:rsidR="00472B6A" w14:paraId="7F2C33A2" w14:textId="77777777" w:rsidTr="00075167">
        <w:trPr>
          <w:cantSplit/>
        </w:trPr>
        <w:tc>
          <w:tcPr>
            <w:tcW w:w="1100" w:type="pct"/>
            <w:shd w:val="clear" w:color="auto" w:fill="D9D9D9"/>
          </w:tcPr>
          <w:p w14:paraId="55BF1E95" w14:textId="0B257406" w:rsidR="00472B6A" w:rsidRDefault="00075167" w:rsidP="00075167">
            <w:pPr>
              <w:pStyle w:val="S8Gazettetableheading"/>
            </w:pPr>
            <w:r>
              <w:t>Product registration no.</w:t>
            </w:r>
          </w:p>
        </w:tc>
        <w:tc>
          <w:tcPr>
            <w:tcW w:w="3900" w:type="pct"/>
            <w:shd w:val="clear" w:color="auto" w:fill="FFFFFF"/>
          </w:tcPr>
          <w:p w14:paraId="20051CBD" w14:textId="68C43196" w:rsidR="00472B6A" w:rsidRDefault="00075167" w:rsidP="00075167">
            <w:pPr>
              <w:pStyle w:val="S8Gazettetabletext"/>
            </w:pPr>
            <w:r>
              <w:t>64309</w:t>
            </w:r>
          </w:p>
        </w:tc>
      </w:tr>
      <w:tr w:rsidR="00472B6A" w14:paraId="120A9215" w14:textId="77777777" w:rsidTr="00075167">
        <w:trPr>
          <w:cantSplit/>
        </w:trPr>
        <w:tc>
          <w:tcPr>
            <w:tcW w:w="1100" w:type="pct"/>
            <w:shd w:val="clear" w:color="auto" w:fill="D9D9D9"/>
          </w:tcPr>
          <w:p w14:paraId="5DC5B7CC" w14:textId="622DC28D" w:rsidR="00472B6A" w:rsidRDefault="00075167" w:rsidP="00075167">
            <w:pPr>
              <w:pStyle w:val="S8Gazettetableheading"/>
            </w:pPr>
            <w:r>
              <w:t>Label approval no.</w:t>
            </w:r>
          </w:p>
        </w:tc>
        <w:tc>
          <w:tcPr>
            <w:tcW w:w="3900" w:type="pct"/>
            <w:shd w:val="clear" w:color="auto" w:fill="FFFFFF"/>
          </w:tcPr>
          <w:p w14:paraId="05290752" w14:textId="23319A8A" w:rsidR="00472B6A" w:rsidRDefault="00075167" w:rsidP="00075167">
            <w:pPr>
              <w:pStyle w:val="S8Gazettetabletext"/>
            </w:pPr>
            <w:r>
              <w:t>64309/RV2025</w:t>
            </w:r>
          </w:p>
        </w:tc>
      </w:tr>
      <w:tr w:rsidR="00472B6A" w14:paraId="1AF00F7E" w14:textId="77777777" w:rsidTr="00075167">
        <w:trPr>
          <w:cantSplit/>
        </w:trPr>
        <w:tc>
          <w:tcPr>
            <w:tcW w:w="1100" w:type="pct"/>
            <w:shd w:val="clear" w:color="auto" w:fill="D9D9D9"/>
          </w:tcPr>
          <w:p w14:paraId="3A92F96F" w14:textId="145F160A" w:rsidR="00472B6A" w:rsidRPr="00ED4AA8"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3377EDF1" w14:textId="4205EFB7" w:rsidR="00472B6A" w:rsidRDefault="00075167" w:rsidP="00075167">
            <w:pPr>
              <w:pStyle w:val="S8Gazettetabletext"/>
            </w:pPr>
            <w:r>
              <w:t>Amendment of instructions to increase withholding periods after use of product from 1 to 14 days for blueberries and 7 to 14 days for blackberries and raspberries</w:t>
            </w:r>
          </w:p>
        </w:tc>
      </w:tr>
    </w:tbl>
    <w:p w14:paraId="18E1F157" w14:textId="77777777" w:rsidR="00472B6A" w:rsidRPr="00986339" w:rsidRDefault="00472B6A" w:rsidP="00472B6A">
      <w:pPr>
        <w:rPr>
          <w:lang w:val="en-GB"/>
        </w:rPr>
        <w:sectPr w:rsidR="00472B6A" w:rsidRPr="00986339" w:rsidSect="009975D2">
          <w:headerReference w:type="even" r:id="rId22"/>
          <w:headerReference w:type="default" r:id="rId23"/>
          <w:pgSz w:w="11906" w:h="16838"/>
          <w:pgMar w:top="1440" w:right="1134" w:bottom="1440" w:left="1134" w:header="680" w:footer="737" w:gutter="0"/>
          <w:pgNumType w:start="1"/>
          <w:cols w:space="708"/>
          <w:docGrid w:linePitch="360"/>
        </w:sectPr>
      </w:pPr>
    </w:p>
    <w:p w14:paraId="600A887D" w14:textId="77777777" w:rsidR="00472B6A" w:rsidRDefault="00472B6A" w:rsidP="00472B6A">
      <w:pPr>
        <w:pStyle w:val="GazetteHeading1"/>
      </w:pPr>
      <w:bookmarkStart w:id="19" w:name="_Toc217376728"/>
      <w:r>
        <w:lastRenderedPageBreak/>
        <w:t>Veterinary chemical products and approved labels</w:t>
      </w:r>
      <w:bookmarkEnd w:id="19"/>
    </w:p>
    <w:p w14:paraId="0F230EA3" w14:textId="77777777" w:rsidR="00472B6A" w:rsidRPr="002C40E1" w:rsidRDefault="00472B6A" w:rsidP="00472B6A">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EF533EB" w14:textId="733F412F" w:rsidR="00472B6A" w:rsidRDefault="00472B6A" w:rsidP="00472B6A">
      <w:pPr>
        <w:pStyle w:val="Caption"/>
      </w:pPr>
      <w:r>
        <w:t xml:space="preserve">Table </w:t>
      </w:r>
      <w:r w:rsidR="001A4A93">
        <w:fldChar w:fldCharType="begin"/>
      </w:r>
      <w:r w:rsidR="001A4A93">
        <w:instrText xml:space="preserve"> SEQ Table \* ARABIC </w:instrText>
      </w:r>
      <w:r w:rsidR="001A4A93">
        <w:fldChar w:fldCharType="separate"/>
      </w:r>
      <w:r w:rsidR="00472E89">
        <w:rPr>
          <w:noProof/>
        </w:rPr>
        <w:t>3</w:t>
      </w:r>
      <w:r w:rsidR="001A4A93">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7834FB" w14:paraId="598CFD8E" w14:textId="77777777" w:rsidTr="001A4A93">
        <w:trPr>
          <w:cantSplit/>
        </w:trPr>
        <w:tc>
          <w:tcPr>
            <w:tcW w:w="1100" w:type="pct"/>
            <w:shd w:val="clear" w:color="auto" w:fill="D9D9D9"/>
          </w:tcPr>
          <w:p w14:paraId="2FD59AC2" w14:textId="738DFBA5" w:rsidR="00472B6A" w:rsidRPr="007834FB" w:rsidRDefault="00075167" w:rsidP="00075167">
            <w:pPr>
              <w:pStyle w:val="S8Gazettetableheading"/>
            </w:pPr>
            <w:r>
              <w:t>Application no.</w:t>
            </w:r>
          </w:p>
        </w:tc>
        <w:tc>
          <w:tcPr>
            <w:tcW w:w="3900" w:type="pct"/>
            <w:shd w:val="clear" w:color="auto" w:fill="FFFFFF"/>
          </w:tcPr>
          <w:p w14:paraId="309EDCE5" w14:textId="63E3F9E9" w:rsidR="00472B6A" w:rsidRPr="007834FB" w:rsidRDefault="00075167" w:rsidP="00075167">
            <w:pPr>
              <w:pStyle w:val="S8Gazettetabletext"/>
              <w:rPr>
                <w:noProof/>
              </w:rPr>
            </w:pPr>
            <w:r>
              <w:rPr>
                <w:noProof/>
              </w:rPr>
              <w:t>144564</w:t>
            </w:r>
          </w:p>
        </w:tc>
      </w:tr>
      <w:tr w:rsidR="00472B6A" w:rsidRPr="007834FB" w14:paraId="4A2A69D1" w14:textId="77777777" w:rsidTr="001A4A93">
        <w:trPr>
          <w:cantSplit/>
        </w:trPr>
        <w:tc>
          <w:tcPr>
            <w:tcW w:w="1100" w:type="pct"/>
            <w:shd w:val="clear" w:color="auto" w:fill="D9D9D9"/>
          </w:tcPr>
          <w:p w14:paraId="10E80B8D" w14:textId="18172831" w:rsidR="00472B6A" w:rsidRPr="007834FB" w:rsidRDefault="00075167" w:rsidP="00075167">
            <w:pPr>
              <w:pStyle w:val="S8Gazettetableheading"/>
            </w:pPr>
            <w:r>
              <w:t>Product name</w:t>
            </w:r>
          </w:p>
        </w:tc>
        <w:tc>
          <w:tcPr>
            <w:tcW w:w="3900" w:type="pct"/>
            <w:shd w:val="clear" w:color="auto" w:fill="FFFFFF"/>
          </w:tcPr>
          <w:p w14:paraId="310FE755" w14:textId="4A2189A4" w:rsidR="00472B6A" w:rsidRPr="007834FB" w:rsidRDefault="00075167" w:rsidP="00075167">
            <w:pPr>
              <w:pStyle w:val="S8Gazettetabletext"/>
            </w:pPr>
            <w:proofErr w:type="spellStart"/>
            <w:r>
              <w:t>Vetmec</w:t>
            </w:r>
            <w:proofErr w:type="spellEnd"/>
            <w:r>
              <w:t xml:space="preserve"> Multi Plus B12 Vitamin and Mineral Injection for Beef Cattle</w:t>
            </w:r>
          </w:p>
        </w:tc>
      </w:tr>
      <w:tr w:rsidR="00472B6A" w:rsidRPr="007834FB" w14:paraId="6CE99382" w14:textId="77777777" w:rsidTr="001A4A93">
        <w:trPr>
          <w:cantSplit/>
        </w:trPr>
        <w:tc>
          <w:tcPr>
            <w:tcW w:w="1100" w:type="pct"/>
            <w:shd w:val="clear" w:color="auto" w:fill="D9D9D9"/>
          </w:tcPr>
          <w:p w14:paraId="582A4AC5" w14:textId="320CB3AD" w:rsidR="00472B6A" w:rsidRPr="007834FB" w:rsidRDefault="00075167" w:rsidP="00075167">
            <w:pPr>
              <w:pStyle w:val="S8Gazettetableheading"/>
            </w:pPr>
            <w:r>
              <w:t>Active constituents</w:t>
            </w:r>
          </w:p>
        </w:tc>
        <w:tc>
          <w:tcPr>
            <w:tcW w:w="3900" w:type="pct"/>
            <w:shd w:val="clear" w:color="auto" w:fill="FFFFFF"/>
          </w:tcPr>
          <w:p w14:paraId="69834B38" w14:textId="703427F7" w:rsidR="00472B6A" w:rsidRPr="007834FB" w:rsidRDefault="00075167" w:rsidP="00075167">
            <w:pPr>
              <w:pStyle w:val="S8Gazettetabletext"/>
            </w:pPr>
            <w:r>
              <w:t>40 g/L zinc as disodium zinc EDTA, 15 g/L copper as disodium copper EDTA, 5.0 g/L selenium as sodium selenate, 2.0 g/L cyanocobalamin</w:t>
            </w:r>
          </w:p>
        </w:tc>
      </w:tr>
      <w:tr w:rsidR="00472B6A" w:rsidRPr="007834FB" w14:paraId="191BC1F2" w14:textId="77777777" w:rsidTr="001A4A93">
        <w:trPr>
          <w:cantSplit/>
        </w:trPr>
        <w:tc>
          <w:tcPr>
            <w:tcW w:w="1100" w:type="pct"/>
            <w:shd w:val="clear" w:color="auto" w:fill="D9D9D9"/>
          </w:tcPr>
          <w:p w14:paraId="57CCDF35" w14:textId="17F0A22A" w:rsidR="00472B6A" w:rsidRPr="007834FB" w:rsidRDefault="00075167" w:rsidP="00075167">
            <w:pPr>
              <w:pStyle w:val="S8Gazettetableheading"/>
            </w:pPr>
            <w:r>
              <w:t>Applicant name</w:t>
            </w:r>
          </w:p>
        </w:tc>
        <w:tc>
          <w:tcPr>
            <w:tcW w:w="3900" w:type="pct"/>
            <w:shd w:val="clear" w:color="auto" w:fill="FFFFFF"/>
          </w:tcPr>
          <w:p w14:paraId="699BCD31" w14:textId="135820F7" w:rsidR="00472B6A" w:rsidRPr="007834FB" w:rsidRDefault="00075167" w:rsidP="00075167">
            <w:pPr>
              <w:pStyle w:val="S8Gazettetabletext"/>
            </w:pPr>
            <w:proofErr w:type="spellStart"/>
            <w:r>
              <w:t>Chemvet</w:t>
            </w:r>
            <w:proofErr w:type="spellEnd"/>
            <w:r>
              <w:t xml:space="preserve"> Australia Pty Ltd</w:t>
            </w:r>
          </w:p>
        </w:tc>
      </w:tr>
      <w:tr w:rsidR="00472B6A" w:rsidRPr="007834FB" w14:paraId="47E91FDD" w14:textId="77777777" w:rsidTr="001A4A93">
        <w:trPr>
          <w:cantSplit/>
        </w:trPr>
        <w:tc>
          <w:tcPr>
            <w:tcW w:w="1100" w:type="pct"/>
            <w:shd w:val="clear" w:color="auto" w:fill="D9D9D9"/>
          </w:tcPr>
          <w:p w14:paraId="58EC1F07" w14:textId="7DCEB609" w:rsidR="00472B6A" w:rsidRPr="007834FB" w:rsidRDefault="00075167" w:rsidP="00075167">
            <w:pPr>
              <w:pStyle w:val="S8Gazettetableheading"/>
            </w:pPr>
            <w:r>
              <w:t>Applicant ACN</w:t>
            </w:r>
          </w:p>
        </w:tc>
        <w:tc>
          <w:tcPr>
            <w:tcW w:w="3900" w:type="pct"/>
            <w:shd w:val="clear" w:color="auto" w:fill="FFFFFF"/>
          </w:tcPr>
          <w:p w14:paraId="756F3FA2" w14:textId="3AF77428" w:rsidR="00472B6A" w:rsidRPr="007834FB" w:rsidRDefault="00075167" w:rsidP="00075167">
            <w:pPr>
              <w:pStyle w:val="S8Gazettetabletext"/>
            </w:pPr>
            <w:r>
              <w:t>138 711 289</w:t>
            </w:r>
          </w:p>
        </w:tc>
      </w:tr>
      <w:tr w:rsidR="00472B6A" w:rsidRPr="007834FB" w14:paraId="65DBCC30" w14:textId="77777777" w:rsidTr="001A4A93">
        <w:trPr>
          <w:cantSplit/>
        </w:trPr>
        <w:tc>
          <w:tcPr>
            <w:tcW w:w="1100" w:type="pct"/>
            <w:shd w:val="clear" w:color="auto" w:fill="D9D9D9"/>
          </w:tcPr>
          <w:p w14:paraId="55783E6C" w14:textId="427C4204" w:rsidR="00472B6A" w:rsidRPr="007834FB" w:rsidRDefault="00075167" w:rsidP="00075167">
            <w:pPr>
              <w:pStyle w:val="S8Gazettetableheading"/>
            </w:pPr>
            <w:r>
              <w:t>Date of registration</w:t>
            </w:r>
          </w:p>
        </w:tc>
        <w:tc>
          <w:tcPr>
            <w:tcW w:w="3900" w:type="pct"/>
            <w:shd w:val="clear" w:color="auto" w:fill="FFFFFF"/>
          </w:tcPr>
          <w:p w14:paraId="00FF869C" w14:textId="1CC3E302" w:rsidR="00472B6A" w:rsidRPr="007834FB" w:rsidRDefault="00075167" w:rsidP="00075167">
            <w:pPr>
              <w:pStyle w:val="S8Gazettetabletext"/>
            </w:pPr>
            <w:r>
              <w:t>8 December 2025</w:t>
            </w:r>
          </w:p>
        </w:tc>
      </w:tr>
      <w:tr w:rsidR="00472B6A" w:rsidRPr="007834FB" w14:paraId="0C217DBB" w14:textId="77777777" w:rsidTr="001A4A93">
        <w:trPr>
          <w:cantSplit/>
        </w:trPr>
        <w:tc>
          <w:tcPr>
            <w:tcW w:w="1100" w:type="pct"/>
            <w:shd w:val="clear" w:color="auto" w:fill="D9D9D9"/>
          </w:tcPr>
          <w:p w14:paraId="3C352C26" w14:textId="6DA7DDC5" w:rsidR="00472B6A" w:rsidRPr="007834FB" w:rsidRDefault="00075167" w:rsidP="00075167">
            <w:pPr>
              <w:pStyle w:val="S8Gazettetableheading"/>
            </w:pPr>
            <w:r>
              <w:t>Product registration no.</w:t>
            </w:r>
          </w:p>
        </w:tc>
        <w:tc>
          <w:tcPr>
            <w:tcW w:w="3900" w:type="pct"/>
            <w:shd w:val="clear" w:color="auto" w:fill="FFFFFF"/>
          </w:tcPr>
          <w:p w14:paraId="5EEB8385" w14:textId="2E6525F6" w:rsidR="00472B6A" w:rsidRPr="007834FB" w:rsidRDefault="00075167" w:rsidP="00075167">
            <w:pPr>
              <w:pStyle w:val="S8Gazettetabletext"/>
            </w:pPr>
            <w:r>
              <w:t>95055</w:t>
            </w:r>
          </w:p>
        </w:tc>
      </w:tr>
      <w:tr w:rsidR="00472B6A" w:rsidRPr="007834FB" w14:paraId="34C32A30" w14:textId="77777777" w:rsidTr="001A4A93">
        <w:trPr>
          <w:cantSplit/>
        </w:trPr>
        <w:tc>
          <w:tcPr>
            <w:tcW w:w="1100" w:type="pct"/>
            <w:shd w:val="clear" w:color="auto" w:fill="D9D9D9"/>
          </w:tcPr>
          <w:p w14:paraId="7BE11E6F" w14:textId="0D8E5E88" w:rsidR="00472B6A" w:rsidRPr="007834FB" w:rsidRDefault="00075167" w:rsidP="00075167">
            <w:pPr>
              <w:pStyle w:val="S8Gazettetableheading"/>
            </w:pPr>
            <w:r>
              <w:t>Label approval no.</w:t>
            </w:r>
          </w:p>
        </w:tc>
        <w:tc>
          <w:tcPr>
            <w:tcW w:w="3900" w:type="pct"/>
            <w:shd w:val="clear" w:color="auto" w:fill="FFFFFF"/>
          </w:tcPr>
          <w:p w14:paraId="06598EAD" w14:textId="407E4B9A" w:rsidR="00472B6A" w:rsidRPr="007834FB" w:rsidRDefault="00075167" w:rsidP="00075167">
            <w:pPr>
              <w:pStyle w:val="S8Gazettetabletext"/>
            </w:pPr>
            <w:r>
              <w:t>95055/144564</w:t>
            </w:r>
          </w:p>
        </w:tc>
      </w:tr>
      <w:tr w:rsidR="00472B6A" w:rsidRPr="007834FB" w14:paraId="48A6C3AF" w14:textId="77777777" w:rsidTr="001A4A93">
        <w:trPr>
          <w:cantSplit/>
        </w:trPr>
        <w:tc>
          <w:tcPr>
            <w:tcW w:w="1100" w:type="pct"/>
            <w:shd w:val="clear" w:color="auto" w:fill="D9D9D9"/>
          </w:tcPr>
          <w:p w14:paraId="3E3634C7" w14:textId="22CE229B" w:rsidR="00472B6A" w:rsidRPr="007834FB"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25F65C94" w14:textId="77777777" w:rsidR="00075167" w:rsidRDefault="00075167" w:rsidP="00075167">
            <w:pPr>
              <w:pStyle w:val="S8Gazettetabletext"/>
            </w:pPr>
            <w:r>
              <w:t xml:space="preserve">Registration of a multi active chelated trace element injection containing 15 g/L copper, 40 g/L zinc, </w:t>
            </w:r>
          </w:p>
          <w:p w14:paraId="748C625F" w14:textId="774A69C9" w:rsidR="00472B6A" w:rsidRPr="007834FB" w:rsidRDefault="00075167" w:rsidP="00075167">
            <w:pPr>
              <w:pStyle w:val="S8Gazettetabletext"/>
            </w:pPr>
            <w:r>
              <w:t>5 g/L selenium and 2.0 g/L vitamin B12 for beef cattle</w:t>
            </w:r>
          </w:p>
        </w:tc>
      </w:tr>
    </w:tbl>
    <w:p w14:paraId="40ADDD14" w14:textId="77777777" w:rsidR="00472B6A" w:rsidRPr="0087133C"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7834FB" w14:paraId="5B03DB94" w14:textId="77777777" w:rsidTr="001A4A93">
        <w:trPr>
          <w:cantSplit/>
        </w:trPr>
        <w:tc>
          <w:tcPr>
            <w:tcW w:w="1100" w:type="pct"/>
            <w:shd w:val="clear" w:color="auto" w:fill="D9D9D9"/>
          </w:tcPr>
          <w:p w14:paraId="69070D33" w14:textId="503F90F8" w:rsidR="00472B6A" w:rsidRPr="007834FB" w:rsidRDefault="00075167" w:rsidP="00075167">
            <w:pPr>
              <w:pStyle w:val="S8Gazettetableheading"/>
            </w:pPr>
            <w:r>
              <w:t>Application no.</w:t>
            </w:r>
          </w:p>
        </w:tc>
        <w:tc>
          <w:tcPr>
            <w:tcW w:w="3900" w:type="pct"/>
            <w:shd w:val="clear" w:color="auto" w:fill="FFFFFF"/>
          </w:tcPr>
          <w:p w14:paraId="4E923B90" w14:textId="4B7B21AA" w:rsidR="00472B6A" w:rsidRPr="007834FB" w:rsidRDefault="00075167" w:rsidP="00075167">
            <w:pPr>
              <w:pStyle w:val="S8Gazettetabletext"/>
              <w:rPr>
                <w:noProof/>
              </w:rPr>
            </w:pPr>
            <w:r>
              <w:t>145049</w:t>
            </w:r>
          </w:p>
        </w:tc>
      </w:tr>
      <w:tr w:rsidR="00472B6A" w:rsidRPr="007834FB" w14:paraId="77E9711A" w14:textId="77777777" w:rsidTr="001A4A93">
        <w:trPr>
          <w:cantSplit/>
        </w:trPr>
        <w:tc>
          <w:tcPr>
            <w:tcW w:w="1100" w:type="pct"/>
            <w:shd w:val="clear" w:color="auto" w:fill="D9D9D9"/>
          </w:tcPr>
          <w:p w14:paraId="3E0B958E" w14:textId="71DC15B8" w:rsidR="00472B6A" w:rsidRPr="007834FB" w:rsidRDefault="00075167" w:rsidP="00075167">
            <w:pPr>
              <w:pStyle w:val="S8Gazettetableheading"/>
            </w:pPr>
            <w:r>
              <w:t>Product name</w:t>
            </w:r>
          </w:p>
        </w:tc>
        <w:tc>
          <w:tcPr>
            <w:tcW w:w="3900" w:type="pct"/>
            <w:shd w:val="clear" w:color="auto" w:fill="FFFFFF"/>
          </w:tcPr>
          <w:p w14:paraId="5D754BCA" w14:textId="073CAC87" w:rsidR="00472B6A" w:rsidRPr="007834FB" w:rsidRDefault="00075167" w:rsidP="00075167">
            <w:pPr>
              <w:pStyle w:val="S8Gazettetabletext"/>
            </w:pPr>
            <w:proofErr w:type="spellStart"/>
            <w:r>
              <w:t>Vetmec</w:t>
            </w:r>
            <w:proofErr w:type="spellEnd"/>
            <w:r>
              <w:t xml:space="preserve"> Pour-On </w:t>
            </w:r>
            <w:proofErr w:type="spellStart"/>
            <w:r>
              <w:t>Lousicide</w:t>
            </w:r>
            <w:proofErr w:type="spellEnd"/>
            <w:r>
              <w:t xml:space="preserve"> for Sheep</w:t>
            </w:r>
          </w:p>
        </w:tc>
      </w:tr>
      <w:tr w:rsidR="00472B6A" w:rsidRPr="007834FB" w14:paraId="13784D8E" w14:textId="77777777" w:rsidTr="001A4A93">
        <w:trPr>
          <w:cantSplit/>
        </w:trPr>
        <w:tc>
          <w:tcPr>
            <w:tcW w:w="1100" w:type="pct"/>
            <w:shd w:val="clear" w:color="auto" w:fill="D9D9D9"/>
          </w:tcPr>
          <w:p w14:paraId="51A4E1CA" w14:textId="295D4738" w:rsidR="00472B6A" w:rsidRPr="007834FB" w:rsidRDefault="00075167" w:rsidP="00075167">
            <w:pPr>
              <w:pStyle w:val="S8Gazettetableheading"/>
            </w:pPr>
            <w:r>
              <w:t>Active constituent</w:t>
            </w:r>
          </w:p>
        </w:tc>
        <w:tc>
          <w:tcPr>
            <w:tcW w:w="3900" w:type="pct"/>
            <w:shd w:val="clear" w:color="auto" w:fill="FFFFFF"/>
          </w:tcPr>
          <w:p w14:paraId="3D76D93A" w14:textId="683A122B" w:rsidR="00472B6A" w:rsidRPr="007834FB" w:rsidRDefault="00075167" w:rsidP="00075167">
            <w:pPr>
              <w:pStyle w:val="S8Gazettetabletext"/>
            </w:pPr>
            <w:r>
              <w:t>35 g/L imidacloprid</w:t>
            </w:r>
          </w:p>
        </w:tc>
      </w:tr>
      <w:tr w:rsidR="00472B6A" w:rsidRPr="007834FB" w14:paraId="1377617A" w14:textId="77777777" w:rsidTr="001A4A93">
        <w:trPr>
          <w:cantSplit/>
        </w:trPr>
        <w:tc>
          <w:tcPr>
            <w:tcW w:w="1100" w:type="pct"/>
            <w:shd w:val="clear" w:color="auto" w:fill="D9D9D9"/>
          </w:tcPr>
          <w:p w14:paraId="0943FF01" w14:textId="74C837A2" w:rsidR="00472B6A" w:rsidRPr="007834FB" w:rsidRDefault="00075167" w:rsidP="00075167">
            <w:pPr>
              <w:pStyle w:val="S8Gazettetableheading"/>
            </w:pPr>
            <w:r>
              <w:t>Applicant name</w:t>
            </w:r>
          </w:p>
        </w:tc>
        <w:tc>
          <w:tcPr>
            <w:tcW w:w="3900" w:type="pct"/>
            <w:shd w:val="clear" w:color="auto" w:fill="FFFFFF"/>
          </w:tcPr>
          <w:p w14:paraId="109A889B" w14:textId="0C0018AE" w:rsidR="00472B6A" w:rsidRPr="007834FB" w:rsidRDefault="00075167" w:rsidP="00075167">
            <w:pPr>
              <w:pStyle w:val="S8Gazettetabletext"/>
            </w:pPr>
            <w:proofErr w:type="spellStart"/>
            <w:r>
              <w:t>Chemvet</w:t>
            </w:r>
            <w:proofErr w:type="spellEnd"/>
            <w:r>
              <w:t xml:space="preserve"> Australia Pty Ltd</w:t>
            </w:r>
          </w:p>
        </w:tc>
      </w:tr>
      <w:tr w:rsidR="00472B6A" w:rsidRPr="007834FB" w14:paraId="15B2D029" w14:textId="77777777" w:rsidTr="001A4A93">
        <w:trPr>
          <w:cantSplit/>
        </w:trPr>
        <w:tc>
          <w:tcPr>
            <w:tcW w:w="1100" w:type="pct"/>
            <w:shd w:val="clear" w:color="auto" w:fill="D9D9D9"/>
          </w:tcPr>
          <w:p w14:paraId="65E33D84" w14:textId="1FD652D4" w:rsidR="00472B6A" w:rsidRPr="007834FB" w:rsidRDefault="00075167" w:rsidP="00075167">
            <w:pPr>
              <w:pStyle w:val="S8Gazettetableheading"/>
            </w:pPr>
            <w:r>
              <w:t>Applicant ACN</w:t>
            </w:r>
          </w:p>
        </w:tc>
        <w:tc>
          <w:tcPr>
            <w:tcW w:w="3900" w:type="pct"/>
            <w:shd w:val="clear" w:color="auto" w:fill="FFFFFF"/>
          </w:tcPr>
          <w:p w14:paraId="59BBD3A2" w14:textId="7BFEAC68" w:rsidR="00472B6A" w:rsidRPr="007834FB" w:rsidRDefault="00075167" w:rsidP="00075167">
            <w:pPr>
              <w:pStyle w:val="S8Gazettetabletext"/>
            </w:pPr>
            <w:r>
              <w:t>138 711 289</w:t>
            </w:r>
          </w:p>
        </w:tc>
      </w:tr>
      <w:tr w:rsidR="00472B6A" w:rsidRPr="007834FB" w14:paraId="463FD0F8" w14:textId="77777777" w:rsidTr="001A4A93">
        <w:trPr>
          <w:cantSplit/>
        </w:trPr>
        <w:tc>
          <w:tcPr>
            <w:tcW w:w="1100" w:type="pct"/>
            <w:shd w:val="clear" w:color="auto" w:fill="D9D9D9"/>
          </w:tcPr>
          <w:p w14:paraId="07E8745D" w14:textId="6767397F" w:rsidR="00472B6A" w:rsidRPr="007834FB" w:rsidRDefault="00075167" w:rsidP="00075167">
            <w:pPr>
              <w:pStyle w:val="S8Gazettetableheading"/>
            </w:pPr>
            <w:r>
              <w:t>Date of registration</w:t>
            </w:r>
          </w:p>
        </w:tc>
        <w:tc>
          <w:tcPr>
            <w:tcW w:w="3900" w:type="pct"/>
            <w:shd w:val="clear" w:color="auto" w:fill="FFFFFF"/>
          </w:tcPr>
          <w:p w14:paraId="7BC4C17D" w14:textId="224A0D13" w:rsidR="00472B6A" w:rsidRPr="007834FB" w:rsidRDefault="00075167" w:rsidP="00075167">
            <w:pPr>
              <w:pStyle w:val="S8Gazettetabletext"/>
            </w:pPr>
            <w:r>
              <w:t>8 December 2025</w:t>
            </w:r>
          </w:p>
        </w:tc>
      </w:tr>
      <w:tr w:rsidR="00472B6A" w:rsidRPr="007834FB" w14:paraId="19EC93E1" w14:textId="77777777" w:rsidTr="001A4A93">
        <w:trPr>
          <w:cantSplit/>
        </w:trPr>
        <w:tc>
          <w:tcPr>
            <w:tcW w:w="1100" w:type="pct"/>
            <w:shd w:val="clear" w:color="auto" w:fill="D9D9D9"/>
          </w:tcPr>
          <w:p w14:paraId="19409DFA" w14:textId="0AFB5842" w:rsidR="00472B6A" w:rsidRPr="007834FB" w:rsidRDefault="00075167" w:rsidP="00075167">
            <w:pPr>
              <w:pStyle w:val="S8Gazettetableheading"/>
            </w:pPr>
            <w:r>
              <w:t>Product registration no.</w:t>
            </w:r>
          </w:p>
        </w:tc>
        <w:tc>
          <w:tcPr>
            <w:tcW w:w="3900" w:type="pct"/>
            <w:shd w:val="clear" w:color="auto" w:fill="FFFFFF"/>
          </w:tcPr>
          <w:p w14:paraId="5EF9382A" w14:textId="2218FD51" w:rsidR="00472B6A" w:rsidRPr="007834FB" w:rsidRDefault="00075167" w:rsidP="00075167">
            <w:pPr>
              <w:pStyle w:val="S8Gazettetabletext"/>
            </w:pPr>
            <w:r>
              <w:t>95235</w:t>
            </w:r>
          </w:p>
        </w:tc>
      </w:tr>
      <w:tr w:rsidR="00472B6A" w:rsidRPr="007834FB" w14:paraId="4BC172BB" w14:textId="77777777" w:rsidTr="001A4A93">
        <w:trPr>
          <w:cantSplit/>
        </w:trPr>
        <w:tc>
          <w:tcPr>
            <w:tcW w:w="1100" w:type="pct"/>
            <w:shd w:val="clear" w:color="auto" w:fill="D9D9D9"/>
          </w:tcPr>
          <w:p w14:paraId="23F1D271" w14:textId="22492596" w:rsidR="00472B6A" w:rsidRPr="007834FB" w:rsidRDefault="00075167" w:rsidP="00075167">
            <w:pPr>
              <w:pStyle w:val="S8Gazettetableheading"/>
            </w:pPr>
            <w:r>
              <w:t>Label approval no.</w:t>
            </w:r>
          </w:p>
        </w:tc>
        <w:tc>
          <w:tcPr>
            <w:tcW w:w="3900" w:type="pct"/>
            <w:shd w:val="clear" w:color="auto" w:fill="FFFFFF"/>
          </w:tcPr>
          <w:p w14:paraId="0F22F945" w14:textId="39E179AD" w:rsidR="00472B6A" w:rsidRPr="007834FB" w:rsidRDefault="00075167" w:rsidP="00075167">
            <w:pPr>
              <w:pStyle w:val="S8Gazettetabletext"/>
            </w:pPr>
            <w:r>
              <w:t>95235/145049</w:t>
            </w:r>
          </w:p>
        </w:tc>
      </w:tr>
      <w:tr w:rsidR="00472B6A" w:rsidRPr="007834FB" w14:paraId="6C30BEA4" w14:textId="77777777" w:rsidTr="001A4A93">
        <w:trPr>
          <w:cantSplit/>
        </w:trPr>
        <w:tc>
          <w:tcPr>
            <w:tcW w:w="1100" w:type="pct"/>
            <w:shd w:val="clear" w:color="auto" w:fill="D9D9D9"/>
          </w:tcPr>
          <w:p w14:paraId="575B3F48" w14:textId="6732354D" w:rsidR="00472B6A" w:rsidRPr="007834FB"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629794B5" w14:textId="35494599" w:rsidR="00472B6A" w:rsidRPr="007834FB" w:rsidRDefault="00075167" w:rsidP="00075167">
            <w:pPr>
              <w:pStyle w:val="S8Gazettetabletext"/>
            </w:pPr>
            <w:r>
              <w:t xml:space="preserve">Registration of a 35 g/L imidacloprid pour-on solution product for prevention of blowfly strike (Lucilia </w:t>
            </w:r>
            <w:proofErr w:type="spellStart"/>
            <w:r>
              <w:t>cuprina</w:t>
            </w:r>
            <w:proofErr w:type="spellEnd"/>
            <w:r>
              <w:t>) in sheep in long or short wool and control of neonicotinoid susceptible body lice (</w:t>
            </w:r>
            <w:proofErr w:type="spellStart"/>
            <w:r>
              <w:t>Bovicola</w:t>
            </w:r>
            <w:proofErr w:type="spellEnd"/>
            <w:r>
              <w:t xml:space="preserve"> </w:t>
            </w:r>
            <w:proofErr w:type="spellStart"/>
            <w:r>
              <w:t>ovis</w:t>
            </w:r>
            <w:proofErr w:type="spellEnd"/>
            <w:r>
              <w:t>)</w:t>
            </w:r>
          </w:p>
        </w:tc>
      </w:tr>
    </w:tbl>
    <w:p w14:paraId="250E8015"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7834FB" w14:paraId="2C3306F6" w14:textId="77777777" w:rsidTr="001A4A93">
        <w:trPr>
          <w:cantSplit/>
          <w:tblHeader/>
        </w:trPr>
        <w:tc>
          <w:tcPr>
            <w:tcW w:w="1100" w:type="pct"/>
            <w:shd w:val="clear" w:color="auto" w:fill="D9D9D9"/>
          </w:tcPr>
          <w:p w14:paraId="38546BB0" w14:textId="2C3625EA" w:rsidR="00472B6A" w:rsidRPr="007834FB" w:rsidRDefault="00075167" w:rsidP="00075167">
            <w:pPr>
              <w:pStyle w:val="S8Gazettetableheading"/>
            </w:pPr>
            <w:r>
              <w:lastRenderedPageBreak/>
              <w:t>Application no.</w:t>
            </w:r>
          </w:p>
        </w:tc>
        <w:tc>
          <w:tcPr>
            <w:tcW w:w="3900" w:type="pct"/>
            <w:shd w:val="clear" w:color="auto" w:fill="FFFFFF"/>
          </w:tcPr>
          <w:p w14:paraId="19B41269" w14:textId="5F87CF25" w:rsidR="00472B6A" w:rsidRPr="007834FB" w:rsidRDefault="00075167" w:rsidP="00075167">
            <w:pPr>
              <w:pStyle w:val="S8Gazettetabletext"/>
              <w:rPr>
                <w:noProof/>
              </w:rPr>
            </w:pPr>
            <w:r>
              <w:t>148834</w:t>
            </w:r>
          </w:p>
        </w:tc>
      </w:tr>
      <w:tr w:rsidR="00472B6A" w:rsidRPr="007834FB" w14:paraId="034D17CD" w14:textId="77777777" w:rsidTr="001A4A93">
        <w:trPr>
          <w:cantSplit/>
          <w:tblHeader/>
        </w:trPr>
        <w:tc>
          <w:tcPr>
            <w:tcW w:w="1100" w:type="pct"/>
            <w:shd w:val="clear" w:color="auto" w:fill="D9D9D9"/>
          </w:tcPr>
          <w:p w14:paraId="3C9EC36A" w14:textId="658BAD8C" w:rsidR="00472B6A" w:rsidRPr="007834FB" w:rsidRDefault="00075167" w:rsidP="00075167">
            <w:pPr>
              <w:pStyle w:val="S8Gazettetableheading"/>
            </w:pPr>
            <w:r>
              <w:t>Product name</w:t>
            </w:r>
          </w:p>
        </w:tc>
        <w:tc>
          <w:tcPr>
            <w:tcW w:w="3900" w:type="pct"/>
            <w:shd w:val="clear" w:color="auto" w:fill="FFFFFF"/>
          </w:tcPr>
          <w:p w14:paraId="31BB8E41" w14:textId="696CF0C4" w:rsidR="00472B6A" w:rsidRPr="007834FB" w:rsidRDefault="00075167" w:rsidP="00075167">
            <w:pPr>
              <w:pStyle w:val="S8Gazettetabletext"/>
            </w:pPr>
            <w:r>
              <w:t>Promin Plus B12 Injection for Cattle</w:t>
            </w:r>
          </w:p>
        </w:tc>
      </w:tr>
      <w:tr w:rsidR="00472B6A" w:rsidRPr="007834FB" w14:paraId="5FA74B45" w14:textId="77777777" w:rsidTr="001A4A93">
        <w:trPr>
          <w:cantSplit/>
          <w:tblHeader/>
        </w:trPr>
        <w:tc>
          <w:tcPr>
            <w:tcW w:w="1100" w:type="pct"/>
            <w:shd w:val="clear" w:color="auto" w:fill="D9D9D9"/>
          </w:tcPr>
          <w:p w14:paraId="3F96D230" w14:textId="02FDCC60" w:rsidR="00472B6A" w:rsidRPr="007834FB" w:rsidRDefault="00075167" w:rsidP="00075167">
            <w:pPr>
              <w:pStyle w:val="S8Gazettetableheading"/>
            </w:pPr>
            <w:r>
              <w:t>Active constituent</w:t>
            </w:r>
          </w:p>
        </w:tc>
        <w:tc>
          <w:tcPr>
            <w:tcW w:w="3900" w:type="pct"/>
            <w:shd w:val="clear" w:color="auto" w:fill="FFFFFF"/>
          </w:tcPr>
          <w:p w14:paraId="180A568E" w14:textId="68B15A5D" w:rsidR="00472B6A" w:rsidRPr="007834FB" w:rsidRDefault="00075167" w:rsidP="00075167">
            <w:pPr>
              <w:pStyle w:val="S8Gazettetabletext"/>
            </w:pPr>
            <w:r>
              <w:t>40 g/L zinc (as disodium zinc EDTA), 15 g/L copper (as disodium copper EDTA), 10 g/L manganese (as disodium manganese EDTA), 5 g/L selenium (as sodium selenite), 1.4 g/L cyanocobalamin</w:t>
            </w:r>
          </w:p>
        </w:tc>
      </w:tr>
      <w:tr w:rsidR="00472B6A" w:rsidRPr="007834FB" w14:paraId="42A5FA2F" w14:textId="77777777" w:rsidTr="001A4A93">
        <w:trPr>
          <w:cantSplit/>
          <w:tblHeader/>
        </w:trPr>
        <w:tc>
          <w:tcPr>
            <w:tcW w:w="1100" w:type="pct"/>
            <w:shd w:val="clear" w:color="auto" w:fill="D9D9D9"/>
          </w:tcPr>
          <w:p w14:paraId="2FFF6D0F" w14:textId="3A3BAEB3" w:rsidR="00472B6A" w:rsidRPr="007834FB" w:rsidRDefault="00075167" w:rsidP="00075167">
            <w:pPr>
              <w:pStyle w:val="S8Gazettetableheading"/>
            </w:pPr>
            <w:r>
              <w:t>Applicant name</w:t>
            </w:r>
          </w:p>
        </w:tc>
        <w:tc>
          <w:tcPr>
            <w:tcW w:w="3900" w:type="pct"/>
            <w:shd w:val="clear" w:color="auto" w:fill="FFFFFF"/>
          </w:tcPr>
          <w:p w14:paraId="7507ADDD" w14:textId="72C25ABD" w:rsidR="00472B6A" w:rsidRPr="007834FB" w:rsidRDefault="00075167" w:rsidP="00075167">
            <w:pPr>
              <w:pStyle w:val="S8Gazettetabletext"/>
            </w:pPr>
            <w:r>
              <w:t>Virbac (Australia) Pty Ltd</w:t>
            </w:r>
          </w:p>
        </w:tc>
      </w:tr>
      <w:tr w:rsidR="00472B6A" w:rsidRPr="007834FB" w14:paraId="09CD6A63" w14:textId="77777777" w:rsidTr="001A4A93">
        <w:trPr>
          <w:cantSplit/>
          <w:tblHeader/>
        </w:trPr>
        <w:tc>
          <w:tcPr>
            <w:tcW w:w="1100" w:type="pct"/>
            <w:shd w:val="clear" w:color="auto" w:fill="D9D9D9"/>
          </w:tcPr>
          <w:p w14:paraId="747BC380" w14:textId="53EF5781" w:rsidR="00472B6A" w:rsidRPr="007834FB" w:rsidRDefault="00075167" w:rsidP="00075167">
            <w:pPr>
              <w:pStyle w:val="S8Gazettetableheading"/>
            </w:pPr>
            <w:r>
              <w:t>Applicant ACN</w:t>
            </w:r>
          </w:p>
        </w:tc>
        <w:tc>
          <w:tcPr>
            <w:tcW w:w="3900" w:type="pct"/>
            <w:shd w:val="clear" w:color="auto" w:fill="FFFFFF"/>
          </w:tcPr>
          <w:p w14:paraId="4B07EAF4" w14:textId="3F62B51B" w:rsidR="00472B6A" w:rsidRPr="007834FB" w:rsidRDefault="00075167" w:rsidP="00075167">
            <w:pPr>
              <w:pStyle w:val="S8Gazettetabletext"/>
            </w:pPr>
            <w:r>
              <w:t>003 268 871</w:t>
            </w:r>
          </w:p>
        </w:tc>
      </w:tr>
      <w:tr w:rsidR="00472B6A" w:rsidRPr="007834FB" w14:paraId="54F8AC53" w14:textId="77777777" w:rsidTr="001A4A93">
        <w:trPr>
          <w:cantSplit/>
          <w:tblHeader/>
        </w:trPr>
        <w:tc>
          <w:tcPr>
            <w:tcW w:w="1100" w:type="pct"/>
            <w:shd w:val="clear" w:color="auto" w:fill="D9D9D9"/>
          </w:tcPr>
          <w:p w14:paraId="2876FFFA" w14:textId="226D9436" w:rsidR="00472B6A" w:rsidRPr="007834FB" w:rsidRDefault="00075167" w:rsidP="00075167">
            <w:pPr>
              <w:pStyle w:val="S8Gazettetableheading"/>
            </w:pPr>
            <w:r>
              <w:t>Date of registration</w:t>
            </w:r>
          </w:p>
        </w:tc>
        <w:tc>
          <w:tcPr>
            <w:tcW w:w="3900" w:type="pct"/>
            <w:shd w:val="clear" w:color="auto" w:fill="FFFFFF"/>
          </w:tcPr>
          <w:p w14:paraId="7846F382" w14:textId="6346AF4B" w:rsidR="00472B6A" w:rsidRPr="007834FB" w:rsidRDefault="00075167" w:rsidP="00075167">
            <w:pPr>
              <w:pStyle w:val="S8Gazettetabletext"/>
            </w:pPr>
            <w:r>
              <w:t>10 December 2025</w:t>
            </w:r>
          </w:p>
        </w:tc>
      </w:tr>
      <w:tr w:rsidR="00472B6A" w:rsidRPr="007834FB" w14:paraId="72A88BEE" w14:textId="77777777" w:rsidTr="001A4A93">
        <w:trPr>
          <w:cantSplit/>
          <w:tblHeader/>
        </w:trPr>
        <w:tc>
          <w:tcPr>
            <w:tcW w:w="1100" w:type="pct"/>
            <w:shd w:val="clear" w:color="auto" w:fill="D9D9D9"/>
          </w:tcPr>
          <w:p w14:paraId="62F7CDC8" w14:textId="3A87ED2C" w:rsidR="00472B6A" w:rsidRPr="007834FB" w:rsidRDefault="00075167" w:rsidP="00075167">
            <w:pPr>
              <w:pStyle w:val="S8Gazettetableheading"/>
            </w:pPr>
            <w:r>
              <w:t>Product registration no.</w:t>
            </w:r>
          </w:p>
        </w:tc>
        <w:tc>
          <w:tcPr>
            <w:tcW w:w="3900" w:type="pct"/>
            <w:shd w:val="clear" w:color="auto" w:fill="FFFFFF"/>
          </w:tcPr>
          <w:p w14:paraId="579E657F" w14:textId="738F8B06" w:rsidR="00472B6A" w:rsidRPr="007834FB" w:rsidRDefault="00075167" w:rsidP="00075167">
            <w:pPr>
              <w:pStyle w:val="S8Gazettetabletext"/>
            </w:pPr>
            <w:r>
              <w:t>96294</w:t>
            </w:r>
          </w:p>
        </w:tc>
      </w:tr>
      <w:tr w:rsidR="00472B6A" w:rsidRPr="007834FB" w14:paraId="6C53F76C" w14:textId="77777777" w:rsidTr="001A4A93">
        <w:trPr>
          <w:cantSplit/>
          <w:tblHeader/>
        </w:trPr>
        <w:tc>
          <w:tcPr>
            <w:tcW w:w="1100" w:type="pct"/>
            <w:shd w:val="clear" w:color="auto" w:fill="D9D9D9"/>
          </w:tcPr>
          <w:p w14:paraId="470D1EA6" w14:textId="66C7F324" w:rsidR="00472B6A" w:rsidRPr="007834FB" w:rsidRDefault="00075167" w:rsidP="00075167">
            <w:pPr>
              <w:pStyle w:val="S8Gazettetableheading"/>
            </w:pPr>
            <w:r>
              <w:t>Label approval no.</w:t>
            </w:r>
          </w:p>
        </w:tc>
        <w:tc>
          <w:tcPr>
            <w:tcW w:w="3900" w:type="pct"/>
            <w:shd w:val="clear" w:color="auto" w:fill="FFFFFF"/>
          </w:tcPr>
          <w:p w14:paraId="5D5DA370" w14:textId="477456FF" w:rsidR="00472B6A" w:rsidRPr="007834FB" w:rsidRDefault="00075167" w:rsidP="00075167">
            <w:pPr>
              <w:pStyle w:val="S8Gazettetabletext"/>
            </w:pPr>
            <w:r>
              <w:t>96294/148834</w:t>
            </w:r>
          </w:p>
        </w:tc>
      </w:tr>
      <w:tr w:rsidR="00472B6A" w:rsidRPr="007834FB" w14:paraId="37FAD416" w14:textId="77777777" w:rsidTr="001A4A93">
        <w:trPr>
          <w:cantSplit/>
          <w:tblHeader/>
        </w:trPr>
        <w:tc>
          <w:tcPr>
            <w:tcW w:w="1100" w:type="pct"/>
            <w:shd w:val="clear" w:color="auto" w:fill="D9D9D9"/>
          </w:tcPr>
          <w:p w14:paraId="6C47CE1D" w14:textId="382C5824" w:rsidR="00472B6A" w:rsidRPr="007834FB"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19BB0D52" w14:textId="052C760E" w:rsidR="00472B6A" w:rsidRPr="007834FB" w:rsidRDefault="00075167" w:rsidP="00075167">
            <w:pPr>
              <w:pStyle w:val="S8Gazettetabletext"/>
            </w:pPr>
            <w:r>
              <w:t xml:space="preserve">Registration of an injectable solution product containing 40.0 g/L zinc (as disodium zinc EDTA), </w:t>
            </w:r>
            <w:r>
              <w:br/>
              <w:t xml:space="preserve">15.0 g/L copper (as disodium copper EDTA), 10.0 g/L manganese (as disodium manganese EDTA), </w:t>
            </w:r>
            <w:r>
              <w:br/>
              <w:t>5.0 g/ L selenium (as sodium selenite) and 1.4 g/L cyanocobalamin (Vitamin B12) indicated for administration to beef and dairy cattle deficient in and/or responsive to zinc, copper, manganese, selenium and/or Vitamin B12 supplementation</w:t>
            </w:r>
          </w:p>
        </w:tc>
      </w:tr>
    </w:tbl>
    <w:p w14:paraId="2CA72CE8"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820F20" w14:paraId="4BE74D13" w14:textId="77777777" w:rsidTr="001A4A93">
        <w:trPr>
          <w:cantSplit/>
        </w:trPr>
        <w:tc>
          <w:tcPr>
            <w:tcW w:w="1100" w:type="pct"/>
            <w:shd w:val="clear" w:color="auto" w:fill="D9D9D9"/>
            <w:hideMark/>
          </w:tcPr>
          <w:p w14:paraId="24727CC0" w14:textId="118E886F" w:rsidR="00472B6A" w:rsidRPr="00820F20" w:rsidRDefault="00075167" w:rsidP="00075167">
            <w:pPr>
              <w:pStyle w:val="S8Gazettetableheading"/>
            </w:pPr>
            <w:r>
              <w:t>Application no.</w:t>
            </w:r>
          </w:p>
        </w:tc>
        <w:tc>
          <w:tcPr>
            <w:tcW w:w="3900" w:type="pct"/>
            <w:shd w:val="clear" w:color="auto" w:fill="FFFFFF"/>
          </w:tcPr>
          <w:p w14:paraId="57289BA1" w14:textId="497A81E3" w:rsidR="00472B6A" w:rsidRPr="00820F20" w:rsidRDefault="00075167" w:rsidP="00075167">
            <w:pPr>
              <w:pStyle w:val="S8Gazettetabletext"/>
            </w:pPr>
            <w:r>
              <w:t>148835</w:t>
            </w:r>
          </w:p>
        </w:tc>
      </w:tr>
      <w:tr w:rsidR="00472B6A" w:rsidRPr="00820F20" w14:paraId="081EF462" w14:textId="77777777" w:rsidTr="001A4A93">
        <w:trPr>
          <w:cantSplit/>
        </w:trPr>
        <w:tc>
          <w:tcPr>
            <w:tcW w:w="1100" w:type="pct"/>
            <w:shd w:val="clear" w:color="auto" w:fill="D9D9D9"/>
            <w:hideMark/>
          </w:tcPr>
          <w:p w14:paraId="0384A6BA" w14:textId="52D8617D" w:rsidR="00472B6A" w:rsidRPr="00820F20" w:rsidRDefault="00075167" w:rsidP="00075167">
            <w:pPr>
              <w:pStyle w:val="S8Gazettetableheading"/>
            </w:pPr>
            <w:r>
              <w:t>Product name</w:t>
            </w:r>
          </w:p>
        </w:tc>
        <w:tc>
          <w:tcPr>
            <w:tcW w:w="3900" w:type="pct"/>
            <w:shd w:val="clear" w:color="auto" w:fill="FFFFFF"/>
          </w:tcPr>
          <w:p w14:paraId="12FCD25D" w14:textId="50C42C32" w:rsidR="00472B6A" w:rsidRPr="00820F20" w:rsidRDefault="00075167" w:rsidP="00075167">
            <w:pPr>
              <w:pStyle w:val="S8Gazettetabletext"/>
            </w:pPr>
            <w:r>
              <w:t>Promin Injection for Cattle</w:t>
            </w:r>
          </w:p>
        </w:tc>
      </w:tr>
      <w:tr w:rsidR="00472B6A" w:rsidRPr="00820F20" w14:paraId="13AEF92D" w14:textId="77777777" w:rsidTr="001A4A93">
        <w:trPr>
          <w:cantSplit/>
        </w:trPr>
        <w:tc>
          <w:tcPr>
            <w:tcW w:w="1100" w:type="pct"/>
            <w:shd w:val="clear" w:color="auto" w:fill="D9D9D9"/>
            <w:hideMark/>
          </w:tcPr>
          <w:p w14:paraId="269208BA" w14:textId="0B53A166" w:rsidR="00472B6A" w:rsidRPr="00820F20" w:rsidRDefault="00075167" w:rsidP="00075167">
            <w:pPr>
              <w:pStyle w:val="S8Gazettetableheading"/>
            </w:pPr>
            <w:r>
              <w:t>Active constituent</w:t>
            </w:r>
          </w:p>
        </w:tc>
        <w:tc>
          <w:tcPr>
            <w:tcW w:w="3900" w:type="pct"/>
            <w:shd w:val="clear" w:color="auto" w:fill="FFFFFF"/>
          </w:tcPr>
          <w:p w14:paraId="4B659918" w14:textId="5C6B3163" w:rsidR="00472B6A" w:rsidRPr="00820F20" w:rsidRDefault="00075167" w:rsidP="00075167">
            <w:pPr>
              <w:pStyle w:val="S8Gazettetabletext"/>
            </w:pPr>
            <w:r>
              <w:t>40 g/L zinc (as disodium zinc EDTA), 15 g/L copper (as disodium copper EDTA), 10 g/L manganese (as disodium manganese EDTA), 5 g/L selenium (as sodium selenite)</w:t>
            </w:r>
          </w:p>
        </w:tc>
      </w:tr>
      <w:tr w:rsidR="00472B6A" w:rsidRPr="00820F20" w14:paraId="6C20F276" w14:textId="77777777" w:rsidTr="001A4A93">
        <w:trPr>
          <w:cantSplit/>
        </w:trPr>
        <w:tc>
          <w:tcPr>
            <w:tcW w:w="1100" w:type="pct"/>
            <w:shd w:val="clear" w:color="auto" w:fill="D9D9D9"/>
            <w:hideMark/>
          </w:tcPr>
          <w:p w14:paraId="3A99E374" w14:textId="56B24CA8" w:rsidR="00472B6A" w:rsidRPr="00820F20" w:rsidRDefault="00075167" w:rsidP="00075167">
            <w:pPr>
              <w:pStyle w:val="S8Gazettetableheading"/>
            </w:pPr>
            <w:r>
              <w:t>Applicant name</w:t>
            </w:r>
          </w:p>
        </w:tc>
        <w:tc>
          <w:tcPr>
            <w:tcW w:w="3900" w:type="pct"/>
            <w:shd w:val="clear" w:color="auto" w:fill="FFFFFF"/>
          </w:tcPr>
          <w:p w14:paraId="3CB7A425" w14:textId="066086A7" w:rsidR="00472B6A" w:rsidRPr="00820F20" w:rsidRDefault="00075167" w:rsidP="00075167">
            <w:pPr>
              <w:pStyle w:val="S8Gazettetabletext"/>
            </w:pPr>
            <w:r>
              <w:t>Virbac (Australia) Pty Ltd</w:t>
            </w:r>
          </w:p>
        </w:tc>
      </w:tr>
      <w:tr w:rsidR="00472B6A" w:rsidRPr="00820F20" w14:paraId="5FCCB76C" w14:textId="77777777" w:rsidTr="001A4A93">
        <w:trPr>
          <w:cantSplit/>
        </w:trPr>
        <w:tc>
          <w:tcPr>
            <w:tcW w:w="1100" w:type="pct"/>
            <w:shd w:val="clear" w:color="auto" w:fill="D9D9D9"/>
            <w:hideMark/>
          </w:tcPr>
          <w:p w14:paraId="47027C99" w14:textId="4E317B19" w:rsidR="00472B6A" w:rsidRPr="00820F20" w:rsidRDefault="00075167" w:rsidP="00075167">
            <w:pPr>
              <w:pStyle w:val="S8Gazettetableheading"/>
            </w:pPr>
            <w:r>
              <w:t>Applicant ACN</w:t>
            </w:r>
          </w:p>
        </w:tc>
        <w:tc>
          <w:tcPr>
            <w:tcW w:w="3900" w:type="pct"/>
            <w:shd w:val="clear" w:color="auto" w:fill="FFFFFF"/>
          </w:tcPr>
          <w:p w14:paraId="4572CA6E" w14:textId="19DFE9DB" w:rsidR="00472B6A" w:rsidRPr="00820F20" w:rsidRDefault="00075167" w:rsidP="00075167">
            <w:pPr>
              <w:pStyle w:val="S8Gazettetabletext"/>
            </w:pPr>
            <w:r>
              <w:t>003 268 871</w:t>
            </w:r>
          </w:p>
        </w:tc>
      </w:tr>
      <w:tr w:rsidR="00472B6A" w:rsidRPr="00820F20" w14:paraId="2E3E6997" w14:textId="77777777" w:rsidTr="001A4A93">
        <w:trPr>
          <w:cantSplit/>
        </w:trPr>
        <w:tc>
          <w:tcPr>
            <w:tcW w:w="1100" w:type="pct"/>
            <w:shd w:val="clear" w:color="auto" w:fill="D9D9D9"/>
            <w:hideMark/>
          </w:tcPr>
          <w:p w14:paraId="4BA5A5CA" w14:textId="34871D2A" w:rsidR="00472B6A" w:rsidRPr="00820F20" w:rsidRDefault="00075167" w:rsidP="00075167">
            <w:pPr>
              <w:pStyle w:val="S8Gazettetableheading"/>
            </w:pPr>
            <w:r>
              <w:t>Date of registration</w:t>
            </w:r>
          </w:p>
        </w:tc>
        <w:tc>
          <w:tcPr>
            <w:tcW w:w="3900" w:type="pct"/>
            <w:shd w:val="clear" w:color="auto" w:fill="FFFFFF"/>
          </w:tcPr>
          <w:p w14:paraId="2CD62461" w14:textId="69554E83" w:rsidR="00472B6A" w:rsidRPr="00820F20" w:rsidRDefault="00075167" w:rsidP="00075167">
            <w:pPr>
              <w:pStyle w:val="S8Gazettetabletext"/>
            </w:pPr>
            <w:r>
              <w:t>10 December 2025</w:t>
            </w:r>
          </w:p>
        </w:tc>
      </w:tr>
      <w:tr w:rsidR="00472B6A" w:rsidRPr="00820F20" w14:paraId="4E40CA7E" w14:textId="77777777" w:rsidTr="001A4A93">
        <w:trPr>
          <w:cantSplit/>
        </w:trPr>
        <w:tc>
          <w:tcPr>
            <w:tcW w:w="1100" w:type="pct"/>
            <w:shd w:val="clear" w:color="auto" w:fill="D9D9D9"/>
            <w:hideMark/>
          </w:tcPr>
          <w:p w14:paraId="2B65A338" w14:textId="2B3A5DED" w:rsidR="00472B6A" w:rsidRPr="00820F20" w:rsidRDefault="00075167" w:rsidP="00075167">
            <w:pPr>
              <w:pStyle w:val="S8Gazettetableheading"/>
            </w:pPr>
            <w:r>
              <w:t>Product registration no.</w:t>
            </w:r>
          </w:p>
        </w:tc>
        <w:tc>
          <w:tcPr>
            <w:tcW w:w="3900" w:type="pct"/>
            <w:shd w:val="clear" w:color="auto" w:fill="FFFFFF"/>
          </w:tcPr>
          <w:p w14:paraId="75335B41" w14:textId="0F1BCFC4" w:rsidR="00472B6A" w:rsidRPr="00820F20" w:rsidRDefault="00075167" w:rsidP="00075167">
            <w:pPr>
              <w:pStyle w:val="S8Gazettetabletext"/>
            </w:pPr>
            <w:r>
              <w:t>96295</w:t>
            </w:r>
          </w:p>
        </w:tc>
      </w:tr>
      <w:tr w:rsidR="00472B6A" w:rsidRPr="00820F20" w14:paraId="3379CD66" w14:textId="77777777" w:rsidTr="001A4A93">
        <w:trPr>
          <w:cantSplit/>
        </w:trPr>
        <w:tc>
          <w:tcPr>
            <w:tcW w:w="1100" w:type="pct"/>
            <w:shd w:val="clear" w:color="auto" w:fill="D9D9D9"/>
            <w:hideMark/>
          </w:tcPr>
          <w:p w14:paraId="26A5239C" w14:textId="0F3F64D1" w:rsidR="00472B6A" w:rsidRPr="00820F20" w:rsidRDefault="00075167" w:rsidP="00075167">
            <w:pPr>
              <w:pStyle w:val="S8Gazettetableheading"/>
            </w:pPr>
            <w:r>
              <w:t>Label approval no.</w:t>
            </w:r>
          </w:p>
        </w:tc>
        <w:tc>
          <w:tcPr>
            <w:tcW w:w="3900" w:type="pct"/>
            <w:shd w:val="clear" w:color="auto" w:fill="FFFFFF"/>
          </w:tcPr>
          <w:p w14:paraId="2853D75D" w14:textId="6357E2C3" w:rsidR="00472B6A" w:rsidRPr="00820F20" w:rsidRDefault="00075167" w:rsidP="00075167">
            <w:pPr>
              <w:pStyle w:val="S8Gazettetabletext"/>
            </w:pPr>
            <w:r>
              <w:t>96295/148835</w:t>
            </w:r>
          </w:p>
        </w:tc>
      </w:tr>
      <w:tr w:rsidR="00472B6A" w:rsidRPr="00820F20" w14:paraId="03A293DF" w14:textId="77777777" w:rsidTr="001A4A93">
        <w:trPr>
          <w:cantSplit/>
        </w:trPr>
        <w:tc>
          <w:tcPr>
            <w:tcW w:w="1100" w:type="pct"/>
            <w:shd w:val="clear" w:color="auto" w:fill="D9D9D9"/>
            <w:hideMark/>
          </w:tcPr>
          <w:p w14:paraId="62C987E3" w14:textId="3AECBEBE" w:rsidR="00472B6A" w:rsidRPr="00820F20"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686EF464" w14:textId="2C23E42B" w:rsidR="00472B6A" w:rsidRPr="00820F20" w:rsidRDefault="00075167" w:rsidP="00075167">
            <w:pPr>
              <w:pStyle w:val="S8Gazettetabletext"/>
            </w:pPr>
            <w:r>
              <w:t>Registration of an injectable solution product containing 40.0 g/L zinc (as disodium zinc EDTA), 15.0 g/L copper (as disodium copper EDTA), 10.0 g/L manganese (as disodium manganese EDTA) and 5.0 g/ L selenium (as sodium selenite) indicated for administration to beef and dairy cattle deficient in and/or responsive to zinc, copper, manganese and/or selenium</w:t>
            </w:r>
          </w:p>
        </w:tc>
      </w:tr>
    </w:tbl>
    <w:p w14:paraId="0F0F88F0"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7834FB" w14:paraId="3B81E85F" w14:textId="77777777" w:rsidTr="001A4A93">
        <w:trPr>
          <w:cantSplit/>
        </w:trPr>
        <w:tc>
          <w:tcPr>
            <w:tcW w:w="1100" w:type="pct"/>
            <w:shd w:val="clear" w:color="auto" w:fill="D9D9D9"/>
          </w:tcPr>
          <w:p w14:paraId="62051822" w14:textId="10DBEE05" w:rsidR="00472B6A" w:rsidRPr="007834FB" w:rsidRDefault="00075167" w:rsidP="00075167">
            <w:pPr>
              <w:pStyle w:val="S8Gazettetableheading"/>
            </w:pPr>
            <w:r>
              <w:t>Application no.</w:t>
            </w:r>
          </w:p>
        </w:tc>
        <w:tc>
          <w:tcPr>
            <w:tcW w:w="3900" w:type="pct"/>
            <w:shd w:val="clear" w:color="auto" w:fill="FFFFFF"/>
          </w:tcPr>
          <w:p w14:paraId="787BABFC" w14:textId="19AA885B" w:rsidR="00472B6A" w:rsidRPr="007834FB" w:rsidRDefault="00075167" w:rsidP="00075167">
            <w:pPr>
              <w:pStyle w:val="S8Gazettetabletext"/>
              <w:rPr>
                <w:noProof/>
              </w:rPr>
            </w:pPr>
            <w:r>
              <w:t>147694</w:t>
            </w:r>
          </w:p>
        </w:tc>
      </w:tr>
      <w:tr w:rsidR="00472B6A" w:rsidRPr="007834FB" w14:paraId="3104FC58" w14:textId="77777777" w:rsidTr="001A4A93">
        <w:trPr>
          <w:cantSplit/>
        </w:trPr>
        <w:tc>
          <w:tcPr>
            <w:tcW w:w="1100" w:type="pct"/>
            <w:shd w:val="clear" w:color="auto" w:fill="D9D9D9"/>
          </w:tcPr>
          <w:p w14:paraId="01BC47E0" w14:textId="6189E207" w:rsidR="00472B6A" w:rsidRPr="007834FB" w:rsidRDefault="00075167" w:rsidP="00075167">
            <w:pPr>
              <w:pStyle w:val="S8Gazettetableheading"/>
            </w:pPr>
            <w:r>
              <w:t>Product name</w:t>
            </w:r>
          </w:p>
        </w:tc>
        <w:tc>
          <w:tcPr>
            <w:tcW w:w="3900" w:type="pct"/>
            <w:shd w:val="clear" w:color="auto" w:fill="FFFFFF"/>
          </w:tcPr>
          <w:p w14:paraId="2F1E1B2B" w14:textId="7F31B838" w:rsidR="00472B6A" w:rsidRPr="007834FB" w:rsidRDefault="00075167" w:rsidP="00075167">
            <w:pPr>
              <w:pStyle w:val="S8Gazettetabletext"/>
            </w:pPr>
            <w:proofErr w:type="spellStart"/>
            <w:r>
              <w:t>Trioshield</w:t>
            </w:r>
            <w:proofErr w:type="spellEnd"/>
            <w:r>
              <w:t xml:space="preserve"> LV 3-way Combination Drench for Sheep and Cattle</w:t>
            </w:r>
          </w:p>
        </w:tc>
      </w:tr>
      <w:tr w:rsidR="00472B6A" w:rsidRPr="007834FB" w14:paraId="2FCFFAD4" w14:textId="77777777" w:rsidTr="001A4A93">
        <w:trPr>
          <w:cantSplit/>
        </w:trPr>
        <w:tc>
          <w:tcPr>
            <w:tcW w:w="1100" w:type="pct"/>
            <w:shd w:val="clear" w:color="auto" w:fill="D9D9D9"/>
          </w:tcPr>
          <w:p w14:paraId="27517D88" w14:textId="7692D2B5" w:rsidR="00472B6A" w:rsidRPr="007834FB" w:rsidRDefault="00075167" w:rsidP="00075167">
            <w:pPr>
              <w:pStyle w:val="S8Gazettetableheading"/>
            </w:pPr>
            <w:r>
              <w:t>Active constituents</w:t>
            </w:r>
          </w:p>
        </w:tc>
        <w:tc>
          <w:tcPr>
            <w:tcW w:w="3900" w:type="pct"/>
            <w:shd w:val="clear" w:color="auto" w:fill="FFFFFF"/>
          </w:tcPr>
          <w:p w14:paraId="7C49A1C5" w14:textId="19848F9E" w:rsidR="00472B6A" w:rsidRPr="007834FB" w:rsidRDefault="00075167" w:rsidP="00075167">
            <w:pPr>
              <w:pStyle w:val="S8Gazettetabletext"/>
            </w:pPr>
            <w:r>
              <w:t>80 g/L levamisole hydrochloride, 45.3 g/L oxfendazole, 5 g/L cobalt as disodium cobalt EDTA, 2 g/L abamectin, 1 g/L selenium as sodium selenate</w:t>
            </w:r>
          </w:p>
        </w:tc>
      </w:tr>
      <w:tr w:rsidR="00472B6A" w:rsidRPr="007834FB" w14:paraId="5C7365D8" w14:textId="77777777" w:rsidTr="001A4A93">
        <w:trPr>
          <w:cantSplit/>
        </w:trPr>
        <w:tc>
          <w:tcPr>
            <w:tcW w:w="1100" w:type="pct"/>
            <w:shd w:val="clear" w:color="auto" w:fill="D9D9D9"/>
          </w:tcPr>
          <w:p w14:paraId="58D65F05" w14:textId="78C1E236" w:rsidR="00472B6A" w:rsidRPr="007834FB" w:rsidRDefault="00075167" w:rsidP="00075167">
            <w:pPr>
              <w:pStyle w:val="S8Gazettetableheading"/>
            </w:pPr>
            <w:r>
              <w:t>Applicant name</w:t>
            </w:r>
          </w:p>
        </w:tc>
        <w:tc>
          <w:tcPr>
            <w:tcW w:w="3900" w:type="pct"/>
            <w:shd w:val="clear" w:color="auto" w:fill="FFFFFF"/>
          </w:tcPr>
          <w:p w14:paraId="33083203" w14:textId="24C45D81" w:rsidR="00472B6A" w:rsidRPr="007834FB" w:rsidRDefault="00075167" w:rsidP="00075167">
            <w:pPr>
              <w:pStyle w:val="S8Gazettetabletext"/>
            </w:pPr>
            <w:proofErr w:type="spellStart"/>
            <w:r>
              <w:t>Nutrien</w:t>
            </w:r>
            <w:proofErr w:type="spellEnd"/>
            <w:r>
              <w:t xml:space="preserve"> Ag Solutions Limited</w:t>
            </w:r>
          </w:p>
        </w:tc>
      </w:tr>
      <w:tr w:rsidR="00472B6A" w:rsidRPr="007834FB" w14:paraId="178B1005" w14:textId="77777777" w:rsidTr="001A4A93">
        <w:trPr>
          <w:cantSplit/>
        </w:trPr>
        <w:tc>
          <w:tcPr>
            <w:tcW w:w="1100" w:type="pct"/>
            <w:shd w:val="clear" w:color="auto" w:fill="D9D9D9"/>
          </w:tcPr>
          <w:p w14:paraId="5216F79E" w14:textId="73DF0474" w:rsidR="00472B6A" w:rsidRPr="007834FB" w:rsidRDefault="00075167" w:rsidP="00075167">
            <w:pPr>
              <w:pStyle w:val="S8Gazettetableheading"/>
            </w:pPr>
            <w:r>
              <w:t>Applicant ACN</w:t>
            </w:r>
          </w:p>
        </w:tc>
        <w:tc>
          <w:tcPr>
            <w:tcW w:w="3900" w:type="pct"/>
            <w:shd w:val="clear" w:color="auto" w:fill="FFFFFF"/>
          </w:tcPr>
          <w:p w14:paraId="562654AB" w14:textId="0F54129E" w:rsidR="00472B6A" w:rsidRPr="007834FB" w:rsidRDefault="00075167" w:rsidP="00075167">
            <w:pPr>
              <w:pStyle w:val="S8Gazettetabletext"/>
            </w:pPr>
            <w:r>
              <w:t>008 743 217</w:t>
            </w:r>
          </w:p>
        </w:tc>
      </w:tr>
      <w:tr w:rsidR="00472B6A" w:rsidRPr="007834FB" w14:paraId="56E5E245" w14:textId="77777777" w:rsidTr="001A4A93">
        <w:trPr>
          <w:cantSplit/>
        </w:trPr>
        <w:tc>
          <w:tcPr>
            <w:tcW w:w="1100" w:type="pct"/>
            <w:shd w:val="clear" w:color="auto" w:fill="D9D9D9"/>
          </w:tcPr>
          <w:p w14:paraId="4CF258DF" w14:textId="6935DF69" w:rsidR="00472B6A" w:rsidRPr="007834FB" w:rsidRDefault="00075167" w:rsidP="00075167">
            <w:pPr>
              <w:pStyle w:val="S8Gazettetableheading"/>
            </w:pPr>
            <w:r>
              <w:t>Date of registration</w:t>
            </w:r>
          </w:p>
        </w:tc>
        <w:tc>
          <w:tcPr>
            <w:tcW w:w="3900" w:type="pct"/>
            <w:shd w:val="clear" w:color="auto" w:fill="FFFFFF"/>
          </w:tcPr>
          <w:p w14:paraId="084840AD" w14:textId="78D1FCFA" w:rsidR="00472B6A" w:rsidRPr="007834FB" w:rsidRDefault="00075167" w:rsidP="00075167">
            <w:pPr>
              <w:pStyle w:val="S8Gazettetabletext"/>
            </w:pPr>
            <w:r>
              <w:t>11 December 2025</w:t>
            </w:r>
          </w:p>
        </w:tc>
      </w:tr>
      <w:tr w:rsidR="00472B6A" w:rsidRPr="007834FB" w14:paraId="3E149A7E" w14:textId="77777777" w:rsidTr="001A4A93">
        <w:trPr>
          <w:cantSplit/>
        </w:trPr>
        <w:tc>
          <w:tcPr>
            <w:tcW w:w="1100" w:type="pct"/>
            <w:shd w:val="clear" w:color="auto" w:fill="D9D9D9"/>
          </w:tcPr>
          <w:p w14:paraId="4C265E76" w14:textId="6181F44D" w:rsidR="00472B6A" w:rsidRPr="007834FB" w:rsidRDefault="00075167" w:rsidP="00075167">
            <w:pPr>
              <w:pStyle w:val="S8Gazettetableheading"/>
            </w:pPr>
            <w:r>
              <w:t>Product registration no.</w:t>
            </w:r>
          </w:p>
        </w:tc>
        <w:tc>
          <w:tcPr>
            <w:tcW w:w="3900" w:type="pct"/>
            <w:shd w:val="clear" w:color="auto" w:fill="FFFFFF"/>
          </w:tcPr>
          <w:p w14:paraId="7702B632" w14:textId="223EF630" w:rsidR="00472B6A" w:rsidRPr="007834FB" w:rsidRDefault="00075167" w:rsidP="00075167">
            <w:pPr>
              <w:pStyle w:val="S8Gazettetabletext"/>
            </w:pPr>
            <w:r>
              <w:t>95961</w:t>
            </w:r>
          </w:p>
        </w:tc>
      </w:tr>
      <w:tr w:rsidR="00472B6A" w:rsidRPr="007834FB" w14:paraId="7A50B825" w14:textId="77777777" w:rsidTr="001A4A93">
        <w:trPr>
          <w:cantSplit/>
        </w:trPr>
        <w:tc>
          <w:tcPr>
            <w:tcW w:w="1100" w:type="pct"/>
            <w:shd w:val="clear" w:color="auto" w:fill="D9D9D9"/>
          </w:tcPr>
          <w:p w14:paraId="3777B734" w14:textId="50B32122" w:rsidR="00472B6A" w:rsidRPr="007834FB" w:rsidRDefault="00075167" w:rsidP="00075167">
            <w:pPr>
              <w:pStyle w:val="S8Gazettetableheading"/>
            </w:pPr>
            <w:r>
              <w:t>Label approval no.</w:t>
            </w:r>
          </w:p>
        </w:tc>
        <w:tc>
          <w:tcPr>
            <w:tcW w:w="3900" w:type="pct"/>
            <w:shd w:val="clear" w:color="auto" w:fill="FFFFFF"/>
          </w:tcPr>
          <w:p w14:paraId="06BC2128" w14:textId="5625155C" w:rsidR="00472B6A" w:rsidRPr="007834FB" w:rsidRDefault="00075167" w:rsidP="00075167">
            <w:pPr>
              <w:pStyle w:val="S8Gazettetabletext"/>
            </w:pPr>
            <w:r>
              <w:t>95961/147694</w:t>
            </w:r>
          </w:p>
        </w:tc>
      </w:tr>
      <w:tr w:rsidR="00472B6A" w:rsidRPr="007834FB" w14:paraId="2B7E6F61" w14:textId="77777777" w:rsidTr="001A4A93">
        <w:trPr>
          <w:cantSplit/>
        </w:trPr>
        <w:tc>
          <w:tcPr>
            <w:tcW w:w="1100" w:type="pct"/>
            <w:shd w:val="clear" w:color="auto" w:fill="D9D9D9"/>
          </w:tcPr>
          <w:p w14:paraId="05B561A0" w14:textId="170A81B7" w:rsidR="00472B6A" w:rsidRPr="007834FB"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1A6EE61C" w14:textId="10AAAAC7" w:rsidR="00472B6A" w:rsidRPr="007834FB" w:rsidRDefault="00075167" w:rsidP="00075167">
            <w:pPr>
              <w:pStyle w:val="S8Gazettetabletext"/>
            </w:pPr>
            <w:r>
              <w:t>Registration of an oral suspension containing 80 g/L levamisole hydrochloride, 45.3 g/L oxfendazole, 5 g/L cobalt (as cobalt EDTA), 2 g/L abamectin and 1 g/L selenium (as sodium selenate) product for the treatment and control of internal parasites of sheep including those resistant to Macrocyclic Lactone (ML), Benzimidazole (BZ) or Levamisole (LEV) drench families</w:t>
            </w:r>
          </w:p>
        </w:tc>
      </w:tr>
    </w:tbl>
    <w:p w14:paraId="3BB40732" w14:textId="77777777" w:rsidR="001A4A93" w:rsidRDefault="001A4A93" w:rsidP="00472B6A">
      <w:pPr>
        <w:pStyle w:val="Caption"/>
      </w:pPr>
      <w:r>
        <w:br w:type="page"/>
      </w:r>
    </w:p>
    <w:p w14:paraId="50AB5471" w14:textId="0EB5CCE4" w:rsidR="00472B6A" w:rsidRDefault="00472B6A" w:rsidP="00472B6A">
      <w:pPr>
        <w:pStyle w:val="Caption"/>
      </w:pPr>
      <w:r>
        <w:lastRenderedPageBreak/>
        <w:t xml:space="preserve">Table </w:t>
      </w:r>
      <w:r w:rsidR="001A4A93">
        <w:fldChar w:fldCharType="begin"/>
      </w:r>
      <w:r w:rsidR="001A4A93">
        <w:instrText xml:space="preserve"> SEQ Table \* ARABIC </w:instrText>
      </w:r>
      <w:r w:rsidR="001A4A93">
        <w:fldChar w:fldCharType="separate"/>
      </w:r>
      <w:r w:rsidR="00472E89">
        <w:rPr>
          <w:noProof/>
        </w:rPr>
        <w:t>4</w:t>
      </w:r>
      <w:r w:rsidR="001A4A93">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472B6A" w:rsidRPr="00934489" w14:paraId="206A0805" w14:textId="77777777" w:rsidTr="001A4A93">
        <w:trPr>
          <w:cantSplit/>
          <w:tblHeader/>
        </w:trPr>
        <w:tc>
          <w:tcPr>
            <w:tcW w:w="1100" w:type="pct"/>
            <w:shd w:val="clear" w:color="auto" w:fill="D9D9D9"/>
          </w:tcPr>
          <w:p w14:paraId="57D35249" w14:textId="3EAE56E6" w:rsidR="00472B6A" w:rsidRPr="00934489" w:rsidRDefault="00075167" w:rsidP="00075167">
            <w:pPr>
              <w:pStyle w:val="S8Gazettetableheading"/>
            </w:pPr>
            <w:r>
              <w:t>Application no.</w:t>
            </w:r>
          </w:p>
        </w:tc>
        <w:tc>
          <w:tcPr>
            <w:tcW w:w="3900" w:type="pct"/>
            <w:shd w:val="clear" w:color="auto" w:fill="FFFFFF"/>
          </w:tcPr>
          <w:p w14:paraId="61088F30" w14:textId="2A1AD19B" w:rsidR="00472B6A" w:rsidRPr="00934489" w:rsidRDefault="00075167" w:rsidP="00075167">
            <w:pPr>
              <w:pStyle w:val="S8Gazettetabletext"/>
              <w:rPr>
                <w:noProof/>
              </w:rPr>
            </w:pPr>
            <w:r>
              <w:t>148853</w:t>
            </w:r>
          </w:p>
        </w:tc>
      </w:tr>
      <w:tr w:rsidR="00472B6A" w:rsidRPr="00934489" w14:paraId="5C2C6558" w14:textId="77777777" w:rsidTr="001A4A93">
        <w:trPr>
          <w:cantSplit/>
          <w:tblHeader/>
        </w:trPr>
        <w:tc>
          <w:tcPr>
            <w:tcW w:w="1100" w:type="pct"/>
            <w:shd w:val="clear" w:color="auto" w:fill="D9D9D9"/>
          </w:tcPr>
          <w:p w14:paraId="1EC26AA8" w14:textId="18C96B49" w:rsidR="00472B6A" w:rsidRPr="00934489" w:rsidRDefault="00075167" w:rsidP="00075167">
            <w:pPr>
              <w:pStyle w:val="S8Gazettetableheading"/>
            </w:pPr>
            <w:r>
              <w:t>Product name</w:t>
            </w:r>
          </w:p>
        </w:tc>
        <w:tc>
          <w:tcPr>
            <w:tcW w:w="3900" w:type="pct"/>
            <w:shd w:val="clear" w:color="auto" w:fill="FFFFFF"/>
          </w:tcPr>
          <w:p w14:paraId="23826368" w14:textId="77413E39" w:rsidR="00472B6A" w:rsidRPr="00934489" w:rsidRDefault="00075167" w:rsidP="00075167">
            <w:pPr>
              <w:pStyle w:val="S8Gazettetabletext"/>
            </w:pPr>
            <w:proofErr w:type="spellStart"/>
            <w:r>
              <w:t>Dermcare</w:t>
            </w:r>
            <w:proofErr w:type="spellEnd"/>
            <w:r>
              <w:t xml:space="preserve"> </w:t>
            </w:r>
            <w:proofErr w:type="spellStart"/>
            <w:r>
              <w:t>Malaseb</w:t>
            </w:r>
            <w:proofErr w:type="spellEnd"/>
            <w:r>
              <w:t xml:space="preserve"> Medicated Shampoo</w:t>
            </w:r>
          </w:p>
        </w:tc>
      </w:tr>
      <w:tr w:rsidR="00472B6A" w:rsidRPr="00934489" w14:paraId="24332143" w14:textId="77777777" w:rsidTr="001A4A93">
        <w:trPr>
          <w:cantSplit/>
          <w:tblHeader/>
        </w:trPr>
        <w:tc>
          <w:tcPr>
            <w:tcW w:w="1100" w:type="pct"/>
            <w:shd w:val="clear" w:color="auto" w:fill="D9D9D9"/>
          </w:tcPr>
          <w:p w14:paraId="2E38D5A2" w14:textId="3398823B" w:rsidR="00472B6A" w:rsidRPr="00934489" w:rsidRDefault="00075167" w:rsidP="00075167">
            <w:pPr>
              <w:pStyle w:val="S8Gazettetableheading"/>
            </w:pPr>
            <w:r>
              <w:t>Active constituents</w:t>
            </w:r>
          </w:p>
        </w:tc>
        <w:tc>
          <w:tcPr>
            <w:tcW w:w="3900" w:type="pct"/>
            <w:shd w:val="clear" w:color="auto" w:fill="FFFFFF"/>
          </w:tcPr>
          <w:p w14:paraId="55687A92" w14:textId="42C5D04D" w:rsidR="00472B6A" w:rsidRPr="00934489" w:rsidRDefault="00075167" w:rsidP="00075167">
            <w:pPr>
              <w:pStyle w:val="S8Gazettetabletext"/>
            </w:pPr>
            <w:r>
              <w:t>20 g/L Chlorhexidine gluconate, 20 g/L Miconazole nitrate</w:t>
            </w:r>
          </w:p>
        </w:tc>
      </w:tr>
      <w:tr w:rsidR="00472B6A" w:rsidRPr="00934489" w14:paraId="17C47B26" w14:textId="77777777" w:rsidTr="001A4A93">
        <w:trPr>
          <w:cantSplit/>
          <w:tblHeader/>
        </w:trPr>
        <w:tc>
          <w:tcPr>
            <w:tcW w:w="1100" w:type="pct"/>
            <w:shd w:val="clear" w:color="auto" w:fill="D9D9D9"/>
          </w:tcPr>
          <w:p w14:paraId="588FC23B" w14:textId="388C1064" w:rsidR="00472B6A" w:rsidRPr="00934489" w:rsidRDefault="00075167" w:rsidP="00075167">
            <w:pPr>
              <w:pStyle w:val="S8Gazettetableheading"/>
            </w:pPr>
            <w:r>
              <w:t>Applicant name</w:t>
            </w:r>
          </w:p>
        </w:tc>
        <w:tc>
          <w:tcPr>
            <w:tcW w:w="3900" w:type="pct"/>
            <w:shd w:val="clear" w:color="auto" w:fill="FFFFFF"/>
          </w:tcPr>
          <w:p w14:paraId="1E1B48CC" w14:textId="543B0B9A" w:rsidR="00472B6A" w:rsidRPr="00934489" w:rsidRDefault="00075167" w:rsidP="00075167">
            <w:pPr>
              <w:pStyle w:val="S8Gazettetabletext"/>
            </w:pPr>
            <w:proofErr w:type="spellStart"/>
            <w:r>
              <w:t>Dermcare</w:t>
            </w:r>
            <w:proofErr w:type="spellEnd"/>
            <w:r>
              <w:t>-Vet Pty Ltd</w:t>
            </w:r>
          </w:p>
        </w:tc>
      </w:tr>
      <w:tr w:rsidR="00472B6A" w:rsidRPr="00934489" w14:paraId="7237443A" w14:textId="77777777" w:rsidTr="001A4A93">
        <w:trPr>
          <w:cantSplit/>
          <w:tblHeader/>
        </w:trPr>
        <w:tc>
          <w:tcPr>
            <w:tcW w:w="1100" w:type="pct"/>
            <w:shd w:val="clear" w:color="auto" w:fill="D9D9D9"/>
          </w:tcPr>
          <w:p w14:paraId="67B52DC1" w14:textId="3C679B1B" w:rsidR="00472B6A" w:rsidRPr="00934489" w:rsidRDefault="00075167" w:rsidP="00075167">
            <w:pPr>
              <w:pStyle w:val="S8Gazettetableheading"/>
            </w:pPr>
            <w:r>
              <w:t>Applicant ACN</w:t>
            </w:r>
          </w:p>
        </w:tc>
        <w:tc>
          <w:tcPr>
            <w:tcW w:w="3900" w:type="pct"/>
            <w:shd w:val="clear" w:color="auto" w:fill="FFFFFF"/>
          </w:tcPr>
          <w:p w14:paraId="2CA933DC" w14:textId="7E823ED7" w:rsidR="00472B6A" w:rsidRPr="00934489" w:rsidRDefault="00075167" w:rsidP="00075167">
            <w:pPr>
              <w:pStyle w:val="S8Gazettetabletext"/>
            </w:pPr>
            <w:r>
              <w:t>010 280 010</w:t>
            </w:r>
          </w:p>
        </w:tc>
      </w:tr>
      <w:tr w:rsidR="00472B6A" w:rsidRPr="00934489" w14:paraId="13A577DB" w14:textId="77777777" w:rsidTr="001A4A93">
        <w:trPr>
          <w:cantSplit/>
          <w:tblHeader/>
        </w:trPr>
        <w:tc>
          <w:tcPr>
            <w:tcW w:w="1100" w:type="pct"/>
            <w:shd w:val="clear" w:color="auto" w:fill="D9D9D9"/>
          </w:tcPr>
          <w:p w14:paraId="4D4165F2" w14:textId="6E82B295" w:rsidR="00472B6A" w:rsidRPr="00934489" w:rsidRDefault="00075167" w:rsidP="00075167">
            <w:pPr>
              <w:pStyle w:val="S8Gazettetableheading"/>
            </w:pPr>
            <w:r>
              <w:t>Date of variation</w:t>
            </w:r>
          </w:p>
        </w:tc>
        <w:tc>
          <w:tcPr>
            <w:tcW w:w="3900" w:type="pct"/>
            <w:shd w:val="clear" w:color="auto" w:fill="FFFFFF"/>
          </w:tcPr>
          <w:p w14:paraId="60F0DEF0" w14:textId="432D0EB2" w:rsidR="00472B6A" w:rsidRPr="00934489" w:rsidRDefault="00075167" w:rsidP="00075167">
            <w:pPr>
              <w:pStyle w:val="S8Gazettetabletext"/>
            </w:pPr>
            <w:r>
              <w:t>1 December 2025</w:t>
            </w:r>
          </w:p>
        </w:tc>
      </w:tr>
      <w:tr w:rsidR="00472B6A" w:rsidRPr="00934489" w14:paraId="107278F8" w14:textId="77777777" w:rsidTr="001A4A93">
        <w:trPr>
          <w:cantSplit/>
          <w:tblHeader/>
        </w:trPr>
        <w:tc>
          <w:tcPr>
            <w:tcW w:w="1100" w:type="pct"/>
            <w:shd w:val="clear" w:color="auto" w:fill="D9D9D9"/>
          </w:tcPr>
          <w:p w14:paraId="4DF3B7CB" w14:textId="49C27649" w:rsidR="00472B6A" w:rsidRPr="00934489" w:rsidRDefault="00075167" w:rsidP="00075167">
            <w:pPr>
              <w:pStyle w:val="S8Gazettetableheading"/>
            </w:pPr>
            <w:r>
              <w:t>Product registration no.</w:t>
            </w:r>
          </w:p>
        </w:tc>
        <w:tc>
          <w:tcPr>
            <w:tcW w:w="3900" w:type="pct"/>
            <w:shd w:val="clear" w:color="auto" w:fill="FFFFFF"/>
          </w:tcPr>
          <w:p w14:paraId="19DEB92B" w14:textId="001FFC3E" w:rsidR="00472B6A" w:rsidRPr="00934489" w:rsidRDefault="00075167" w:rsidP="00075167">
            <w:pPr>
              <w:pStyle w:val="S8Gazettetabletext"/>
            </w:pPr>
            <w:r>
              <w:t>47682</w:t>
            </w:r>
          </w:p>
        </w:tc>
      </w:tr>
      <w:tr w:rsidR="00472B6A" w:rsidRPr="00934489" w14:paraId="3C3899A1" w14:textId="77777777" w:rsidTr="001A4A93">
        <w:trPr>
          <w:cantSplit/>
          <w:tblHeader/>
        </w:trPr>
        <w:tc>
          <w:tcPr>
            <w:tcW w:w="1100" w:type="pct"/>
            <w:shd w:val="clear" w:color="auto" w:fill="D9D9D9"/>
          </w:tcPr>
          <w:p w14:paraId="12978D7A" w14:textId="71990024" w:rsidR="00472B6A" w:rsidRPr="00934489" w:rsidRDefault="00075167" w:rsidP="00075167">
            <w:pPr>
              <w:pStyle w:val="S8Gazettetableheading"/>
            </w:pPr>
            <w:r>
              <w:t>Label approval no.</w:t>
            </w:r>
          </w:p>
        </w:tc>
        <w:tc>
          <w:tcPr>
            <w:tcW w:w="3900" w:type="pct"/>
            <w:shd w:val="clear" w:color="auto" w:fill="FFFFFF"/>
          </w:tcPr>
          <w:p w14:paraId="5B1B2A74" w14:textId="52B72363" w:rsidR="00472B6A" w:rsidRPr="00934489" w:rsidRDefault="00075167" w:rsidP="00075167">
            <w:pPr>
              <w:pStyle w:val="S8Gazettetabletext"/>
            </w:pPr>
            <w:r>
              <w:t>47682/148853</w:t>
            </w:r>
          </w:p>
        </w:tc>
      </w:tr>
      <w:tr w:rsidR="00472B6A" w:rsidRPr="00934489" w14:paraId="00946454" w14:textId="77777777" w:rsidTr="001A4A93">
        <w:trPr>
          <w:cantSplit/>
          <w:tblHeader/>
        </w:trPr>
        <w:tc>
          <w:tcPr>
            <w:tcW w:w="1100" w:type="pct"/>
            <w:shd w:val="clear" w:color="auto" w:fill="D9D9D9"/>
          </w:tcPr>
          <w:p w14:paraId="626A8822" w14:textId="54AD54CF" w:rsidR="00472B6A" w:rsidRPr="00934489"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2BF5679B" w14:textId="1BCEACD5" w:rsidR="00472B6A" w:rsidRPr="00934489" w:rsidRDefault="00075167" w:rsidP="00075167">
            <w:pPr>
              <w:pStyle w:val="S8Gazettetabletext"/>
            </w:pPr>
            <w:r>
              <w:t>Variation of the relevant particulars of the registered chemical product and label approval to update the directions for use</w:t>
            </w:r>
          </w:p>
        </w:tc>
      </w:tr>
    </w:tbl>
    <w:p w14:paraId="57D994C6"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896B21" w14:paraId="1D4304D6" w14:textId="77777777" w:rsidTr="001A4A93">
        <w:trPr>
          <w:cantSplit/>
        </w:trPr>
        <w:tc>
          <w:tcPr>
            <w:tcW w:w="1100" w:type="pct"/>
            <w:shd w:val="clear" w:color="auto" w:fill="D9D9D9"/>
            <w:hideMark/>
          </w:tcPr>
          <w:p w14:paraId="512D5ADA" w14:textId="5C6503B2" w:rsidR="00472B6A" w:rsidRPr="00896B21" w:rsidRDefault="00075167" w:rsidP="00075167">
            <w:pPr>
              <w:pStyle w:val="S8Gazettetableheading"/>
            </w:pPr>
            <w:r>
              <w:t>Application no.</w:t>
            </w:r>
          </w:p>
        </w:tc>
        <w:tc>
          <w:tcPr>
            <w:tcW w:w="3900" w:type="pct"/>
            <w:shd w:val="clear" w:color="auto" w:fill="FFFFFF"/>
            <w:hideMark/>
          </w:tcPr>
          <w:p w14:paraId="54034A37" w14:textId="36C2D78A" w:rsidR="00472B6A" w:rsidRPr="00896B21" w:rsidRDefault="00075167" w:rsidP="00075167">
            <w:pPr>
              <w:pStyle w:val="S8Gazettetabletext"/>
              <w:rPr>
                <w:rFonts w:hAnsi="Arial"/>
                <w:noProof/>
              </w:rPr>
            </w:pPr>
            <w:r>
              <w:t>148852</w:t>
            </w:r>
          </w:p>
        </w:tc>
      </w:tr>
      <w:tr w:rsidR="00472B6A" w:rsidRPr="00896B21" w14:paraId="60903A82" w14:textId="77777777" w:rsidTr="001A4A93">
        <w:trPr>
          <w:cantSplit/>
        </w:trPr>
        <w:tc>
          <w:tcPr>
            <w:tcW w:w="1100" w:type="pct"/>
            <w:shd w:val="clear" w:color="auto" w:fill="D9D9D9"/>
            <w:hideMark/>
          </w:tcPr>
          <w:p w14:paraId="2F1D4BF4" w14:textId="2E1ABEEB" w:rsidR="00472B6A" w:rsidRPr="00896B21" w:rsidRDefault="00075167" w:rsidP="00075167">
            <w:pPr>
              <w:pStyle w:val="S8Gazettetableheading"/>
            </w:pPr>
            <w:r>
              <w:t>Product name</w:t>
            </w:r>
          </w:p>
        </w:tc>
        <w:tc>
          <w:tcPr>
            <w:tcW w:w="3900" w:type="pct"/>
            <w:shd w:val="clear" w:color="auto" w:fill="FFFFFF"/>
            <w:hideMark/>
          </w:tcPr>
          <w:p w14:paraId="11F78AB0" w14:textId="50AF8BCA" w:rsidR="00472B6A" w:rsidRPr="00896B21" w:rsidRDefault="00075167" w:rsidP="00075167">
            <w:pPr>
              <w:pStyle w:val="S8Gazettetabletext"/>
              <w:rPr>
                <w:rFonts w:hAnsi="Arial"/>
              </w:rPr>
            </w:pPr>
            <w:proofErr w:type="spellStart"/>
            <w:r>
              <w:t>Dermcare</w:t>
            </w:r>
            <w:proofErr w:type="spellEnd"/>
            <w:r>
              <w:t xml:space="preserve"> </w:t>
            </w:r>
            <w:proofErr w:type="spellStart"/>
            <w:r>
              <w:t>Malaseb</w:t>
            </w:r>
            <w:proofErr w:type="spellEnd"/>
            <w:r>
              <w:t xml:space="preserve"> Medicated Shampoo</w:t>
            </w:r>
          </w:p>
        </w:tc>
      </w:tr>
      <w:tr w:rsidR="00472B6A" w:rsidRPr="00896B21" w14:paraId="415C6475" w14:textId="77777777" w:rsidTr="001A4A93">
        <w:trPr>
          <w:cantSplit/>
        </w:trPr>
        <w:tc>
          <w:tcPr>
            <w:tcW w:w="1100" w:type="pct"/>
            <w:shd w:val="clear" w:color="auto" w:fill="D9D9D9"/>
            <w:hideMark/>
          </w:tcPr>
          <w:p w14:paraId="18216C63" w14:textId="0A0EB3E6" w:rsidR="00472B6A" w:rsidRPr="00896B21" w:rsidRDefault="00075167" w:rsidP="00075167">
            <w:pPr>
              <w:pStyle w:val="S8Gazettetableheading"/>
            </w:pPr>
            <w:r>
              <w:t>Active constituents</w:t>
            </w:r>
          </w:p>
        </w:tc>
        <w:tc>
          <w:tcPr>
            <w:tcW w:w="3900" w:type="pct"/>
            <w:shd w:val="clear" w:color="auto" w:fill="FFFFFF"/>
            <w:hideMark/>
          </w:tcPr>
          <w:p w14:paraId="5547DFAA" w14:textId="07596ADA" w:rsidR="00472B6A" w:rsidRPr="00896B21" w:rsidRDefault="00075167" w:rsidP="00075167">
            <w:pPr>
              <w:pStyle w:val="S8Gazettetabletext"/>
              <w:rPr>
                <w:rFonts w:hAnsi="Arial"/>
              </w:rPr>
            </w:pPr>
            <w:r>
              <w:t>20 g/L chlorhexidine gluconate, 20 g/L miconazole nitrate</w:t>
            </w:r>
          </w:p>
        </w:tc>
      </w:tr>
      <w:tr w:rsidR="00472B6A" w:rsidRPr="00896B21" w14:paraId="2EE36A1A" w14:textId="77777777" w:rsidTr="001A4A93">
        <w:trPr>
          <w:cantSplit/>
        </w:trPr>
        <w:tc>
          <w:tcPr>
            <w:tcW w:w="1100" w:type="pct"/>
            <w:shd w:val="clear" w:color="auto" w:fill="D9D9D9"/>
            <w:hideMark/>
          </w:tcPr>
          <w:p w14:paraId="1086C555" w14:textId="4D63F171" w:rsidR="00472B6A" w:rsidRPr="00896B21" w:rsidRDefault="00075167" w:rsidP="00075167">
            <w:pPr>
              <w:pStyle w:val="S8Gazettetableheading"/>
            </w:pPr>
            <w:r>
              <w:t>Applicant name</w:t>
            </w:r>
          </w:p>
        </w:tc>
        <w:tc>
          <w:tcPr>
            <w:tcW w:w="3900" w:type="pct"/>
            <w:shd w:val="clear" w:color="auto" w:fill="FFFFFF"/>
            <w:hideMark/>
          </w:tcPr>
          <w:p w14:paraId="1D4D05C7" w14:textId="3D8B8CB0" w:rsidR="00472B6A" w:rsidRPr="00896B21" w:rsidRDefault="00075167" w:rsidP="00075167">
            <w:pPr>
              <w:pStyle w:val="S8Gazettetabletext"/>
              <w:rPr>
                <w:rFonts w:hAnsi="Arial"/>
              </w:rPr>
            </w:pPr>
            <w:proofErr w:type="spellStart"/>
            <w:r>
              <w:t>Dermcare</w:t>
            </w:r>
            <w:proofErr w:type="spellEnd"/>
            <w:r>
              <w:t>-Vet Pty. Ltd.</w:t>
            </w:r>
          </w:p>
        </w:tc>
      </w:tr>
      <w:tr w:rsidR="00472B6A" w:rsidRPr="00896B21" w14:paraId="6FAFA9C2" w14:textId="77777777" w:rsidTr="001A4A93">
        <w:trPr>
          <w:cantSplit/>
        </w:trPr>
        <w:tc>
          <w:tcPr>
            <w:tcW w:w="1100" w:type="pct"/>
            <w:shd w:val="clear" w:color="auto" w:fill="D9D9D9"/>
            <w:hideMark/>
          </w:tcPr>
          <w:p w14:paraId="656A33DF" w14:textId="17EFC36A" w:rsidR="00472B6A" w:rsidRPr="00896B21" w:rsidRDefault="00075167" w:rsidP="00075167">
            <w:pPr>
              <w:pStyle w:val="S8Gazettetableheading"/>
            </w:pPr>
            <w:r>
              <w:t>Applicant ACN</w:t>
            </w:r>
          </w:p>
        </w:tc>
        <w:tc>
          <w:tcPr>
            <w:tcW w:w="3900" w:type="pct"/>
            <w:shd w:val="clear" w:color="auto" w:fill="FFFFFF"/>
            <w:hideMark/>
          </w:tcPr>
          <w:p w14:paraId="3654D657" w14:textId="01EEE2ED" w:rsidR="00472B6A" w:rsidRPr="00896B21" w:rsidRDefault="00075167" w:rsidP="00075167">
            <w:pPr>
              <w:pStyle w:val="S8Gazettetabletext"/>
              <w:rPr>
                <w:rFonts w:hAnsi="Arial"/>
              </w:rPr>
            </w:pPr>
            <w:r>
              <w:t>010 280 010</w:t>
            </w:r>
          </w:p>
        </w:tc>
      </w:tr>
      <w:tr w:rsidR="00472B6A" w:rsidRPr="00896B21" w14:paraId="11CC1935" w14:textId="77777777" w:rsidTr="001A4A93">
        <w:trPr>
          <w:cantSplit/>
        </w:trPr>
        <w:tc>
          <w:tcPr>
            <w:tcW w:w="1100" w:type="pct"/>
            <w:shd w:val="clear" w:color="auto" w:fill="D9D9D9"/>
            <w:hideMark/>
          </w:tcPr>
          <w:p w14:paraId="411075BB" w14:textId="2088651E" w:rsidR="00472B6A" w:rsidRPr="00896B21" w:rsidRDefault="00075167" w:rsidP="00075167">
            <w:pPr>
              <w:pStyle w:val="S8Gazettetableheading"/>
            </w:pPr>
            <w:r>
              <w:t>Date of variation</w:t>
            </w:r>
          </w:p>
        </w:tc>
        <w:tc>
          <w:tcPr>
            <w:tcW w:w="3900" w:type="pct"/>
            <w:shd w:val="clear" w:color="auto" w:fill="FFFFFF"/>
            <w:hideMark/>
          </w:tcPr>
          <w:p w14:paraId="2F816352" w14:textId="188DF31B" w:rsidR="00472B6A" w:rsidRPr="00896B21" w:rsidRDefault="00075167" w:rsidP="00075167">
            <w:pPr>
              <w:pStyle w:val="S8Gazettetabletext"/>
              <w:rPr>
                <w:rFonts w:hAnsi="Arial"/>
              </w:rPr>
            </w:pPr>
            <w:r>
              <w:t>2 December 2025</w:t>
            </w:r>
          </w:p>
        </w:tc>
      </w:tr>
      <w:tr w:rsidR="00472B6A" w:rsidRPr="00896B21" w14:paraId="640094E4" w14:textId="77777777" w:rsidTr="001A4A93">
        <w:trPr>
          <w:cantSplit/>
        </w:trPr>
        <w:tc>
          <w:tcPr>
            <w:tcW w:w="1100" w:type="pct"/>
            <w:shd w:val="clear" w:color="auto" w:fill="D9D9D9"/>
            <w:hideMark/>
          </w:tcPr>
          <w:p w14:paraId="5DEFC69E" w14:textId="5152E2CC" w:rsidR="00472B6A" w:rsidRPr="00896B21" w:rsidRDefault="00075167" w:rsidP="00075167">
            <w:pPr>
              <w:pStyle w:val="S8Gazettetableheading"/>
            </w:pPr>
            <w:r>
              <w:t>Product registration no.</w:t>
            </w:r>
          </w:p>
        </w:tc>
        <w:tc>
          <w:tcPr>
            <w:tcW w:w="3900" w:type="pct"/>
            <w:shd w:val="clear" w:color="auto" w:fill="FFFFFF"/>
            <w:hideMark/>
          </w:tcPr>
          <w:p w14:paraId="52A3765C" w14:textId="16675A33" w:rsidR="00472B6A" w:rsidRPr="00896B21" w:rsidRDefault="00075167" w:rsidP="00075167">
            <w:pPr>
              <w:pStyle w:val="S8Gazettetabletext"/>
              <w:rPr>
                <w:rFonts w:hAnsi="Arial"/>
              </w:rPr>
            </w:pPr>
            <w:r>
              <w:t>47682</w:t>
            </w:r>
          </w:p>
        </w:tc>
      </w:tr>
      <w:tr w:rsidR="00472B6A" w:rsidRPr="00896B21" w14:paraId="3D7F2F09" w14:textId="77777777" w:rsidTr="001A4A93">
        <w:trPr>
          <w:cantSplit/>
        </w:trPr>
        <w:tc>
          <w:tcPr>
            <w:tcW w:w="1100" w:type="pct"/>
            <w:shd w:val="clear" w:color="auto" w:fill="D9D9D9"/>
            <w:hideMark/>
          </w:tcPr>
          <w:p w14:paraId="055CD722" w14:textId="0379FE9F" w:rsidR="00472B6A" w:rsidRPr="00896B21" w:rsidRDefault="00075167" w:rsidP="00075167">
            <w:pPr>
              <w:pStyle w:val="S8Gazettetableheading"/>
            </w:pPr>
            <w:r>
              <w:t>Label approval no.</w:t>
            </w:r>
          </w:p>
        </w:tc>
        <w:tc>
          <w:tcPr>
            <w:tcW w:w="3900" w:type="pct"/>
            <w:shd w:val="clear" w:color="auto" w:fill="FFFFFF"/>
            <w:hideMark/>
          </w:tcPr>
          <w:p w14:paraId="55B5E0D5" w14:textId="31EFA09B" w:rsidR="00472B6A" w:rsidRPr="00896B21" w:rsidRDefault="00075167" w:rsidP="00075167">
            <w:pPr>
              <w:pStyle w:val="S8Gazettetabletext"/>
              <w:rPr>
                <w:rFonts w:hAnsi="Arial"/>
              </w:rPr>
            </w:pPr>
            <w:r>
              <w:t>47682/148852</w:t>
            </w:r>
          </w:p>
        </w:tc>
      </w:tr>
      <w:tr w:rsidR="00472B6A" w:rsidRPr="00896B21" w14:paraId="5BF1C041" w14:textId="77777777" w:rsidTr="001A4A93">
        <w:trPr>
          <w:cantSplit/>
        </w:trPr>
        <w:tc>
          <w:tcPr>
            <w:tcW w:w="1100" w:type="pct"/>
            <w:shd w:val="clear" w:color="auto" w:fill="D9D9D9"/>
            <w:hideMark/>
          </w:tcPr>
          <w:p w14:paraId="533C3613" w14:textId="51675C18" w:rsidR="00472B6A" w:rsidRPr="00896B21" w:rsidRDefault="00075167" w:rsidP="00075167">
            <w:pPr>
              <w:pStyle w:val="S8Gazettetableheading"/>
            </w:pPr>
            <w:r>
              <w:t>Description of the application and its purpose, including the intended use of the chemical product</w:t>
            </w:r>
          </w:p>
        </w:tc>
        <w:tc>
          <w:tcPr>
            <w:tcW w:w="3900" w:type="pct"/>
            <w:shd w:val="clear" w:color="auto" w:fill="FFFFFF"/>
            <w:hideMark/>
          </w:tcPr>
          <w:p w14:paraId="47F34D85" w14:textId="412E8230" w:rsidR="00472B6A" w:rsidRPr="00896B21" w:rsidRDefault="00075167" w:rsidP="00075167">
            <w:pPr>
              <w:pStyle w:val="S8Gazettetabletext"/>
              <w:rPr>
                <w:rFonts w:hAnsi="Arial"/>
              </w:rPr>
            </w:pPr>
            <w:r>
              <w:t>Variation of the relevant particulars of the registered chemical product and label approval to update the directions for use</w:t>
            </w:r>
          </w:p>
        </w:tc>
      </w:tr>
    </w:tbl>
    <w:p w14:paraId="64696EC1"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934489" w14:paraId="1EDFFFEE" w14:textId="77777777" w:rsidTr="001A4A93">
        <w:trPr>
          <w:cantSplit/>
        </w:trPr>
        <w:tc>
          <w:tcPr>
            <w:tcW w:w="1100" w:type="pct"/>
            <w:shd w:val="clear" w:color="auto" w:fill="D9D9D9"/>
          </w:tcPr>
          <w:p w14:paraId="3BCAC698" w14:textId="69F023F3" w:rsidR="00472B6A" w:rsidRPr="00934489" w:rsidRDefault="00075167" w:rsidP="00075167">
            <w:pPr>
              <w:pStyle w:val="S8Gazettetableheading"/>
            </w:pPr>
            <w:r>
              <w:t>Application no.</w:t>
            </w:r>
          </w:p>
        </w:tc>
        <w:tc>
          <w:tcPr>
            <w:tcW w:w="3900" w:type="pct"/>
            <w:shd w:val="clear" w:color="auto" w:fill="FFFFFF"/>
          </w:tcPr>
          <w:p w14:paraId="6D317EF2" w14:textId="63349FC1" w:rsidR="00472B6A" w:rsidRPr="00934489" w:rsidRDefault="00075167" w:rsidP="00075167">
            <w:pPr>
              <w:pStyle w:val="S8Gazettetabletext"/>
              <w:rPr>
                <w:noProof/>
              </w:rPr>
            </w:pPr>
            <w:r>
              <w:t>147795</w:t>
            </w:r>
          </w:p>
        </w:tc>
      </w:tr>
      <w:tr w:rsidR="00472B6A" w:rsidRPr="00934489" w14:paraId="64EAAC80" w14:textId="77777777" w:rsidTr="001A4A93">
        <w:trPr>
          <w:cantSplit/>
        </w:trPr>
        <w:tc>
          <w:tcPr>
            <w:tcW w:w="1100" w:type="pct"/>
            <w:shd w:val="clear" w:color="auto" w:fill="D9D9D9"/>
          </w:tcPr>
          <w:p w14:paraId="126A043D" w14:textId="0E8BA512" w:rsidR="00472B6A" w:rsidRPr="00934489" w:rsidRDefault="00075167" w:rsidP="00075167">
            <w:pPr>
              <w:pStyle w:val="S8Gazettetableheading"/>
            </w:pPr>
            <w:r>
              <w:t>Product name</w:t>
            </w:r>
          </w:p>
        </w:tc>
        <w:tc>
          <w:tcPr>
            <w:tcW w:w="3900" w:type="pct"/>
            <w:shd w:val="clear" w:color="auto" w:fill="FFFFFF"/>
          </w:tcPr>
          <w:p w14:paraId="0831432C" w14:textId="588F8281" w:rsidR="00472B6A" w:rsidRPr="00934489" w:rsidRDefault="00075167" w:rsidP="00075167">
            <w:pPr>
              <w:pStyle w:val="S8Gazettetabletext"/>
            </w:pPr>
            <w:proofErr w:type="spellStart"/>
            <w:r>
              <w:t>Alfaxan</w:t>
            </w:r>
            <w:proofErr w:type="spellEnd"/>
            <w:r>
              <w:t xml:space="preserve"> Multidose Anaesthetic Injection</w:t>
            </w:r>
          </w:p>
        </w:tc>
      </w:tr>
      <w:tr w:rsidR="00472B6A" w:rsidRPr="00934489" w14:paraId="46E29313" w14:textId="77777777" w:rsidTr="001A4A93">
        <w:trPr>
          <w:cantSplit/>
        </w:trPr>
        <w:tc>
          <w:tcPr>
            <w:tcW w:w="1100" w:type="pct"/>
            <w:shd w:val="clear" w:color="auto" w:fill="D9D9D9"/>
          </w:tcPr>
          <w:p w14:paraId="19E88936" w14:textId="3636D45B" w:rsidR="00472B6A" w:rsidRPr="00934489" w:rsidRDefault="00075167" w:rsidP="00075167">
            <w:pPr>
              <w:pStyle w:val="S8Gazettetableheading"/>
            </w:pPr>
            <w:r>
              <w:t>Active constituent</w:t>
            </w:r>
          </w:p>
        </w:tc>
        <w:tc>
          <w:tcPr>
            <w:tcW w:w="3900" w:type="pct"/>
            <w:shd w:val="clear" w:color="auto" w:fill="FFFFFF"/>
          </w:tcPr>
          <w:p w14:paraId="08E4A6E0" w14:textId="1A22C517" w:rsidR="00472B6A" w:rsidRPr="00934489" w:rsidRDefault="00075167" w:rsidP="00075167">
            <w:pPr>
              <w:pStyle w:val="S8Gazettetabletext"/>
            </w:pPr>
            <w:r>
              <w:t xml:space="preserve">10 mg/mL </w:t>
            </w:r>
            <w:proofErr w:type="spellStart"/>
            <w:r>
              <w:t>alfaxalone</w:t>
            </w:r>
            <w:proofErr w:type="spellEnd"/>
          </w:p>
        </w:tc>
      </w:tr>
      <w:tr w:rsidR="00472B6A" w:rsidRPr="00934489" w14:paraId="06E75A78" w14:textId="77777777" w:rsidTr="001A4A93">
        <w:trPr>
          <w:cantSplit/>
        </w:trPr>
        <w:tc>
          <w:tcPr>
            <w:tcW w:w="1100" w:type="pct"/>
            <w:shd w:val="clear" w:color="auto" w:fill="D9D9D9"/>
          </w:tcPr>
          <w:p w14:paraId="7D31267A" w14:textId="04763653" w:rsidR="00472B6A" w:rsidRPr="00934489" w:rsidRDefault="00075167" w:rsidP="00075167">
            <w:pPr>
              <w:pStyle w:val="S8Gazettetableheading"/>
            </w:pPr>
            <w:r>
              <w:t>Applicant name</w:t>
            </w:r>
          </w:p>
        </w:tc>
        <w:tc>
          <w:tcPr>
            <w:tcW w:w="3900" w:type="pct"/>
            <w:shd w:val="clear" w:color="auto" w:fill="FFFFFF"/>
          </w:tcPr>
          <w:p w14:paraId="619E09B5" w14:textId="41EA2F59" w:rsidR="00472B6A" w:rsidRPr="00934489" w:rsidRDefault="00075167" w:rsidP="00075167">
            <w:pPr>
              <w:pStyle w:val="S8Gazettetabletext"/>
            </w:pPr>
            <w:r>
              <w:t>Zoetis Australia Pty Ltd</w:t>
            </w:r>
          </w:p>
        </w:tc>
      </w:tr>
      <w:tr w:rsidR="00472B6A" w:rsidRPr="00934489" w14:paraId="23C4C013" w14:textId="77777777" w:rsidTr="001A4A93">
        <w:trPr>
          <w:cantSplit/>
        </w:trPr>
        <w:tc>
          <w:tcPr>
            <w:tcW w:w="1100" w:type="pct"/>
            <w:shd w:val="clear" w:color="auto" w:fill="D9D9D9"/>
          </w:tcPr>
          <w:p w14:paraId="74866EC7" w14:textId="0AC4DDA1" w:rsidR="00472B6A" w:rsidRPr="00934489" w:rsidRDefault="00075167" w:rsidP="00075167">
            <w:pPr>
              <w:pStyle w:val="S8Gazettetableheading"/>
            </w:pPr>
            <w:r>
              <w:t>Applicant ACN</w:t>
            </w:r>
          </w:p>
        </w:tc>
        <w:tc>
          <w:tcPr>
            <w:tcW w:w="3900" w:type="pct"/>
            <w:shd w:val="clear" w:color="auto" w:fill="FFFFFF"/>
          </w:tcPr>
          <w:p w14:paraId="6454C98B" w14:textId="1DE9BE0B" w:rsidR="00472B6A" w:rsidRPr="00934489" w:rsidRDefault="00075167" w:rsidP="00075167">
            <w:pPr>
              <w:pStyle w:val="S8Gazettetabletext"/>
            </w:pPr>
            <w:r>
              <w:t>156 476 425</w:t>
            </w:r>
          </w:p>
        </w:tc>
      </w:tr>
      <w:tr w:rsidR="00472B6A" w:rsidRPr="00934489" w14:paraId="3DAF2EC0" w14:textId="77777777" w:rsidTr="001A4A93">
        <w:trPr>
          <w:cantSplit/>
        </w:trPr>
        <w:tc>
          <w:tcPr>
            <w:tcW w:w="1100" w:type="pct"/>
            <w:shd w:val="clear" w:color="auto" w:fill="D9D9D9"/>
          </w:tcPr>
          <w:p w14:paraId="4E0965EE" w14:textId="6176E9B2" w:rsidR="00472B6A" w:rsidRPr="00934489" w:rsidRDefault="00075167" w:rsidP="00075167">
            <w:pPr>
              <w:pStyle w:val="S8Gazettetableheading"/>
            </w:pPr>
            <w:r>
              <w:t>Date of variation</w:t>
            </w:r>
          </w:p>
        </w:tc>
        <w:tc>
          <w:tcPr>
            <w:tcW w:w="3900" w:type="pct"/>
            <w:shd w:val="clear" w:color="auto" w:fill="FFFFFF"/>
          </w:tcPr>
          <w:p w14:paraId="59982ACF" w14:textId="7F2BF53D" w:rsidR="00472B6A" w:rsidRPr="00934489" w:rsidRDefault="00075167" w:rsidP="00075167">
            <w:pPr>
              <w:pStyle w:val="S8Gazettetabletext"/>
            </w:pPr>
            <w:r>
              <w:t>3 December 2025</w:t>
            </w:r>
          </w:p>
        </w:tc>
      </w:tr>
      <w:tr w:rsidR="00472B6A" w:rsidRPr="00934489" w14:paraId="6B3405E6" w14:textId="77777777" w:rsidTr="001A4A93">
        <w:trPr>
          <w:cantSplit/>
        </w:trPr>
        <w:tc>
          <w:tcPr>
            <w:tcW w:w="1100" w:type="pct"/>
            <w:shd w:val="clear" w:color="auto" w:fill="D9D9D9"/>
          </w:tcPr>
          <w:p w14:paraId="04A156A4" w14:textId="50BD56BE" w:rsidR="00472B6A" w:rsidRPr="00934489" w:rsidRDefault="00075167" w:rsidP="00075167">
            <w:pPr>
              <w:pStyle w:val="S8Gazettetableheading"/>
            </w:pPr>
            <w:r>
              <w:t>Product registration no.</w:t>
            </w:r>
          </w:p>
        </w:tc>
        <w:tc>
          <w:tcPr>
            <w:tcW w:w="3900" w:type="pct"/>
            <w:shd w:val="clear" w:color="auto" w:fill="FFFFFF"/>
          </w:tcPr>
          <w:p w14:paraId="3C8591B8" w14:textId="73F04F88" w:rsidR="00472B6A" w:rsidRPr="00934489" w:rsidRDefault="00075167" w:rsidP="00075167">
            <w:pPr>
              <w:pStyle w:val="S8Gazettetabletext"/>
            </w:pPr>
            <w:r>
              <w:t>83248</w:t>
            </w:r>
          </w:p>
        </w:tc>
      </w:tr>
      <w:tr w:rsidR="00472B6A" w:rsidRPr="00934489" w14:paraId="1AD27E3B" w14:textId="77777777" w:rsidTr="001A4A93">
        <w:trPr>
          <w:cantSplit/>
        </w:trPr>
        <w:tc>
          <w:tcPr>
            <w:tcW w:w="1100" w:type="pct"/>
            <w:shd w:val="clear" w:color="auto" w:fill="D9D9D9"/>
          </w:tcPr>
          <w:p w14:paraId="45D34263" w14:textId="49E881AB" w:rsidR="00472B6A" w:rsidRPr="00934489" w:rsidRDefault="00075167" w:rsidP="00075167">
            <w:pPr>
              <w:pStyle w:val="S8Gazettetableheading"/>
            </w:pPr>
            <w:r>
              <w:t>Label approval no.</w:t>
            </w:r>
          </w:p>
        </w:tc>
        <w:tc>
          <w:tcPr>
            <w:tcW w:w="3900" w:type="pct"/>
            <w:shd w:val="clear" w:color="auto" w:fill="FFFFFF"/>
          </w:tcPr>
          <w:p w14:paraId="54A6B74A" w14:textId="1BC68EB9" w:rsidR="00472B6A" w:rsidRPr="00934489" w:rsidRDefault="00075167" w:rsidP="00075167">
            <w:pPr>
              <w:pStyle w:val="S8Gazettetabletext"/>
            </w:pPr>
            <w:r>
              <w:t>83248/147795</w:t>
            </w:r>
          </w:p>
        </w:tc>
      </w:tr>
      <w:tr w:rsidR="00472B6A" w:rsidRPr="00934489" w14:paraId="648E404B" w14:textId="77777777" w:rsidTr="001A4A93">
        <w:trPr>
          <w:cantSplit/>
        </w:trPr>
        <w:tc>
          <w:tcPr>
            <w:tcW w:w="1100" w:type="pct"/>
            <w:shd w:val="clear" w:color="auto" w:fill="D9D9D9"/>
          </w:tcPr>
          <w:p w14:paraId="184169F0" w14:textId="52D2EBA4" w:rsidR="00472B6A" w:rsidRPr="00934489"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2089E120" w14:textId="185F092B" w:rsidR="00472B6A" w:rsidRPr="00934489" w:rsidRDefault="00075167" w:rsidP="00075167">
            <w:pPr>
              <w:pStyle w:val="S8Gazettetabletext"/>
            </w:pPr>
            <w:r>
              <w:t>Variation of relevant particulars of product registration and label approval to update in-use shelf-life of the product</w:t>
            </w:r>
          </w:p>
        </w:tc>
      </w:tr>
    </w:tbl>
    <w:p w14:paraId="40457BE0"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934489" w14:paraId="6610F296" w14:textId="77777777" w:rsidTr="001A4A93">
        <w:trPr>
          <w:cantSplit/>
          <w:tblHeader/>
        </w:trPr>
        <w:tc>
          <w:tcPr>
            <w:tcW w:w="1100" w:type="pct"/>
            <w:shd w:val="clear" w:color="auto" w:fill="D9D9D9"/>
          </w:tcPr>
          <w:p w14:paraId="44AE192A" w14:textId="4E66BFFE" w:rsidR="00472B6A" w:rsidRPr="00934489" w:rsidRDefault="00075167" w:rsidP="00075167">
            <w:pPr>
              <w:pStyle w:val="S8Gazettetableheading"/>
            </w:pPr>
            <w:r>
              <w:lastRenderedPageBreak/>
              <w:t>Application no.</w:t>
            </w:r>
          </w:p>
        </w:tc>
        <w:tc>
          <w:tcPr>
            <w:tcW w:w="3900" w:type="pct"/>
            <w:shd w:val="clear" w:color="auto" w:fill="FFFFFF"/>
          </w:tcPr>
          <w:p w14:paraId="66084376" w14:textId="7752A3C9" w:rsidR="00472B6A" w:rsidRPr="00934489" w:rsidRDefault="00075167" w:rsidP="00075167">
            <w:pPr>
              <w:pStyle w:val="S8Gazettetabletext"/>
              <w:rPr>
                <w:noProof/>
              </w:rPr>
            </w:pPr>
            <w:r>
              <w:t>147736</w:t>
            </w:r>
          </w:p>
        </w:tc>
      </w:tr>
      <w:tr w:rsidR="00472B6A" w:rsidRPr="00934489" w14:paraId="2094F53C" w14:textId="77777777" w:rsidTr="001A4A93">
        <w:trPr>
          <w:cantSplit/>
          <w:tblHeader/>
        </w:trPr>
        <w:tc>
          <w:tcPr>
            <w:tcW w:w="1100" w:type="pct"/>
            <w:shd w:val="clear" w:color="auto" w:fill="D9D9D9"/>
          </w:tcPr>
          <w:p w14:paraId="333753D6" w14:textId="30F70A6B" w:rsidR="00472B6A" w:rsidRPr="00934489" w:rsidRDefault="00075167" w:rsidP="00075167">
            <w:pPr>
              <w:pStyle w:val="S8Gazettetableheading"/>
            </w:pPr>
            <w:r>
              <w:t>Product name</w:t>
            </w:r>
          </w:p>
        </w:tc>
        <w:tc>
          <w:tcPr>
            <w:tcW w:w="3900" w:type="pct"/>
            <w:shd w:val="clear" w:color="auto" w:fill="FFFFFF"/>
          </w:tcPr>
          <w:p w14:paraId="6C980F6F" w14:textId="07ADB5C0" w:rsidR="00472B6A" w:rsidRPr="00934489" w:rsidRDefault="00075167" w:rsidP="00075167">
            <w:pPr>
              <w:pStyle w:val="S8Gazettetabletext"/>
            </w:pPr>
            <w:proofErr w:type="spellStart"/>
            <w:r>
              <w:t>Dermcare</w:t>
            </w:r>
            <w:proofErr w:type="spellEnd"/>
            <w:r>
              <w:t xml:space="preserve"> </w:t>
            </w:r>
            <w:proofErr w:type="spellStart"/>
            <w:r>
              <w:t>Pyohex</w:t>
            </w:r>
            <w:proofErr w:type="spellEnd"/>
            <w:r>
              <w:t xml:space="preserve"> Medicated Shampoo</w:t>
            </w:r>
          </w:p>
        </w:tc>
      </w:tr>
      <w:tr w:rsidR="00472B6A" w:rsidRPr="00934489" w14:paraId="76B217D7" w14:textId="77777777" w:rsidTr="001A4A93">
        <w:trPr>
          <w:cantSplit/>
          <w:tblHeader/>
        </w:trPr>
        <w:tc>
          <w:tcPr>
            <w:tcW w:w="1100" w:type="pct"/>
            <w:shd w:val="clear" w:color="auto" w:fill="D9D9D9"/>
          </w:tcPr>
          <w:p w14:paraId="0D90C575" w14:textId="739EE38A" w:rsidR="00472B6A" w:rsidRPr="00934489" w:rsidRDefault="00075167" w:rsidP="00075167">
            <w:pPr>
              <w:pStyle w:val="S8Gazettetableheading"/>
            </w:pPr>
            <w:r>
              <w:t>Active constituent</w:t>
            </w:r>
          </w:p>
        </w:tc>
        <w:tc>
          <w:tcPr>
            <w:tcW w:w="3900" w:type="pct"/>
            <w:shd w:val="clear" w:color="auto" w:fill="FFFFFF"/>
          </w:tcPr>
          <w:p w14:paraId="05F3D7FF" w14:textId="66C959D9" w:rsidR="00472B6A" w:rsidRPr="00934489" w:rsidRDefault="00075167" w:rsidP="00075167">
            <w:pPr>
              <w:pStyle w:val="S8Gazettetabletext"/>
            </w:pPr>
            <w:r>
              <w:t>30 g/L chlorhexidine gluconate</w:t>
            </w:r>
          </w:p>
        </w:tc>
      </w:tr>
      <w:tr w:rsidR="00472B6A" w:rsidRPr="00934489" w14:paraId="07134FDD" w14:textId="77777777" w:rsidTr="001A4A93">
        <w:trPr>
          <w:cantSplit/>
          <w:tblHeader/>
        </w:trPr>
        <w:tc>
          <w:tcPr>
            <w:tcW w:w="1100" w:type="pct"/>
            <w:shd w:val="clear" w:color="auto" w:fill="D9D9D9"/>
          </w:tcPr>
          <w:p w14:paraId="29499AE1" w14:textId="7CE80B09" w:rsidR="00472B6A" w:rsidRPr="00934489" w:rsidRDefault="00075167" w:rsidP="00075167">
            <w:pPr>
              <w:pStyle w:val="S8Gazettetableheading"/>
            </w:pPr>
            <w:r>
              <w:t>Applicant name</w:t>
            </w:r>
          </w:p>
        </w:tc>
        <w:tc>
          <w:tcPr>
            <w:tcW w:w="3900" w:type="pct"/>
            <w:shd w:val="clear" w:color="auto" w:fill="FFFFFF"/>
          </w:tcPr>
          <w:p w14:paraId="07C76250" w14:textId="261D5FAD" w:rsidR="00472B6A" w:rsidRPr="00934489" w:rsidRDefault="00075167" w:rsidP="00075167">
            <w:pPr>
              <w:pStyle w:val="S8Gazettetabletext"/>
            </w:pPr>
            <w:proofErr w:type="spellStart"/>
            <w:r>
              <w:t>Dermcare</w:t>
            </w:r>
            <w:proofErr w:type="spellEnd"/>
            <w:r>
              <w:t>-Vet Pty Ltd</w:t>
            </w:r>
          </w:p>
        </w:tc>
      </w:tr>
      <w:tr w:rsidR="00472B6A" w:rsidRPr="00934489" w14:paraId="5DB1BEB1" w14:textId="77777777" w:rsidTr="001A4A93">
        <w:trPr>
          <w:cantSplit/>
          <w:tblHeader/>
        </w:trPr>
        <w:tc>
          <w:tcPr>
            <w:tcW w:w="1100" w:type="pct"/>
            <w:shd w:val="clear" w:color="auto" w:fill="D9D9D9"/>
          </w:tcPr>
          <w:p w14:paraId="0AEB78A0" w14:textId="34C2CE68" w:rsidR="00472B6A" w:rsidRPr="00934489" w:rsidRDefault="00075167" w:rsidP="00075167">
            <w:pPr>
              <w:pStyle w:val="S8Gazettetableheading"/>
            </w:pPr>
            <w:r>
              <w:t>Applicant ACN</w:t>
            </w:r>
          </w:p>
        </w:tc>
        <w:tc>
          <w:tcPr>
            <w:tcW w:w="3900" w:type="pct"/>
            <w:shd w:val="clear" w:color="auto" w:fill="FFFFFF"/>
          </w:tcPr>
          <w:p w14:paraId="067F5377" w14:textId="1C9286BB" w:rsidR="00472B6A" w:rsidRPr="00934489" w:rsidRDefault="00075167" w:rsidP="00075167">
            <w:pPr>
              <w:pStyle w:val="S8Gazettetabletext"/>
            </w:pPr>
            <w:r>
              <w:t>010 280 010</w:t>
            </w:r>
          </w:p>
        </w:tc>
      </w:tr>
      <w:tr w:rsidR="00472B6A" w:rsidRPr="00934489" w14:paraId="5DB8BAB0" w14:textId="77777777" w:rsidTr="001A4A93">
        <w:trPr>
          <w:cantSplit/>
          <w:tblHeader/>
        </w:trPr>
        <w:tc>
          <w:tcPr>
            <w:tcW w:w="1100" w:type="pct"/>
            <w:shd w:val="clear" w:color="auto" w:fill="D9D9D9"/>
          </w:tcPr>
          <w:p w14:paraId="06ED6A90" w14:textId="1D595629" w:rsidR="00472B6A" w:rsidRPr="00934489" w:rsidRDefault="00075167" w:rsidP="00075167">
            <w:pPr>
              <w:pStyle w:val="S8Gazettetableheading"/>
            </w:pPr>
            <w:r>
              <w:t>Date of variation</w:t>
            </w:r>
          </w:p>
        </w:tc>
        <w:tc>
          <w:tcPr>
            <w:tcW w:w="3900" w:type="pct"/>
            <w:shd w:val="clear" w:color="auto" w:fill="FFFFFF"/>
          </w:tcPr>
          <w:p w14:paraId="5D1DDD1E" w14:textId="67CB3EFD" w:rsidR="00472B6A" w:rsidRPr="00934489" w:rsidRDefault="00075167" w:rsidP="00075167">
            <w:pPr>
              <w:pStyle w:val="S8Gazettetabletext"/>
            </w:pPr>
            <w:r>
              <w:t>12 December 2025</w:t>
            </w:r>
          </w:p>
        </w:tc>
      </w:tr>
      <w:tr w:rsidR="00472B6A" w:rsidRPr="00934489" w14:paraId="5E2F5FD0" w14:textId="77777777" w:rsidTr="001A4A93">
        <w:trPr>
          <w:cantSplit/>
          <w:tblHeader/>
        </w:trPr>
        <w:tc>
          <w:tcPr>
            <w:tcW w:w="1100" w:type="pct"/>
            <w:shd w:val="clear" w:color="auto" w:fill="D9D9D9"/>
          </w:tcPr>
          <w:p w14:paraId="12DED645" w14:textId="58D3D823" w:rsidR="00472B6A" w:rsidRPr="00934489" w:rsidRDefault="00075167" w:rsidP="00075167">
            <w:pPr>
              <w:pStyle w:val="S8Gazettetableheading"/>
            </w:pPr>
            <w:r>
              <w:t>Product registration no.</w:t>
            </w:r>
          </w:p>
        </w:tc>
        <w:tc>
          <w:tcPr>
            <w:tcW w:w="3900" w:type="pct"/>
            <w:shd w:val="clear" w:color="auto" w:fill="FFFFFF"/>
          </w:tcPr>
          <w:p w14:paraId="09CED0DD" w14:textId="6EA3D726" w:rsidR="00472B6A" w:rsidRPr="00934489" w:rsidRDefault="00075167" w:rsidP="00075167">
            <w:pPr>
              <w:pStyle w:val="S8Gazettetabletext"/>
            </w:pPr>
            <w:r>
              <w:t>47567</w:t>
            </w:r>
          </w:p>
        </w:tc>
      </w:tr>
      <w:tr w:rsidR="00472B6A" w:rsidRPr="00934489" w14:paraId="13735724" w14:textId="77777777" w:rsidTr="001A4A93">
        <w:trPr>
          <w:cantSplit/>
          <w:tblHeader/>
        </w:trPr>
        <w:tc>
          <w:tcPr>
            <w:tcW w:w="1100" w:type="pct"/>
            <w:shd w:val="clear" w:color="auto" w:fill="D9D9D9"/>
          </w:tcPr>
          <w:p w14:paraId="5A7B8ADF" w14:textId="7457DAD5" w:rsidR="00472B6A" w:rsidRPr="00934489" w:rsidRDefault="00075167" w:rsidP="00075167">
            <w:pPr>
              <w:pStyle w:val="S8Gazettetableheading"/>
            </w:pPr>
            <w:r>
              <w:t>Label approval no.</w:t>
            </w:r>
          </w:p>
        </w:tc>
        <w:tc>
          <w:tcPr>
            <w:tcW w:w="3900" w:type="pct"/>
            <w:shd w:val="clear" w:color="auto" w:fill="FFFFFF"/>
          </w:tcPr>
          <w:p w14:paraId="508B84D2" w14:textId="000C1143" w:rsidR="00472B6A" w:rsidRPr="00934489" w:rsidRDefault="00075167" w:rsidP="00075167">
            <w:pPr>
              <w:pStyle w:val="S8Gazettetabletext"/>
            </w:pPr>
            <w:r>
              <w:t>47567/147736</w:t>
            </w:r>
          </w:p>
        </w:tc>
      </w:tr>
      <w:tr w:rsidR="00472B6A" w:rsidRPr="00934489" w14:paraId="0C158047" w14:textId="77777777" w:rsidTr="001A4A93">
        <w:trPr>
          <w:cantSplit/>
          <w:tblHeader/>
        </w:trPr>
        <w:tc>
          <w:tcPr>
            <w:tcW w:w="1100" w:type="pct"/>
            <w:shd w:val="clear" w:color="auto" w:fill="D9D9D9"/>
          </w:tcPr>
          <w:p w14:paraId="4AE2B44E" w14:textId="73AE43A8" w:rsidR="00472B6A" w:rsidRPr="00934489" w:rsidRDefault="00075167" w:rsidP="00075167">
            <w:pPr>
              <w:pStyle w:val="S8Gazettetableheading"/>
            </w:pPr>
            <w:r>
              <w:t>Description of the application and its purpose, including the intended use of the chemical product</w:t>
            </w:r>
          </w:p>
        </w:tc>
        <w:tc>
          <w:tcPr>
            <w:tcW w:w="3900" w:type="pct"/>
            <w:shd w:val="clear" w:color="auto" w:fill="FFFFFF"/>
          </w:tcPr>
          <w:p w14:paraId="762BDEF6" w14:textId="1961F557" w:rsidR="00472B6A" w:rsidRPr="00934489" w:rsidRDefault="00075167" w:rsidP="00075167">
            <w:pPr>
              <w:pStyle w:val="S8Gazettetabletext"/>
            </w:pPr>
            <w:r>
              <w:t>Variation to relevant particulars of product registration and label approval to the precautions and dosage and administration statements on the label</w:t>
            </w:r>
          </w:p>
        </w:tc>
      </w:tr>
    </w:tbl>
    <w:p w14:paraId="6FE860E5" w14:textId="77777777" w:rsidR="00472B6A" w:rsidRDefault="00472B6A" w:rsidP="003D246C">
      <w:pPr>
        <w:pStyle w:val="GazetteNormalText"/>
        <w:sectPr w:rsidR="00472B6A" w:rsidSect="00CB73E0">
          <w:headerReference w:type="even" r:id="rId24"/>
          <w:headerReference w:type="default" r:id="rId25"/>
          <w:pgSz w:w="11906" w:h="16838"/>
          <w:pgMar w:top="1440" w:right="1134" w:bottom="1440" w:left="1134" w:header="794" w:footer="737" w:gutter="0"/>
          <w:cols w:space="708"/>
          <w:docGrid w:linePitch="360"/>
        </w:sectPr>
      </w:pPr>
    </w:p>
    <w:p w14:paraId="56027C39" w14:textId="77777777" w:rsidR="00472B6A" w:rsidRPr="00251875" w:rsidRDefault="00472B6A" w:rsidP="00472B6A">
      <w:pPr>
        <w:pStyle w:val="GazetteHeading1"/>
      </w:pPr>
      <w:bookmarkStart w:id="20" w:name="_Toc217376729"/>
      <w:r w:rsidRPr="00251875">
        <w:lastRenderedPageBreak/>
        <w:t>Approved active constituents</w:t>
      </w:r>
      <w:bookmarkEnd w:id="20"/>
    </w:p>
    <w:p w14:paraId="386477BD" w14:textId="77777777" w:rsidR="00472B6A" w:rsidRPr="00D80B56" w:rsidRDefault="00472B6A" w:rsidP="00472B6A">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152701F" w14:textId="7EFF3DC9" w:rsidR="00472B6A" w:rsidRDefault="00472B6A" w:rsidP="00472B6A">
      <w:pPr>
        <w:pStyle w:val="Caption"/>
      </w:pPr>
      <w:r>
        <w:t xml:space="preserve">Table </w:t>
      </w:r>
      <w:r>
        <w:fldChar w:fldCharType="begin"/>
      </w:r>
      <w:r>
        <w:instrText xml:space="preserve"> SEQ Table \* ARABIC </w:instrText>
      </w:r>
      <w:r>
        <w:fldChar w:fldCharType="separate"/>
      </w:r>
      <w:r w:rsidR="00472E89">
        <w:rPr>
          <w:noProof/>
        </w:rPr>
        <w:t>5</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076D53E3" w14:textId="77777777" w:rsidTr="001A4A93">
        <w:trPr>
          <w:cantSplit/>
        </w:trPr>
        <w:tc>
          <w:tcPr>
            <w:tcW w:w="1100" w:type="pct"/>
            <w:shd w:val="clear" w:color="auto" w:fill="D9D9D9"/>
          </w:tcPr>
          <w:p w14:paraId="52A3FC4C" w14:textId="50A978A5" w:rsidR="00472B6A" w:rsidRPr="00BF5312" w:rsidRDefault="00075167" w:rsidP="00075167">
            <w:pPr>
              <w:pStyle w:val="S8Gazettetableheading"/>
            </w:pPr>
            <w:r>
              <w:t>Application no.</w:t>
            </w:r>
          </w:p>
        </w:tc>
        <w:tc>
          <w:tcPr>
            <w:tcW w:w="3900" w:type="pct"/>
            <w:shd w:val="clear" w:color="auto" w:fill="FFFFFF"/>
          </w:tcPr>
          <w:p w14:paraId="7812E1CC" w14:textId="06FCA150" w:rsidR="00472B6A" w:rsidRPr="00BF5312" w:rsidRDefault="00075167" w:rsidP="00075167">
            <w:pPr>
              <w:pStyle w:val="S8Gazettetabletext"/>
            </w:pPr>
            <w:r>
              <w:t>148024</w:t>
            </w:r>
          </w:p>
        </w:tc>
      </w:tr>
      <w:tr w:rsidR="00472B6A" w:rsidRPr="00BF5312" w14:paraId="49656488" w14:textId="77777777" w:rsidTr="001A4A93">
        <w:trPr>
          <w:cantSplit/>
        </w:trPr>
        <w:tc>
          <w:tcPr>
            <w:tcW w:w="1100" w:type="pct"/>
            <w:shd w:val="clear" w:color="auto" w:fill="D9D9D9"/>
          </w:tcPr>
          <w:p w14:paraId="0837D9D9" w14:textId="3D53C314" w:rsidR="00472B6A" w:rsidRPr="00BF5312" w:rsidRDefault="00075167" w:rsidP="00075167">
            <w:pPr>
              <w:pStyle w:val="S8Gazettetableheading"/>
            </w:pPr>
            <w:r>
              <w:t>Active constituent</w:t>
            </w:r>
          </w:p>
        </w:tc>
        <w:tc>
          <w:tcPr>
            <w:tcW w:w="3900" w:type="pct"/>
            <w:shd w:val="clear" w:color="auto" w:fill="FFFFFF"/>
          </w:tcPr>
          <w:p w14:paraId="61AD1E04" w14:textId="01A6676B" w:rsidR="00472B6A" w:rsidRPr="00BF5312" w:rsidRDefault="001A4A93" w:rsidP="00075167">
            <w:pPr>
              <w:pStyle w:val="S8Gazettetabletext"/>
            </w:pPr>
            <w:r>
              <w:t>M</w:t>
            </w:r>
            <w:r w:rsidR="00075167">
              <w:t>eloxicam</w:t>
            </w:r>
          </w:p>
        </w:tc>
      </w:tr>
      <w:tr w:rsidR="00472B6A" w:rsidRPr="00BF5312" w14:paraId="7E72907A" w14:textId="77777777" w:rsidTr="001A4A93">
        <w:trPr>
          <w:cantSplit/>
        </w:trPr>
        <w:tc>
          <w:tcPr>
            <w:tcW w:w="1100" w:type="pct"/>
            <w:shd w:val="clear" w:color="auto" w:fill="D9D9D9"/>
          </w:tcPr>
          <w:p w14:paraId="51CE9085" w14:textId="36405E0C" w:rsidR="00472B6A" w:rsidRPr="00BF5312" w:rsidRDefault="00075167" w:rsidP="00075167">
            <w:pPr>
              <w:pStyle w:val="S8Gazettetableheading"/>
            </w:pPr>
            <w:r>
              <w:t>Applicant name</w:t>
            </w:r>
          </w:p>
        </w:tc>
        <w:tc>
          <w:tcPr>
            <w:tcW w:w="3900" w:type="pct"/>
            <w:shd w:val="clear" w:color="auto" w:fill="FFFFFF"/>
          </w:tcPr>
          <w:p w14:paraId="7C8B135B" w14:textId="5873FACE" w:rsidR="00472B6A" w:rsidRPr="00BF5312" w:rsidRDefault="00075167" w:rsidP="00075167">
            <w:pPr>
              <w:pStyle w:val="S8Gazettetabletext"/>
            </w:pPr>
            <w:r>
              <w:t>Ashish Life Science Pvt Ltd</w:t>
            </w:r>
          </w:p>
        </w:tc>
      </w:tr>
      <w:tr w:rsidR="00472B6A" w:rsidRPr="00BF5312" w14:paraId="51F4FB64" w14:textId="77777777" w:rsidTr="001A4A93">
        <w:trPr>
          <w:cantSplit/>
        </w:trPr>
        <w:tc>
          <w:tcPr>
            <w:tcW w:w="1100" w:type="pct"/>
            <w:shd w:val="clear" w:color="auto" w:fill="D9D9D9"/>
          </w:tcPr>
          <w:p w14:paraId="0C1D936E" w14:textId="141BB0EE" w:rsidR="00472B6A" w:rsidRPr="00BF5312" w:rsidRDefault="00075167" w:rsidP="00075167">
            <w:pPr>
              <w:pStyle w:val="S8Gazettetableheading"/>
            </w:pPr>
            <w:r>
              <w:t>Applicant ACN</w:t>
            </w:r>
          </w:p>
        </w:tc>
        <w:tc>
          <w:tcPr>
            <w:tcW w:w="3900" w:type="pct"/>
            <w:shd w:val="clear" w:color="auto" w:fill="FFFFFF"/>
          </w:tcPr>
          <w:p w14:paraId="65ADA738" w14:textId="36E42357" w:rsidR="00472B6A" w:rsidRPr="00BF5312" w:rsidRDefault="00075167" w:rsidP="00075167">
            <w:pPr>
              <w:pStyle w:val="S8Gazettetabletext"/>
            </w:pPr>
            <w:r>
              <w:t>N/A</w:t>
            </w:r>
          </w:p>
        </w:tc>
      </w:tr>
      <w:tr w:rsidR="00472B6A" w:rsidRPr="00BF5312" w14:paraId="4D4FA2CA" w14:textId="77777777" w:rsidTr="001A4A93">
        <w:trPr>
          <w:cantSplit/>
        </w:trPr>
        <w:tc>
          <w:tcPr>
            <w:tcW w:w="1100" w:type="pct"/>
            <w:shd w:val="clear" w:color="auto" w:fill="D9D9D9"/>
          </w:tcPr>
          <w:p w14:paraId="3E5D0252" w14:textId="6D173123" w:rsidR="00472B6A" w:rsidRPr="00BF5312" w:rsidRDefault="00075167" w:rsidP="00075167">
            <w:pPr>
              <w:pStyle w:val="S8Gazettetableheading"/>
            </w:pPr>
            <w:r>
              <w:t>Date of approval</w:t>
            </w:r>
          </w:p>
        </w:tc>
        <w:tc>
          <w:tcPr>
            <w:tcW w:w="3900" w:type="pct"/>
            <w:shd w:val="clear" w:color="auto" w:fill="FFFFFF"/>
          </w:tcPr>
          <w:p w14:paraId="112ED936" w14:textId="7B390A2F" w:rsidR="00472B6A" w:rsidRPr="00BF5312" w:rsidRDefault="00075167" w:rsidP="00075167">
            <w:pPr>
              <w:pStyle w:val="S8Gazettetabletext"/>
            </w:pPr>
            <w:r>
              <w:t>1 December 2025</w:t>
            </w:r>
          </w:p>
        </w:tc>
      </w:tr>
      <w:tr w:rsidR="00472B6A" w:rsidRPr="00BF5312" w14:paraId="18516360" w14:textId="77777777" w:rsidTr="001A4A93">
        <w:trPr>
          <w:cantSplit/>
        </w:trPr>
        <w:tc>
          <w:tcPr>
            <w:tcW w:w="1100" w:type="pct"/>
            <w:shd w:val="clear" w:color="auto" w:fill="D9D9D9"/>
          </w:tcPr>
          <w:p w14:paraId="032505BD" w14:textId="3C8875FD" w:rsidR="00472B6A" w:rsidRPr="00BF5312" w:rsidRDefault="00075167" w:rsidP="00075167">
            <w:pPr>
              <w:pStyle w:val="S8Gazettetableheading"/>
            </w:pPr>
            <w:r>
              <w:t>Approval no.</w:t>
            </w:r>
          </w:p>
        </w:tc>
        <w:tc>
          <w:tcPr>
            <w:tcW w:w="3900" w:type="pct"/>
            <w:shd w:val="clear" w:color="auto" w:fill="FFFFFF"/>
          </w:tcPr>
          <w:p w14:paraId="3E59DBC8" w14:textId="130C0E37" w:rsidR="00472B6A" w:rsidRPr="00BF5312" w:rsidRDefault="00075167" w:rsidP="00075167">
            <w:pPr>
              <w:pStyle w:val="S8Gazettetabletext"/>
            </w:pPr>
            <w:r>
              <w:t>96047</w:t>
            </w:r>
          </w:p>
        </w:tc>
      </w:tr>
      <w:tr w:rsidR="00472B6A" w:rsidRPr="00360A17" w14:paraId="44812C95" w14:textId="77777777" w:rsidTr="001A4A93">
        <w:trPr>
          <w:cantSplit/>
        </w:trPr>
        <w:tc>
          <w:tcPr>
            <w:tcW w:w="1100" w:type="pct"/>
            <w:shd w:val="clear" w:color="auto" w:fill="D9D9D9"/>
          </w:tcPr>
          <w:p w14:paraId="055E0A95" w14:textId="59A34CCE"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03C8AC28" w14:textId="1D8B4CED" w:rsidR="00472B6A" w:rsidRPr="00360A17" w:rsidRDefault="00075167" w:rsidP="00075167">
            <w:pPr>
              <w:pStyle w:val="S8Gazettetabletext"/>
            </w:pPr>
            <w:r>
              <w:t>Approval of the active constituent meloxicam for use in veterinary chemical products</w:t>
            </w:r>
          </w:p>
        </w:tc>
      </w:tr>
    </w:tbl>
    <w:p w14:paraId="2A9836DB" w14:textId="77777777" w:rsidR="00472B6A" w:rsidRPr="00E53D92"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7A9DB051" w14:textId="77777777" w:rsidTr="001A4A93">
        <w:trPr>
          <w:cantSplit/>
        </w:trPr>
        <w:tc>
          <w:tcPr>
            <w:tcW w:w="1100" w:type="pct"/>
            <w:shd w:val="clear" w:color="auto" w:fill="D9D9D9"/>
          </w:tcPr>
          <w:p w14:paraId="2C7D4A86" w14:textId="61935CD7" w:rsidR="00472B6A" w:rsidRPr="00BF5312" w:rsidRDefault="00075167" w:rsidP="00075167">
            <w:pPr>
              <w:pStyle w:val="S8Gazettetableheading"/>
            </w:pPr>
            <w:r>
              <w:t>Application no.</w:t>
            </w:r>
          </w:p>
        </w:tc>
        <w:tc>
          <w:tcPr>
            <w:tcW w:w="3900" w:type="pct"/>
            <w:shd w:val="clear" w:color="auto" w:fill="FFFFFF"/>
          </w:tcPr>
          <w:p w14:paraId="5DA0BDC9" w14:textId="38730A8B" w:rsidR="00472B6A" w:rsidRPr="00BF5312" w:rsidRDefault="00075167" w:rsidP="00075167">
            <w:pPr>
              <w:pStyle w:val="S8Gazettetabletext"/>
            </w:pPr>
            <w:r>
              <w:t>148040</w:t>
            </w:r>
          </w:p>
        </w:tc>
      </w:tr>
      <w:tr w:rsidR="00472B6A" w:rsidRPr="00BF5312" w14:paraId="16949BE8" w14:textId="77777777" w:rsidTr="001A4A93">
        <w:trPr>
          <w:cantSplit/>
        </w:trPr>
        <w:tc>
          <w:tcPr>
            <w:tcW w:w="1100" w:type="pct"/>
            <w:shd w:val="clear" w:color="auto" w:fill="D9D9D9"/>
          </w:tcPr>
          <w:p w14:paraId="0E820DA3" w14:textId="291330A1" w:rsidR="00472B6A" w:rsidRPr="00BF5312" w:rsidRDefault="00075167" w:rsidP="00075167">
            <w:pPr>
              <w:pStyle w:val="S8Gazettetableheading"/>
            </w:pPr>
            <w:r>
              <w:t>Active constituent</w:t>
            </w:r>
          </w:p>
        </w:tc>
        <w:tc>
          <w:tcPr>
            <w:tcW w:w="3900" w:type="pct"/>
            <w:shd w:val="clear" w:color="auto" w:fill="FFFFFF"/>
          </w:tcPr>
          <w:p w14:paraId="2E51E395" w14:textId="674B17CA" w:rsidR="00472B6A" w:rsidRPr="00BF5312" w:rsidRDefault="00BF2CAA" w:rsidP="00075167">
            <w:pPr>
              <w:pStyle w:val="S8Gazettetabletext"/>
            </w:pPr>
            <w:r>
              <w:t>C</w:t>
            </w:r>
            <w:r w:rsidR="00075167">
              <w:t>yantraniliprole</w:t>
            </w:r>
          </w:p>
        </w:tc>
      </w:tr>
      <w:tr w:rsidR="00472B6A" w:rsidRPr="00BF5312" w14:paraId="714C4BE8" w14:textId="77777777" w:rsidTr="001A4A93">
        <w:trPr>
          <w:cantSplit/>
        </w:trPr>
        <w:tc>
          <w:tcPr>
            <w:tcW w:w="1100" w:type="pct"/>
            <w:shd w:val="clear" w:color="auto" w:fill="D9D9D9"/>
          </w:tcPr>
          <w:p w14:paraId="5E2DBF6A" w14:textId="225D263F" w:rsidR="00472B6A" w:rsidRPr="00BF5312" w:rsidRDefault="00075167" w:rsidP="00075167">
            <w:pPr>
              <w:pStyle w:val="S8Gazettetableheading"/>
            </w:pPr>
            <w:r>
              <w:t>Applicant name</w:t>
            </w:r>
          </w:p>
        </w:tc>
        <w:tc>
          <w:tcPr>
            <w:tcW w:w="3900" w:type="pct"/>
            <w:shd w:val="clear" w:color="auto" w:fill="FFFFFF"/>
          </w:tcPr>
          <w:p w14:paraId="1C151ED3" w14:textId="5996FE73" w:rsidR="00472B6A" w:rsidRPr="00BF5312" w:rsidRDefault="00075167" w:rsidP="00075167">
            <w:pPr>
              <w:pStyle w:val="S8Gazettetabletext"/>
            </w:pPr>
            <w:proofErr w:type="spellStart"/>
            <w:r>
              <w:t>Tagros</w:t>
            </w:r>
            <w:proofErr w:type="spellEnd"/>
            <w:r>
              <w:t xml:space="preserve"> Chemicals India Private Limited</w:t>
            </w:r>
          </w:p>
        </w:tc>
      </w:tr>
      <w:tr w:rsidR="00472B6A" w:rsidRPr="00BF5312" w14:paraId="4E6F9184" w14:textId="77777777" w:rsidTr="001A4A93">
        <w:trPr>
          <w:cantSplit/>
        </w:trPr>
        <w:tc>
          <w:tcPr>
            <w:tcW w:w="1100" w:type="pct"/>
            <w:shd w:val="clear" w:color="auto" w:fill="D9D9D9"/>
          </w:tcPr>
          <w:p w14:paraId="1708F985" w14:textId="42BEA5FB" w:rsidR="00472B6A" w:rsidRPr="00BF5312" w:rsidRDefault="00075167" w:rsidP="00075167">
            <w:pPr>
              <w:pStyle w:val="S8Gazettetableheading"/>
            </w:pPr>
            <w:r>
              <w:t>Applicant ACN</w:t>
            </w:r>
          </w:p>
        </w:tc>
        <w:tc>
          <w:tcPr>
            <w:tcW w:w="3900" w:type="pct"/>
            <w:shd w:val="clear" w:color="auto" w:fill="FFFFFF"/>
          </w:tcPr>
          <w:p w14:paraId="4E592F12" w14:textId="3AC1948B" w:rsidR="00472B6A" w:rsidRPr="00BF5312" w:rsidRDefault="00075167" w:rsidP="00075167">
            <w:pPr>
              <w:pStyle w:val="S8Gazettetabletext"/>
            </w:pPr>
            <w:r>
              <w:t>N/A</w:t>
            </w:r>
          </w:p>
        </w:tc>
      </w:tr>
      <w:tr w:rsidR="00472B6A" w:rsidRPr="00BF5312" w14:paraId="19AC2AFC" w14:textId="77777777" w:rsidTr="001A4A93">
        <w:trPr>
          <w:cantSplit/>
        </w:trPr>
        <w:tc>
          <w:tcPr>
            <w:tcW w:w="1100" w:type="pct"/>
            <w:shd w:val="clear" w:color="auto" w:fill="D9D9D9"/>
          </w:tcPr>
          <w:p w14:paraId="292E55D6" w14:textId="6F6DD346" w:rsidR="00472B6A" w:rsidRPr="00BF5312" w:rsidRDefault="00075167" w:rsidP="00075167">
            <w:pPr>
              <w:pStyle w:val="S8Gazettetableheading"/>
            </w:pPr>
            <w:r>
              <w:t>Date of approval</w:t>
            </w:r>
          </w:p>
        </w:tc>
        <w:tc>
          <w:tcPr>
            <w:tcW w:w="3900" w:type="pct"/>
            <w:shd w:val="clear" w:color="auto" w:fill="FFFFFF"/>
          </w:tcPr>
          <w:p w14:paraId="719FC742" w14:textId="6A54D99A" w:rsidR="00472B6A" w:rsidRPr="00BF5312" w:rsidRDefault="00075167" w:rsidP="00075167">
            <w:pPr>
              <w:pStyle w:val="S8Gazettetabletext"/>
            </w:pPr>
            <w:r>
              <w:t>1 December 2025</w:t>
            </w:r>
          </w:p>
        </w:tc>
      </w:tr>
      <w:tr w:rsidR="00472B6A" w:rsidRPr="00BF5312" w14:paraId="1BE4F630" w14:textId="77777777" w:rsidTr="001A4A93">
        <w:trPr>
          <w:cantSplit/>
        </w:trPr>
        <w:tc>
          <w:tcPr>
            <w:tcW w:w="1100" w:type="pct"/>
            <w:shd w:val="clear" w:color="auto" w:fill="D9D9D9"/>
          </w:tcPr>
          <w:p w14:paraId="7CF9D0B2" w14:textId="5766E617" w:rsidR="00472B6A" w:rsidRPr="00BF5312" w:rsidRDefault="00075167" w:rsidP="00075167">
            <w:pPr>
              <w:pStyle w:val="S8Gazettetableheading"/>
            </w:pPr>
            <w:r>
              <w:t>Approval no.</w:t>
            </w:r>
          </w:p>
        </w:tc>
        <w:tc>
          <w:tcPr>
            <w:tcW w:w="3900" w:type="pct"/>
            <w:shd w:val="clear" w:color="auto" w:fill="FFFFFF"/>
          </w:tcPr>
          <w:p w14:paraId="16C843FD" w14:textId="1041BAE9" w:rsidR="00472B6A" w:rsidRPr="00BF5312" w:rsidRDefault="00075167" w:rsidP="00075167">
            <w:pPr>
              <w:pStyle w:val="S8Gazettetabletext"/>
            </w:pPr>
            <w:r>
              <w:t>96057</w:t>
            </w:r>
          </w:p>
        </w:tc>
      </w:tr>
      <w:tr w:rsidR="00472B6A" w:rsidRPr="00360A17" w14:paraId="2153DE67" w14:textId="77777777" w:rsidTr="001A4A93">
        <w:trPr>
          <w:cantSplit/>
        </w:trPr>
        <w:tc>
          <w:tcPr>
            <w:tcW w:w="1100" w:type="pct"/>
            <w:shd w:val="clear" w:color="auto" w:fill="D9D9D9"/>
          </w:tcPr>
          <w:p w14:paraId="39C54889" w14:textId="2081DB9D"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607C72FB" w14:textId="218C5822" w:rsidR="00472B6A" w:rsidRPr="00360A17" w:rsidRDefault="00075167" w:rsidP="00075167">
            <w:pPr>
              <w:pStyle w:val="S8Gazettetabletext"/>
            </w:pPr>
            <w:r>
              <w:t>Approval of the active constituent cyantraniliprole for use in agricultural chemical products</w:t>
            </w:r>
          </w:p>
        </w:tc>
      </w:tr>
    </w:tbl>
    <w:p w14:paraId="2987D961"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611AFCAE" w14:textId="77777777" w:rsidTr="001A4A93">
        <w:trPr>
          <w:cantSplit/>
        </w:trPr>
        <w:tc>
          <w:tcPr>
            <w:tcW w:w="1100" w:type="pct"/>
            <w:shd w:val="clear" w:color="auto" w:fill="D9D9D9"/>
          </w:tcPr>
          <w:p w14:paraId="5BAB2E69" w14:textId="35FED35D" w:rsidR="00472B6A" w:rsidRPr="00BF5312" w:rsidRDefault="00075167" w:rsidP="00075167">
            <w:pPr>
              <w:pStyle w:val="S8Gazettetableheading"/>
            </w:pPr>
            <w:r>
              <w:t>Application no.</w:t>
            </w:r>
          </w:p>
        </w:tc>
        <w:tc>
          <w:tcPr>
            <w:tcW w:w="3900" w:type="pct"/>
            <w:shd w:val="clear" w:color="auto" w:fill="FFFFFF"/>
          </w:tcPr>
          <w:p w14:paraId="5120599F" w14:textId="5EECFA30" w:rsidR="00472B6A" w:rsidRPr="00BF5312" w:rsidRDefault="00075167" w:rsidP="00075167">
            <w:pPr>
              <w:pStyle w:val="S8Gazettetabletext"/>
            </w:pPr>
            <w:r>
              <w:t>149560</w:t>
            </w:r>
          </w:p>
        </w:tc>
      </w:tr>
      <w:tr w:rsidR="00472B6A" w:rsidRPr="00BF5312" w14:paraId="2E1DD897" w14:textId="77777777" w:rsidTr="001A4A93">
        <w:trPr>
          <w:cantSplit/>
        </w:trPr>
        <w:tc>
          <w:tcPr>
            <w:tcW w:w="1100" w:type="pct"/>
            <w:shd w:val="clear" w:color="auto" w:fill="D9D9D9"/>
          </w:tcPr>
          <w:p w14:paraId="635C89D5" w14:textId="6EF9CF13" w:rsidR="00472B6A" w:rsidRPr="00BF5312" w:rsidRDefault="00075167" w:rsidP="00075167">
            <w:pPr>
              <w:pStyle w:val="S8Gazettetableheading"/>
            </w:pPr>
            <w:r>
              <w:t>Active constituent</w:t>
            </w:r>
          </w:p>
        </w:tc>
        <w:tc>
          <w:tcPr>
            <w:tcW w:w="3900" w:type="pct"/>
            <w:shd w:val="clear" w:color="auto" w:fill="FFFFFF"/>
          </w:tcPr>
          <w:p w14:paraId="70209C6C" w14:textId="6428B3FA" w:rsidR="00472B6A" w:rsidRPr="00BF5312" w:rsidRDefault="00BF2CAA" w:rsidP="00075167">
            <w:pPr>
              <w:pStyle w:val="S8Gazettetabletext"/>
            </w:pPr>
            <w:r>
              <w:t>P</w:t>
            </w:r>
            <w:r w:rsidR="00075167">
              <w:t>entobarbital sodium</w:t>
            </w:r>
          </w:p>
        </w:tc>
      </w:tr>
      <w:tr w:rsidR="00472B6A" w:rsidRPr="00BF5312" w14:paraId="1E7486FA" w14:textId="77777777" w:rsidTr="001A4A93">
        <w:trPr>
          <w:cantSplit/>
        </w:trPr>
        <w:tc>
          <w:tcPr>
            <w:tcW w:w="1100" w:type="pct"/>
            <w:shd w:val="clear" w:color="auto" w:fill="D9D9D9"/>
          </w:tcPr>
          <w:p w14:paraId="4A0AEE59" w14:textId="32421911" w:rsidR="00472B6A" w:rsidRPr="00BF5312" w:rsidRDefault="00075167" w:rsidP="00075167">
            <w:pPr>
              <w:pStyle w:val="S8Gazettetableheading"/>
            </w:pPr>
            <w:r>
              <w:t>Applicant name</w:t>
            </w:r>
          </w:p>
        </w:tc>
        <w:tc>
          <w:tcPr>
            <w:tcW w:w="3900" w:type="pct"/>
            <w:shd w:val="clear" w:color="auto" w:fill="FFFFFF"/>
          </w:tcPr>
          <w:p w14:paraId="2066AFD7" w14:textId="20E7E85A" w:rsidR="00472B6A" w:rsidRPr="00BF5312" w:rsidRDefault="00075167" w:rsidP="00075167">
            <w:pPr>
              <w:pStyle w:val="S8Gazettetabletext"/>
            </w:pPr>
            <w:r>
              <w:t>Troy Laboratories Pty Ltd</w:t>
            </w:r>
          </w:p>
        </w:tc>
      </w:tr>
      <w:tr w:rsidR="00472B6A" w:rsidRPr="00BF5312" w14:paraId="338A334C" w14:textId="77777777" w:rsidTr="001A4A93">
        <w:trPr>
          <w:cantSplit/>
        </w:trPr>
        <w:tc>
          <w:tcPr>
            <w:tcW w:w="1100" w:type="pct"/>
            <w:shd w:val="clear" w:color="auto" w:fill="D9D9D9"/>
          </w:tcPr>
          <w:p w14:paraId="776ADD50" w14:textId="7FB44C5F" w:rsidR="00472B6A" w:rsidRPr="00BF5312" w:rsidRDefault="00075167" w:rsidP="00075167">
            <w:pPr>
              <w:pStyle w:val="S8Gazettetableheading"/>
            </w:pPr>
            <w:r>
              <w:t>Applicant ACN</w:t>
            </w:r>
          </w:p>
        </w:tc>
        <w:tc>
          <w:tcPr>
            <w:tcW w:w="3900" w:type="pct"/>
            <w:shd w:val="clear" w:color="auto" w:fill="FFFFFF"/>
          </w:tcPr>
          <w:p w14:paraId="59B9449D" w14:textId="1219C7D2" w:rsidR="00472B6A" w:rsidRPr="00BF5312" w:rsidRDefault="00075167" w:rsidP="00075167">
            <w:pPr>
              <w:pStyle w:val="S8Gazettetabletext"/>
            </w:pPr>
            <w:r>
              <w:t>000 283 769</w:t>
            </w:r>
          </w:p>
        </w:tc>
      </w:tr>
      <w:tr w:rsidR="00472B6A" w:rsidRPr="00BF5312" w14:paraId="27D5D64D" w14:textId="77777777" w:rsidTr="001A4A93">
        <w:trPr>
          <w:cantSplit/>
        </w:trPr>
        <w:tc>
          <w:tcPr>
            <w:tcW w:w="1100" w:type="pct"/>
            <w:shd w:val="clear" w:color="auto" w:fill="D9D9D9"/>
          </w:tcPr>
          <w:p w14:paraId="57DEB28A" w14:textId="3E7B3D7D" w:rsidR="00472B6A" w:rsidRPr="00BF5312" w:rsidRDefault="00075167" w:rsidP="00075167">
            <w:pPr>
              <w:pStyle w:val="S8Gazettetableheading"/>
            </w:pPr>
            <w:r>
              <w:t>Date of approval</w:t>
            </w:r>
          </w:p>
        </w:tc>
        <w:tc>
          <w:tcPr>
            <w:tcW w:w="3900" w:type="pct"/>
            <w:shd w:val="clear" w:color="auto" w:fill="FFFFFF"/>
          </w:tcPr>
          <w:p w14:paraId="1574405C" w14:textId="34345D85" w:rsidR="00472B6A" w:rsidRPr="00BF5312" w:rsidRDefault="00075167" w:rsidP="00075167">
            <w:pPr>
              <w:pStyle w:val="S8Gazettetabletext"/>
            </w:pPr>
            <w:r>
              <w:t>1 December 2025</w:t>
            </w:r>
          </w:p>
        </w:tc>
      </w:tr>
      <w:tr w:rsidR="00472B6A" w:rsidRPr="00BF5312" w14:paraId="708DD0D4" w14:textId="77777777" w:rsidTr="001A4A93">
        <w:trPr>
          <w:cantSplit/>
        </w:trPr>
        <w:tc>
          <w:tcPr>
            <w:tcW w:w="1100" w:type="pct"/>
            <w:shd w:val="clear" w:color="auto" w:fill="D9D9D9"/>
          </w:tcPr>
          <w:p w14:paraId="518B0962" w14:textId="5B1E4C76" w:rsidR="00472B6A" w:rsidRPr="00BF5312" w:rsidRDefault="00075167" w:rsidP="00075167">
            <w:pPr>
              <w:pStyle w:val="S8Gazettetableheading"/>
            </w:pPr>
            <w:r>
              <w:t>Approval no.</w:t>
            </w:r>
          </w:p>
        </w:tc>
        <w:tc>
          <w:tcPr>
            <w:tcW w:w="3900" w:type="pct"/>
            <w:shd w:val="clear" w:color="auto" w:fill="FFFFFF"/>
          </w:tcPr>
          <w:p w14:paraId="5DF3E465" w14:textId="1E265975" w:rsidR="00472B6A" w:rsidRPr="00BF5312" w:rsidRDefault="00075167" w:rsidP="00075167">
            <w:pPr>
              <w:pStyle w:val="S8Gazettetabletext"/>
            </w:pPr>
            <w:r>
              <w:t>96506</w:t>
            </w:r>
          </w:p>
        </w:tc>
      </w:tr>
      <w:tr w:rsidR="00472B6A" w:rsidRPr="00360A17" w14:paraId="212B8ED0" w14:textId="77777777" w:rsidTr="001A4A93">
        <w:trPr>
          <w:cantSplit/>
        </w:trPr>
        <w:tc>
          <w:tcPr>
            <w:tcW w:w="1100" w:type="pct"/>
            <w:shd w:val="clear" w:color="auto" w:fill="D9D9D9"/>
          </w:tcPr>
          <w:p w14:paraId="0B914290" w14:textId="576CE013"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5EB3575E" w14:textId="6C91B8C2" w:rsidR="00472B6A" w:rsidRPr="00360A17" w:rsidRDefault="00075167" w:rsidP="00075167">
            <w:pPr>
              <w:pStyle w:val="S8Gazettetabletext"/>
            </w:pPr>
            <w:r>
              <w:t>Approval of the active constituent pentobarbital sodium for use in veterinary chemical products</w:t>
            </w:r>
          </w:p>
        </w:tc>
      </w:tr>
    </w:tbl>
    <w:p w14:paraId="226B8EF2"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22367E" w14:paraId="2E12C175" w14:textId="77777777" w:rsidTr="001A4A93">
        <w:trPr>
          <w:cantSplit/>
          <w:tblHeader/>
        </w:trPr>
        <w:tc>
          <w:tcPr>
            <w:tcW w:w="1100" w:type="pct"/>
            <w:shd w:val="clear" w:color="auto" w:fill="D9D9D9"/>
          </w:tcPr>
          <w:p w14:paraId="135794E3" w14:textId="5220B52F" w:rsidR="00472B6A" w:rsidRPr="0022367E" w:rsidRDefault="00075167" w:rsidP="00075167">
            <w:pPr>
              <w:pStyle w:val="S8Gazettetableheading"/>
            </w:pPr>
            <w:r>
              <w:lastRenderedPageBreak/>
              <w:t>Application no.</w:t>
            </w:r>
          </w:p>
        </w:tc>
        <w:tc>
          <w:tcPr>
            <w:tcW w:w="3900" w:type="pct"/>
            <w:shd w:val="clear" w:color="auto" w:fill="FFFFFF"/>
          </w:tcPr>
          <w:p w14:paraId="21F77A12" w14:textId="117CB497" w:rsidR="00472B6A" w:rsidRPr="0022367E" w:rsidRDefault="00075167" w:rsidP="00075167">
            <w:pPr>
              <w:pStyle w:val="S8Gazettetabletext"/>
              <w:rPr>
                <w:rFonts w:hAnsi="Arial"/>
              </w:rPr>
            </w:pPr>
            <w:r>
              <w:t>146946</w:t>
            </w:r>
          </w:p>
        </w:tc>
      </w:tr>
      <w:tr w:rsidR="00472B6A" w:rsidRPr="0022367E" w14:paraId="57296D3A" w14:textId="77777777" w:rsidTr="001A4A93">
        <w:trPr>
          <w:cantSplit/>
          <w:tblHeader/>
        </w:trPr>
        <w:tc>
          <w:tcPr>
            <w:tcW w:w="1100" w:type="pct"/>
            <w:shd w:val="clear" w:color="auto" w:fill="D9D9D9"/>
          </w:tcPr>
          <w:p w14:paraId="209472D5" w14:textId="4BB617C0" w:rsidR="00472B6A" w:rsidRPr="0022367E" w:rsidRDefault="00075167" w:rsidP="00075167">
            <w:pPr>
              <w:pStyle w:val="S8Gazettetableheading"/>
            </w:pPr>
            <w:r>
              <w:t>Active constituent</w:t>
            </w:r>
          </w:p>
        </w:tc>
        <w:tc>
          <w:tcPr>
            <w:tcW w:w="3900" w:type="pct"/>
            <w:shd w:val="clear" w:color="auto" w:fill="FFFFFF"/>
          </w:tcPr>
          <w:p w14:paraId="7A061A3C" w14:textId="79852DBD" w:rsidR="00472B6A" w:rsidRPr="0022367E" w:rsidRDefault="00BF2CAA" w:rsidP="00075167">
            <w:pPr>
              <w:pStyle w:val="S8Gazettetabletext"/>
              <w:rPr>
                <w:rFonts w:hAnsi="Arial"/>
              </w:rPr>
            </w:pPr>
            <w:r>
              <w:t>M</w:t>
            </w:r>
            <w:r w:rsidR="00075167">
              <w:t>aropitant</w:t>
            </w:r>
          </w:p>
        </w:tc>
      </w:tr>
      <w:tr w:rsidR="00472B6A" w:rsidRPr="0022367E" w14:paraId="1C01A808" w14:textId="77777777" w:rsidTr="001A4A93">
        <w:trPr>
          <w:cantSplit/>
          <w:tblHeader/>
        </w:trPr>
        <w:tc>
          <w:tcPr>
            <w:tcW w:w="1100" w:type="pct"/>
            <w:shd w:val="clear" w:color="auto" w:fill="D9D9D9"/>
          </w:tcPr>
          <w:p w14:paraId="6B50269B" w14:textId="475E9558" w:rsidR="00472B6A" w:rsidRPr="0022367E" w:rsidRDefault="00075167" w:rsidP="00075167">
            <w:pPr>
              <w:pStyle w:val="S8Gazettetableheading"/>
            </w:pPr>
            <w:r>
              <w:t>Applicant name</w:t>
            </w:r>
          </w:p>
        </w:tc>
        <w:tc>
          <w:tcPr>
            <w:tcW w:w="3900" w:type="pct"/>
            <w:shd w:val="clear" w:color="auto" w:fill="FFFFFF"/>
          </w:tcPr>
          <w:p w14:paraId="7CE5EEA8" w14:textId="56EAF383" w:rsidR="00472B6A" w:rsidRPr="0022367E" w:rsidRDefault="00075167" w:rsidP="00075167">
            <w:pPr>
              <w:pStyle w:val="S8Gazettetabletext"/>
              <w:rPr>
                <w:rFonts w:hAnsi="Arial"/>
              </w:rPr>
            </w:pPr>
            <w:r>
              <w:t>Virbac (Australia) Pty Ltd</w:t>
            </w:r>
          </w:p>
        </w:tc>
      </w:tr>
      <w:tr w:rsidR="00472B6A" w:rsidRPr="0022367E" w14:paraId="458AC2A4" w14:textId="77777777" w:rsidTr="001A4A93">
        <w:trPr>
          <w:cantSplit/>
          <w:tblHeader/>
        </w:trPr>
        <w:tc>
          <w:tcPr>
            <w:tcW w:w="1100" w:type="pct"/>
            <w:shd w:val="clear" w:color="auto" w:fill="D9D9D9"/>
          </w:tcPr>
          <w:p w14:paraId="0697FE45" w14:textId="49B83FDF" w:rsidR="00472B6A" w:rsidRPr="0022367E" w:rsidRDefault="00075167" w:rsidP="00075167">
            <w:pPr>
              <w:pStyle w:val="S8Gazettetableheading"/>
            </w:pPr>
            <w:r>
              <w:t>Applicant ACN</w:t>
            </w:r>
          </w:p>
        </w:tc>
        <w:tc>
          <w:tcPr>
            <w:tcW w:w="3900" w:type="pct"/>
            <w:shd w:val="clear" w:color="auto" w:fill="FFFFFF"/>
          </w:tcPr>
          <w:p w14:paraId="10025BDC" w14:textId="455FC3EA" w:rsidR="00472B6A" w:rsidRPr="0022367E" w:rsidRDefault="00075167" w:rsidP="00075167">
            <w:pPr>
              <w:pStyle w:val="S8Gazettetabletext"/>
              <w:rPr>
                <w:rFonts w:hAnsi="Arial"/>
              </w:rPr>
            </w:pPr>
            <w:r>
              <w:t>003 268 871</w:t>
            </w:r>
          </w:p>
        </w:tc>
      </w:tr>
      <w:tr w:rsidR="00472B6A" w:rsidRPr="0022367E" w14:paraId="685F05F8" w14:textId="77777777" w:rsidTr="001A4A93">
        <w:trPr>
          <w:cantSplit/>
          <w:tblHeader/>
        </w:trPr>
        <w:tc>
          <w:tcPr>
            <w:tcW w:w="1100" w:type="pct"/>
            <w:shd w:val="clear" w:color="auto" w:fill="D9D9D9"/>
          </w:tcPr>
          <w:p w14:paraId="7759DE7F" w14:textId="41306B3A" w:rsidR="00472B6A" w:rsidRPr="0022367E" w:rsidRDefault="00075167" w:rsidP="00075167">
            <w:pPr>
              <w:pStyle w:val="S8Gazettetableheading"/>
            </w:pPr>
            <w:r>
              <w:t>Date of approval</w:t>
            </w:r>
          </w:p>
        </w:tc>
        <w:tc>
          <w:tcPr>
            <w:tcW w:w="3900" w:type="pct"/>
            <w:shd w:val="clear" w:color="auto" w:fill="FFFFFF"/>
          </w:tcPr>
          <w:p w14:paraId="4DB9B4EF" w14:textId="682899D0" w:rsidR="00472B6A" w:rsidRPr="0022367E" w:rsidRDefault="00075167" w:rsidP="00075167">
            <w:pPr>
              <w:pStyle w:val="S8Gazettetabletext"/>
              <w:rPr>
                <w:rFonts w:hAnsi="Arial"/>
              </w:rPr>
            </w:pPr>
            <w:r>
              <w:t>2 December 2025</w:t>
            </w:r>
          </w:p>
        </w:tc>
      </w:tr>
      <w:tr w:rsidR="00472B6A" w:rsidRPr="0022367E" w14:paraId="3306FD67" w14:textId="77777777" w:rsidTr="001A4A93">
        <w:trPr>
          <w:cantSplit/>
          <w:tblHeader/>
        </w:trPr>
        <w:tc>
          <w:tcPr>
            <w:tcW w:w="1100" w:type="pct"/>
            <w:shd w:val="clear" w:color="auto" w:fill="D9D9D9"/>
          </w:tcPr>
          <w:p w14:paraId="2074F06F" w14:textId="6F0880E9" w:rsidR="00472B6A" w:rsidRPr="0022367E" w:rsidRDefault="00075167" w:rsidP="00075167">
            <w:pPr>
              <w:pStyle w:val="S8Gazettetableheading"/>
            </w:pPr>
            <w:r>
              <w:t>Approval no.</w:t>
            </w:r>
          </w:p>
        </w:tc>
        <w:tc>
          <w:tcPr>
            <w:tcW w:w="3900" w:type="pct"/>
            <w:shd w:val="clear" w:color="auto" w:fill="FFFFFF"/>
          </w:tcPr>
          <w:p w14:paraId="41389709" w14:textId="088A061B" w:rsidR="00472B6A" w:rsidRPr="0022367E" w:rsidRDefault="00075167" w:rsidP="00075167">
            <w:pPr>
              <w:pStyle w:val="S8Gazettetabletext"/>
              <w:rPr>
                <w:rFonts w:hAnsi="Arial"/>
              </w:rPr>
            </w:pPr>
            <w:r>
              <w:t>95697</w:t>
            </w:r>
          </w:p>
        </w:tc>
      </w:tr>
      <w:tr w:rsidR="00472B6A" w:rsidRPr="0022367E" w14:paraId="69F084EE" w14:textId="77777777" w:rsidTr="001A4A93">
        <w:trPr>
          <w:cantSplit/>
          <w:tblHeader/>
        </w:trPr>
        <w:tc>
          <w:tcPr>
            <w:tcW w:w="1100" w:type="pct"/>
            <w:shd w:val="clear" w:color="auto" w:fill="D9D9D9"/>
          </w:tcPr>
          <w:p w14:paraId="2E3416AF" w14:textId="0139FC5C" w:rsidR="00472B6A" w:rsidRPr="0022367E"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1F570F3E" w14:textId="2B871434" w:rsidR="00472B6A" w:rsidRPr="0022367E" w:rsidRDefault="00075167" w:rsidP="00075167">
            <w:pPr>
              <w:pStyle w:val="S8Gazettetabletext"/>
              <w:rPr>
                <w:rFonts w:hAnsi="Arial"/>
              </w:rPr>
            </w:pPr>
            <w:r>
              <w:t>Approval of the active constituent maropitant for use in veterinary chemical products</w:t>
            </w:r>
          </w:p>
        </w:tc>
      </w:tr>
    </w:tbl>
    <w:p w14:paraId="4B287C45"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5E375800" w14:textId="77777777" w:rsidTr="001A4A93">
        <w:trPr>
          <w:cantSplit/>
        </w:trPr>
        <w:tc>
          <w:tcPr>
            <w:tcW w:w="1100" w:type="pct"/>
            <w:shd w:val="clear" w:color="auto" w:fill="D9D9D9"/>
          </w:tcPr>
          <w:p w14:paraId="6B344CCA" w14:textId="53701F94" w:rsidR="00472B6A" w:rsidRPr="00BF5312" w:rsidRDefault="00075167" w:rsidP="00075167">
            <w:pPr>
              <w:pStyle w:val="S8Gazettetableheading"/>
            </w:pPr>
            <w:r>
              <w:t>Application no.</w:t>
            </w:r>
          </w:p>
        </w:tc>
        <w:tc>
          <w:tcPr>
            <w:tcW w:w="3900" w:type="pct"/>
            <w:shd w:val="clear" w:color="auto" w:fill="FFFFFF"/>
          </w:tcPr>
          <w:p w14:paraId="5072C689" w14:textId="136E7E05" w:rsidR="00472B6A" w:rsidRPr="00BF5312" w:rsidRDefault="00075167" w:rsidP="00075167">
            <w:pPr>
              <w:pStyle w:val="S8Gazettetabletext"/>
            </w:pPr>
            <w:r>
              <w:t>149653</w:t>
            </w:r>
          </w:p>
        </w:tc>
      </w:tr>
      <w:tr w:rsidR="00472B6A" w:rsidRPr="00BF5312" w14:paraId="426AC05B" w14:textId="77777777" w:rsidTr="001A4A93">
        <w:trPr>
          <w:cantSplit/>
        </w:trPr>
        <w:tc>
          <w:tcPr>
            <w:tcW w:w="1100" w:type="pct"/>
            <w:shd w:val="clear" w:color="auto" w:fill="D9D9D9"/>
          </w:tcPr>
          <w:p w14:paraId="0C37D6DD" w14:textId="4699EF7C" w:rsidR="00472B6A" w:rsidRPr="00BF5312" w:rsidRDefault="00075167" w:rsidP="00075167">
            <w:pPr>
              <w:pStyle w:val="S8Gazettetableheading"/>
            </w:pPr>
            <w:r>
              <w:t>Active constituent</w:t>
            </w:r>
          </w:p>
        </w:tc>
        <w:tc>
          <w:tcPr>
            <w:tcW w:w="3900" w:type="pct"/>
            <w:shd w:val="clear" w:color="auto" w:fill="FFFFFF"/>
          </w:tcPr>
          <w:p w14:paraId="553A8E1D" w14:textId="2097468A" w:rsidR="00472B6A" w:rsidRPr="00BF5312" w:rsidRDefault="00BF2CAA" w:rsidP="00075167">
            <w:pPr>
              <w:pStyle w:val="S8Gazettetabletext"/>
            </w:pPr>
            <w:r>
              <w:t>D</w:t>
            </w:r>
            <w:r w:rsidR="00075167">
              <w:t>eltamethrin</w:t>
            </w:r>
          </w:p>
        </w:tc>
      </w:tr>
      <w:tr w:rsidR="00472B6A" w:rsidRPr="00BF5312" w14:paraId="55089FC7" w14:textId="77777777" w:rsidTr="001A4A93">
        <w:trPr>
          <w:cantSplit/>
        </w:trPr>
        <w:tc>
          <w:tcPr>
            <w:tcW w:w="1100" w:type="pct"/>
            <w:shd w:val="clear" w:color="auto" w:fill="D9D9D9"/>
          </w:tcPr>
          <w:p w14:paraId="14624A63" w14:textId="02BC5EA9" w:rsidR="00472B6A" w:rsidRPr="00BF5312" w:rsidRDefault="00075167" w:rsidP="00075167">
            <w:pPr>
              <w:pStyle w:val="S8Gazettetableheading"/>
            </w:pPr>
            <w:r>
              <w:t>Applicant name</w:t>
            </w:r>
          </w:p>
        </w:tc>
        <w:tc>
          <w:tcPr>
            <w:tcW w:w="3900" w:type="pct"/>
            <w:shd w:val="clear" w:color="auto" w:fill="FFFFFF"/>
          </w:tcPr>
          <w:p w14:paraId="19CC7DF3" w14:textId="7598BF68" w:rsidR="00472B6A" w:rsidRPr="00BF5312" w:rsidRDefault="00075167" w:rsidP="00075167">
            <w:pPr>
              <w:pStyle w:val="S8Gazettetabletext"/>
            </w:pPr>
            <w:proofErr w:type="spellStart"/>
            <w:r>
              <w:t>Intervet</w:t>
            </w:r>
            <w:proofErr w:type="spellEnd"/>
            <w:r>
              <w:t xml:space="preserve"> Australia Pty Limited</w:t>
            </w:r>
          </w:p>
        </w:tc>
      </w:tr>
      <w:tr w:rsidR="00472B6A" w:rsidRPr="00BF5312" w14:paraId="13424919" w14:textId="77777777" w:rsidTr="001A4A93">
        <w:trPr>
          <w:cantSplit/>
        </w:trPr>
        <w:tc>
          <w:tcPr>
            <w:tcW w:w="1100" w:type="pct"/>
            <w:shd w:val="clear" w:color="auto" w:fill="D9D9D9"/>
          </w:tcPr>
          <w:p w14:paraId="46E68097" w14:textId="4EA381B5" w:rsidR="00472B6A" w:rsidRPr="00BF5312" w:rsidRDefault="00075167" w:rsidP="00075167">
            <w:pPr>
              <w:pStyle w:val="S8Gazettetableheading"/>
            </w:pPr>
            <w:r>
              <w:t>Applicant ACN</w:t>
            </w:r>
          </w:p>
        </w:tc>
        <w:tc>
          <w:tcPr>
            <w:tcW w:w="3900" w:type="pct"/>
            <w:shd w:val="clear" w:color="auto" w:fill="FFFFFF"/>
          </w:tcPr>
          <w:p w14:paraId="13DFFEE5" w14:textId="1DB4BA71" w:rsidR="00472B6A" w:rsidRPr="00BF5312" w:rsidRDefault="00075167" w:rsidP="00075167">
            <w:pPr>
              <w:pStyle w:val="S8Gazettetabletext"/>
            </w:pPr>
            <w:r>
              <w:t>008 467 034</w:t>
            </w:r>
          </w:p>
        </w:tc>
      </w:tr>
      <w:tr w:rsidR="00472B6A" w:rsidRPr="00BF5312" w14:paraId="4A7CB4AE" w14:textId="77777777" w:rsidTr="001A4A93">
        <w:trPr>
          <w:cantSplit/>
        </w:trPr>
        <w:tc>
          <w:tcPr>
            <w:tcW w:w="1100" w:type="pct"/>
            <w:shd w:val="clear" w:color="auto" w:fill="D9D9D9"/>
          </w:tcPr>
          <w:p w14:paraId="70FAF682" w14:textId="6339D8EB" w:rsidR="00472B6A" w:rsidRPr="00BF5312" w:rsidRDefault="00075167" w:rsidP="00075167">
            <w:pPr>
              <w:pStyle w:val="S8Gazettetableheading"/>
            </w:pPr>
            <w:r>
              <w:t>Date of approval</w:t>
            </w:r>
          </w:p>
        </w:tc>
        <w:tc>
          <w:tcPr>
            <w:tcW w:w="3900" w:type="pct"/>
            <w:shd w:val="clear" w:color="auto" w:fill="FFFFFF"/>
          </w:tcPr>
          <w:p w14:paraId="66CFBC6E" w14:textId="643B5F8B" w:rsidR="00472B6A" w:rsidRPr="00BF5312" w:rsidRDefault="00075167" w:rsidP="00075167">
            <w:pPr>
              <w:pStyle w:val="S8Gazettetabletext"/>
            </w:pPr>
            <w:r>
              <w:t>2 December 2025</w:t>
            </w:r>
          </w:p>
        </w:tc>
      </w:tr>
      <w:tr w:rsidR="00472B6A" w:rsidRPr="00BF5312" w14:paraId="601A7FB3" w14:textId="77777777" w:rsidTr="001A4A93">
        <w:trPr>
          <w:cantSplit/>
        </w:trPr>
        <w:tc>
          <w:tcPr>
            <w:tcW w:w="1100" w:type="pct"/>
            <w:shd w:val="clear" w:color="auto" w:fill="D9D9D9"/>
          </w:tcPr>
          <w:p w14:paraId="2D2C668E" w14:textId="632ED0C5" w:rsidR="00472B6A" w:rsidRPr="00BF5312" w:rsidRDefault="00075167" w:rsidP="00075167">
            <w:pPr>
              <w:pStyle w:val="S8Gazettetableheading"/>
            </w:pPr>
            <w:r>
              <w:t>Approval no.</w:t>
            </w:r>
          </w:p>
        </w:tc>
        <w:tc>
          <w:tcPr>
            <w:tcW w:w="3900" w:type="pct"/>
            <w:shd w:val="clear" w:color="auto" w:fill="FFFFFF"/>
          </w:tcPr>
          <w:p w14:paraId="1B672C48" w14:textId="63E36F54" w:rsidR="00472B6A" w:rsidRPr="00BF5312" w:rsidRDefault="00075167" w:rsidP="00075167">
            <w:pPr>
              <w:pStyle w:val="S8Gazettetabletext"/>
            </w:pPr>
            <w:r>
              <w:t>96528</w:t>
            </w:r>
          </w:p>
        </w:tc>
      </w:tr>
      <w:tr w:rsidR="00472B6A" w:rsidRPr="00360A17" w14:paraId="49638C56" w14:textId="77777777" w:rsidTr="001A4A93">
        <w:trPr>
          <w:cantSplit/>
        </w:trPr>
        <w:tc>
          <w:tcPr>
            <w:tcW w:w="1100" w:type="pct"/>
            <w:shd w:val="clear" w:color="auto" w:fill="D9D9D9"/>
          </w:tcPr>
          <w:p w14:paraId="73A1E30C" w14:textId="65CD1A11"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24902837" w14:textId="7D43723D" w:rsidR="00472B6A" w:rsidRPr="00360A17" w:rsidRDefault="00075167" w:rsidP="00075167">
            <w:pPr>
              <w:pStyle w:val="S8Gazettetabletext"/>
            </w:pPr>
            <w:r>
              <w:t>Approval of the active constituent deltamethrin for use in veterinary chemical products</w:t>
            </w:r>
          </w:p>
        </w:tc>
      </w:tr>
    </w:tbl>
    <w:p w14:paraId="0B0BAE97"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77DC8B34" w14:textId="77777777" w:rsidTr="001A4A93">
        <w:trPr>
          <w:cantSplit/>
        </w:trPr>
        <w:tc>
          <w:tcPr>
            <w:tcW w:w="1100" w:type="pct"/>
            <w:shd w:val="clear" w:color="auto" w:fill="D9D9D9"/>
          </w:tcPr>
          <w:p w14:paraId="5A35872F" w14:textId="6B100066" w:rsidR="00472B6A" w:rsidRPr="00BF5312" w:rsidRDefault="00075167" w:rsidP="00075167">
            <w:pPr>
              <w:pStyle w:val="S8Gazettetableheading"/>
            </w:pPr>
            <w:r>
              <w:t>Application no.</w:t>
            </w:r>
          </w:p>
        </w:tc>
        <w:tc>
          <w:tcPr>
            <w:tcW w:w="3900" w:type="pct"/>
            <w:shd w:val="clear" w:color="auto" w:fill="FFFFFF"/>
          </w:tcPr>
          <w:p w14:paraId="528FF5FB" w14:textId="01AD1563" w:rsidR="00472B6A" w:rsidRPr="00BF5312" w:rsidRDefault="00075167" w:rsidP="00075167">
            <w:pPr>
              <w:pStyle w:val="S8Gazettetabletext"/>
            </w:pPr>
            <w:r>
              <w:t>148131</w:t>
            </w:r>
          </w:p>
        </w:tc>
      </w:tr>
      <w:tr w:rsidR="00472B6A" w:rsidRPr="00BF5312" w14:paraId="6C88375D" w14:textId="77777777" w:rsidTr="001A4A93">
        <w:trPr>
          <w:cantSplit/>
        </w:trPr>
        <w:tc>
          <w:tcPr>
            <w:tcW w:w="1100" w:type="pct"/>
            <w:shd w:val="clear" w:color="auto" w:fill="D9D9D9"/>
          </w:tcPr>
          <w:p w14:paraId="62D52EBE" w14:textId="4EEF21D2" w:rsidR="00472B6A" w:rsidRPr="00BF5312" w:rsidRDefault="00075167" w:rsidP="00075167">
            <w:pPr>
              <w:pStyle w:val="S8Gazettetableheading"/>
            </w:pPr>
            <w:r>
              <w:t>Active constituent</w:t>
            </w:r>
          </w:p>
        </w:tc>
        <w:tc>
          <w:tcPr>
            <w:tcW w:w="3900" w:type="pct"/>
            <w:shd w:val="clear" w:color="auto" w:fill="FFFFFF"/>
          </w:tcPr>
          <w:p w14:paraId="276F1BBF" w14:textId="0A1E2010" w:rsidR="00472B6A" w:rsidRPr="00BF5312" w:rsidRDefault="00BF2CAA" w:rsidP="00075167">
            <w:pPr>
              <w:pStyle w:val="S8Gazettetabletext"/>
            </w:pPr>
            <w:r>
              <w:t>B</w:t>
            </w:r>
            <w:r w:rsidR="00075167">
              <w:t>romoxynil octanoate</w:t>
            </w:r>
          </w:p>
        </w:tc>
      </w:tr>
      <w:tr w:rsidR="00472B6A" w:rsidRPr="00BF5312" w14:paraId="470256FB" w14:textId="77777777" w:rsidTr="001A4A93">
        <w:trPr>
          <w:cantSplit/>
        </w:trPr>
        <w:tc>
          <w:tcPr>
            <w:tcW w:w="1100" w:type="pct"/>
            <w:shd w:val="clear" w:color="auto" w:fill="D9D9D9"/>
          </w:tcPr>
          <w:p w14:paraId="40C0E7D7" w14:textId="6DDE3E36" w:rsidR="00472B6A" w:rsidRPr="00BF5312" w:rsidRDefault="00075167" w:rsidP="00075167">
            <w:pPr>
              <w:pStyle w:val="S8Gazettetableheading"/>
            </w:pPr>
            <w:r>
              <w:t>Applicant name</w:t>
            </w:r>
          </w:p>
        </w:tc>
        <w:tc>
          <w:tcPr>
            <w:tcW w:w="3900" w:type="pct"/>
            <w:shd w:val="clear" w:color="auto" w:fill="FFFFFF"/>
          </w:tcPr>
          <w:p w14:paraId="438B0317" w14:textId="28BE7E7E" w:rsidR="00472B6A" w:rsidRPr="00BF5312" w:rsidRDefault="00075167" w:rsidP="00075167">
            <w:pPr>
              <w:pStyle w:val="S8Gazettetabletext"/>
            </w:pPr>
            <w:proofErr w:type="spellStart"/>
            <w:r>
              <w:t>Gharda</w:t>
            </w:r>
            <w:proofErr w:type="spellEnd"/>
            <w:r>
              <w:t xml:space="preserve"> Australia Pty. Ltd.</w:t>
            </w:r>
          </w:p>
        </w:tc>
      </w:tr>
      <w:tr w:rsidR="00472B6A" w:rsidRPr="00BF5312" w14:paraId="17572A87" w14:textId="77777777" w:rsidTr="001A4A93">
        <w:trPr>
          <w:cantSplit/>
        </w:trPr>
        <w:tc>
          <w:tcPr>
            <w:tcW w:w="1100" w:type="pct"/>
            <w:shd w:val="clear" w:color="auto" w:fill="D9D9D9"/>
          </w:tcPr>
          <w:p w14:paraId="3FCFBBEB" w14:textId="49C89D77" w:rsidR="00472B6A" w:rsidRPr="00BF5312" w:rsidRDefault="00075167" w:rsidP="00075167">
            <w:pPr>
              <w:pStyle w:val="S8Gazettetableheading"/>
            </w:pPr>
            <w:r>
              <w:t>Applicant ACN</w:t>
            </w:r>
          </w:p>
        </w:tc>
        <w:tc>
          <w:tcPr>
            <w:tcW w:w="3900" w:type="pct"/>
            <w:shd w:val="clear" w:color="auto" w:fill="FFFFFF"/>
          </w:tcPr>
          <w:p w14:paraId="1F68ECF5" w14:textId="320B4BA9" w:rsidR="00472B6A" w:rsidRPr="00BF5312" w:rsidRDefault="00075167" w:rsidP="00075167">
            <w:pPr>
              <w:pStyle w:val="S8Gazettetabletext"/>
            </w:pPr>
            <w:r>
              <w:t>087 753 151</w:t>
            </w:r>
          </w:p>
        </w:tc>
      </w:tr>
      <w:tr w:rsidR="00472B6A" w:rsidRPr="00BF5312" w14:paraId="0E6AFEF5" w14:textId="77777777" w:rsidTr="001A4A93">
        <w:trPr>
          <w:cantSplit/>
        </w:trPr>
        <w:tc>
          <w:tcPr>
            <w:tcW w:w="1100" w:type="pct"/>
            <w:shd w:val="clear" w:color="auto" w:fill="D9D9D9"/>
          </w:tcPr>
          <w:p w14:paraId="06074760" w14:textId="347DFDE8" w:rsidR="00472B6A" w:rsidRPr="00BF5312" w:rsidRDefault="00075167" w:rsidP="00075167">
            <w:pPr>
              <w:pStyle w:val="S8Gazettetableheading"/>
            </w:pPr>
            <w:r>
              <w:t>Date of approval</w:t>
            </w:r>
          </w:p>
        </w:tc>
        <w:tc>
          <w:tcPr>
            <w:tcW w:w="3900" w:type="pct"/>
            <w:shd w:val="clear" w:color="auto" w:fill="FFFFFF"/>
          </w:tcPr>
          <w:p w14:paraId="6049E88B" w14:textId="09DA09B2" w:rsidR="00472B6A" w:rsidRPr="00BF5312" w:rsidRDefault="00075167" w:rsidP="00075167">
            <w:pPr>
              <w:pStyle w:val="S8Gazettetabletext"/>
            </w:pPr>
            <w:r>
              <w:t>3 December 2025</w:t>
            </w:r>
          </w:p>
        </w:tc>
      </w:tr>
      <w:tr w:rsidR="00472B6A" w:rsidRPr="00BF5312" w14:paraId="3AE14299" w14:textId="77777777" w:rsidTr="001A4A93">
        <w:trPr>
          <w:cantSplit/>
        </w:trPr>
        <w:tc>
          <w:tcPr>
            <w:tcW w:w="1100" w:type="pct"/>
            <w:shd w:val="clear" w:color="auto" w:fill="D9D9D9"/>
          </w:tcPr>
          <w:p w14:paraId="39C3A40B" w14:textId="3EF44B0A" w:rsidR="00472B6A" w:rsidRPr="00BF5312" w:rsidRDefault="00075167" w:rsidP="00075167">
            <w:pPr>
              <w:pStyle w:val="S8Gazettetableheading"/>
            </w:pPr>
            <w:r>
              <w:t>Approval no.</w:t>
            </w:r>
          </w:p>
        </w:tc>
        <w:tc>
          <w:tcPr>
            <w:tcW w:w="3900" w:type="pct"/>
            <w:shd w:val="clear" w:color="auto" w:fill="FFFFFF"/>
          </w:tcPr>
          <w:p w14:paraId="217905D3" w14:textId="4F882251" w:rsidR="00472B6A" w:rsidRPr="00BF5312" w:rsidRDefault="00075167" w:rsidP="00075167">
            <w:pPr>
              <w:pStyle w:val="S8Gazettetabletext"/>
            </w:pPr>
            <w:r>
              <w:t>96084</w:t>
            </w:r>
          </w:p>
        </w:tc>
      </w:tr>
      <w:tr w:rsidR="00472B6A" w:rsidRPr="00360A17" w14:paraId="496B487B" w14:textId="77777777" w:rsidTr="001A4A93">
        <w:trPr>
          <w:cantSplit/>
        </w:trPr>
        <w:tc>
          <w:tcPr>
            <w:tcW w:w="1100" w:type="pct"/>
            <w:shd w:val="clear" w:color="auto" w:fill="D9D9D9"/>
          </w:tcPr>
          <w:p w14:paraId="6EC4C457" w14:textId="7B2B4C8F"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0DAD38DE" w14:textId="7325CA5C" w:rsidR="00472B6A" w:rsidRPr="00360A17" w:rsidRDefault="00075167" w:rsidP="00075167">
            <w:pPr>
              <w:pStyle w:val="S8Gazettetabletext"/>
            </w:pPr>
            <w:r>
              <w:t>Approval of the active constituent bromoxynil octanoate for use in agricultural chemical products</w:t>
            </w:r>
          </w:p>
        </w:tc>
      </w:tr>
    </w:tbl>
    <w:p w14:paraId="33C87A7D"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2E17C930" w14:textId="77777777" w:rsidTr="001A4A93">
        <w:trPr>
          <w:cantSplit/>
        </w:trPr>
        <w:tc>
          <w:tcPr>
            <w:tcW w:w="1100" w:type="pct"/>
            <w:shd w:val="clear" w:color="auto" w:fill="D9D9D9"/>
          </w:tcPr>
          <w:p w14:paraId="2D0FE527" w14:textId="71D412D5" w:rsidR="00472B6A" w:rsidRPr="00BF5312" w:rsidRDefault="00075167" w:rsidP="00075167">
            <w:pPr>
              <w:pStyle w:val="S8Gazettetableheading"/>
            </w:pPr>
            <w:r>
              <w:t>Application no.</w:t>
            </w:r>
          </w:p>
        </w:tc>
        <w:tc>
          <w:tcPr>
            <w:tcW w:w="3900" w:type="pct"/>
            <w:shd w:val="clear" w:color="auto" w:fill="FFFFFF"/>
          </w:tcPr>
          <w:p w14:paraId="55D6D78B" w14:textId="0395CD4B" w:rsidR="00472B6A" w:rsidRPr="00BF5312" w:rsidRDefault="00075167" w:rsidP="00075167">
            <w:pPr>
              <w:pStyle w:val="S8Gazettetabletext"/>
            </w:pPr>
            <w:r>
              <w:t>148318</w:t>
            </w:r>
          </w:p>
        </w:tc>
      </w:tr>
      <w:tr w:rsidR="00472B6A" w:rsidRPr="00BF5312" w14:paraId="4538B9E0" w14:textId="77777777" w:rsidTr="001A4A93">
        <w:trPr>
          <w:cantSplit/>
        </w:trPr>
        <w:tc>
          <w:tcPr>
            <w:tcW w:w="1100" w:type="pct"/>
            <w:shd w:val="clear" w:color="auto" w:fill="D9D9D9"/>
          </w:tcPr>
          <w:p w14:paraId="618DFA2C" w14:textId="5A3E493A" w:rsidR="00472B6A" w:rsidRPr="00BF5312" w:rsidRDefault="00075167" w:rsidP="00075167">
            <w:pPr>
              <w:pStyle w:val="S8Gazettetableheading"/>
            </w:pPr>
            <w:r>
              <w:t>Active constituent</w:t>
            </w:r>
          </w:p>
        </w:tc>
        <w:tc>
          <w:tcPr>
            <w:tcW w:w="3900" w:type="pct"/>
            <w:shd w:val="clear" w:color="auto" w:fill="FFFFFF"/>
          </w:tcPr>
          <w:p w14:paraId="1EC34B9E" w14:textId="6EE3C46D" w:rsidR="00472B6A" w:rsidRPr="00BF5312" w:rsidRDefault="00BF2CAA" w:rsidP="00075167">
            <w:pPr>
              <w:pStyle w:val="S8Gazettetabletext"/>
            </w:pPr>
            <w:proofErr w:type="spellStart"/>
            <w:r>
              <w:t>I</w:t>
            </w:r>
            <w:r w:rsidR="00075167">
              <w:t>mazamox</w:t>
            </w:r>
            <w:proofErr w:type="spellEnd"/>
          </w:p>
        </w:tc>
      </w:tr>
      <w:tr w:rsidR="00472B6A" w:rsidRPr="00BF5312" w14:paraId="2B401156" w14:textId="77777777" w:rsidTr="001A4A93">
        <w:trPr>
          <w:cantSplit/>
        </w:trPr>
        <w:tc>
          <w:tcPr>
            <w:tcW w:w="1100" w:type="pct"/>
            <w:shd w:val="clear" w:color="auto" w:fill="D9D9D9"/>
          </w:tcPr>
          <w:p w14:paraId="2C3F992C" w14:textId="40F177B0" w:rsidR="00472B6A" w:rsidRPr="00BF5312" w:rsidRDefault="00075167" w:rsidP="00075167">
            <w:pPr>
              <w:pStyle w:val="S8Gazettetableheading"/>
            </w:pPr>
            <w:r>
              <w:t>Applicant name</w:t>
            </w:r>
          </w:p>
        </w:tc>
        <w:tc>
          <w:tcPr>
            <w:tcW w:w="3900" w:type="pct"/>
            <w:shd w:val="clear" w:color="auto" w:fill="FFFFFF"/>
          </w:tcPr>
          <w:p w14:paraId="1EE3FBD0" w14:textId="5523F58B" w:rsidR="00472B6A" w:rsidRPr="00BF5312" w:rsidRDefault="00075167" w:rsidP="00075167">
            <w:pPr>
              <w:pStyle w:val="S8Gazettetabletext"/>
            </w:pPr>
            <w:proofErr w:type="spellStart"/>
            <w:r>
              <w:t>Kingtai</w:t>
            </w:r>
            <w:proofErr w:type="spellEnd"/>
            <w:r>
              <w:t xml:space="preserve"> Chemicals Co., Limited</w:t>
            </w:r>
          </w:p>
        </w:tc>
      </w:tr>
      <w:tr w:rsidR="00472B6A" w:rsidRPr="00BF5312" w14:paraId="54C11AB7" w14:textId="77777777" w:rsidTr="001A4A93">
        <w:trPr>
          <w:cantSplit/>
        </w:trPr>
        <w:tc>
          <w:tcPr>
            <w:tcW w:w="1100" w:type="pct"/>
            <w:shd w:val="clear" w:color="auto" w:fill="D9D9D9"/>
          </w:tcPr>
          <w:p w14:paraId="53E5E19D" w14:textId="27D01633" w:rsidR="00472B6A" w:rsidRPr="00BF5312" w:rsidRDefault="00075167" w:rsidP="00075167">
            <w:pPr>
              <w:pStyle w:val="S8Gazettetableheading"/>
            </w:pPr>
            <w:r>
              <w:t>Applicant ACN</w:t>
            </w:r>
          </w:p>
        </w:tc>
        <w:tc>
          <w:tcPr>
            <w:tcW w:w="3900" w:type="pct"/>
            <w:shd w:val="clear" w:color="auto" w:fill="FFFFFF"/>
          </w:tcPr>
          <w:p w14:paraId="350D27EA" w14:textId="44AFC40F" w:rsidR="00472B6A" w:rsidRPr="00BF5312" w:rsidRDefault="00075167" w:rsidP="00075167">
            <w:pPr>
              <w:pStyle w:val="S8Gazettetabletext"/>
            </w:pPr>
            <w:r>
              <w:t>N/A</w:t>
            </w:r>
          </w:p>
        </w:tc>
      </w:tr>
      <w:tr w:rsidR="00472B6A" w:rsidRPr="00BF5312" w14:paraId="5B3F8E04" w14:textId="77777777" w:rsidTr="001A4A93">
        <w:trPr>
          <w:cantSplit/>
        </w:trPr>
        <w:tc>
          <w:tcPr>
            <w:tcW w:w="1100" w:type="pct"/>
            <w:shd w:val="clear" w:color="auto" w:fill="D9D9D9"/>
          </w:tcPr>
          <w:p w14:paraId="0F2ACF1A" w14:textId="1B551DAD" w:rsidR="00472B6A" w:rsidRPr="00BF5312" w:rsidRDefault="00075167" w:rsidP="00075167">
            <w:pPr>
              <w:pStyle w:val="S8Gazettetableheading"/>
            </w:pPr>
            <w:r>
              <w:t>Date of approval</w:t>
            </w:r>
          </w:p>
        </w:tc>
        <w:tc>
          <w:tcPr>
            <w:tcW w:w="3900" w:type="pct"/>
            <w:shd w:val="clear" w:color="auto" w:fill="FFFFFF"/>
          </w:tcPr>
          <w:p w14:paraId="7857CC25" w14:textId="2784F421" w:rsidR="00472B6A" w:rsidRPr="00BF5312" w:rsidRDefault="00075167" w:rsidP="00075167">
            <w:pPr>
              <w:pStyle w:val="S8Gazettetabletext"/>
            </w:pPr>
            <w:r>
              <w:t>3 December 2025</w:t>
            </w:r>
          </w:p>
        </w:tc>
      </w:tr>
      <w:tr w:rsidR="00472B6A" w:rsidRPr="00BF5312" w14:paraId="48B6AE5E" w14:textId="77777777" w:rsidTr="001A4A93">
        <w:trPr>
          <w:cantSplit/>
        </w:trPr>
        <w:tc>
          <w:tcPr>
            <w:tcW w:w="1100" w:type="pct"/>
            <w:shd w:val="clear" w:color="auto" w:fill="D9D9D9"/>
          </w:tcPr>
          <w:p w14:paraId="303822EB" w14:textId="4F9AB1B4" w:rsidR="00472B6A" w:rsidRPr="00BF5312" w:rsidRDefault="00075167" w:rsidP="00075167">
            <w:pPr>
              <w:pStyle w:val="S8Gazettetableheading"/>
            </w:pPr>
            <w:r>
              <w:t>Approval no.</w:t>
            </w:r>
          </w:p>
        </w:tc>
        <w:tc>
          <w:tcPr>
            <w:tcW w:w="3900" w:type="pct"/>
            <w:shd w:val="clear" w:color="auto" w:fill="FFFFFF"/>
          </w:tcPr>
          <w:p w14:paraId="74A067B0" w14:textId="29BB9E2C" w:rsidR="00472B6A" w:rsidRPr="00BF5312" w:rsidRDefault="00075167" w:rsidP="00075167">
            <w:pPr>
              <w:pStyle w:val="S8Gazettetabletext"/>
            </w:pPr>
            <w:r>
              <w:t>96140</w:t>
            </w:r>
          </w:p>
        </w:tc>
      </w:tr>
      <w:tr w:rsidR="00472B6A" w:rsidRPr="00360A17" w14:paraId="2AED6F55" w14:textId="77777777" w:rsidTr="001A4A93">
        <w:trPr>
          <w:cantSplit/>
        </w:trPr>
        <w:tc>
          <w:tcPr>
            <w:tcW w:w="1100" w:type="pct"/>
            <w:shd w:val="clear" w:color="auto" w:fill="D9D9D9"/>
          </w:tcPr>
          <w:p w14:paraId="234C277D" w14:textId="7A1AB7CF"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3B93A9FF" w14:textId="2396850C" w:rsidR="00472B6A" w:rsidRPr="00360A17" w:rsidRDefault="00075167" w:rsidP="00075167">
            <w:pPr>
              <w:pStyle w:val="S8Gazettetabletext"/>
            </w:pPr>
            <w:r>
              <w:t xml:space="preserve">Approval of the active constituent </w:t>
            </w:r>
            <w:proofErr w:type="spellStart"/>
            <w:r>
              <w:t>imazamox</w:t>
            </w:r>
            <w:proofErr w:type="spellEnd"/>
            <w:r>
              <w:t xml:space="preserve"> for use in agricultural chemical products</w:t>
            </w:r>
          </w:p>
        </w:tc>
      </w:tr>
    </w:tbl>
    <w:p w14:paraId="71D4E598"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BF5312" w14:paraId="733330E9" w14:textId="77777777" w:rsidTr="001A4A93">
        <w:trPr>
          <w:cantSplit/>
          <w:tblHeader/>
        </w:trPr>
        <w:tc>
          <w:tcPr>
            <w:tcW w:w="1100" w:type="pct"/>
            <w:shd w:val="clear" w:color="auto" w:fill="D9D9D9"/>
          </w:tcPr>
          <w:p w14:paraId="0F78F0A2" w14:textId="64EF194A" w:rsidR="00472B6A" w:rsidRPr="00BF5312" w:rsidRDefault="00075167" w:rsidP="00075167">
            <w:pPr>
              <w:pStyle w:val="S8Gazettetableheading"/>
            </w:pPr>
            <w:r>
              <w:lastRenderedPageBreak/>
              <w:t>Application no.</w:t>
            </w:r>
          </w:p>
        </w:tc>
        <w:tc>
          <w:tcPr>
            <w:tcW w:w="3900" w:type="pct"/>
            <w:shd w:val="clear" w:color="auto" w:fill="FFFFFF"/>
          </w:tcPr>
          <w:p w14:paraId="2DB4266F" w14:textId="6E53C8BC" w:rsidR="00472B6A" w:rsidRPr="00BF5312" w:rsidRDefault="00075167" w:rsidP="00075167">
            <w:pPr>
              <w:pStyle w:val="S8Gazettetabletext"/>
            </w:pPr>
            <w:r>
              <w:t>146380</w:t>
            </w:r>
          </w:p>
        </w:tc>
      </w:tr>
      <w:tr w:rsidR="00472B6A" w:rsidRPr="00BF5312" w14:paraId="6949C9F5" w14:textId="77777777" w:rsidTr="001A4A93">
        <w:trPr>
          <w:cantSplit/>
          <w:tblHeader/>
        </w:trPr>
        <w:tc>
          <w:tcPr>
            <w:tcW w:w="1100" w:type="pct"/>
            <w:shd w:val="clear" w:color="auto" w:fill="D9D9D9"/>
          </w:tcPr>
          <w:p w14:paraId="0DE84A84" w14:textId="48913E4C" w:rsidR="00472B6A" w:rsidRPr="00BF5312" w:rsidRDefault="00075167" w:rsidP="00075167">
            <w:pPr>
              <w:pStyle w:val="S8Gazettetableheading"/>
            </w:pPr>
            <w:r>
              <w:t>Active constituent</w:t>
            </w:r>
          </w:p>
        </w:tc>
        <w:tc>
          <w:tcPr>
            <w:tcW w:w="3900" w:type="pct"/>
            <w:shd w:val="clear" w:color="auto" w:fill="FFFFFF"/>
          </w:tcPr>
          <w:p w14:paraId="237F64C6" w14:textId="2072BA74" w:rsidR="00472B6A" w:rsidRPr="00BF5312" w:rsidRDefault="00BF2CAA" w:rsidP="00075167">
            <w:pPr>
              <w:pStyle w:val="S8Gazettetabletext"/>
            </w:pPr>
            <w:proofErr w:type="spellStart"/>
            <w:r>
              <w:t>F</w:t>
            </w:r>
            <w:r w:rsidR="00075167">
              <w:t>lupropanate</w:t>
            </w:r>
            <w:proofErr w:type="spellEnd"/>
            <w:r w:rsidR="00075167">
              <w:t>-sodium</w:t>
            </w:r>
          </w:p>
        </w:tc>
      </w:tr>
      <w:tr w:rsidR="00472B6A" w:rsidRPr="00BF5312" w14:paraId="183949AB" w14:textId="77777777" w:rsidTr="001A4A93">
        <w:trPr>
          <w:cantSplit/>
          <w:tblHeader/>
        </w:trPr>
        <w:tc>
          <w:tcPr>
            <w:tcW w:w="1100" w:type="pct"/>
            <w:shd w:val="clear" w:color="auto" w:fill="D9D9D9"/>
          </w:tcPr>
          <w:p w14:paraId="4ED5A787" w14:textId="47D78C92" w:rsidR="00472B6A" w:rsidRPr="00BF5312" w:rsidRDefault="00075167" w:rsidP="00075167">
            <w:pPr>
              <w:pStyle w:val="S8Gazettetableheading"/>
            </w:pPr>
            <w:r>
              <w:t>Applicant name</w:t>
            </w:r>
          </w:p>
        </w:tc>
        <w:tc>
          <w:tcPr>
            <w:tcW w:w="3900" w:type="pct"/>
            <w:shd w:val="clear" w:color="auto" w:fill="FFFFFF"/>
          </w:tcPr>
          <w:p w14:paraId="7588B29E" w14:textId="1C65CE65" w:rsidR="00472B6A" w:rsidRPr="00BF5312" w:rsidRDefault="00075167" w:rsidP="00075167">
            <w:pPr>
              <w:pStyle w:val="S8Gazettetabletext"/>
            </w:pPr>
            <w:r>
              <w:t>Granular Products Assets Pty Ltd</w:t>
            </w:r>
          </w:p>
        </w:tc>
      </w:tr>
      <w:tr w:rsidR="00472B6A" w:rsidRPr="00BF5312" w14:paraId="107E65CA" w14:textId="77777777" w:rsidTr="001A4A93">
        <w:trPr>
          <w:cantSplit/>
          <w:tblHeader/>
        </w:trPr>
        <w:tc>
          <w:tcPr>
            <w:tcW w:w="1100" w:type="pct"/>
            <w:shd w:val="clear" w:color="auto" w:fill="D9D9D9"/>
          </w:tcPr>
          <w:p w14:paraId="68CBD8BF" w14:textId="41820B0C" w:rsidR="00472B6A" w:rsidRPr="00BF5312" w:rsidRDefault="00075167" w:rsidP="00075167">
            <w:pPr>
              <w:pStyle w:val="S8Gazettetableheading"/>
            </w:pPr>
            <w:r>
              <w:t>Applicant ACN</w:t>
            </w:r>
          </w:p>
        </w:tc>
        <w:tc>
          <w:tcPr>
            <w:tcW w:w="3900" w:type="pct"/>
            <w:shd w:val="clear" w:color="auto" w:fill="FFFFFF"/>
          </w:tcPr>
          <w:p w14:paraId="6F46F6FE" w14:textId="3FE8C25C" w:rsidR="00472B6A" w:rsidRPr="00BF5312" w:rsidRDefault="00075167" w:rsidP="00075167">
            <w:pPr>
              <w:pStyle w:val="S8Gazettetabletext"/>
            </w:pPr>
            <w:r>
              <w:t>614 694 405</w:t>
            </w:r>
          </w:p>
        </w:tc>
      </w:tr>
      <w:tr w:rsidR="00472B6A" w:rsidRPr="00BF5312" w14:paraId="2534C65B" w14:textId="77777777" w:rsidTr="001A4A93">
        <w:trPr>
          <w:cantSplit/>
          <w:tblHeader/>
        </w:trPr>
        <w:tc>
          <w:tcPr>
            <w:tcW w:w="1100" w:type="pct"/>
            <w:shd w:val="clear" w:color="auto" w:fill="D9D9D9"/>
          </w:tcPr>
          <w:p w14:paraId="5C139F11" w14:textId="28558304" w:rsidR="00472B6A" w:rsidRPr="00BF5312" w:rsidRDefault="00075167" w:rsidP="00075167">
            <w:pPr>
              <w:pStyle w:val="S8Gazettetableheading"/>
            </w:pPr>
            <w:r>
              <w:t>Date of approval</w:t>
            </w:r>
          </w:p>
        </w:tc>
        <w:tc>
          <w:tcPr>
            <w:tcW w:w="3900" w:type="pct"/>
            <w:shd w:val="clear" w:color="auto" w:fill="FFFFFF"/>
          </w:tcPr>
          <w:p w14:paraId="77CA4137" w14:textId="776376DD" w:rsidR="00472B6A" w:rsidRPr="00BF5312" w:rsidRDefault="00075167" w:rsidP="00075167">
            <w:pPr>
              <w:pStyle w:val="S8Gazettetabletext"/>
            </w:pPr>
            <w:r>
              <w:t>4 December 2025</w:t>
            </w:r>
          </w:p>
        </w:tc>
      </w:tr>
      <w:tr w:rsidR="00472B6A" w:rsidRPr="00BF5312" w14:paraId="10968D0B" w14:textId="77777777" w:rsidTr="001A4A93">
        <w:trPr>
          <w:cantSplit/>
          <w:tblHeader/>
        </w:trPr>
        <w:tc>
          <w:tcPr>
            <w:tcW w:w="1100" w:type="pct"/>
            <w:shd w:val="clear" w:color="auto" w:fill="D9D9D9"/>
          </w:tcPr>
          <w:p w14:paraId="74AA4FC5" w14:textId="08229DD1" w:rsidR="00472B6A" w:rsidRPr="00BF5312" w:rsidRDefault="00075167" w:rsidP="00075167">
            <w:pPr>
              <w:pStyle w:val="S8Gazettetableheading"/>
            </w:pPr>
            <w:r>
              <w:t>Approval no.</w:t>
            </w:r>
          </w:p>
        </w:tc>
        <w:tc>
          <w:tcPr>
            <w:tcW w:w="3900" w:type="pct"/>
            <w:shd w:val="clear" w:color="auto" w:fill="FFFFFF"/>
          </w:tcPr>
          <w:p w14:paraId="44C33A0B" w14:textId="1724F4A3" w:rsidR="00472B6A" w:rsidRPr="00BF5312" w:rsidRDefault="00075167" w:rsidP="00075167">
            <w:pPr>
              <w:pStyle w:val="S8Gazettetabletext"/>
            </w:pPr>
            <w:r>
              <w:t>95566</w:t>
            </w:r>
          </w:p>
        </w:tc>
      </w:tr>
      <w:tr w:rsidR="00472B6A" w:rsidRPr="00360A17" w14:paraId="335B37E1" w14:textId="77777777" w:rsidTr="001A4A93">
        <w:trPr>
          <w:cantSplit/>
          <w:tblHeader/>
        </w:trPr>
        <w:tc>
          <w:tcPr>
            <w:tcW w:w="1100" w:type="pct"/>
            <w:shd w:val="clear" w:color="auto" w:fill="D9D9D9"/>
          </w:tcPr>
          <w:p w14:paraId="7AAD98B0" w14:textId="7A3DEF76" w:rsidR="00472B6A" w:rsidRPr="00360A17"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70C792E4" w14:textId="07A1C588" w:rsidR="00472B6A" w:rsidRPr="00360A17" w:rsidRDefault="00075167" w:rsidP="00075167">
            <w:pPr>
              <w:pStyle w:val="S8Gazettetabletext"/>
            </w:pPr>
            <w:r>
              <w:t xml:space="preserve">Approval of the active constituent </w:t>
            </w:r>
            <w:proofErr w:type="spellStart"/>
            <w:r>
              <w:t>flupropanate</w:t>
            </w:r>
            <w:proofErr w:type="spellEnd"/>
            <w:r>
              <w:t>-sodium for use in agricultural chemical products</w:t>
            </w:r>
          </w:p>
        </w:tc>
      </w:tr>
    </w:tbl>
    <w:p w14:paraId="4D7B80BD" w14:textId="77777777" w:rsidR="00472B6A"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307B49" w14:paraId="244D1A75" w14:textId="77777777" w:rsidTr="001A4A93">
        <w:trPr>
          <w:cantSplit/>
        </w:trPr>
        <w:tc>
          <w:tcPr>
            <w:tcW w:w="1100" w:type="pct"/>
            <w:shd w:val="clear" w:color="auto" w:fill="D9D9D9"/>
          </w:tcPr>
          <w:p w14:paraId="1606AFE0" w14:textId="47B0B47D" w:rsidR="00472B6A" w:rsidRPr="00307B49" w:rsidRDefault="00075167" w:rsidP="00075167">
            <w:pPr>
              <w:pStyle w:val="S8Gazettetableheading"/>
            </w:pPr>
            <w:r>
              <w:t>Application no.</w:t>
            </w:r>
          </w:p>
        </w:tc>
        <w:tc>
          <w:tcPr>
            <w:tcW w:w="3900" w:type="pct"/>
            <w:shd w:val="clear" w:color="auto" w:fill="FFFFFF"/>
          </w:tcPr>
          <w:p w14:paraId="1995D65B" w14:textId="2F0FCC47" w:rsidR="00472B6A" w:rsidRPr="00307B49" w:rsidRDefault="00075167" w:rsidP="00075167">
            <w:pPr>
              <w:pStyle w:val="S8Gazettetabletext"/>
              <w:rPr>
                <w:rFonts w:hAnsi="Arial"/>
              </w:rPr>
            </w:pPr>
            <w:r>
              <w:t>148427</w:t>
            </w:r>
          </w:p>
        </w:tc>
      </w:tr>
      <w:tr w:rsidR="00472B6A" w:rsidRPr="00307B49" w14:paraId="21316A4C" w14:textId="77777777" w:rsidTr="001A4A93">
        <w:trPr>
          <w:cantSplit/>
        </w:trPr>
        <w:tc>
          <w:tcPr>
            <w:tcW w:w="1100" w:type="pct"/>
            <w:shd w:val="clear" w:color="auto" w:fill="D9D9D9"/>
          </w:tcPr>
          <w:p w14:paraId="3CFCB33A" w14:textId="3FBD5358" w:rsidR="00472B6A" w:rsidRPr="00307B49" w:rsidRDefault="00075167" w:rsidP="00075167">
            <w:pPr>
              <w:pStyle w:val="S8Gazettetableheading"/>
            </w:pPr>
            <w:r>
              <w:t>Active constituent</w:t>
            </w:r>
          </w:p>
        </w:tc>
        <w:tc>
          <w:tcPr>
            <w:tcW w:w="3900" w:type="pct"/>
            <w:shd w:val="clear" w:color="auto" w:fill="FFFFFF"/>
          </w:tcPr>
          <w:p w14:paraId="45747ECD" w14:textId="3ECCF828" w:rsidR="00472B6A" w:rsidRPr="00307B49" w:rsidRDefault="00BF2CAA" w:rsidP="00075167">
            <w:pPr>
              <w:pStyle w:val="S8Gazettetabletext"/>
              <w:rPr>
                <w:rFonts w:hAnsi="Arial"/>
              </w:rPr>
            </w:pPr>
            <w:r>
              <w:t>P</w:t>
            </w:r>
            <w:r w:rsidR="00075167">
              <w:t>yriproxyfen</w:t>
            </w:r>
          </w:p>
        </w:tc>
      </w:tr>
      <w:tr w:rsidR="00472B6A" w:rsidRPr="00307B49" w14:paraId="2A9DA5E7" w14:textId="77777777" w:rsidTr="001A4A93">
        <w:trPr>
          <w:cantSplit/>
        </w:trPr>
        <w:tc>
          <w:tcPr>
            <w:tcW w:w="1100" w:type="pct"/>
            <w:shd w:val="clear" w:color="auto" w:fill="D9D9D9"/>
          </w:tcPr>
          <w:p w14:paraId="7FC7A7B1" w14:textId="68CB6530" w:rsidR="00472B6A" w:rsidRPr="00307B49" w:rsidRDefault="00075167" w:rsidP="00075167">
            <w:pPr>
              <w:pStyle w:val="S8Gazettetableheading"/>
            </w:pPr>
            <w:r>
              <w:t>Applicant name</w:t>
            </w:r>
          </w:p>
        </w:tc>
        <w:tc>
          <w:tcPr>
            <w:tcW w:w="3900" w:type="pct"/>
            <w:shd w:val="clear" w:color="auto" w:fill="FFFFFF"/>
          </w:tcPr>
          <w:p w14:paraId="29793972" w14:textId="3CF06028" w:rsidR="00472B6A" w:rsidRPr="00307B49" w:rsidRDefault="00075167" w:rsidP="00075167">
            <w:pPr>
              <w:pStyle w:val="S8Gazettetabletext"/>
              <w:rPr>
                <w:rFonts w:hAnsi="Arial"/>
              </w:rPr>
            </w:pPr>
            <w:r>
              <w:t>Hemani Australia Pty Ltd</w:t>
            </w:r>
          </w:p>
        </w:tc>
      </w:tr>
      <w:tr w:rsidR="00472B6A" w:rsidRPr="00307B49" w14:paraId="09B61D69" w14:textId="77777777" w:rsidTr="001A4A93">
        <w:trPr>
          <w:cantSplit/>
        </w:trPr>
        <w:tc>
          <w:tcPr>
            <w:tcW w:w="1100" w:type="pct"/>
            <w:shd w:val="clear" w:color="auto" w:fill="D9D9D9"/>
          </w:tcPr>
          <w:p w14:paraId="7CF26070" w14:textId="2B209763" w:rsidR="00472B6A" w:rsidRPr="00307B49" w:rsidRDefault="00075167" w:rsidP="00075167">
            <w:pPr>
              <w:pStyle w:val="S8Gazettetableheading"/>
            </w:pPr>
            <w:r>
              <w:t>Applicant ACN</w:t>
            </w:r>
          </w:p>
        </w:tc>
        <w:tc>
          <w:tcPr>
            <w:tcW w:w="3900" w:type="pct"/>
            <w:shd w:val="clear" w:color="auto" w:fill="FFFFFF"/>
          </w:tcPr>
          <w:p w14:paraId="796A9A80" w14:textId="211E425C" w:rsidR="00472B6A" w:rsidRPr="00307B49" w:rsidRDefault="00075167" w:rsidP="00075167">
            <w:pPr>
              <w:pStyle w:val="S8Gazettetabletext"/>
              <w:rPr>
                <w:rFonts w:hAnsi="Arial"/>
              </w:rPr>
            </w:pPr>
            <w:r>
              <w:t>634 346 357</w:t>
            </w:r>
          </w:p>
        </w:tc>
      </w:tr>
      <w:tr w:rsidR="00472B6A" w:rsidRPr="00307B49" w14:paraId="11CD2016" w14:textId="77777777" w:rsidTr="001A4A93">
        <w:trPr>
          <w:cantSplit/>
        </w:trPr>
        <w:tc>
          <w:tcPr>
            <w:tcW w:w="1100" w:type="pct"/>
            <w:shd w:val="clear" w:color="auto" w:fill="D9D9D9"/>
          </w:tcPr>
          <w:p w14:paraId="2A92F0D4" w14:textId="7BEAF699" w:rsidR="00472B6A" w:rsidRPr="00307B49" w:rsidRDefault="00075167" w:rsidP="00075167">
            <w:pPr>
              <w:pStyle w:val="S8Gazettetableheading"/>
            </w:pPr>
            <w:r>
              <w:t>Date of approval</w:t>
            </w:r>
          </w:p>
        </w:tc>
        <w:tc>
          <w:tcPr>
            <w:tcW w:w="3900" w:type="pct"/>
            <w:shd w:val="clear" w:color="auto" w:fill="FFFFFF"/>
          </w:tcPr>
          <w:p w14:paraId="622DCAE2" w14:textId="172F0A69" w:rsidR="00472B6A" w:rsidRPr="00307B49" w:rsidRDefault="00075167" w:rsidP="00075167">
            <w:pPr>
              <w:pStyle w:val="S8Gazettetabletext"/>
              <w:rPr>
                <w:rFonts w:hAnsi="Arial"/>
              </w:rPr>
            </w:pPr>
            <w:r>
              <w:t>10 December 2025</w:t>
            </w:r>
          </w:p>
        </w:tc>
      </w:tr>
      <w:tr w:rsidR="00472B6A" w:rsidRPr="00307B49" w14:paraId="2787B5F0" w14:textId="77777777" w:rsidTr="001A4A93">
        <w:trPr>
          <w:cantSplit/>
        </w:trPr>
        <w:tc>
          <w:tcPr>
            <w:tcW w:w="1100" w:type="pct"/>
            <w:shd w:val="clear" w:color="auto" w:fill="D9D9D9"/>
          </w:tcPr>
          <w:p w14:paraId="0554B99F" w14:textId="12FBAC79" w:rsidR="00472B6A" w:rsidRPr="00307B49" w:rsidRDefault="00075167" w:rsidP="00075167">
            <w:pPr>
              <w:pStyle w:val="S8Gazettetableheading"/>
            </w:pPr>
            <w:r>
              <w:t>Approval no.</w:t>
            </w:r>
          </w:p>
        </w:tc>
        <w:tc>
          <w:tcPr>
            <w:tcW w:w="3900" w:type="pct"/>
            <w:shd w:val="clear" w:color="auto" w:fill="FFFFFF"/>
          </w:tcPr>
          <w:p w14:paraId="1E61C322" w14:textId="15C52290" w:rsidR="00472B6A" w:rsidRPr="00307B49" w:rsidRDefault="00075167" w:rsidP="00075167">
            <w:pPr>
              <w:pStyle w:val="S8Gazettetabletext"/>
              <w:rPr>
                <w:rFonts w:hAnsi="Arial"/>
              </w:rPr>
            </w:pPr>
            <w:r>
              <w:t>96171</w:t>
            </w:r>
          </w:p>
        </w:tc>
      </w:tr>
      <w:tr w:rsidR="00472B6A" w:rsidRPr="00307B49" w14:paraId="00C8ED73" w14:textId="77777777" w:rsidTr="001A4A93">
        <w:trPr>
          <w:cantSplit/>
        </w:trPr>
        <w:tc>
          <w:tcPr>
            <w:tcW w:w="1100" w:type="pct"/>
            <w:shd w:val="clear" w:color="auto" w:fill="D9D9D9"/>
          </w:tcPr>
          <w:p w14:paraId="1C5B6FB6" w14:textId="0DEDA9D7" w:rsidR="00472B6A" w:rsidRPr="00307B49"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7AD96371" w14:textId="2497F491" w:rsidR="00472B6A" w:rsidRPr="00307B49" w:rsidRDefault="00075167" w:rsidP="00075167">
            <w:pPr>
              <w:pStyle w:val="S8Gazettetabletext"/>
              <w:rPr>
                <w:rFonts w:hAnsi="Arial"/>
              </w:rPr>
            </w:pPr>
            <w:r>
              <w:t>Approval of the active constituent pyriproxyfen for use in agricultural and veterinary chemical products</w:t>
            </w:r>
          </w:p>
        </w:tc>
      </w:tr>
    </w:tbl>
    <w:p w14:paraId="1AF1509B" w14:textId="2407904F" w:rsidR="00472B6A" w:rsidRDefault="00472B6A" w:rsidP="00472B6A">
      <w:pPr>
        <w:pStyle w:val="Caption"/>
      </w:pPr>
      <w:r w:rsidRPr="00CF1024">
        <w:t>Table</w:t>
      </w:r>
      <w:r>
        <w:t xml:space="preserve"> </w:t>
      </w:r>
      <w:r>
        <w:fldChar w:fldCharType="begin"/>
      </w:r>
      <w:r>
        <w:instrText xml:space="preserve"> SEQ Table \* ARABIC </w:instrText>
      </w:r>
      <w:r>
        <w:fldChar w:fldCharType="separate"/>
      </w:r>
      <w:r w:rsidR="00472E89">
        <w:rPr>
          <w:noProof/>
        </w:rPr>
        <w:t>6</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C343B9" w14:paraId="0A0F6FF8" w14:textId="77777777" w:rsidTr="001A4A93">
        <w:trPr>
          <w:cantSplit/>
        </w:trPr>
        <w:tc>
          <w:tcPr>
            <w:tcW w:w="1100" w:type="pct"/>
            <w:shd w:val="clear" w:color="auto" w:fill="D9D9D9"/>
          </w:tcPr>
          <w:p w14:paraId="36AE12D7" w14:textId="0B8E9A7F" w:rsidR="00472B6A" w:rsidRPr="00C343B9" w:rsidRDefault="00075167" w:rsidP="00075167">
            <w:pPr>
              <w:pStyle w:val="S8Gazettetableheading"/>
            </w:pPr>
            <w:r>
              <w:t>Application no.</w:t>
            </w:r>
          </w:p>
        </w:tc>
        <w:tc>
          <w:tcPr>
            <w:tcW w:w="3900" w:type="pct"/>
            <w:shd w:val="clear" w:color="auto" w:fill="FFFFFF"/>
          </w:tcPr>
          <w:p w14:paraId="4F15955A" w14:textId="6BBA35D8" w:rsidR="00472B6A" w:rsidRPr="00C343B9" w:rsidRDefault="00075167" w:rsidP="00075167">
            <w:pPr>
              <w:pStyle w:val="S8Gazettetabletext"/>
            </w:pPr>
            <w:r>
              <w:t>149506</w:t>
            </w:r>
          </w:p>
        </w:tc>
      </w:tr>
      <w:tr w:rsidR="00472B6A" w:rsidRPr="00C343B9" w14:paraId="42ACF4CC" w14:textId="77777777" w:rsidTr="001A4A93">
        <w:trPr>
          <w:cantSplit/>
        </w:trPr>
        <w:tc>
          <w:tcPr>
            <w:tcW w:w="1100" w:type="pct"/>
            <w:shd w:val="clear" w:color="auto" w:fill="D9D9D9"/>
          </w:tcPr>
          <w:p w14:paraId="0D474182" w14:textId="4CA300FE" w:rsidR="00472B6A" w:rsidRPr="00C343B9" w:rsidRDefault="00075167" w:rsidP="00075167">
            <w:pPr>
              <w:pStyle w:val="S8Gazettetableheading"/>
            </w:pPr>
            <w:r>
              <w:t>Active constituent</w:t>
            </w:r>
          </w:p>
        </w:tc>
        <w:tc>
          <w:tcPr>
            <w:tcW w:w="3900" w:type="pct"/>
            <w:shd w:val="clear" w:color="auto" w:fill="FFFFFF"/>
          </w:tcPr>
          <w:p w14:paraId="01A8C57D" w14:textId="115DA8A5" w:rsidR="00472B6A" w:rsidRPr="00C343B9" w:rsidRDefault="00075167" w:rsidP="00075167">
            <w:pPr>
              <w:pStyle w:val="S8Gazettetabletext"/>
            </w:pPr>
            <w:r>
              <w:t>Basic Cobalt (II) Carbonate</w:t>
            </w:r>
          </w:p>
        </w:tc>
      </w:tr>
      <w:tr w:rsidR="00472B6A" w:rsidRPr="00C343B9" w14:paraId="712A013C" w14:textId="77777777" w:rsidTr="001A4A93">
        <w:trPr>
          <w:cantSplit/>
        </w:trPr>
        <w:tc>
          <w:tcPr>
            <w:tcW w:w="1100" w:type="pct"/>
            <w:shd w:val="clear" w:color="auto" w:fill="D9D9D9"/>
          </w:tcPr>
          <w:p w14:paraId="00380C48" w14:textId="28069DEE" w:rsidR="00472B6A" w:rsidRPr="00C343B9" w:rsidRDefault="00075167" w:rsidP="00075167">
            <w:pPr>
              <w:pStyle w:val="S8Gazettetableheading"/>
            </w:pPr>
            <w:r>
              <w:t>Applicant name</w:t>
            </w:r>
          </w:p>
        </w:tc>
        <w:tc>
          <w:tcPr>
            <w:tcW w:w="3900" w:type="pct"/>
            <w:shd w:val="clear" w:color="auto" w:fill="FFFFFF"/>
          </w:tcPr>
          <w:p w14:paraId="013BE0C1" w14:textId="1DE6DD20" w:rsidR="00472B6A" w:rsidRPr="00C343B9" w:rsidRDefault="00075167" w:rsidP="00075167">
            <w:pPr>
              <w:pStyle w:val="S8Gazettetabletext"/>
            </w:pPr>
            <w:proofErr w:type="spellStart"/>
            <w:r>
              <w:t>Agrimin</w:t>
            </w:r>
            <w:proofErr w:type="spellEnd"/>
            <w:r>
              <w:t xml:space="preserve"> Limited</w:t>
            </w:r>
          </w:p>
        </w:tc>
      </w:tr>
      <w:tr w:rsidR="00472B6A" w:rsidRPr="00C343B9" w14:paraId="03921B24" w14:textId="77777777" w:rsidTr="001A4A93">
        <w:trPr>
          <w:cantSplit/>
        </w:trPr>
        <w:tc>
          <w:tcPr>
            <w:tcW w:w="1100" w:type="pct"/>
            <w:shd w:val="clear" w:color="auto" w:fill="D9D9D9"/>
          </w:tcPr>
          <w:p w14:paraId="737E610D" w14:textId="5B3616A3" w:rsidR="00472B6A" w:rsidRPr="00C343B9" w:rsidRDefault="00075167" w:rsidP="00075167">
            <w:pPr>
              <w:pStyle w:val="S8Gazettetableheading"/>
            </w:pPr>
            <w:r>
              <w:t>Applicant ACN</w:t>
            </w:r>
          </w:p>
        </w:tc>
        <w:tc>
          <w:tcPr>
            <w:tcW w:w="3900" w:type="pct"/>
            <w:shd w:val="clear" w:color="auto" w:fill="FFFFFF"/>
          </w:tcPr>
          <w:p w14:paraId="525E37DE" w14:textId="77F28392" w:rsidR="00472B6A" w:rsidRPr="00C343B9" w:rsidRDefault="00075167" w:rsidP="00075167">
            <w:pPr>
              <w:pStyle w:val="S8Gazettetabletext"/>
            </w:pPr>
            <w:r>
              <w:t xml:space="preserve">N/A </w:t>
            </w:r>
          </w:p>
        </w:tc>
      </w:tr>
      <w:tr w:rsidR="00472B6A" w:rsidRPr="00C343B9" w14:paraId="32874781" w14:textId="77777777" w:rsidTr="001A4A93">
        <w:trPr>
          <w:cantSplit/>
        </w:trPr>
        <w:tc>
          <w:tcPr>
            <w:tcW w:w="1100" w:type="pct"/>
            <w:shd w:val="clear" w:color="auto" w:fill="D9D9D9"/>
          </w:tcPr>
          <w:p w14:paraId="1727DF3D" w14:textId="18B51ACB" w:rsidR="00472B6A" w:rsidRPr="00C343B9" w:rsidRDefault="00075167" w:rsidP="00075167">
            <w:pPr>
              <w:pStyle w:val="S8Gazettetableheading"/>
            </w:pPr>
            <w:r>
              <w:t>Date of variation</w:t>
            </w:r>
          </w:p>
        </w:tc>
        <w:tc>
          <w:tcPr>
            <w:tcW w:w="3900" w:type="pct"/>
            <w:shd w:val="clear" w:color="auto" w:fill="FFFFFF"/>
          </w:tcPr>
          <w:p w14:paraId="6FABF29C" w14:textId="636C0A78" w:rsidR="00472B6A" w:rsidRPr="00C343B9" w:rsidRDefault="00075167" w:rsidP="00075167">
            <w:pPr>
              <w:pStyle w:val="S8Gazettetabletext"/>
            </w:pPr>
            <w:r>
              <w:t>3 December 2025</w:t>
            </w:r>
          </w:p>
        </w:tc>
      </w:tr>
      <w:tr w:rsidR="00472B6A" w:rsidRPr="00C343B9" w14:paraId="04136CA3" w14:textId="77777777" w:rsidTr="001A4A93">
        <w:trPr>
          <w:cantSplit/>
        </w:trPr>
        <w:tc>
          <w:tcPr>
            <w:tcW w:w="1100" w:type="pct"/>
            <w:shd w:val="clear" w:color="auto" w:fill="D9D9D9"/>
          </w:tcPr>
          <w:p w14:paraId="0ACEEB05" w14:textId="53F65A0B" w:rsidR="00472B6A" w:rsidRPr="00C343B9" w:rsidRDefault="00075167" w:rsidP="00075167">
            <w:pPr>
              <w:pStyle w:val="S8Gazettetableheading"/>
            </w:pPr>
            <w:r>
              <w:t>Approval no.</w:t>
            </w:r>
          </w:p>
        </w:tc>
        <w:tc>
          <w:tcPr>
            <w:tcW w:w="3900" w:type="pct"/>
            <w:shd w:val="clear" w:color="auto" w:fill="FFFFFF"/>
          </w:tcPr>
          <w:p w14:paraId="3F1AD969" w14:textId="0C88099F" w:rsidR="00472B6A" w:rsidRPr="00C343B9" w:rsidRDefault="00075167" w:rsidP="00075167">
            <w:pPr>
              <w:pStyle w:val="S8Gazettetabletext"/>
            </w:pPr>
            <w:r>
              <w:t>82677</w:t>
            </w:r>
          </w:p>
        </w:tc>
      </w:tr>
      <w:tr w:rsidR="00472B6A" w:rsidRPr="00741775" w14:paraId="538F6C6B" w14:textId="77777777" w:rsidTr="001A4A93">
        <w:trPr>
          <w:cantSplit/>
        </w:trPr>
        <w:tc>
          <w:tcPr>
            <w:tcW w:w="1100" w:type="pct"/>
            <w:shd w:val="clear" w:color="auto" w:fill="D9D9D9"/>
          </w:tcPr>
          <w:p w14:paraId="783B545F" w14:textId="5E7A619C" w:rsidR="00472B6A" w:rsidRPr="00741775"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5C66170E" w14:textId="536054BB" w:rsidR="00472B6A" w:rsidRPr="00741775" w:rsidRDefault="00075167" w:rsidP="001A4A93">
            <w:pPr>
              <w:pStyle w:val="S8Gazettetabletext"/>
            </w:pPr>
            <w:r>
              <w:t>Variation of relevant particulars or conditions of an approved active constituent</w:t>
            </w:r>
          </w:p>
        </w:tc>
      </w:tr>
    </w:tbl>
    <w:p w14:paraId="403F3A22" w14:textId="77777777" w:rsidR="00472B6A" w:rsidRPr="00486D2D" w:rsidRDefault="00472B6A" w:rsidP="001A4A93">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72B6A" w:rsidRPr="00954A6C" w14:paraId="7683AF5D" w14:textId="77777777" w:rsidTr="001A4A93">
        <w:trPr>
          <w:cantSplit/>
        </w:trPr>
        <w:tc>
          <w:tcPr>
            <w:tcW w:w="1100" w:type="pct"/>
            <w:shd w:val="clear" w:color="auto" w:fill="D9D9D9"/>
            <w:hideMark/>
          </w:tcPr>
          <w:p w14:paraId="54A60E74" w14:textId="26D0F2E5" w:rsidR="00472B6A" w:rsidRPr="00954A6C" w:rsidRDefault="00075167" w:rsidP="00075167">
            <w:pPr>
              <w:pStyle w:val="S8Gazettetableheading"/>
            </w:pPr>
            <w:r>
              <w:t>Application no.</w:t>
            </w:r>
          </w:p>
        </w:tc>
        <w:tc>
          <w:tcPr>
            <w:tcW w:w="3900" w:type="pct"/>
            <w:shd w:val="clear" w:color="auto" w:fill="FFFFFF"/>
          </w:tcPr>
          <w:p w14:paraId="01856BC2" w14:textId="41D858CB" w:rsidR="00472B6A" w:rsidRPr="004378B7" w:rsidRDefault="00075167" w:rsidP="00075167">
            <w:pPr>
              <w:pStyle w:val="S8Gazettetabletext"/>
            </w:pPr>
            <w:r>
              <w:t>149433</w:t>
            </w:r>
          </w:p>
        </w:tc>
      </w:tr>
      <w:tr w:rsidR="00472B6A" w:rsidRPr="00954A6C" w14:paraId="30E72C82" w14:textId="77777777" w:rsidTr="001A4A93">
        <w:trPr>
          <w:cantSplit/>
        </w:trPr>
        <w:tc>
          <w:tcPr>
            <w:tcW w:w="1100" w:type="pct"/>
            <w:shd w:val="clear" w:color="auto" w:fill="D9D9D9"/>
            <w:hideMark/>
          </w:tcPr>
          <w:p w14:paraId="34EB8457" w14:textId="7736D475" w:rsidR="00472B6A" w:rsidRPr="00954A6C" w:rsidRDefault="00075167" w:rsidP="00075167">
            <w:pPr>
              <w:pStyle w:val="S8Gazettetableheading"/>
            </w:pPr>
            <w:r>
              <w:t>Active constituent</w:t>
            </w:r>
          </w:p>
        </w:tc>
        <w:tc>
          <w:tcPr>
            <w:tcW w:w="3900" w:type="pct"/>
            <w:shd w:val="clear" w:color="auto" w:fill="FFFFFF"/>
          </w:tcPr>
          <w:p w14:paraId="4A40BEDE" w14:textId="3DE8CE89" w:rsidR="00472B6A" w:rsidRPr="004378B7" w:rsidRDefault="00075167" w:rsidP="00075167">
            <w:pPr>
              <w:pStyle w:val="S8Gazettetabletext"/>
            </w:pPr>
            <w:r>
              <w:t>Lincomycin hydrochloride</w:t>
            </w:r>
          </w:p>
        </w:tc>
      </w:tr>
      <w:tr w:rsidR="00472B6A" w:rsidRPr="00954A6C" w14:paraId="2F1F1FBD" w14:textId="77777777" w:rsidTr="001A4A93">
        <w:trPr>
          <w:cantSplit/>
        </w:trPr>
        <w:tc>
          <w:tcPr>
            <w:tcW w:w="1100" w:type="pct"/>
            <w:shd w:val="clear" w:color="auto" w:fill="D9D9D9"/>
            <w:hideMark/>
          </w:tcPr>
          <w:p w14:paraId="2FA3333F" w14:textId="18B54B68" w:rsidR="00472B6A" w:rsidRPr="00954A6C" w:rsidRDefault="00075167" w:rsidP="00075167">
            <w:pPr>
              <w:pStyle w:val="S8Gazettetableheading"/>
            </w:pPr>
            <w:r>
              <w:t>Applicant name</w:t>
            </w:r>
          </w:p>
        </w:tc>
        <w:tc>
          <w:tcPr>
            <w:tcW w:w="3900" w:type="pct"/>
            <w:shd w:val="clear" w:color="auto" w:fill="FFFFFF"/>
          </w:tcPr>
          <w:p w14:paraId="22F1BE52" w14:textId="5D14E4B0" w:rsidR="00472B6A" w:rsidRPr="004378B7" w:rsidRDefault="00075167" w:rsidP="00075167">
            <w:pPr>
              <w:pStyle w:val="S8Gazettetabletext"/>
            </w:pPr>
            <w:r>
              <w:t xml:space="preserve">South </w:t>
            </w:r>
            <w:proofErr w:type="spellStart"/>
            <w:r>
              <w:t>Yarra</w:t>
            </w:r>
            <w:proofErr w:type="spellEnd"/>
            <w:r>
              <w:t xml:space="preserve"> Pharma Pty Ltd</w:t>
            </w:r>
          </w:p>
        </w:tc>
      </w:tr>
      <w:tr w:rsidR="00472B6A" w:rsidRPr="00954A6C" w14:paraId="42A878FB" w14:textId="77777777" w:rsidTr="001A4A93">
        <w:trPr>
          <w:cantSplit/>
        </w:trPr>
        <w:tc>
          <w:tcPr>
            <w:tcW w:w="1100" w:type="pct"/>
            <w:shd w:val="clear" w:color="auto" w:fill="D9D9D9"/>
            <w:hideMark/>
          </w:tcPr>
          <w:p w14:paraId="5811683B" w14:textId="6A16CBE4" w:rsidR="00472B6A" w:rsidRPr="00954A6C" w:rsidRDefault="00075167" w:rsidP="00075167">
            <w:pPr>
              <w:pStyle w:val="S8Gazettetableheading"/>
            </w:pPr>
            <w:r>
              <w:t>Applicant ACN</w:t>
            </w:r>
          </w:p>
        </w:tc>
        <w:tc>
          <w:tcPr>
            <w:tcW w:w="3900" w:type="pct"/>
            <w:shd w:val="clear" w:color="auto" w:fill="FFFFFF"/>
          </w:tcPr>
          <w:p w14:paraId="2ED87FB8" w14:textId="0F3D5341" w:rsidR="00472B6A" w:rsidRPr="004378B7" w:rsidRDefault="00075167" w:rsidP="00075167">
            <w:pPr>
              <w:pStyle w:val="S8Gazettetabletext"/>
            </w:pPr>
            <w:r>
              <w:t>629 173 351</w:t>
            </w:r>
          </w:p>
        </w:tc>
      </w:tr>
      <w:tr w:rsidR="00472B6A" w:rsidRPr="00954A6C" w14:paraId="0DA2D495" w14:textId="77777777" w:rsidTr="001A4A93">
        <w:trPr>
          <w:cantSplit/>
        </w:trPr>
        <w:tc>
          <w:tcPr>
            <w:tcW w:w="1100" w:type="pct"/>
            <w:shd w:val="clear" w:color="auto" w:fill="D9D9D9"/>
            <w:hideMark/>
          </w:tcPr>
          <w:p w14:paraId="5436056E" w14:textId="746159E2" w:rsidR="00472B6A" w:rsidRPr="00954A6C" w:rsidRDefault="00075167" w:rsidP="00075167">
            <w:pPr>
              <w:pStyle w:val="S8Gazettetableheading"/>
            </w:pPr>
            <w:r>
              <w:t>Date of variation</w:t>
            </w:r>
          </w:p>
        </w:tc>
        <w:tc>
          <w:tcPr>
            <w:tcW w:w="3900" w:type="pct"/>
            <w:shd w:val="clear" w:color="auto" w:fill="FFFFFF"/>
          </w:tcPr>
          <w:p w14:paraId="377B3B68" w14:textId="1414E1A8" w:rsidR="00472B6A" w:rsidRPr="004378B7" w:rsidRDefault="00075167" w:rsidP="00075167">
            <w:pPr>
              <w:pStyle w:val="S8Gazettetabletext"/>
            </w:pPr>
            <w:r>
              <w:t>8 December 2025</w:t>
            </w:r>
          </w:p>
        </w:tc>
      </w:tr>
      <w:tr w:rsidR="00472B6A" w:rsidRPr="00954A6C" w14:paraId="0F62D18A" w14:textId="77777777" w:rsidTr="001A4A93">
        <w:trPr>
          <w:cantSplit/>
        </w:trPr>
        <w:tc>
          <w:tcPr>
            <w:tcW w:w="1100" w:type="pct"/>
            <w:shd w:val="clear" w:color="auto" w:fill="D9D9D9"/>
            <w:hideMark/>
          </w:tcPr>
          <w:p w14:paraId="3AC21CC4" w14:textId="27FA0F7E" w:rsidR="00472B6A" w:rsidRPr="00954A6C" w:rsidRDefault="00075167" w:rsidP="00075167">
            <w:pPr>
              <w:pStyle w:val="S8Gazettetableheading"/>
            </w:pPr>
            <w:r>
              <w:t>Approval no.</w:t>
            </w:r>
          </w:p>
        </w:tc>
        <w:tc>
          <w:tcPr>
            <w:tcW w:w="3900" w:type="pct"/>
            <w:shd w:val="clear" w:color="auto" w:fill="FFFFFF"/>
          </w:tcPr>
          <w:p w14:paraId="43D64D5D" w14:textId="5791F9BF" w:rsidR="00472B6A" w:rsidRPr="004378B7" w:rsidRDefault="00075167" w:rsidP="00075167">
            <w:pPr>
              <w:pStyle w:val="S8Gazettetabletext"/>
            </w:pPr>
            <w:r>
              <w:t>87556</w:t>
            </w:r>
          </w:p>
        </w:tc>
      </w:tr>
      <w:tr w:rsidR="00472B6A" w:rsidRPr="00954A6C" w14:paraId="455A6113" w14:textId="77777777" w:rsidTr="001A4A93">
        <w:trPr>
          <w:cantSplit/>
        </w:trPr>
        <w:tc>
          <w:tcPr>
            <w:tcW w:w="1100" w:type="pct"/>
            <w:shd w:val="clear" w:color="auto" w:fill="D9D9D9"/>
            <w:hideMark/>
          </w:tcPr>
          <w:p w14:paraId="5D0D4C0F" w14:textId="6FF54893" w:rsidR="00472B6A" w:rsidRPr="00954A6C" w:rsidRDefault="00075167" w:rsidP="00075167">
            <w:pPr>
              <w:pStyle w:val="S8Gazettetableheading"/>
            </w:pPr>
            <w:r>
              <w:t>Description of the application and its purpose, including the intended use of the active constituent</w:t>
            </w:r>
          </w:p>
        </w:tc>
        <w:tc>
          <w:tcPr>
            <w:tcW w:w="3900" w:type="pct"/>
            <w:shd w:val="clear" w:color="auto" w:fill="FFFFFF"/>
          </w:tcPr>
          <w:p w14:paraId="622BCCBD" w14:textId="5D1E5C3A" w:rsidR="00472B6A" w:rsidRPr="004378B7" w:rsidRDefault="00075167" w:rsidP="00075167">
            <w:pPr>
              <w:pStyle w:val="S8Gazettetabletext"/>
            </w:pPr>
            <w:r>
              <w:t>Variation of relevant particulars or conditions of an approved active constituent</w:t>
            </w:r>
          </w:p>
        </w:tc>
      </w:tr>
    </w:tbl>
    <w:p w14:paraId="543CDCA0" w14:textId="77777777" w:rsidR="00472B6A" w:rsidRDefault="00472B6A" w:rsidP="00472B6A">
      <w:pPr>
        <w:pStyle w:val="GazetteNormalText"/>
        <w:sectPr w:rsidR="00472B6A" w:rsidSect="00CB73E0">
          <w:headerReference w:type="even" r:id="rId26"/>
          <w:headerReference w:type="default" r:id="rId27"/>
          <w:pgSz w:w="11906" w:h="16838"/>
          <w:pgMar w:top="1440" w:right="1134" w:bottom="1440" w:left="1134" w:header="794" w:footer="737" w:gutter="0"/>
          <w:cols w:space="708"/>
          <w:docGrid w:linePitch="360"/>
        </w:sectPr>
      </w:pPr>
    </w:p>
    <w:p w14:paraId="3711F9F7" w14:textId="33E82BC0" w:rsidR="00472B6A" w:rsidRDefault="00472B6A" w:rsidP="001A4A93">
      <w:pPr>
        <w:pStyle w:val="GazetteHeading1"/>
      </w:pPr>
      <w:bookmarkStart w:id="21" w:name="_Toc217376730"/>
      <w:r w:rsidRPr="00D15B31">
        <w:lastRenderedPageBreak/>
        <w:t xml:space="preserve">Revocation of </w:t>
      </w:r>
      <w:r w:rsidR="00713D0D">
        <w:t>s</w:t>
      </w:r>
      <w:r w:rsidRPr="00D15B31">
        <w:t xml:space="preserve">uspension of </w:t>
      </w:r>
      <w:r w:rsidR="00713D0D">
        <w:t>r</w:t>
      </w:r>
      <w:r w:rsidRPr="00D15B31">
        <w:t>egistration</w:t>
      </w:r>
      <w:bookmarkEnd w:id="21"/>
    </w:p>
    <w:p w14:paraId="47AF3CFD" w14:textId="56B6CD0F" w:rsidR="00472B6A" w:rsidRPr="001807DB" w:rsidRDefault="00472B6A" w:rsidP="00472B6A">
      <w:pPr>
        <w:pStyle w:val="GazetteNormalText"/>
      </w:pPr>
      <w:r w:rsidRPr="00D15B31">
        <w:t xml:space="preserve">Pursuant to section 46(2)(b) of the Agricultural and Veterinary Chemicals Code scheduled to the </w:t>
      </w:r>
      <w:r w:rsidRPr="001A4A93">
        <w:rPr>
          <w:i/>
          <w:iCs/>
        </w:rPr>
        <w:t>Agricultural and Veterinary Chemicals Code Act 1994</w:t>
      </w:r>
      <w:r w:rsidRPr="00D15B31">
        <w:t>, the APVMA hereby gives notice that it has revoked the suspensions of the registrations listed below with effect from the dates shown.</w:t>
      </w:r>
    </w:p>
    <w:p w14:paraId="28C3A1F5" w14:textId="22B04CD9" w:rsidR="00472B6A" w:rsidRDefault="00472B6A" w:rsidP="00472B6A">
      <w:pPr>
        <w:pStyle w:val="Caption"/>
      </w:pPr>
      <w:r>
        <w:t xml:space="preserve">Table </w:t>
      </w:r>
      <w:r w:rsidR="001A4A93">
        <w:fldChar w:fldCharType="begin"/>
      </w:r>
      <w:r w:rsidR="001A4A93">
        <w:instrText xml:space="preserve"> SEQ Table \* ARABIC </w:instrText>
      </w:r>
      <w:r w:rsidR="001A4A93">
        <w:fldChar w:fldCharType="separate"/>
      </w:r>
      <w:r w:rsidR="00472E89">
        <w:rPr>
          <w:noProof/>
        </w:rPr>
        <w:t>7</w:t>
      </w:r>
      <w:r w:rsidR="001A4A93">
        <w:rPr>
          <w:noProof/>
        </w:rPr>
        <w:fldChar w:fldCharType="end"/>
      </w:r>
      <w:r>
        <w:t>. Product registrations that are no longer suspended</w:t>
      </w:r>
    </w:p>
    <w:tbl>
      <w:tblPr>
        <w:tblStyle w:val="TableGrid"/>
        <w:tblW w:w="4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1984"/>
        <w:gridCol w:w="7036"/>
      </w:tblGrid>
      <w:tr w:rsidR="00472B6A" w14:paraId="06FD2BA0" w14:textId="77777777" w:rsidTr="001A4A93">
        <w:trPr>
          <w:cantSplit/>
        </w:trPr>
        <w:tc>
          <w:tcPr>
            <w:tcW w:w="1100" w:type="pct"/>
            <w:shd w:val="clear" w:color="auto" w:fill="D9D9D9"/>
          </w:tcPr>
          <w:p w14:paraId="74290AFE" w14:textId="5ECE05DD" w:rsidR="00472B6A" w:rsidRDefault="00075167" w:rsidP="00075167">
            <w:pPr>
              <w:pStyle w:val="S8Gazettetableheading"/>
            </w:pPr>
            <w:bookmarkStart w:id="22" w:name="_Hlk180573582"/>
            <w:bookmarkStart w:id="23" w:name="_Ref35500796"/>
            <w:r>
              <w:t>Product name</w:t>
            </w:r>
          </w:p>
        </w:tc>
        <w:tc>
          <w:tcPr>
            <w:tcW w:w="3900" w:type="pct"/>
            <w:shd w:val="clear" w:color="auto" w:fill="FFFFFF"/>
          </w:tcPr>
          <w:p w14:paraId="6597AE0E" w14:textId="46170C02" w:rsidR="00472B6A" w:rsidRDefault="00075167" w:rsidP="00075167">
            <w:pPr>
              <w:pStyle w:val="S8Gazettetabletext"/>
            </w:pPr>
            <w:proofErr w:type="spellStart"/>
            <w:r>
              <w:t>Farmalinx</w:t>
            </w:r>
            <w:proofErr w:type="spellEnd"/>
            <w:r>
              <w:t xml:space="preserve"> </w:t>
            </w:r>
            <w:proofErr w:type="spellStart"/>
            <w:r>
              <w:t>Dimetholinx</w:t>
            </w:r>
            <w:proofErr w:type="spellEnd"/>
            <w:r>
              <w:t xml:space="preserve"> Insecticide</w:t>
            </w:r>
          </w:p>
        </w:tc>
      </w:tr>
      <w:tr w:rsidR="00472B6A" w14:paraId="0F2A7788" w14:textId="77777777" w:rsidTr="001A4A93">
        <w:trPr>
          <w:cantSplit/>
        </w:trPr>
        <w:tc>
          <w:tcPr>
            <w:tcW w:w="1100" w:type="pct"/>
            <w:shd w:val="clear" w:color="auto" w:fill="D9D9D9"/>
          </w:tcPr>
          <w:p w14:paraId="397F591D" w14:textId="633F7DCF" w:rsidR="00472B6A" w:rsidRDefault="00075167" w:rsidP="00075167">
            <w:pPr>
              <w:pStyle w:val="S8Gazettetableheading"/>
            </w:pPr>
            <w:r>
              <w:t>Active constituent/s</w:t>
            </w:r>
          </w:p>
        </w:tc>
        <w:tc>
          <w:tcPr>
            <w:tcW w:w="3900" w:type="pct"/>
            <w:shd w:val="clear" w:color="auto" w:fill="FFFFFF"/>
          </w:tcPr>
          <w:p w14:paraId="658A8C05" w14:textId="1164BDD1" w:rsidR="00472B6A" w:rsidRDefault="00075167" w:rsidP="00075167">
            <w:pPr>
              <w:pStyle w:val="S8Gazettetabletext"/>
            </w:pPr>
            <w:r>
              <w:t>400 g/L dimethoate</w:t>
            </w:r>
          </w:p>
        </w:tc>
      </w:tr>
      <w:tr w:rsidR="00472B6A" w14:paraId="79D89D19" w14:textId="77777777" w:rsidTr="001A4A93">
        <w:trPr>
          <w:cantSplit/>
        </w:trPr>
        <w:tc>
          <w:tcPr>
            <w:tcW w:w="1100" w:type="pct"/>
            <w:shd w:val="clear" w:color="auto" w:fill="D9D9D9"/>
          </w:tcPr>
          <w:p w14:paraId="6B385C78" w14:textId="10C69112" w:rsidR="00472B6A" w:rsidRDefault="00075167" w:rsidP="00075167">
            <w:pPr>
              <w:pStyle w:val="S8Gazettetableheading"/>
            </w:pPr>
            <w:r>
              <w:t>Holder name</w:t>
            </w:r>
          </w:p>
        </w:tc>
        <w:tc>
          <w:tcPr>
            <w:tcW w:w="3900" w:type="pct"/>
            <w:shd w:val="clear" w:color="auto" w:fill="FFFFFF"/>
          </w:tcPr>
          <w:p w14:paraId="6C404D0B" w14:textId="2F14373A" w:rsidR="00472B6A" w:rsidRDefault="00075167" w:rsidP="00075167">
            <w:pPr>
              <w:pStyle w:val="S8Gazettetabletext"/>
            </w:pPr>
            <w:proofErr w:type="spellStart"/>
            <w:r>
              <w:t>Farmalinx</w:t>
            </w:r>
            <w:proofErr w:type="spellEnd"/>
            <w:r>
              <w:t xml:space="preserve"> Pty Ltd</w:t>
            </w:r>
          </w:p>
        </w:tc>
      </w:tr>
      <w:tr w:rsidR="00472B6A" w14:paraId="20C1B3AF" w14:textId="77777777" w:rsidTr="001A4A93">
        <w:trPr>
          <w:cantSplit/>
        </w:trPr>
        <w:tc>
          <w:tcPr>
            <w:tcW w:w="1100" w:type="pct"/>
            <w:shd w:val="clear" w:color="auto" w:fill="D9D9D9"/>
          </w:tcPr>
          <w:p w14:paraId="060FBCE6" w14:textId="0EEDE4DB" w:rsidR="00472B6A" w:rsidRDefault="00075167" w:rsidP="00075167">
            <w:pPr>
              <w:pStyle w:val="S8Gazettetableheading"/>
            </w:pPr>
            <w:r>
              <w:t>Holder ACN</w:t>
            </w:r>
          </w:p>
        </w:tc>
        <w:tc>
          <w:tcPr>
            <w:tcW w:w="3900" w:type="pct"/>
            <w:shd w:val="clear" w:color="auto" w:fill="FFFFFF"/>
          </w:tcPr>
          <w:p w14:paraId="24CE7DED" w14:textId="358ADC40" w:rsidR="00472B6A" w:rsidRDefault="00075167" w:rsidP="00075167">
            <w:pPr>
              <w:pStyle w:val="S8Gazettetabletext"/>
            </w:pPr>
            <w:r>
              <w:t>134 353 245</w:t>
            </w:r>
          </w:p>
        </w:tc>
      </w:tr>
      <w:tr w:rsidR="00472B6A" w14:paraId="45951A2D" w14:textId="77777777" w:rsidTr="001A4A93">
        <w:trPr>
          <w:cantSplit/>
        </w:trPr>
        <w:tc>
          <w:tcPr>
            <w:tcW w:w="1100" w:type="pct"/>
            <w:shd w:val="clear" w:color="auto" w:fill="D9D9D9"/>
          </w:tcPr>
          <w:p w14:paraId="4216F819" w14:textId="75A478BD" w:rsidR="00472B6A" w:rsidRPr="00922728" w:rsidRDefault="00075167" w:rsidP="00075167">
            <w:pPr>
              <w:pStyle w:val="S8Gazettetableheading"/>
              <w:rPr>
                <w:highlight w:val="yellow"/>
              </w:rPr>
            </w:pPr>
            <w:r>
              <w:t>Date suspension revoked</w:t>
            </w:r>
          </w:p>
        </w:tc>
        <w:tc>
          <w:tcPr>
            <w:tcW w:w="3900" w:type="pct"/>
            <w:shd w:val="clear" w:color="auto" w:fill="FFFFFF"/>
          </w:tcPr>
          <w:p w14:paraId="0638A16A" w14:textId="6A0C2096" w:rsidR="00472B6A" w:rsidRDefault="00075167" w:rsidP="00075167">
            <w:pPr>
              <w:pStyle w:val="S8Gazettetabletext"/>
            </w:pPr>
            <w:r>
              <w:t>8 December 2025</w:t>
            </w:r>
          </w:p>
        </w:tc>
      </w:tr>
      <w:tr w:rsidR="00472B6A" w14:paraId="5B3D8DFC" w14:textId="77777777" w:rsidTr="001A4A93">
        <w:trPr>
          <w:cantSplit/>
        </w:trPr>
        <w:tc>
          <w:tcPr>
            <w:tcW w:w="1100" w:type="pct"/>
            <w:shd w:val="clear" w:color="auto" w:fill="D9D9D9"/>
          </w:tcPr>
          <w:p w14:paraId="041A12CF" w14:textId="51631AD0" w:rsidR="00472B6A" w:rsidRDefault="00075167" w:rsidP="00075167">
            <w:pPr>
              <w:pStyle w:val="S8Gazettetableheading"/>
            </w:pPr>
            <w:r>
              <w:t>Product registration no.</w:t>
            </w:r>
          </w:p>
        </w:tc>
        <w:tc>
          <w:tcPr>
            <w:tcW w:w="3900" w:type="pct"/>
            <w:shd w:val="clear" w:color="auto" w:fill="FFFFFF"/>
          </w:tcPr>
          <w:p w14:paraId="7750363C" w14:textId="78135085" w:rsidR="00472B6A" w:rsidRDefault="00075167" w:rsidP="00075167">
            <w:pPr>
              <w:pStyle w:val="S8Gazettetabletext"/>
            </w:pPr>
            <w:r>
              <w:t>64309</w:t>
            </w:r>
          </w:p>
        </w:tc>
      </w:tr>
      <w:tr w:rsidR="00472B6A" w14:paraId="6B82B1AE" w14:textId="77777777" w:rsidTr="001A4A93">
        <w:trPr>
          <w:cantSplit/>
        </w:trPr>
        <w:tc>
          <w:tcPr>
            <w:tcW w:w="1100" w:type="pct"/>
            <w:shd w:val="clear" w:color="auto" w:fill="D9D9D9"/>
          </w:tcPr>
          <w:p w14:paraId="637CF5DB" w14:textId="126B88A7" w:rsidR="00472B6A" w:rsidRDefault="00075167" w:rsidP="00075167">
            <w:pPr>
              <w:pStyle w:val="S8Gazettetableheading"/>
            </w:pPr>
            <w:r>
              <w:t>Label approval no.</w:t>
            </w:r>
          </w:p>
        </w:tc>
        <w:tc>
          <w:tcPr>
            <w:tcW w:w="3900" w:type="pct"/>
            <w:shd w:val="clear" w:color="auto" w:fill="FFFFFF"/>
          </w:tcPr>
          <w:p w14:paraId="4BF0AF52" w14:textId="650D4208" w:rsidR="00472B6A" w:rsidRDefault="00075167" w:rsidP="00075167">
            <w:pPr>
              <w:pStyle w:val="S8Gazettetabletext"/>
            </w:pPr>
            <w:r>
              <w:t>64309/RV2025</w:t>
            </w:r>
          </w:p>
        </w:tc>
      </w:tr>
      <w:tr w:rsidR="00472B6A" w14:paraId="04AEA8CA" w14:textId="77777777" w:rsidTr="001A4A93">
        <w:trPr>
          <w:cantSplit/>
        </w:trPr>
        <w:tc>
          <w:tcPr>
            <w:tcW w:w="1100" w:type="pct"/>
            <w:shd w:val="clear" w:color="auto" w:fill="D9D9D9"/>
          </w:tcPr>
          <w:p w14:paraId="0FE758B3" w14:textId="66EEDF5F" w:rsidR="00472B6A" w:rsidRPr="00ED4AA8" w:rsidRDefault="00075167" w:rsidP="00075167">
            <w:pPr>
              <w:pStyle w:val="S8Gazettetableheading"/>
            </w:pPr>
            <w:r>
              <w:t>Brief reasons</w:t>
            </w:r>
          </w:p>
        </w:tc>
        <w:tc>
          <w:tcPr>
            <w:tcW w:w="3900" w:type="pct"/>
            <w:shd w:val="clear" w:color="auto" w:fill="FFFFFF"/>
          </w:tcPr>
          <w:p w14:paraId="1B585FC8" w14:textId="77777777" w:rsidR="00075167" w:rsidRDefault="00075167" w:rsidP="00075167">
            <w:pPr>
              <w:pStyle w:val="S8Gazettetabletext"/>
            </w:pPr>
            <w:r>
              <w:t xml:space="preserve">The APVMA suspended the registration of </w:t>
            </w:r>
            <w:proofErr w:type="spellStart"/>
            <w:r>
              <w:t>Farmalinx</w:t>
            </w:r>
            <w:proofErr w:type="spellEnd"/>
            <w:r>
              <w:t xml:space="preserve"> </w:t>
            </w:r>
            <w:proofErr w:type="spellStart"/>
            <w:r>
              <w:t>Dimetholinx</w:t>
            </w:r>
            <w:proofErr w:type="spellEnd"/>
            <w:r>
              <w:t xml:space="preserve"> Insecticide on 11 November 2025 on the basis that it appeared to the APVMA that the product may not meet the safety criteria when used on blueberries, blackberries and raspberries, according to the instructions for use on the approved label.</w:t>
            </w:r>
          </w:p>
          <w:p w14:paraId="476EE75D" w14:textId="66D97A6F" w:rsidR="00472B6A" w:rsidRDefault="00075167" w:rsidP="00075167">
            <w:pPr>
              <w:pStyle w:val="S8Gazettetabletext"/>
            </w:pPr>
            <w:r>
              <w:t>On 8 December 2025, the APVMA varied the product registration and label approval to increase withholding periods after use of the product from 1 to 14 days for blueberries and 7 to 14 days for blackberries and raspberries, with the holder</w:t>
            </w:r>
            <w:r>
              <w:t>’</w:t>
            </w:r>
            <w:r>
              <w:t xml:space="preserve">s consent under section 29A of the </w:t>
            </w:r>
            <w:proofErr w:type="spellStart"/>
            <w:r>
              <w:t>Agvet</w:t>
            </w:r>
            <w:proofErr w:type="spellEnd"/>
            <w:r>
              <w:t xml:space="preserve"> Code. Therefore, the reason for the APVMA</w:t>
            </w:r>
            <w:r>
              <w:t>’</w:t>
            </w:r>
            <w:r>
              <w:t>s decision to suspend the product registration has been removed.</w:t>
            </w:r>
          </w:p>
        </w:tc>
      </w:tr>
      <w:bookmarkEnd w:id="22"/>
      <w:bookmarkEnd w:id="23"/>
    </w:tbl>
    <w:p w14:paraId="07C92F42" w14:textId="77777777" w:rsidR="001A4A93" w:rsidRDefault="001A4A93" w:rsidP="001A4A93">
      <w:pPr>
        <w:pStyle w:val="S8Gazettetabletext"/>
        <w:rPr>
          <w:rStyle w:val="Hyperlink"/>
          <w:color w:val="000000"/>
          <w:u w:val="none"/>
        </w:rPr>
        <w:sectPr w:rsidR="001A4A93" w:rsidSect="00CB73E0">
          <w:pgSz w:w="11906" w:h="16838"/>
          <w:pgMar w:top="1440" w:right="1134" w:bottom="1440" w:left="1134" w:header="794" w:footer="737" w:gutter="0"/>
          <w:cols w:space="708"/>
          <w:docGrid w:linePitch="360"/>
        </w:sectPr>
      </w:pPr>
    </w:p>
    <w:p w14:paraId="74B3FE25" w14:textId="77777777" w:rsidR="00170426" w:rsidRDefault="00170426" w:rsidP="00170426">
      <w:pPr>
        <w:pStyle w:val="GazetteHeading1"/>
      </w:pPr>
      <w:bookmarkStart w:id="24" w:name="_Toc217376731"/>
      <w:r w:rsidRPr="00A93D2B">
        <w:lastRenderedPageBreak/>
        <w:t>New veterinary chemical products containing a new veterinary active constituent</w:t>
      </w:r>
      <w:bookmarkEnd w:id="24"/>
    </w:p>
    <w:p w14:paraId="3829C8A7" w14:textId="77777777" w:rsidR="00170426" w:rsidRDefault="00170426" w:rsidP="00170426">
      <w:pPr>
        <w:pStyle w:val="GazetteNormalText"/>
      </w:pPr>
      <w:r w:rsidRPr="00A93D2B">
        <w:t xml:space="preserve">The Australian Pesticides and Veterinary Medicines Authority (APVMA) has before it an application for the approval of a new active </w:t>
      </w:r>
      <w:r w:rsidRPr="00FD6DBD">
        <w:t xml:space="preserve">constituent, </w:t>
      </w:r>
      <w:bookmarkStart w:id="25" w:name="_Hlk210749478"/>
      <w:proofErr w:type="spellStart"/>
      <w:r w:rsidRPr="00484EDE">
        <w:rPr>
          <w:b/>
          <w:bCs/>
        </w:rPr>
        <w:t>molidustat</w:t>
      </w:r>
      <w:proofErr w:type="spellEnd"/>
      <w:r w:rsidRPr="00484EDE">
        <w:rPr>
          <w:b/>
          <w:bCs/>
        </w:rPr>
        <w:t xml:space="preserve"> sodium</w:t>
      </w:r>
      <w:bookmarkEnd w:id="25"/>
      <w:r w:rsidRPr="00FD6DBD">
        <w:t xml:space="preserve">, </w:t>
      </w:r>
      <w:r>
        <w:t xml:space="preserve">from </w:t>
      </w:r>
      <w:r w:rsidRPr="00145DD1">
        <w:t xml:space="preserve">Bayer </w:t>
      </w:r>
      <w:proofErr w:type="spellStart"/>
      <w:r w:rsidRPr="00145DD1">
        <w:t>Cropscience</w:t>
      </w:r>
      <w:proofErr w:type="spellEnd"/>
      <w:r w:rsidRPr="00145DD1">
        <w:t xml:space="preserve"> Pty Ltd</w:t>
      </w:r>
      <w:r>
        <w:t>,</w:t>
      </w:r>
      <w:r w:rsidRPr="00145DD1">
        <w:t xml:space="preserve"> </w:t>
      </w:r>
      <w:r w:rsidRPr="00FD6DBD">
        <w:t xml:space="preserve">and </w:t>
      </w:r>
      <w:r>
        <w:t xml:space="preserve">from </w:t>
      </w:r>
      <w:r w:rsidRPr="00E74630">
        <w:t>Elanco Australasia Pty Ltd</w:t>
      </w:r>
      <w:r>
        <w:t xml:space="preserve">, an </w:t>
      </w:r>
      <w:r w:rsidRPr="00FD6DBD">
        <w:t>application for the registration of a new product containing th</w:t>
      </w:r>
      <w:r>
        <w:t>is</w:t>
      </w:r>
      <w:r w:rsidRPr="00FD6DBD">
        <w:t xml:space="preserve"> new active constituent, </w:t>
      </w:r>
      <w:bookmarkStart w:id="26" w:name="_Hlk210749425"/>
      <w:proofErr w:type="spellStart"/>
      <w:r w:rsidRPr="00484EDE">
        <w:rPr>
          <w:rFonts w:eastAsia="Times New Roman" w:hAnsi="Arial" w:cstheme="minorBidi"/>
          <w:b/>
          <w:bCs/>
          <w:color w:val="auto"/>
          <w:bdr w:val="none" w:sz="0" w:space="0" w:color="auto"/>
          <w:lang w:val="en-AU" w:eastAsia="en-US"/>
        </w:rPr>
        <w:t>Varenzin</w:t>
      </w:r>
      <w:proofErr w:type="spellEnd"/>
      <w:r w:rsidRPr="00484EDE">
        <w:rPr>
          <w:rFonts w:eastAsia="Times New Roman" w:hAnsi="Arial" w:cstheme="minorBidi"/>
          <w:b/>
          <w:bCs/>
          <w:color w:val="auto"/>
          <w:bdr w:val="none" w:sz="0" w:space="0" w:color="auto"/>
          <w:lang w:val="en-AU" w:eastAsia="en-US"/>
        </w:rPr>
        <w:t xml:space="preserve"> Oral Suspension for Cats</w:t>
      </w:r>
      <w:r>
        <w:rPr>
          <w:rFonts w:eastAsia="Times New Roman" w:hAnsi="Arial" w:cstheme="minorBidi"/>
          <w:color w:val="auto"/>
          <w:bdr w:val="none" w:sz="0" w:space="0" w:color="auto"/>
          <w:lang w:val="en-AU" w:eastAsia="en-US"/>
        </w:rPr>
        <w:t>,</w:t>
      </w:r>
      <w:r w:rsidRPr="00FD6DBD">
        <w:rPr>
          <w:color w:val="auto"/>
        </w:rPr>
        <w:t xml:space="preserve"> </w:t>
      </w:r>
      <w:bookmarkEnd w:id="26"/>
      <w:r w:rsidRPr="00FD6DBD">
        <w:t xml:space="preserve">as an </w:t>
      </w:r>
      <w:r w:rsidRPr="00FD6DBD">
        <w:rPr>
          <w:lang w:val="en-AU"/>
        </w:rPr>
        <w:t>aid in the control of nonregenerative anaemia associated with chronic kidney disease (CKD) in cats</w:t>
      </w:r>
      <w:r w:rsidRPr="00FD6DBD">
        <w:t>.</w:t>
      </w:r>
    </w:p>
    <w:p w14:paraId="36038835" w14:textId="77777777" w:rsidR="00170426" w:rsidRDefault="00170426" w:rsidP="00170426">
      <w:pPr>
        <w:pStyle w:val="GazetteHeading2"/>
        <w:jc w:val="both"/>
      </w:pPr>
      <w:r w:rsidRPr="00E12786">
        <w:t xml:space="preserve">Active constituent </w:t>
      </w:r>
      <w:r>
        <w:t>particulars</w:t>
      </w:r>
    </w:p>
    <w:p w14:paraId="408D356A" w14:textId="77777777" w:rsidR="00170426" w:rsidRDefault="00170426" w:rsidP="00170426">
      <w:pPr>
        <w:pStyle w:val="GazetteNormalText"/>
      </w:pPr>
      <w:r>
        <w:t>T</w:t>
      </w:r>
      <w:r w:rsidRPr="00FD6DBD">
        <w:t>he APVMA has evaluated the safety of the new active constituent</w:t>
      </w:r>
      <w:r w:rsidRPr="007362C7">
        <w:rPr>
          <w:lang w:val="en-AU"/>
        </w:rPr>
        <w:t xml:space="preserve"> </w:t>
      </w:r>
      <w:proofErr w:type="spellStart"/>
      <w:r w:rsidRPr="007362C7">
        <w:rPr>
          <w:lang w:val="en-AU"/>
        </w:rPr>
        <w:t>m</w:t>
      </w:r>
      <w:r w:rsidRPr="00FD6DBD">
        <w:rPr>
          <w:lang w:val="en-AU"/>
        </w:rPr>
        <w:t>olidustat</w:t>
      </w:r>
      <w:proofErr w:type="spellEnd"/>
      <w:r w:rsidRPr="00FD6DBD">
        <w:rPr>
          <w:lang w:val="en-AU"/>
        </w:rPr>
        <w:t xml:space="preserve"> sodium</w:t>
      </w:r>
      <w:r w:rsidRPr="00FD6DBD">
        <w:t>.</w:t>
      </w:r>
    </w:p>
    <w:p w14:paraId="04470D63" w14:textId="7BB6FF43" w:rsidR="00170426" w:rsidRDefault="00170426" w:rsidP="00170426">
      <w:pPr>
        <w:pStyle w:val="Caption"/>
      </w:pPr>
      <w:r>
        <w:t xml:space="preserve">Table </w:t>
      </w:r>
      <w:r>
        <w:fldChar w:fldCharType="begin"/>
      </w:r>
      <w:r>
        <w:instrText xml:space="preserve"> SEQ Table \* ARABIC </w:instrText>
      </w:r>
      <w:r>
        <w:fldChar w:fldCharType="separate"/>
      </w:r>
      <w:r w:rsidR="00472E89">
        <w:rPr>
          <w:noProof/>
        </w:rPr>
        <w:t>8</w:t>
      </w:r>
      <w:r>
        <w:rPr>
          <w:noProof/>
        </w:rPr>
        <w:fldChar w:fldCharType="end"/>
      </w:r>
      <w:r>
        <w:t xml:space="preserve">: </w:t>
      </w:r>
      <w:proofErr w:type="gramStart"/>
      <w:r>
        <w:t>Particulars of</w:t>
      </w:r>
      <w:proofErr w:type="gramEnd"/>
      <w:r>
        <w:t xml:space="preserve"> the active constituent </w:t>
      </w:r>
      <w:proofErr w:type="spellStart"/>
      <w:r>
        <w:t>m</w:t>
      </w:r>
      <w:r w:rsidRPr="00FD6DBD">
        <w:t>olidustat</w:t>
      </w:r>
      <w:proofErr w:type="spellEnd"/>
      <w:r w:rsidRPr="00FD6DBD">
        <w:t xml:space="preserve"> sodium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170426" w14:paraId="1FA3C1BC" w14:textId="77777777" w:rsidTr="00C640EB">
        <w:trPr>
          <w:tblHeader/>
        </w:trPr>
        <w:tc>
          <w:tcPr>
            <w:tcW w:w="2122" w:type="dxa"/>
            <w:shd w:val="clear" w:color="auto" w:fill="E7E6E6" w:themeFill="background2"/>
          </w:tcPr>
          <w:p w14:paraId="34D93554" w14:textId="77777777" w:rsidR="00170426" w:rsidRDefault="00170426" w:rsidP="00270A48">
            <w:pPr>
              <w:pStyle w:val="GazetteTableHeading"/>
            </w:pPr>
            <w:r>
              <w:t>Common name</w:t>
            </w:r>
          </w:p>
        </w:tc>
        <w:tc>
          <w:tcPr>
            <w:tcW w:w="7506" w:type="dxa"/>
          </w:tcPr>
          <w:p w14:paraId="0BDFB15C" w14:textId="77777777" w:rsidR="00170426" w:rsidRPr="00DE5083" w:rsidRDefault="00170426" w:rsidP="00270A48">
            <w:pPr>
              <w:pStyle w:val="GazetteTableText"/>
            </w:pPr>
            <w:proofErr w:type="spellStart"/>
            <w:r w:rsidRPr="00DE5083">
              <w:rPr>
                <w:lang w:val="en-AU"/>
              </w:rPr>
              <w:t>Molidustat</w:t>
            </w:r>
            <w:proofErr w:type="spellEnd"/>
            <w:r w:rsidRPr="00DE5083">
              <w:rPr>
                <w:lang w:val="en-AU"/>
              </w:rPr>
              <w:t xml:space="preserve"> sodium</w:t>
            </w:r>
          </w:p>
        </w:tc>
      </w:tr>
      <w:tr w:rsidR="00170426" w14:paraId="332FB6FE" w14:textId="77777777" w:rsidTr="00C640EB">
        <w:tc>
          <w:tcPr>
            <w:tcW w:w="2122" w:type="dxa"/>
            <w:shd w:val="clear" w:color="auto" w:fill="E7E6E6" w:themeFill="background2"/>
          </w:tcPr>
          <w:p w14:paraId="684BFC52" w14:textId="77777777" w:rsidR="00170426" w:rsidRDefault="00170426" w:rsidP="00270A48">
            <w:pPr>
              <w:pStyle w:val="GazetteTableHeading"/>
            </w:pPr>
            <w:r>
              <w:t>Applicant company</w:t>
            </w:r>
          </w:p>
        </w:tc>
        <w:tc>
          <w:tcPr>
            <w:tcW w:w="7506" w:type="dxa"/>
          </w:tcPr>
          <w:p w14:paraId="461BCA61" w14:textId="77777777" w:rsidR="00170426" w:rsidRPr="00DE5083" w:rsidRDefault="00170426" w:rsidP="00270A48">
            <w:pPr>
              <w:pStyle w:val="GazetteTableText"/>
              <w:rPr>
                <w:lang w:val="en-AU"/>
              </w:rPr>
            </w:pPr>
            <w:r w:rsidRPr="009D62EC">
              <w:rPr>
                <w:lang w:val="en-AU"/>
              </w:rPr>
              <w:t xml:space="preserve">Bayer </w:t>
            </w:r>
            <w:proofErr w:type="spellStart"/>
            <w:r w:rsidRPr="009D62EC">
              <w:rPr>
                <w:lang w:val="en-AU"/>
              </w:rPr>
              <w:t>Cropscience</w:t>
            </w:r>
            <w:proofErr w:type="spellEnd"/>
            <w:r w:rsidRPr="009D62EC">
              <w:rPr>
                <w:lang w:val="en-AU"/>
              </w:rPr>
              <w:t xml:space="preserve"> Pty Ltd</w:t>
            </w:r>
          </w:p>
        </w:tc>
      </w:tr>
      <w:tr w:rsidR="00170426" w14:paraId="1B84CEE0" w14:textId="77777777" w:rsidTr="00C640EB">
        <w:tc>
          <w:tcPr>
            <w:tcW w:w="2122" w:type="dxa"/>
            <w:shd w:val="clear" w:color="auto" w:fill="E7E6E6" w:themeFill="background2"/>
          </w:tcPr>
          <w:p w14:paraId="488BFA40" w14:textId="77777777" w:rsidR="00170426" w:rsidRDefault="00170426" w:rsidP="00270A48">
            <w:pPr>
              <w:pStyle w:val="GazetteTableHeading"/>
            </w:pPr>
            <w:r>
              <w:t>IUPAC name</w:t>
            </w:r>
          </w:p>
        </w:tc>
        <w:tc>
          <w:tcPr>
            <w:tcW w:w="7506" w:type="dxa"/>
          </w:tcPr>
          <w:p w14:paraId="3D0C4A22" w14:textId="77777777" w:rsidR="00170426" w:rsidRPr="00DE5083" w:rsidRDefault="00170426" w:rsidP="00270A48">
            <w:pPr>
              <w:pStyle w:val="GazetteTableText"/>
              <w:rPr>
                <w:lang w:val="en-AU"/>
              </w:rPr>
            </w:pPr>
            <w:r w:rsidRPr="00DE5083">
              <w:rPr>
                <w:lang w:val="en-AU"/>
              </w:rPr>
              <w:t>Sodium 1-[6-(morpholin-4-</w:t>
            </w:r>
            <w:proofErr w:type="gramStart"/>
            <w:r w:rsidRPr="00DE5083">
              <w:rPr>
                <w:lang w:val="en-AU"/>
              </w:rPr>
              <w:t>yl)pyrimidin</w:t>
            </w:r>
            <w:proofErr w:type="gramEnd"/>
            <w:r w:rsidRPr="00DE5083">
              <w:rPr>
                <w:lang w:val="en-AU"/>
              </w:rPr>
              <w:t>-4-yl]-4-(1</w:t>
            </w:r>
            <w:r w:rsidRPr="00DE5083">
              <w:rPr>
                <w:i/>
                <w:iCs/>
                <w:lang w:val="en-AU"/>
              </w:rPr>
              <w:t>H</w:t>
            </w:r>
            <w:r w:rsidRPr="00DE5083">
              <w:rPr>
                <w:lang w:val="en-AU"/>
              </w:rPr>
              <w:t>-1,2,3-triazol-1-yl)-1</w:t>
            </w:r>
            <w:r w:rsidRPr="00DE5083">
              <w:rPr>
                <w:i/>
                <w:iCs/>
                <w:lang w:val="en-AU"/>
              </w:rPr>
              <w:t>H</w:t>
            </w:r>
            <w:r w:rsidRPr="00DE5083">
              <w:rPr>
                <w:lang w:val="en-AU"/>
              </w:rPr>
              <w:t>-pyrazol-5-olate</w:t>
            </w:r>
          </w:p>
        </w:tc>
      </w:tr>
      <w:tr w:rsidR="00170426" w14:paraId="6BC46A29" w14:textId="77777777" w:rsidTr="00C640EB">
        <w:tc>
          <w:tcPr>
            <w:tcW w:w="2122" w:type="dxa"/>
            <w:shd w:val="clear" w:color="auto" w:fill="E7E6E6" w:themeFill="background2"/>
          </w:tcPr>
          <w:p w14:paraId="510116A7" w14:textId="77777777" w:rsidR="00170426" w:rsidRDefault="00170426" w:rsidP="00270A48">
            <w:pPr>
              <w:pStyle w:val="GazetteTableHeading"/>
            </w:pPr>
            <w:r>
              <w:t>CAS name</w:t>
            </w:r>
          </w:p>
        </w:tc>
        <w:tc>
          <w:tcPr>
            <w:tcW w:w="7506" w:type="dxa"/>
          </w:tcPr>
          <w:p w14:paraId="31CEF61C" w14:textId="77777777" w:rsidR="00170426" w:rsidRDefault="00170426" w:rsidP="00270A48">
            <w:pPr>
              <w:pStyle w:val="GazetteTableText"/>
            </w:pPr>
            <w:r w:rsidRPr="00DE5083">
              <w:rPr>
                <w:lang w:val="en-AU"/>
              </w:rPr>
              <w:t>1</w:t>
            </w:r>
            <w:r w:rsidRPr="00DE5083">
              <w:rPr>
                <w:i/>
                <w:iCs/>
                <w:lang w:val="en-AU"/>
              </w:rPr>
              <w:t>H</w:t>
            </w:r>
            <w:r w:rsidRPr="00DE5083">
              <w:rPr>
                <w:lang w:val="en-AU"/>
              </w:rPr>
              <w:t>-Pyrazol-5-ol, 1-[6-(4-morpholinyl)-4-pyrimidinyl]-4-(1</w:t>
            </w:r>
            <w:r w:rsidRPr="00DE5083">
              <w:rPr>
                <w:i/>
                <w:iCs/>
                <w:lang w:val="en-AU"/>
              </w:rPr>
              <w:t>H</w:t>
            </w:r>
            <w:r w:rsidRPr="00DE5083">
              <w:rPr>
                <w:lang w:val="en-AU"/>
              </w:rPr>
              <w:t>-1,2,3-triazol-1-yl)-, sodium salt (1:1)</w:t>
            </w:r>
          </w:p>
        </w:tc>
      </w:tr>
      <w:tr w:rsidR="00170426" w14:paraId="6EE74610" w14:textId="77777777" w:rsidTr="00C640EB">
        <w:tc>
          <w:tcPr>
            <w:tcW w:w="2122" w:type="dxa"/>
            <w:shd w:val="clear" w:color="auto" w:fill="E7E6E6" w:themeFill="background2"/>
          </w:tcPr>
          <w:p w14:paraId="69298680" w14:textId="77777777" w:rsidR="00170426" w:rsidRDefault="00170426" w:rsidP="00270A48">
            <w:pPr>
              <w:pStyle w:val="GazetteTableHeading"/>
            </w:pPr>
            <w:r>
              <w:t>CAS registry number</w:t>
            </w:r>
          </w:p>
        </w:tc>
        <w:tc>
          <w:tcPr>
            <w:tcW w:w="7506" w:type="dxa"/>
          </w:tcPr>
          <w:p w14:paraId="7919D402" w14:textId="77777777" w:rsidR="00170426" w:rsidRDefault="00170426" w:rsidP="00270A48">
            <w:pPr>
              <w:pStyle w:val="GazetteTableText"/>
            </w:pPr>
            <w:r w:rsidRPr="00DE5083">
              <w:rPr>
                <w:lang w:val="en-AU"/>
              </w:rPr>
              <w:t>1375799-59-9</w:t>
            </w:r>
          </w:p>
        </w:tc>
      </w:tr>
      <w:tr w:rsidR="00170426" w14:paraId="126C0681" w14:textId="77777777" w:rsidTr="00C640EB">
        <w:tc>
          <w:tcPr>
            <w:tcW w:w="2122" w:type="dxa"/>
            <w:shd w:val="clear" w:color="auto" w:fill="E7E6E6" w:themeFill="background2"/>
          </w:tcPr>
          <w:p w14:paraId="3977BF09" w14:textId="77777777" w:rsidR="00170426" w:rsidRPr="00503966" w:rsidRDefault="00170426" w:rsidP="00270A48">
            <w:pPr>
              <w:pStyle w:val="GazetteTableHeading"/>
              <w:rPr>
                <w:szCs w:val="16"/>
              </w:rPr>
            </w:pPr>
            <w:r w:rsidRPr="00503966">
              <w:rPr>
                <w:szCs w:val="16"/>
              </w:rPr>
              <w:t xml:space="preserve">Specific </w:t>
            </w:r>
            <w:r w:rsidRPr="00503966">
              <w:rPr>
                <w:spacing w:val="-2"/>
                <w:szCs w:val="16"/>
              </w:rPr>
              <w:t>purity</w:t>
            </w:r>
          </w:p>
        </w:tc>
        <w:tc>
          <w:tcPr>
            <w:tcW w:w="7506" w:type="dxa"/>
          </w:tcPr>
          <w:p w14:paraId="41E89369" w14:textId="77777777" w:rsidR="00170426" w:rsidRPr="00503966" w:rsidRDefault="00170426" w:rsidP="00270A48">
            <w:pPr>
              <w:pStyle w:val="GazetteTableText"/>
              <w:rPr>
                <w:szCs w:val="16"/>
              </w:rPr>
            </w:pPr>
            <w:r w:rsidRPr="00503966">
              <w:rPr>
                <w:spacing w:val="-2"/>
                <w:szCs w:val="16"/>
              </w:rPr>
              <w:t>98.0-102.0% (dried substance)</w:t>
            </w:r>
          </w:p>
        </w:tc>
      </w:tr>
      <w:tr w:rsidR="00170426" w14:paraId="067DD647" w14:textId="77777777" w:rsidTr="00C640EB">
        <w:tc>
          <w:tcPr>
            <w:tcW w:w="2122" w:type="dxa"/>
            <w:shd w:val="clear" w:color="auto" w:fill="E7E6E6" w:themeFill="background2"/>
          </w:tcPr>
          <w:p w14:paraId="554230CB" w14:textId="77777777" w:rsidR="00170426" w:rsidRDefault="00170426" w:rsidP="00270A48">
            <w:pPr>
              <w:pStyle w:val="GazetteTableHeading"/>
            </w:pPr>
            <w:r>
              <w:t>Molecular formula</w:t>
            </w:r>
          </w:p>
        </w:tc>
        <w:tc>
          <w:tcPr>
            <w:tcW w:w="7506" w:type="dxa"/>
          </w:tcPr>
          <w:p w14:paraId="6756C2D8" w14:textId="77777777" w:rsidR="00170426" w:rsidRDefault="00170426" w:rsidP="00270A48">
            <w:pPr>
              <w:pStyle w:val="GazetteTableText"/>
            </w:pPr>
            <w:r w:rsidRPr="00DE5083">
              <w:rPr>
                <w:lang w:val="en-AU"/>
              </w:rPr>
              <w:t>C</w:t>
            </w:r>
            <w:r w:rsidRPr="00DE5083">
              <w:rPr>
                <w:vertAlign w:val="subscript"/>
                <w:lang w:val="en-AU"/>
              </w:rPr>
              <w:t>13</w:t>
            </w:r>
            <w:r w:rsidRPr="00DE5083">
              <w:rPr>
                <w:lang w:val="en-AU"/>
              </w:rPr>
              <w:t>H</w:t>
            </w:r>
            <w:r w:rsidRPr="00DE5083">
              <w:rPr>
                <w:vertAlign w:val="subscript"/>
                <w:lang w:val="en-AU"/>
              </w:rPr>
              <w:t>13</w:t>
            </w:r>
            <w:r w:rsidRPr="00DE5083">
              <w:rPr>
                <w:lang w:val="en-AU"/>
              </w:rPr>
              <w:t>N</w:t>
            </w:r>
            <w:r w:rsidRPr="00DE5083">
              <w:rPr>
                <w:vertAlign w:val="subscript"/>
                <w:lang w:val="en-AU"/>
              </w:rPr>
              <w:t>8</w:t>
            </w:r>
            <w:r w:rsidRPr="00DE5083">
              <w:rPr>
                <w:lang w:val="en-AU"/>
              </w:rPr>
              <w:t>NaO</w:t>
            </w:r>
            <w:r w:rsidRPr="00DE5083">
              <w:rPr>
                <w:vertAlign w:val="subscript"/>
                <w:lang w:val="en-AU"/>
              </w:rPr>
              <w:t>2</w:t>
            </w:r>
          </w:p>
        </w:tc>
      </w:tr>
      <w:tr w:rsidR="00170426" w14:paraId="0422D07A" w14:textId="77777777" w:rsidTr="00C640EB">
        <w:tc>
          <w:tcPr>
            <w:tcW w:w="2122" w:type="dxa"/>
            <w:shd w:val="clear" w:color="auto" w:fill="E7E6E6" w:themeFill="background2"/>
          </w:tcPr>
          <w:p w14:paraId="2492144C" w14:textId="77777777" w:rsidR="00170426" w:rsidRDefault="00170426" w:rsidP="00270A48">
            <w:pPr>
              <w:pStyle w:val="GazetteTableHeading"/>
            </w:pPr>
            <w:r>
              <w:t>Molecular weight</w:t>
            </w:r>
          </w:p>
        </w:tc>
        <w:tc>
          <w:tcPr>
            <w:tcW w:w="7506" w:type="dxa"/>
          </w:tcPr>
          <w:p w14:paraId="13216B6C" w14:textId="77777777" w:rsidR="00170426" w:rsidRDefault="00170426" w:rsidP="00270A48">
            <w:pPr>
              <w:pStyle w:val="GazetteTableText"/>
            </w:pPr>
            <w:r w:rsidRPr="00DE5083">
              <w:rPr>
                <w:lang w:val="en-AU"/>
              </w:rPr>
              <w:t>336.28 g</w:t>
            </w:r>
            <w:r>
              <w:rPr>
                <w:lang w:val="en-AU"/>
              </w:rPr>
              <w:t>/</w:t>
            </w:r>
            <w:r w:rsidRPr="00DE5083">
              <w:rPr>
                <w:lang w:val="en-AU"/>
              </w:rPr>
              <w:t>mol</w:t>
            </w:r>
          </w:p>
        </w:tc>
      </w:tr>
      <w:tr w:rsidR="00170426" w14:paraId="0F915434" w14:textId="77777777" w:rsidTr="00C640EB">
        <w:trPr>
          <w:trHeight w:val="2477"/>
        </w:trPr>
        <w:tc>
          <w:tcPr>
            <w:tcW w:w="2122" w:type="dxa"/>
            <w:shd w:val="clear" w:color="auto" w:fill="E7E6E6" w:themeFill="background2"/>
          </w:tcPr>
          <w:p w14:paraId="46A47B50" w14:textId="77777777" w:rsidR="00170426" w:rsidRDefault="00170426" w:rsidP="00270A48">
            <w:pPr>
              <w:pStyle w:val="GazetteTableHeading"/>
            </w:pPr>
            <w:r>
              <w:t>Structure</w:t>
            </w:r>
          </w:p>
        </w:tc>
        <w:tc>
          <w:tcPr>
            <w:tcW w:w="7506" w:type="dxa"/>
          </w:tcPr>
          <w:p w14:paraId="2F1B7F3C" w14:textId="77777777" w:rsidR="00170426" w:rsidRDefault="00170426" w:rsidP="00270A48">
            <w:pPr>
              <w:pStyle w:val="GazetteTableText"/>
            </w:pPr>
            <w:r>
              <w:rPr>
                <w:noProof/>
              </w:rPr>
              <w:drawing>
                <wp:anchor distT="0" distB="0" distL="114300" distR="114300" simplePos="0" relativeHeight="251661312" behindDoc="0" locked="0" layoutInCell="1" allowOverlap="1" wp14:anchorId="7BEB64D4" wp14:editId="10880836">
                  <wp:simplePos x="0" y="0"/>
                  <wp:positionH relativeFrom="column">
                    <wp:posOffset>-413</wp:posOffset>
                  </wp:positionH>
                  <wp:positionV relativeFrom="paragraph">
                    <wp:posOffset>102842</wp:posOffset>
                  </wp:positionV>
                  <wp:extent cx="1757238" cy="1425115"/>
                  <wp:effectExtent l="0" t="0" r="0" b="3810"/>
                  <wp:wrapNone/>
                  <wp:docPr id="719717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17781" name=""/>
                          <pic:cNvPicPr/>
                        </pic:nvPicPr>
                        <pic:blipFill>
                          <a:blip r:embed="rId28">
                            <a:extLst>
                              <a:ext uri="{28A0092B-C50C-407E-A947-70E740481C1C}">
                                <a14:useLocalDpi xmlns:a14="http://schemas.microsoft.com/office/drawing/2010/main" val="0"/>
                              </a:ext>
                            </a:extLst>
                          </a:blip>
                          <a:stretch>
                            <a:fillRect/>
                          </a:stretch>
                        </pic:blipFill>
                        <pic:spPr>
                          <a:xfrm>
                            <a:off x="0" y="0"/>
                            <a:ext cx="1773414" cy="1438234"/>
                          </a:xfrm>
                          <a:prstGeom prst="rect">
                            <a:avLst/>
                          </a:prstGeom>
                        </pic:spPr>
                      </pic:pic>
                    </a:graphicData>
                  </a:graphic>
                  <wp14:sizeRelH relativeFrom="page">
                    <wp14:pctWidth>0</wp14:pctWidth>
                  </wp14:sizeRelH>
                  <wp14:sizeRelV relativeFrom="page">
                    <wp14:pctHeight>0</wp14:pctHeight>
                  </wp14:sizeRelV>
                </wp:anchor>
              </w:drawing>
            </w:r>
          </w:p>
          <w:p w14:paraId="4CECEC19" w14:textId="77777777" w:rsidR="00170426" w:rsidRDefault="00170426" w:rsidP="00270A48">
            <w:pPr>
              <w:pStyle w:val="GazetteTableText"/>
            </w:pPr>
          </w:p>
          <w:p w14:paraId="382A69FA" w14:textId="77777777" w:rsidR="00170426" w:rsidRDefault="00170426" w:rsidP="00270A48">
            <w:pPr>
              <w:pStyle w:val="GazetteTableText"/>
            </w:pPr>
          </w:p>
          <w:p w14:paraId="4E306F11" w14:textId="77777777" w:rsidR="00170426" w:rsidRDefault="00170426" w:rsidP="00270A48">
            <w:pPr>
              <w:pStyle w:val="GazetteTableText"/>
            </w:pPr>
          </w:p>
          <w:p w14:paraId="3321B173" w14:textId="77777777" w:rsidR="00170426" w:rsidRDefault="00170426" w:rsidP="00270A48">
            <w:pPr>
              <w:pStyle w:val="GazetteTableText"/>
            </w:pPr>
          </w:p>
          <w:p w14:paraId="2EA14D30" w14:textId="77777777" w:rsidR="00170426" w:rsidRDefault="00170426" w:rsidP="00270A48">
            <w:pPr>
              <w:pStyle w:val="GazetteTableText"/>
            </w:pPr>
          </w:p>
          <w:p w14:paraId="7D1AFE0E" w14:textId="77777777" w:rsidR="00170426" w:rsidRDefault="00170426" w:rsidP="00270A48">
            <w:pPr>
              <w:pStyle w:val="GazetteTableText"/>
            </w:pPr>
          </w:p>
        </w:tc>
      </w:tr>
      <w:tr w:rsidR="00170426" w14:paraId="3E9BF3ED" w14:textId="77777777" w:rsidTr="00C640EB">
        <w:tc>
          <w:tcPr>
            <w:tcW w:w="2122" w:type="dxa"/>
            <w:shd w:val="clear" w:color="auto" w:fill="E7E6E6" w:themeFill="background2"/>
          </w:tcPr>
          <w:p w14:paraId="5557FEC5" w14:textId="77777777" w:rsidR="00170426" w:rsidRDefault="00170426" w:rsidP="00270A48">
            <w:pPr>
              <w:pStyle w:val="GazetteTableHeading"/>
            </w:pPr>
            <w:r>
              <w:t>Chemical family</w:t>
            </w:r>
          </w:p>
        </w:tc>
        <w:tc>
          <w:tcPr>
            <w:tcW w:w="7506" w:type="dxa"/>
          </w:tcPr>
          <w:p w14:paraId="2BD5A808" w14:textId="77777777" w:rsidR="00170426" w:rsidRDefault="00170426" w:rsidP="00270A48">
            <w:pPr>
              <w:pStyle w:val="GazetteTableText"/>
            </w:pPr>
            <w:r w:rsidRPr="009C2A9A">
              <w:t> </w:t>
            </w:r>
            <w:r w:rsidRPr="009C2A9A">
              <w:rPr>
                <w:lang w:val="en-AU"/>
              </w:rPr>
              <w:t>Chemical families of</w:t>
            </w:r>
            <w:r>
              <w:rPr>
                <w:lang w:val="en-AU"/>
              </w:rPr>
              <w:t xml:space="preserve"> </w:t>
            </w:r>
            <w:r w:rsidRPr="009C2A9A">
              <w:t>pyrazolones,</w:t>
            </w:r>
            <w:r w:rsidRPr="009C2A9A">
              <w:t> </w:t>
            </w:r>
            <w:r w:rsidRPr="009C2A9A">
              <w:t>pyrazoles, and</w:t>
            </w:r>
            <w:r w:rsidRPr="009C2A9A">
              <w:t> </w:t>
            </w:r>
            <w:r w:rsidRPr="009C2A9A">
              <w:t>triazoles</w:t>
            </w:r>
          </w:p>
        </w:tc>
      </w:tr>
      <w:tr w:rsidR="00170426" w14:paraId="684AA297" w14:textId="77777777" w:rsidTr="00C640EB">
        <w:tc>
          <w:tcPr>
            <w:tcW w:w="2122" w:type="dxa"/>
            <w:shd w:val="clear" w:color="auto" w:fill="E7E6E6" w:themeFill="background2"/>
          </w:tcPr>
          <w:p w14:paraId="7FE9ADB3" w14:textId="77777777" w:rsidR="00170426" w:rsidRDefault="00170426" w:rsidP="00270A48">
            <w:pPr>
              <w:pStyle w:val="GazetteTableHeading"/>
            </w:pPr>
            <w:r>
              <w:t>Mode of action</w:t>
            </w:r>
          </w:p>
        </w:tc>
        <w:tc>
          <w:tcPr>
            <w:tcW w:w="7506" w:type="dxa"/>
          </w:tcPr>
          <w:p w14:paraId="42B9ADBA" w14:textId="77777777" w:rsidR="00170426" w:rsidRDefault="00170426" w:rsidP="00270A48">
            <w:pPr>
              <w:pStyle w:val="GazetteTableText"/>
              <w:spacing w:line="360" w:lineRule="auto"/>
            </w:pPr>
            <w:proofErr w:type="spellStart"/>
            <w:r w:rsidRPr="00DE5083">
              <w:rPr>
                <w:lang w:val="en-AU"/>
              </w:rPr>
              <w:t>Molidustat</w:t>
            </w:r>
            <w:proofErr w:type="spellEnd"/>
            <w:r w:rsidRPr="00DE5083">
              <w:rPr>
                <w:lang w:val="en-AU"/>
              </w:rPr>
              <w:t xml:space="preserve"> acts as a hypoxia-inducible factor prolyl-hydroxylase inhibitor (HIF-PHI). </w:t>
            </w:r>
          </w:p>
        </w:tc>
      </w:tr>
    </w:tbl>
    <w:p w14:paraId="124C7BE3" w14:textId="4A139A54" w:rsidR="00170426" w:rsidRPr="00003555" w:rsidRDefault="00170426" w:rsidP="00170426">
      <w:pPr>
        <w:pStyle w:val="GazetteHeading2"/>
        <w:rPr>
          <w:iCs w:val="0"/>
        </w:rPr>
      </w:pPr>
      <w:r>
        <w:br w:type="page"/>
      </w:r>
      <w:r>
        <w:lastRenderedPageBreak/>
        <w:t xml:space="preserve">Summary of the APVMA’s </w:t>
      </w:r>
      <w:r w:rsidRPr="009C2A9A">
        <w:t xml:space="preserve">evaluation of </w:t>
      </w:r>
      <w:proofErr w:type="spellStart"/>
      <w:r w:rsidR="00713D0D">
        <w:rPr>
          <w:bCs w:val="0"/>
          <w:lang w:val="en-AU"/>
        </w:rPr>
        <w:t>m</w:t>
      </w:r>
      <w:r w:rsidRPr="009C2A9A">
        <w:rPr>
          <w:bCs w:val="0"/>
          <w:lang w:val="en-AU"/>
        </w:rPr>
        <w:t>olidustat</w:t>
      </w:r>
      <w:proofErr w:type="spellEnd"/>
      <w:r w:rsidRPr="009C2A9A">
        <w:rPr>
          <w:bCs w:val="0"/>
          <w:lang w:val="en-AU"/>
        </w:rPr>
        <w:t xml:space="preserve"> sodium</w:t>
      </w:r>
      <w:r w:rsidRPr="009C2A9A">
        <w:rPr>
          <w:lang w:val="en-AU"/>
        </w:rPr>
        <w:t xml:space="preserve"> </w:t>
      </w:r>
      <w:r w:rsidRPr="009C2A9A">
        <w:t>active</w:t>
      </w:r>
      <w:r>
        <w:t xml:space="preserve"> constituent</w:t>
      </w:r>
    </w:p>
    <w:p w14:paraId="1B395EB3" w14:textId="77777777" w:rsidR="00170426" w:rsidRDefault="00170426" w:rsidP="00170426">
      <w:pPr>
        <w:pStyle w:val="GazetteNormalText"/>
        <w:rPr>
          <w:lang w:val="en-AU"/>
        </w:rPr>
      </w:pPr>
      <w:r w:rsidRPr="00284018">
        <w:rPr>
          <w:lang w:val="en-AU"/>
        </w:rPr>
        <w:t>A summary of the APVMA</w:t>
      </w:r>
      <w:r w:rsidRPr="00284018">
        <w:rPr>
          <w:lang w:val="en-AU"/>
        </w:rPr>
        <w:t>’</w:t>
      </w:r>
      <w:r w:rsidRPr="00284018">
        <w:rPr>
          <w:lang w:val="en-AU"/>
        </w:rPr>
        <w:t xml:space="preserve">s evaluation of </w:t>
      </w:r>
      <w:proofErr w:type="spellStart"/>
      <w:r w:rsidRPr="00512CA0">
        <w:rPr>
          <w:b/>
          <w:bCs/>
        </w:rPr>
        <w:t>molidustat</w:t>
      </w:r>
      <w:proofErr w:type="spellEnd"/>
      <w:r w:rsidRPr="00512CA0">
        <w:rPr>
          <w:b/>
          <w:bCs/>
        </w:rPr>
        <w:t xml:space="preserve"> sodium</w:t>
      </w:r>
      <w:r>
        <w:t xml:space="preserve"> </w:t>
      </w:r>
      <w:r w:rsidRPr="00284018">
        <w:rPr>
          <w:lang w:val="en-AU"/>
        </w:rPr>
        <w:t>in accordance with the requirements of section 14(1)(</w:t>
      </w:r>
      <w:r>
        <w:rPr>
          <w:lang w:val="en-AU"/>
        </w:rPr>
        <w:t>b</w:t>
      </w:r>
      <w:r w:rsidRPr="00284018">
        <w:rPr>
          <w:lang w:val="en-AU"/>
        </w:rPr>
        <w:t xml:space="preserve">) of the Agricultural and Veterinary Chemicals Code (the </w:t>
      </w:r>
      <w:r w:rsidRPr="00284018">
        <w:rPr>
          <w:lang w:val="en-AU"/>
        </w:rPr>
        <w:t>‘</w:t>
      </w:r>
      <w:proofErr w:type="spellStart"/>
      <w:r w:rsidRPr="00284018">
        <w:rPr>
          <w:lang w:val="en-AU"/>
        </w:rPr>
        <w:t>Agvet</w:t>
      </w:r>
      <w:proofErr w:type="spellEnd"/>
      <w:r w:rsidRPr="00284018">
        <w:rPr>
          <w:lang w:val="en-AU"/>
        </w:rPr>
        <w:t xml:space="preserve"> Code</w:t>
      </w:r>
      <w:r w:rsidRPr="00284018">
        <w:rPr>
          <w:lang w:val="en-AU"/>
        </w:rPr>
        <w:t>’</w:t>
      </w:r>
      <w:r w:rsidRPr="00284018">
        <w:rPr>
          <w:lang w:val="en-AU"/>
        </w:rPr>
        <w:t xml:space="preserve">), scheduled to the </w:t>
      </w:r>
      <w:r w:rsidRPr="00284018">
        <w:rPr>
          <w:i/>
          <w:iCs/>
          <w:lang w:val="en-AU"/>
        </w:rPr>
        <w:t>Agricultural and Veterinary Chemicals Code Act 1994</w:t>
      </w:r>
      <w:r>
        <w:rPr>
          <w:lang w:val="en-AU"/>
        </w:rPr>
        <w:t>:</w:t>
      </w:r>
    </w:p>
    <w:p w14:paraId="02F2CB74" w14:textId="1FF09E53" w:rsidR="00170426" w:rsidRPr="00A02E40" w:rsidRDefault="00170426" w:rsidP="00170426">
      <w:pPr>
        <w:pStyle w:val="GazetteNormalText"/>
        <w:numPr>
          <w:ilvl w:val="0"/>
          <w:numId w:val="27"/>
        </w:numPr>
        <w:rPr>
          <w:lang w:val="en-AU"/>
        </w:rPr>
      </w:pPr>
      <w:r>
        <w:rPr>
          <w:lang w:val="en-AU"/>
        </w:rPr>
        <w:t>Th</w:t>
      </w:r>
      <w:r w:rsidRPr="00D64453">
        <w:rPr>
          <w:lang w:val="en-AU"/>
        </w:rPr>
        <w:t>e APVMA has evaluated the</w:t>
      </w:r>
      <w:r>
        <w:rPr>
          <w:lang w:val="en-AU"/>
        </w:rPr>
        <w:t xml:space="preserve"> application and in its assessment, </w:t>
      </w:r>
      <w:r w:rsidRPr="00284018">
        <w:rPr>
          <w:lang w:val="en-AU"/>
        </w:rPr>
        <w:t xml:space="preserve">in relation to whether the safety criteria have been met in accordance with the definition set out in section 5A of the </w:t>
      </w:r>
      <w:proofErr w:type="spellStart"/>
      <w:r w:rsidRPr="00284018">
        <w:rPr>
          <w:lang w:val="en-AU"/>
        </w:rPr>
        <w:t>Agvet</w:t>
      </w:r>
      <w:proofErr w:type="spellEnd"/>
      <w:r w:rsidRPr="00284018">
        <w:rPr>
          <w:lang w:val="en-AU"/>
        </w:rPr>
        <w:t xml:space="preserve"> Code</w:t>
      </w:r>
      <w:r>
        <w:rPr>
          <w:lang w:val="en-AU"/>
        </w:rPr>
        <w:t xml:space="preserve">, </w:t>
      </w:r>
      <w:r w:rsidRPr="00284018">
        <w:rPr>
          <w:lang w:val="en-AU"/>
        </w:rPr>
        <w:t>proposes to determine that:</w:t>
      </w:r>
    </w:p>
    <w:p w14:paraId="3773CD20" w14:textId="463FA1E6" w:rsidR="00170426" w:rsidRPr="00A02E40" w:rsidRDefault="00170426" w:rsidP="00170426">
      <w:pPr>
        <w:pStyle w:val="GazetteNormalText"/>
        <w:numPr>
          <w:ilvl w:val="1"/>
          <w:numId w:val="27"/>
        </w:numPr>
        <w:rPr>
          <w:lang w:val="en-AU"/>
        </w:rPr>
      </w:pPr>
      <w:r w:rsidRPr="00A02E40">
        <w:rPr>
          <w:lang w:val="en-AU"/>
        </w:rPr>
        <w:t xml:space="preserve">The APVMA is satisfied that the chemistry aspects of </w:t>
      </w:r>
      <w:proofErr w:type="spellStart"/>
      <w:r w:rsidRPr="00A02E40">
        <w:rPr>
          <w:lang w:val="en-AU"/>
        </w:rPr>
        <w:t>molidustat</w:t>
      </w:r>
      <w:proofErr w:type="spellEnd"/>
      <w:r w:rsidRPr="00A02E40">
        <w:rPr>
          <w:lang w:val="en-AU"/>
        </w:rPr>
        <w:t xml:space="preserve"> sodium (</w:t>
      </w:r>
      <w:proofErr w:type="spellStart"/>
      <w:r w:rsidRPr="00A02E40">
        <w:rPr>
          <w:lang w:val="en-AU"/>
        </w:rPr>
        <w:t>physico</w:t>
      </w:r>
      <w:proofErr w:type="spellEnd"/>
      <w:r w:rsidRPr="00A02E40">
        <w:rPr>
          <w:lang w:val="en-AU"/>
        </w:rPr>
        <w:t>-chemical properties, stability, identification, manufacturing process, quality control procedures, specifications, batch analysis results and analytical methods) and found them to be acceptable.</w:t>
      </w:r>
    </w:p>
    <w:p w14:paraId="70911001" w14:textId="77777777" w:rsidR="00170426" w:rsidRPr="00A02E40" w:rsidRDefault="00170426" w:rsidP="00170426">
      <w:pPr>
        <w:pStyle w:val="GazetteNormalText"/>
        <w:numPr>
          <w:ilvl w:val="1"/>
          <w:numId w:val="27"/>
        </w:numPr>
        <w:rPr>
          <w:lang w:val="en-AU"/>
        </w:rPr>
      </w:pPr>
      <w:r w:rsidRPr="00A02E40">
        <w:rPr>
          <w:lang w:val="en-AU"/>
        </w:rPr>
        <w:t xml:space="preserve">The APVMA is satisfied that the toxicological and human health aspects of </w:t>
      </w:r>
      <w:proofErr w:type="spellStart"/>
      <w:r w:rsidRPr="00A02E40">
        <w:rPr>
          <w:lang w:val="en-AU"/>
        </w:rPr>
        <w:t>molidustat</w:t>
      </w:r>
      <w:proofErr w:type="spellEnd"/>
      <w:r w:rsidRPr="00A02E40">
        <w:rPr>
          <w:lang w:val="en-AU"/>
        </w:rPr>
        <w:t xml:space="preserve"> sodium active constituent are acceptable and concluded that there are no toxicological concerns regarding the approval of this active constituent.</w:t>
      </w:r>
    </w:p>
    <w:p w14:paraId="081FDCDE" w14:textId="77777777" w:rsidR="00170426" w:rsidRPr="00A02E40" w:rsidRDefault="00170426" w:rsidP="00170426">
      <w:pPr>
        <w:pStyle w:val="GazetteNormalText"/>
        <w:numPr>
          <w:ilvl w:val="2"/>
          <w:numId w:val="27"/>
        </w:numPr>
        <w:rPr>
          <w:lang w:val="en-AU"/>
        </w:rPr>
      </w:pPr>
      <w:r w:rsidRPr="00A02E40">
        <w:rPr>
          <w:lang w:val="en-AU"/>
        </w:rPr>
        <w:t>No Acceptable Daily Intake (ADI) or Acute Reference Dose (</w:t>
      </w:r>
      <w:proofErr w:type="spellStart"/>
      <w:r w:rsidRPr="00A02E40">
        <w:rPr>
          <w:lang w:val="en-AU"/>
        </w:rPr>
        <w:t>ARfD</w:t>
      </w:r>
      <w:proofErr w:type="spellEnd"/>
      <w:r w:rsidRPr="00A02E40">
        <w:rPr>
          <w:lang w:val="en-AU"/>
        </w:rPr>
        <w:t>) is required because the active constituent is not proposed for use in food-producing animals. No impurities of toxicological concern were identified in the health assessment.</w:t>
      </w:r>
    </w:p>
    <w:p w14:paraId="4968F6B5" w14:textId="7C7C6BBD" w:rsidR="00170426" w:rsidRPr="00A02E40" w:rsidRDefault="00170426" w:rsidP="00170426">
      <w:pPr>
        <w:pStyle w:val="GazetteNormalText"/>
        <w:numPr>
          <w:ilvl w:val="2"/>
          <w:numId w:val="27"/>
        </w:numPr>
        <w:rPr>
          <w:lang w:val="en-AU"/>
        </w:rPr>
      </w:pPr>
      <w:r w:rsidRPr="00A02E40">
        <w:rPr>
          <w:lang w:val="en-AU"/>
        </w:rPr>
        <w:t xml:space="preserve">As a proposed prescription veterinary medicine, </w:t>
      </w:r>
      <w:proofErr w:type="spellStart"/>
      <w:r w:rsidRPr="00A02E40">
        <w:rPr>
          <w:lang w:val="en-AU"/>
        </w:rPr>
        <w:t>molidustat</w:t>
      </w:r>
      <w:proofErr w:type="spellEnd"/>
      <w:r w:rsidRPr="00A02E40">
        <w:rPr>
          <w:lang w:val="en-AU"/>
        </w:rPr>
        <w:t xml:space="preserve"> sodium has been included in Schedule 4 </w:t>
      </w:r>
      <w:r>
        <w:rPr>
          <w:lang w:val="en-AU"/>
        </w:rPr>
        <w:t xml:space="preserve">and clause 5 of Appendix D </w:t>
      </w:r>
      <w:r w:rsidRPr="00A02E40">
        <w:rPr>
          <w:lang w:val="en-AU"/>
        </w:rPr>
        <w:t>of the Standard for the Uniform Scheduling of Medicines and Poisons (SUSMP).</w:t>
      </w:r>
    </w:p>
    <w:p w14:paraId="42901055" w14:textId="18B9495B" w:rsidR="00170426" w:rsidRDefault="00170426" w:rsidP="00170426">
      <w:pPr>
        <w:pStyle w:val="GazetteNormalText"/>
        <w:numPr>
          <w:ilvl w:val="0"/>
          <w:numId w:val="27"/>
        </w:numPr>
      </w:pPr>
      <w:r w:rsidRPr="00C640EB">
        <w:rPr>
          <w:lang w:val="en-AU"/>
        </w:rPr>
        <w:t xml:space="preserve">The APVMA proposes to be satisfied under sections 5A(1) of the </w:t>
      </w:r>
      <w:proofErr w:type="spellStart"/>
      <w:r w:rsidRPr="00C640EB">
        <w:rPr>
          <w:lang w:val="en-AU"/>
        </w:rPr>
        <w:t>Agvet</w:t>
      </w:r>
      <w:proofErr w:type="spellEnd"/>
      <w:r w:rsidRPr="00C640EB">
        <w:rPr>
          <w:lang w:val="en-AU"/>
        </w:rPr>
        <w:t xml:space="preserve"> Code that </w:t>
      </w:r>
      <w:proofErr w:type="spellStart"/>
      <w:r w:rsidRPr="00C640EB">
        <w:rPr>
          <w:lang w:val="en-AU"/>
        </w:rPr>
        <w:t>molidustat</w:t>
      </w:r>
      <w:proofErr w:type="spellEnd"/>
      <w:r w:rsidRPr="00C640EB">
        <w:rPr>
          <w:lang w:val="en-AU"/>
        </w:rPr>
        <w:t xml:space="preserve"> sodium would not be an undue hazard to the safety of people exposed to it during its handling or people using anything containing its residues; would not be likely to have an effect that is harmful to human beings; and would not be likely to have an unintended effect that is harmful to animals, plants or things, or to the environment.</w:t>
      </w:r>
      <w:r>
        <w:br w:type="page"/>
      </w:r>
    </w:p>
    <w:p w14:paraId="2BCF7781" w14:textId="6D71F60E" w:rsidR="00170426" w:rsidRPr="00E801C3" w:rsidRDefault="00170426" w:rsidP="00170426">
      <w:pPr>
        <w:pStyle w:val="GazetteHeading2"/>
        <w:rPr>
          <w:bCs w:val="0"/>
        </w:rPr>
      </w:pPr>
      <w:proofErr w:type="spellStart"/>
      <w:r w:rsidRPr="00E801C3">
        <w:rPr>
          <w:bCs w:val="0"/>
          <w:lang w:val="en-AU"/>
        </w:rPr>
        <w:lastRenderedPageBreak/>
        <w:t>Varenzin</w:t>
      </w:r>
      <w:proofErr w:type="spellEnd"/>
      <w:r w:rsidRPr="00E801C3">
        <w:rPr>
          <w:bCs w:val="0"/>
          <w:lang w:val="en-AU"/>
        </w:rPr>
        <w:t xml:space="preserve"> Oral Suspension for Cats </w:t>
      </w:r>
      <w:r w:rsidRPr="00E801C3">
        <w:rPr>
          <w:bCs w:val="0"/>
        </w:rPr>
        <w:t xml:space="preserve">containing </w:t>
      </w:r>
      <w:proofErr w:type="spellStart"/>
      <w:r w:rsidR="00713D0D">
        <w:rPr>
          <w:bCs w:val="0"/>
          <w:lang w:val="en-AU"/>
        </w:rPr>
        <w:t>m</w:t>
      </w:r>
      <w:r w:rsidRPr="00E801C3">
        <w:rPr>
          <w:bCs w:val="0"/>
          <w:lang w:val="en-AU"/>
        </w:rPr>
        <w:t>olidustat</w:t>
      </w:r>
      <w:proofErr w:type="spellEnd"/>
      <w:r w:rsidRPr="00E801C3">
        <w:rPr>
          <w:bCs w:val="0"/>
          <w:lang w:val="en-AU"/>
        </w:rPr>
        <w:t xml:space="preserve"> sodium</w:t>
      </w:r>
    </w:p>
    <w:p w14:paraId="5128558C" w14:textId="2BD57E97" w:rsidR="00170426" w:rsidRDefault="00170426" w:rsidP="00170426">
      <w:pPr>
        <w:pStyle w:val="GazetteNormalText"/>
      </w:pPr>
      <w:r>
        <w:t>The</w:t>
      </w:r>
      <w:r w:rsidRPr="00A93D2B">
        <w:t xml:space="preserve"> APVMA</w:t>
      </w:r>
      <w:r>
        <w:t xml:space="preserve"> has under consideration an application to register a</w:t>
      </w:r>
      <w:r w:rsidRPr="00A93D2B">
        <w:t xml:space="preserve"> </w:t>
      </w:r>
      <w:r w:rsidRPr="00E801C3">
        <w:rPr>
          <w:color w:val="auto"/>
        </w:rPr>
        <w:t xml:space="preserve">new product, </w:t>
      </w:r>
      <w:proofErr w:type="spellStart"/>
      <w:r w:rsidRPr="00E801C3">
        <w:rPr>
          <w:rFonts w:eastAsia="Times New Roman" w:hAnsi="Arial" w:cstheme="minorBidi"/>
          <w:b/>
          <w:bCs/>
          <w:color w:val="auto"/>
          <w:bdr w:val="none" w:sz="0" w:space="0" w:color="auto"/>
          <w:lang w:val="en-AU" w:eastAsia="en-US"/>
        </w:rPr>
        <w:t>Varenzin</w:t>
      </w:r>
      <w:proofErr w:type="spellEnd"/>
      <w:r w:rsidRPr="00E801C3">
        <w:rPr>
          <w:rFonts w:eastAsia="Times New Roman" w:hAnsi="Arial" w:cstheme="minorBidi"/>
          <w:b/>
          <w:bCs/>
          <w:color w:val="auto"/>
          <w:bdr w:val="none" w:sz="0" w:space="0" w:color="auto"/>
          <w:lang w:val="en-AU" w:eastAsia="en-US"/>
        </w:rPr>
        <w:t xml:space="preserve"> Oral Suspension for Cats, </w:t>
      </w:r>
      <w:r w:rsidRPr="00484EDE">
        <w:rPr>
          <w:color w:val="auto"/>
        </w:rPr>
        <w:t>containing</w:t>
      </w:r>
      <w:r>
        <w:rPr>
          <w:color w:val="auto"/>
        </w:rPr>
        <w:t xml:space="preserve"> the new active,</w:t>
      </w:r>
      <w:r w:rsidRPr="00E801C3">
        <w:rPr>
          <w:b/>
          <w:bCs/>
          <w:color w:val="auto"/>
        </w:rPr>
        <w:t xml:space="preserve"> </w:t>
      </w:r>
      <w:proofErr w:type="spellStart"/>
      <w:r w:rsidR="00713D0D">
        <w:rPr>
          <w:rFonts w:eastAsia="Times New Roman" w:hAnsi="Arial" w:cstheme="minorBidi"/>
          <w:b/>
          <w:bCs/>
          <w:color w:val="auto"/>
          <w:bdr w:val="none" w:sz="0" w:space="0" w:color="auto"/>
          <w:lang w:val="en-AU" w:eastAsia="en-US"/>
        </w:rPr>
        <w:t>m</w:t>
      </w:r>
      <w:r w:rsidRPr="00E801C3">
        <w:rPr>
          <w:rFonts w:eastAsia="Times New Roman" w:hAnsi="Arial" w:cstheme="minorBidi"/>
          <w:b/>
          <w:bCs/>
          <w:color w:val="auto"/>
          <w:bdr w:val="none" w:sz="0" w:space="0" w:color="auto"/>
          <w:lang w:val="en-AU" w:eastAsia="en-US"/>
        </w:rPr>
        <w:t>olidustat</w:t>
      </w:r>
      <w:proofErr w:type="spellEnd"/>
      <w:r w:rsidRPr="00E801C3">
        <w:rPr>
          <w:rFonts w:eastAsia="Times New Roman" w:hAnsi="Arial" w:cstheme="minorBidi"/>
          <w:b/>
          <w:bCs/>
          <w:color w:val="auto"/>
          <w:bdr w:val="none" w:sz="0" w:space="0" w:color="auto"/>
          <w:lang w:val="en-AU" w:eastAsia="en-US"/>
        </w:rPr>
        <w:t xml:space="preserve"> sodium</w:t>
      </w:r>
      <w:r w:rsidRPr="00E801C3">
        <w:rPr>
          <w:rFonts w:eastAsia="Times New Roman" w:hAnsi="Arial" w:cstheme="minorBidi"/>
          <w:bCs/>
          <w:color w:val="auto"/>
          <w:bdr w:val="none" w:sz="0" w:space="0" w:color="auto"/>
          <w:lang w:val="en-AU" w:eastAsia="en-US"/>
        </w:rPr>
        <w:t>.</w:t>
      </w:r>
    </w:p>
    <w:p w14:paraId="1366B2DB" w14:textId="624F6052" w:rsidR="00170426" w:rsidRPr="00C640EB" w:rsidRDefault="00170426" w:rsidP="00C640EB">
      <w:pPr>
        <w:pStyle w:val="Caption"/>
      </w:pPr>
      <w:r w:rsidRPr="00C640EB">
        <w:t xml:space="preserve">Table </w:t>
      </w:r>
      <w:r w:rsidRPr="00C640EB">
        <w:fldChar w:fldCharType="begin"/>
      </w:r>
      <w:r w:rsidRPr="00C640EB">
        <w:instrText xml:space="preserve"> SEQ Table \* ARABIC </w:instrText>
      </w:r>
      <w:r w:rsidRPr="00C640EB">
        <w:fldChar w:fldCharType="separate"/>
      </w:r>
      <w:r w:rsidR="00472E89">
        <w:rPr>
          <w:noProof/>
        </w:rPr>
        <w:t>9</w:t>
      </w:r>
      <w:r w:rsidRPr="00C640EB">
        <w:fldChar w:fldCharType="end"/>
      </w:r>
      <w:r w:rsidRPr="00C640EB">
        <w:t xml:space="preserve">: </w:t>
      </w:r>
      <w:proofErr w:type="gramStart"/>
      <w:r w:rsidRPr="00C640EB">
        <w:t>Particulars of</w:t>
      </w:r>
      <w:proofErr w:type="gramEnd"/>
      <w:r w:rsidRPr="00C640EB">
        <w:t xml:space="preserve"> the product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170426" w14:paraId="1E57B865" w14:textId="77777777" w:rsidTr="00C640EB">
        <w:trPr>
          <w:trHeight w:val="139"/>
          <w:tblHeader/>
        </w:trPr>
        <w:tc>
          <w:tcPr>
            <w:tcW w:w="3397" w:type="dxa"/>
            <w:shd w:val="clear" w:color="auto" w:fill="E7E6E6" w:themeFill="background2"/>
          </w:tcPr>
          <w:p w14:paraId="65E82A9D" w14:textId="77777777" w:rsidR="00170426" w:rsidRDefault="00170426" w:rsidP="00270A48">
            <w:pPr>
              <w:pStyle w:val="GazetteTableHeading"/>
            </w:pPr>
            <w:r>
              <w:t>Proposed product name/s</w:t>
            </w:r>
          </w:p>
        </w:tc>
        <w:tc>
          <w:tcPr>
            <w:tcW w:w="6231" w:type="dxa"/>
          </w:tcPr>
          <w:p w14:paraId="16B7A593" w14:textId="77777777" w:rsidR="00170426" w:rsidRPr="00E74630" w:rsidRDefault="00170426" w:rsidP="00270A48">
            <w:pPr>
              <w:pStyle w:val="GazetteTableText"/>
              <w:rPr>
                <w:sz w:val="18"/>
              </w:rPr>
            </w:pPr>
            <w:proofErr w:type="spellStart"/>
            <w:r w:rsidRPr="00E74630">
              <w:rPr>
                <w:sz w:val="18"/>
                <w:lang w:val="en-AU"/>
              </w:rPr>
              <w:t>Varenzin</w:t>
            </w:r>
            <w:proofErr w:type="spellEnd"/>
            <w:r w:rsidRPr="00E74630">
              <w:rPr>
                <w:sz w:val="18"/>
                <w:lang w:val="en-AU"/>
              </w:rPr>
              <w:t xml:space="preserve"> Oral Suspension for Cats</w:t>
            </w:r>
          </w:p>
        </w:tc>
      </w:tr>
      <w:tr w:rsidR="00170426" w14:paraId="4966B0DB" w14:textId="77777777" w:rsidTr="00C640EB">
        <w:tc>
          <w:tcPr>
            <w:tcW w:w="3397" w:type="dxa"/>
            <w:shd w:val="clear" w:color="auto" w:fill="E7E6E6" w:themeFill="background2"/>
          </w:tcPr>
          <w:p w14:paraId="2649B2D1" w14:textId="77777777" w:rsidR="00170426" w:rsidRDefault="00170426" w:rsidP="00270A48">
            <w:pPr>
              <w:pStyle w:val="GazetteTableHeading"/>
            </w:pPr>
            <w:r>
              <w:t>Applicant company</w:t>
            </w:r>
          </w:p>
        </w:tc>
        <w:tc>
          <w:tcPr>
            <w:tcW w:w="6231" w:type="dxa"/>
          </w:tcPr>
          <w:p w14:paraId="745DB146" w14:textId="77777777" w:rsidR="00170426" w:rsidRPr="00E74630" w:rsidRDefault="00170426" w:rsidP="00270A48">
            <w:pPr>
              <w:pStyle w:val="GazetteTableText"/>
              <w:rPr>
                <w:sz w:val="18"/>
              </w:rPr>
            </w:pPr>
            <w:r w:rsidRPr="00E74630">
              <w:rPr>
                <w:sz w:val="18"/>
              </w:rPr>
              <w:t>Elanco Australasia Pty Ltd</w:t>
            </w:r>
          </w:p>
        </w:tc>
      </w:tr>
      <w:tr w:rsidR="00170426" w14:paraId="2EBE64E8" w14:textId="77777777" w:rsidTr="00C640EB">
        <w:tc>
          <w:tcPr>
            <w:tcW w:w="3397" w:type="dxa"/>
            <w:shd w:val="clear" w:color="auto" w:fill="E7E6E6" w:themeFill="background2"/>
          </w:tcPr>
          <w:p w14:paraId="039BA717" w14:textId="77777777" w:rsidR="00170426" w:rsidRDefault="00170426" w:rsidP="00270A48">
            <w:pPr>
              <w:pStyle w:val="GazetteTableHeading"/>
            </w:pPr>
            <w:r>
              <w:t>Name of active constituent</w:t>
            </w:r>
          </w:p>
        </w:tc>
        <w:tc>
          <w:tcPr>
            <w:tcW w:w="6231" w:type="dxa"/>
          </w:tcPr>
          <w:p w14:paraId="0565D58E" w14:textId="77777777" w:rsidR="00170426" w:rsidRPr="00E74630" w:rsidRDefault="00170426" w:rsidP="00270A48">
            <w:pPr>
              <w:pStyle w:val="GazetteTableText"/>
              <w:rPr>
                <w:sz w:val="18"/>
              </w:rPr>
            </w:pPr>
            <w:proofErr w:type="spellStart"/>
            <w:r w:rsidRPr="00E74630">
              <w:rPr>
                <w:bCs/>
                <w:sz w:val="18"/>
                <w:lang w:val="en-AU"/>
              </w:rPr>
              <w:t>Molidustat</w:t>
            </w:r>
            <w:proofErr w:type="spellEnd"/>
            <w:r w:rsidRPr="00E74630">
              <w:rPr>
                <w:bCs/>
                <w:sz w:val="18"/>
                <w:lang w:val="en-AU"/>
              </w:rPr>
              <w:t xml:space="preserve"> sodium</w:t>
            </w:r>
          </w:p>
        </w:tc>
      </w:tr>
      <w:tr w:rsidR="00170426" w14:paraId="1E2E7FD7" w14:textId="77777777" w:rsidTr="00C640EB">
        <w:tc>
          <w:tcPr>
            <w:tcW w:w="3397" w:type="dxa"/>
            <w:shd w:val="clear" w:color="auto" w:fill="E7E6E6" w:themeFill="background2"/>
          </w:tcPr>
          <w:p w14:paraId="5931D439" w14:textId="77777777" w:rsidR="00170426" w:rsidRDefault="00170426" w:rsidP="00270A48">
            <w:pPr>
              <w:pStyle w:val="GazetteTableHeading"/>
            </w:pPr>
            <w:r>
              <w:t>Signal heading</w:t>
            </w:r>
          </w:p>
        </w:tc>
        <w:tc>
          <w:tcPr>
            <w:tcW w:w="6231" w:type="dxa"/>
          </w:tcPr>
          <w:p w14:paraId="67A77488" w14:textId="77777777" w:rsidR="00170426" w:rsidRPr="00E74630" w:rsidRDefault="00170426" w:rsidP="00270A48">
            <w:pPr>
              <w:pStyle w:val="GazetteTableText"/>
              <w:rPr>
                <w:sz w:val="18"/>
              </w:rPr>
            </w:pPr>
            <w:r w:rsidRPr="00E74630">
              <w:rPr>
                <w:sz w:val="18"/>
                <w:lang w:val="en-AU"/>
              </w:rPr>
              <w:t>Schedule 4</w:t>
            </w:r>
          </w:p>
        </w:tc>
      </w:tr>
      <w:tr w:rsidR="00170426" w14:paraId="37179809" w14:textId="77777777" w:rsidTr="00C640EB">
        <w:tc>
          <w:tcPr>
            <w:tcW w:w="3397" w:type="dxa"/>
            <w:shd w:val="clear" w:color="auto" w:fill="E7E6E6" w:themeFill="background2"/>
          </w:tcPr>
          <w:p w14:paraId="78EB2D4C" w14:textId="77777777" w:rsidR="00170426" w:rsidRDefault="00170426" w:rsidP="00270A48">
            <w:pPr>
              <w:pStyle w:val="GazetteTableHeading"/>
            </w:pPr>
            <w:r>
              <w:t>Formulation type</w:t>
            </w:r>
          </w:p>
        </w:tc>
        <w:tc>
          <w:tcPr>
            <w:tcW w:w="6231" w:type="dxa"/>
          </w:tcPr>
          <w:p w14:paraId="7135C6C6" w14:textId="77777777" w:rsidR="00170426" w:rsidRPr="00E74630" w:rsidRDefault="00170426" w:rsidP="00270A48">
            <w:pPr>
              <w:pStyle w:val="GazetteTableText"/>
              <w:rPr>
                <w:sz w:val="18"/>
              </w:rPr>
            </w:pPr>
            <w:r>
              <w:rPr>
                <w:sz w:val="18"/>
              </w:rPr>
              <w:t>Oral suspension</w:t>
            </w:r>
          </w:p>
        </w:tc>
      </w:tr>
      <w:tr w:rsidR="00170426" w14:paraId="0E01727B" w14:textId="77777777" w:rsidTr="00C640EB">
        <w:tc>
          <w:tcPr>
            <w:tcW w:w="3397" w:type="dxa"/>
            <w:shd w:val="clear" w:color="auto" w:fill="E7E6E6" w:themeFill="background2"/>
          </w:tcPr>
          <w:p w14:paraId="1F305FB9" w14:textId="77777777" w:rsidR="00170426" w:rsidRDefault="00170426" w:rsidP="00C640EB">
            <w:pPr>
              <w:pStyle w:val="GazetteTableHeading"/>
            </w:pPr>
            <w:r w:rsidRPr="00C640EB">
              <w:t>Summary</w:t>
            </w:r>
            <w:r>
              <w:t xml:space="preserve"> of proposed use </w:t>
            </w:r>
          </w:p>
        </w:tc>
        <w:tc>
          <w:tcPr>
            <w:tcW w:w="6231" w:type="dxa"/>
          </w:tcPr>
          <w:p w14:paraId="1DD4F681" w14:textId="77777777" w:rsidR="00170426" w:rsidRPr="00E74630" w:rsidRDefault="00170426" w:rsidP="00270A48">
            <w:pPr>
              <w:pStyle w:val="GazetteTableText"/>
              <w:rPr>
                <w:sz w:val="18"/>
              </w:rPr>
            </w:pPr>
            <w:r w:rsidRPr="00E74630">
              <w:rPr>
                <w:sz w:val="18"/>
              </w:rPr>
              <w:t xml:space="preserve">As an </w:t>
            </w:r>
            <w:r w:rsidRPr="00E74630">
              <w:rPr>
                <w:sz w:val="18"/>
                <w:lang w:val="en-AU"/>
              </w:rPr>
              <w:t>aid in the control of nonregenerative anaemia associated with chronic kidney disease (CKD) in cats.</w:t>
            </w:r>
          </w:p>
        </w:tc>
      </w:tr>
      <w:tr w:rsidR="00170426" w14:paraId="575516F6" w14:textId="77777777" w:rsidTr="00C640EB">
        <w:tc>
          <w:tcPr>
            <w:tcW w:w="3397" w:type="dxa"/>
            <w:shd w:val="clear" w:color="auto" w:fill="E7E6E6" w:themeFill="background2"/>
          </w:tcPr>
          <w:p w14:paraId="68919453" w14:textId="77777777" w:rsidR="00170426" w:rsidRDefault="00170426" w:rsidP="00270A48">
            <w:pPr>
              <w:pStyle w:val="GazetteTableHeading"/>
            </w:pPr>
            <w:r>
              <w:t>Dose rate</w:t>
            </w:r>
          </w:p>
        </w:tc>
        <w:tc>
          <w:tcPr>
            <w:tcW w:w="6231" w:type="dxa"/>
          </w:tcPr>
          <w:p w14:paraId="33F42479" w14:textId="77777777" w:rsidR="00170426" w:rsidRDefault="00170426" w:rsidP="00270A48">
            <w:pPr>
              <w:pStyle w:val="GazetteTableText"/>
              <w:rPr>
                <w:sz w:val="18"/>
              </w:rPr>
            </w:pPr>
            <w:r w:rsidRPr="00E74630">
              <w:rPr>
                <w:sz w:val="18"/>
                <w:lang w:val="en-AU"/>
              </w:rPr>
              <w:t xml:space="preserve">The effective dose is </w:t>
            </w:r>
            <w:r w:rsidRPr="00E74630">
              <w:rPr>
                <w:sz w:val="18"/>
              </w:rPr>
              <w:t>5.0 mg/kg body weight (</w:t>
            </w:r>
            <w:proofErr w:type="spellStart"/>
            <w:r w:rsidRPr="00E74630">
              <w:rPr>
                <w:sz w:val="18"/>
              </w:rPr>
              <w:t>bw</w:t>
            </w:r>
            <w:proofErr w:type="spellEnd"/>
            <w:r w:rsidRPr="00E74630">
              <w:rPr>
                <w:sz w:val="18"/>
              </w:rPr>
              <w:t xml:space="preserve">). The product is administered </w:t>
            </w:r>
            <w:r>
              <w:rPr>
                <w:sz w:val="18"/>
              </w:rPr>
              <w:t xml:space="preserve">orally </w:t>
            </w:r>
            <w:r w:rsidRPr="00E74630">
              <w:rPr>
                <w:sz w:val="18"/>
              </w:rPr>
              <w:t>once</w:t>
            </w:r>
            <w:r>
              <w:rPr>
                <w:sz w:val="18"/>
              </w:rPr>
              <w:t xml:space="preserve"> </w:t>
            </w:r>
            <w:r w:rsidRPr="00E74630">
              <w:rPr>
                <w:sz w:val="18"/>
              </w:rPr>
              <w:t>daily for 28 days.</w:t>
            </w:r>
          </w:p>
          <w:p w14:paraId="3827F426" w14:textId="77777777" w:rsidR="00170426" w:rsidRPr="00E74630" w:rsidRDefault="00170426" w:rsidP="00270A48">
            <w:pPr>
              <w:pStyle w:val="GazetteTableText"/>
              <w:rPr>
                <w:sz w:val="18"/>
              </w:rPr>
            </w:pPr>
            <w:r w:rsidRPr="00E74630">
              <w:rPr>
                <w:sz w:val="18"/>
              </w:rPr>
              <w:br/>
              <w:t>The dosing table below shows the</w:t>
            </w:r>
            <w:r>
              <w:rPr>
                <w:sz w:val="18"/>
              </w:rPr>
              <w:t xml:space="preserve"> dose</w:t>
            </w:r>
            <w:r w:rsidRPr="00E74630">
              <w:rPr>
                <w:sz w:val="18"/>
              </w:rPr>
              <w:t xml:space="preserve"> volume of </w:t>
            </w:r>
            <w:r>
              <w:rPr>
                <w:sz w:val="18"/>
              </w:rPr>
              <w:t xml:space="preserve">the </w:t>
            </w:r>
            <w:r w:rsidRPr="00E74630">
              <w:rPr>
                <w:sz w:val="18"/>
              </w:rPr>
              <w:t>product</w:t>
            </w:r>
            <w:r>
              <w:rPr>
                <w:sz w:val="18"/>
              </w:rPr>
              <w:t xml:space="preserve"> </w:t>
            </w:r>
            <w:r w:rsidRPr="00E74630">
              <w:rPr>
                <w:sz w:val="18"/>
              </w:rPr>
              <w:t>required for different body weight classes</w:t>
            </w:r>
            <w:r>
              <w:rPr>
                <w:sz w:val="18"/>
              </w:rPr>
              <w:t>, measured and administered by using the syringe provided with the product</w:t>
            </w:r>
            <w:r w:rsidRPr="00E74630">
              <w:rPr>
                <w:sz w:val="18"/>
              </w:rPr>
              <w:t>.</w:t>
            </w:r>
          </w:p>
          <w:tbl>
            <w:tblPr>
              <w:tblStyle w:val="TableGrid"/>
              <w:tblW w:w="0" w:type="auto"/>
              <w:tblLook w:val="04A0" w:firstRow="1" w:lastRow="0" w:firstColumn="1" w:lastColumn="0" w:noHBand="0" w:noVBand="1"/>
            </w:tblPr>
            <w:tblGrid>
              <w:gridCol w:w="2367"/>
              <w:gridCol w:w="827"/>
            </w:tblGrid>
            <w:tr w:rsidR="00170426" w:rsidRPr="00E74630" w14:paraId="734DF462" w14:textId="77777777" w:rsidTr="00270A48">
              <w:tc>
                <w:tcPr>
                  <w:tcW w:w="0" w:type="auto"/>
                </w:tcPr>
                <w:p w14:paraId="6FCE2680" w14:textId="77777777" w:rsidR="00170426" w:rsidRPr="00E74630" w:rsidRDefault="00170426" w:rsidP="00270A48">
                  <w:pPr>
                    <w:rPr>
                      <w:rFonts w:cs="Arial"/>
                      <w:szCs w:val="18"/>
                      <w:lang w:val="en-US"/>
                    </w:rPr>
                  </w:pPr>
                  <w:r w:rsidRPr="00E74630">
                    <w:rPr>
                      <w:rFonts w:cs="Arial"/>
                      <w:szCs w:val="18"/>
                      <w:lang w:val="en-US"/>
                    </w:rPr>
                    <w:t>Weight Range in kilograms</w:t>
                  </w:r>
                </w:p>
                <w:p w14:paraId="52A7EE64" w14:textId="77777777" w:rsidR="00170426" w:rsidRPr="00E74630" w:rsidRDefault="00170426" w:rsidP="00270A48">
                  <w:pPr>
                    <w:rPr>
                      <w:rFonts w:cs="Arial"/>
                      <w:szCs w:val="18"/>
                      <w:lang w:val="en-US"/>
                    </w:rPr>
                  </w:pPr>
                  <w:r w:rsidRPr="00E74630">
                    <w:rPr>
                      <w:rFonts w:cs="Arial"/>
                      <w:szCs w:val="18"/>
                      <w:lang w:val="en-US"/>
                    </w:rPr>
                    <w:t>(kg)</w:t>
                  </w:r>
                </w:p>
              </w:tc>
              <w:tc>
                <w:tcPr>
                  <w:tcW w:w="0" w:type="auto"/>
                </w:tcPr>
                <w:p w14:paraId="0F714FC4" w14:textId="77777777" w:rsidR="00170426" w:rsidRPr="00E74630" w:rsidRDefault="00170426" w:rsidP="00270A48">
                  <w:pPr>
                    <w:rPr>
                      <w:rFonts w:cs="Arial"/>
                      <w:szCs w:val="18"/>
                      <w:lang w:val="en-US"/>
                    </w:rPr>
                  </w:pPr>
                  <w:r w:rsidRPr="00E74630">
                    <w:rPr>
                      <w:rFonts w:cs="Arial"/>
                      <w:szCs w:val="18"/>
                      <w:lang w:val="en-US"/>
                    </w:rPr>
                    <w:t>Volume</w:t>
                  </w:r>
                </w:p>
                <w:p w14:paraId="090DD917" w14:textId="77777777" w:rsidR="00170426" w:rsidRPr="00E74630" w:rsidRDefault="00170426" w:rsidP="00270A48">
                  <w:pPr>
                    <w:rPr>
                      <w:rFonts w:cs="Arial"/>
                      <w:szCs w:val="18"/>
                      <w:lang w:val="en-US"/>
                    </w:rPr>
                  </w:pPr>
                  <w:r w:rsidRPr="00E74630">
                    <w:rPr>
                      <w:rFonts w:cs="Arial"/>
                      <w:szCs w:val="18"/>
                      <w:lang w:val="en-US"/>
                    </w:rPr>
                    <w:t>(mL)</w:t>
                  </w:r>
                </w:p>
              </w:tc>
            </w:tr>
            <w:tr w:rsidR="00170426" w:rsidRPr="00E74630" w14:paraId="20959853" w14:textId="77777777" w:rsidTr="00270A48">
              <w:tc>
                <w:tcPr>
                  <w:tcW w:w="0" w:type="auto"/>
                </w:tcPr>
                <w:p w14:paraId="10A55A2D" w14:textId="77777777" w:rsidR="00170426" w:rsidRPr="00E74630" w:rsidRDefault="00170426" w:rsidP="00270A48">
                  <w:pPr>
                    <w:rPr>
                      <w:rFonts w:cs="Arial"/>
                      <w:szCs w:val="18"/>
                      <w:lang w:val="en-US"/>
                    </w:rPr>
                  </w:pPr>
                  <w:r w:rsidRPr="00E74630">
                    <w:rPr>
                      <w:rFonts w:cs="Arial"/>
                      <w:szCs w:val="18"/>
                      <w:lang w:val="en-US"/>
                    </w:rPr>
                    <w:t>2.0</w:t>
                  </w:r>
                </w:p>
              </w:tc>
              <w:tc>
                <w:tcPr>
                  <w:tcW w:w="0" w:type="auto"/>
                </w:tcPr>
                <w:p w14:paraId="32812C84" w14:textId="77777777" w:rsidR="00170426" w:rsidRPr="00E74630" w:rsidRDefault="00170426" w:rsidP="00270A48">
                  <w:pPr>
                    <w:rPr>
                      <w:rFonts w:cs="Arial"/>
                      <w:szCs w:val="18"/>
                      <w:lang w:val="en-US"/>
                    </w:rPr>
                  </w:pPr>
                  <w:r w:rsidRPr="00E74630">
                    <w:rPr>
                      <w:rFonts w:cs="Arial"/>
                      <w:szCs w:val="18"/>
                      <w:lang w:val="en-US"/>
                    </w:rPr>
                    <w:t>0.4</w:t>
                  </w:r>
                </w:p>
              </w:tc>
            </w:tr>
            <w:tr w:rsidR="00170426" w:rsidRPr="00E74630" w14:paraId="7DEE09C2" w14:textId="77777777" w:rsidTr="00270A48">
              <w:tc>
                <w:tcPr>
                  <w:tcW w:w="0" w:type="auto"/>
                </w:tcPr>
                <w:p w14:paraId="26016FDC" w14:textId="77777777" w:rsidR="00170426" w:rsidRPr="00E74630" w:rsidRDefault="00170426" w:rsidP="00270A48">
                  <w:pPr>
                    <w:rPr>
                      <w:rFonts w:cs="Arial"/>
                      <w:szCs w:val="18"/>
                      <w:lang w:val="en-US"/>
                    </w:rPr>
                  </w:pPr>
                  <w:r w:rsidRPr="00E74630">
                    <w:rPr>
                      <w:rFonts w:cs="Arial"/>
                      <w:szCs w:val="18"/>
                      <w:lang w:val="en-US"/>
                    </w:rPr>
                    <w:t>2.1 to 2.5</w:t>
                  </w:r>
                </w:p>
              </w:tc>
              <w:tc>
                <w:tcPr>
                  <w:tcW w:w="0" w:type="auto"/>
                </w:tcPr>
                <w:p w14:paraId="202D1E3F" w14:textId="77777777" w:rsidR="00170426" w:rsidRPr="00E74630" w:rsidRDefault="00170426" w:rsidP="00270A48">
                  <w:pPr>
                    <w:rPr>
                      <w:rFonts w:cs="Arial"/>
                      <w:szCs w:val="18"/>
                      <w:lang w:val="en-US"/>
                    </w:rPr>
                  </w:pPr>
                  <w:r w:rsidRPr="00E74630">
                    <w:rPr>
                      <w:rFonts w:cs="Arial"/>
                      <w:szCs w:val="18"/>
                      <w:lang w:val="en-US"/>
                    </w:rPr>
                    <w:t>0.5</w:t>
                  </w:r>
                </w:p>
              </w:tc>
            </w:tr>
            <w:tr w:rsidR="00170426" w:rsidRPr="00E74630" w14:paraId="1036558A" w14:textId="77777777" w:rsidTr="00270A48">
              <w:tc>
                <w:tcPr>
                  <w:tcW w:w="0" w:type="auto"/>
                </w:tcPr>
                <w:p w14:paraId="2FF9647E" w14:textId="77777777" w:rsidR="00170426" w:rsidRPr="00E74630" w:rsidRDefault="00170426" w:rsidP="00270A48">
                  <w:pPr>
                    <w:rPr>
                      <w:rFonts w:cs="Arial"/>
                      <w:szCs w:val="18"/>
                      <w:lang w:val="en-US"/>
                    </w:rPr>
                  </w:pPr>
                  <w:r w:rsidRPr="00E74630">
                    <w:rPr>
                      <w:rFonts w:cs="Arial"/>
                      <w:szCs w:val="18"/>
                      <w:lang w:val="en-US"/>
                    </w:rPr>
                    <w:t>2.6 to 3.0</w:t>
                  </w:r>
                </w:p>
              </w:tc>
              <w:tc>
                <w:tcPr>
                  <w:tcW w:w="0" w:type="auto"/>
                </w:tcPr>
                <w:p w14:paraId="0D9109EC" w14:textId="77777777" w:rsidR="00170426" w:rsidRPr="00E74630" w:rsidRDefault="00170426" w:rsidP="00270A48">
                  <w:pPr>
                    <w:rPr>
                      <w:rFonts w:cs="Arial"/>
                      <w:szCs w:val="18"/>
                      <w:lang w:val="en-US"/>
                    </w:rPr>
                  </w:pPr>
                  <w:r w:rsidRPr="00E74630">
                    <w:rPr>
                      <w:rFonts w:cs="Arial"/>
                      <w:szCs w:val="18"/>
                      <w:lang w:val="en-US"/>
                    </w:rPr>
                    <w:t>0.6</w:t>
                  </w:r>
                </w:p>
              </w:tc>
            </w:tr>
            <w:tr w:rsidR="00170426" w:rsidRPr="00E74630" w14:paraId="136A48D5" w14:textId="77777777" w:rsidTr="00270A48">
              <w:tc>
                <w:tcPr>
                  <w:tcW w:w="0" w:type="auto"/>
                </w:tcPr>
                <w:p w14:paraId="0F7C4875" w14:textId="77777777" w:rsidR="00170426" w:rsidRPr="00E74630" w:rsidRDefault="00170426" w:rsidP="00270A48">
                  <w:pPr>
                    <w:rPr>
                      <w:rFonts w:cs="Arial"/>
                      <w:szCs w:val="18"/>
                      <w:lang w:val="en-US"/>
                    </w:rPr>
                  </w:pPr>
                  <w:r w:rsidRPr="00E74630">
                    <w:rPr>
                      <w:rFonts w:cs="Arial"/>
                      <w:szCs w:val="18"/>
                      <w:lang w:val="en-US"/>
                    </w:rPr>
                    <w:t>3.1 to 3.5</w:t>
                  </w:r>
                </w:p>
              </w:tc>
              <w:tc>
                <w:tcPr>
                  <w:tcW w:w="0" w:type="auto"/>
                </w:tcPr>
                <w:p w14:paraId="2DF46242" w14:textId="77777777" w:rsidR="00170426" w:rsidRPr="00E74630" w:rsidRDefault="00170426" w:rsidP="00270A48">
                  <w:pPr>
                    <w:rPr>
                      <w:rFonts w:cs="Arial"/>
                      <w:szCs w:val="18"/>
                      <w:lang w:val="en-US"/>
                    </w:rPr>
                  </w:pPr>
                  <w:r w:rsidRPr="00E74630">
                    <w:rPr>
                      <w:rFonts w:cs="Arial"/>
                      <w:szCs w:val="18"/>
                      <w:lang w:val="en-US"/>
                    </w:rPr>
                    <w:t>0.7</w:t>
                  </w:r>
                </w:p>
              </w:tc>
            </w:tr>
            <w:tr w:rsidR="00170426" w:rsidRPr="00E74630" w14:paraId="65809234" w14:textId="77777777" w:rsidTr="00270A48">
              <w:tc>
                <w:tcPr>
                  <w:tcW w:w="0" w:type="auto"/>
                </w:tcPr>
                <w:p w14:paraId="6F78D876" w14:textId="77777777" w:rsidR="00170426" w:rsidRPr="00E74630" w:rsidRDefault="00170426" w:rsidP="00270A48">
                  <w:pPr>
                    <w:rPr>
                      <w:rFonts w:cs="Arial"/>
                      <w:szCs w:val="18"/>
                      <w:lang w:val="en-US"/>
                    </w:rPr>
                  </w:pPr>
                  <w:r w:rsidRPr="00E74630">
                    <w:rPr>
                      <w:rFonts w:cs="Arial"/>
                      <w:szCs w:val="18"/>
                      <w:lang w:val="en-US"/>
                    </w:rPr>
                    <w:t>3.6 to 4.0</w:t>
                  </w:r>
                </w:p>
              </w:tc>
              <w:tc>
                <w:tcPr>
                  <w:tcW w:w="0" w:type="auto"/>
                </w:tcPr>
                <w:p w14:paraId="0A1512D8" w14:textId="77777777" w:rsidR="00170426" w:rsidRPr="00E74630" w:rsidRDefault="00170426" w:rsidP="00270A48">
                  <w:pPr>
                    <w:rPr>
                      <w:rFonts w:cs="Arial"/>
                      <w:szCs w:val="18"/>
                      <w:lang w:val="en-US"/>
                    </w:rPr>
                  </w:pPr>
                  <w:r w:rsidRPr="00E74630">
                    <w:rPr>
                      <w:rFonts w:cs="Arial"/>
                      <w:szCs w:val="18"/>
                      <w:lang w:val="en-US"/>
                    </w:rPr>
                    <w:t>0.8</w:t>
                  </w:r>
                </w:p>
              </w:tc>
            </w:tr>
            <w:tr w:rsidR="00170426" w:rsidRPr="00E74630" w14:paraId="7F3A9CF7" w14:textId="77777777" w:rsidTr="00270A48">
              <w:tc>
                <w:tcPr>
                  <w:tcW w:w="0" w:type="auto"/>
                </w:tcPr>
                <w:p w14:paraId="1075B567" w14:textId="77777777" w:rsidR="00170426" w:rsidRPr="00E74630" w:rsidRDefault="00170426" w:rsidP="00270A48">
                  <w:pPr>
                    <w:rPr>
                      <w:rFonts w:cs="Arial"/>
                      <w:szCs w:val="18"/>
                      <w:lang w:val="en-US"/>
                    </w:rPr>
                  </w:pPr>
                  <w:r w:rsidRPr="00E74630">
                    <w:rPr>
                      <w:rFonts w:cs="Arial"/>
                      <w:szCs w:val="18"/>
                      <w:lang w:val="en-US"/>
                    </w:rPr>
                    <w:t>4.1 to 4.5</w:t>
                  </w:r>
                </w:p>
              </w:tc>
              <w:tc>
                <w:tcPr>
                  <w:tcW w:w="0" w:type="auto"/>
                </w:tcPr>
                <w:p w14:paraId="0EBCE219" w14:textId="77777777" w:rsidR="00170426" w:rsidRPr="00E74630" w:rsidRDefault="00170426" w:rsidP="00270A48">
                  <w:pPr>
                    <w:rPr>
                      <w:rFonts w:cs="Arial"/>
                      <w:szCs w:val="18"/>
                      <w:lang w:val="en-US"/>
                    </w:rPr>
                  </w:pPr>
                  <w:r w:rsidRPr="00E74630">
                    <w:rPr>
                      <w:rFonts w:cs="Arial"/>
                      <w:szCs w:val="18"/>
                      <w:lang w:val="en-US"/>
                    </w:rPr>
                    <w:t>0.9</w:t>
                  </w:r>
                </w:p>
              </w:tc>
            </w:tr>
            <w:tr w:rsidR="00170426" w:rsidRPr="00E74630" w14:paraId="704A2EAB" w14:textId="77777777" w:rsidTr="00270A48">
              <w:tc>
                <w:tcPr>
                  <w:tcW w:w="0" w:type="auto"/>
                </w:tcPr>
                <w:p w14:paraId="06A49F4D" w14:textId="77777777" w:rsidR="00170426" w:rsidRPr="00E74630" w:rsidRDefault="00170426" w:rsidP="00270A48">
                  <w:pPr>
                    <w:rPr>
                      <w:rFonts w:cs="Arial"/>
                      <w:szCs w:val="18"/>
                      <w:lang w:val="en-US"/>
                    </w:rPr>
                  </w:pPr>
                  <w:r w:rsidRPr="00E74630">
                    <w:rPr>
                      <w:rFonts w:cs="Arial"/>
                      <w:szCs w:val="18"/>
                      <w:lang w:val="en-US"/>
                    </w:rPr>
                    <w:t>4.6 to 5.0</w:t>
                  </w:r>
                </w:p>
              </w:tc>
              <w:tc>
                <w:tcPr>
                  <w:tcW w:w="0" w:type="auto"/>
                </w:tcPr>
                <w:p w14:paraId="74801247" w14:textId="77777777" w:rsidR="00170426" w:rsidRPr="00E74630" w:rsidRDefault="00170426" w:rsidP="00270A48">
                  <w:pPr>
                    <w:rPr>
                      <w:rFonts w:cs="Arial"/>
                      <w:szCs w:val="18"/>
                      <w:lang w:val="en-US"/>
                    </w:rPr>
                  </w:pPr>
                  <w:r w:rsidRPr="00E74630">
                    <w:rPr>
                      <w:rFonts w:cs="Arial"/>
                      <w:szCs w:val="18"/>
                      <w:lang w:val="en-US"/>
                    </w:rPr>
                    <w:t>1.0</w:t>
                  </w:r>
                </w:p>
              </w:tc>
            </w:tr>
            <w:tr w:rsidR="00170426" w:rsidRPr="00E74630" w14:paraId="766E0B46" w14:textId="77777777" w:rsidTr="00270A48">
              <w:tc>
                <w:tcPr>
                  <w:tcW w:w="0" w:type="auto"/>
                </w:tcPr>
                <w:p w14:paraId="68ED4024" w14:textId="77777777" w:rsidR="00170426" w:rsidRPr="00E74630" w:rsidRDefault="00170426" w:rsidP="00270A48">
                  <w:pPr>
                    <w:rPr>
                      <w:rFonts w:cs="Arial"/>
                      <w:szCs w:val="18"/>
                      <w:lang w:val="en-US"/>
                    </w:rPr>
                  </w:pPr>
                  <w:r w:rsidRPr="00E74630">
                    <w:rPr>
                      <w:rFonts w:cs="Arial"/>
                      <w:szCs w:val="18"/>
                      <w:lang w:val="en-US"/>
                    </w:rPr>
                    <w:t>5.1 to 5.5</w:t>
                  </w:r>
                </w:p>
              </w:tc>
              <w:tc>
                <w:tcPr>
                  <w:tcW w:w="0" w:type="auto"/>
                </w:tcPr>
                <w:p w14:paraId="70C2A62D" w14:textId="77777777" w:rsidR="00170426" w:rsidRPr="00E74630" w:rsidRDefault="00170426" w:rsidP="00270A48">
                  <w:pPr>
                    <w:rPr>
                      <w:rFonts w:cs="Arial"/>
                      <w:szCs w:val="18"/>
                      <w:lang w:val="en-US"/>
                    </w:rPr>
                  </w:pPr>
                  <w:r w:rsidRPr="00E74630">
                    <w:rPr>
                      <w:rFonts w:cs="Arial"/>
                      <w:szCs w:val="18"/>
                      <w:lang w:val="en-US"/>
                    </w:rPr>
                    <w:t>1.1</w:t>
                  </w:r>
                </w:p>
              </w:tc>
            </w:tr>
            <w:tr w:rsidR="00170426" w:rsidRPr="00E74630" w14:paraId="38D702A2" w14:textId="77777777" w:rsidTr="00270A48">
              <w:tc>
                <w:tcPr>
                  <w:tcW w:w="0" w:type="auto"/>
                </w:tcPr>
                <w:p w14:paraId="76B3713D" w14:textId="77777777" w:rsidR="00170426" w:rsidRPr="00E74630" w:rsidRDefault="00170426" w:rsidP="00270A48">
                  <w:pPr>
                    <w:rPr>
                      <w:rFonts w:cs="Arial"/>
                      <w:szCs w:val="18"/>
                      <w:lang w:val="en-US"/>
                    </w:rPr>
                  </w:pPr>
                  <w:r w:rsidRPr="00E74630">
                    <w:rPr>
                      <w:rFonts w:cs="Arial"/>
                      <w:szCs w:val="18"/>
                      <w:lang w:val="en-US"/>
                    </w:rPr>
                    <w:t>5.6 to 6.0</w:t>
                  </w:r>
                </w:p>
              </w:tc>
              <w:tc>
                <w:tcPr>
                  <w:tcW w:w="0" w:type="auto"/>
                </w:tcPr>
                <w:p w14:paraId="5D0C3841" w14:textId="77777777" w:rsidR="00170426" w:rsidRPr="00E74630" w:rsidRDefault="00170426" w:rsidP="00270A48">
                  <w:pPr>
                    <w:rPr>
                      <w:rFonts w:cs="Arial"/>
                      <w:szCs w:val="18"/>
                      <w:lang w:val="en-US"/>
                    </w:rPr>
                  </w:pPr>
                  <w:r w:rsidRPr="00E74630">
                    <w:rPr>
                      <w:rFonts w:cs="Arial"/>
                      <w:szCs w:val="18"/>
                      <w:lang w:val="en-US"/>
                    </w:rPr>
                    <w:t>1.2</w:t>
                  </w:r>
                </w:p>
              </w:tc>
            </w:tr>
          </w:tbl>
          <w:p w14:paraId="2B8CE5B5" w14:textId="77777777" w:rsidR="00170426" w:rsidRPr="00E74630" w:rsidRDefault="00170426" w:rsidP="00270A48">
            <w:pPr>
              <w:pStyle w:val="GazetteTableText"/>
              <w:rPr>
                <w:sz w:val="18"/>
              </w:rPr>
            </w:pPr>
            <w:r w:rsidRPr="00E74630">
              <w:rPr>
                <w:sz w:val="18"/>
                <w:lang w:val="en-US"/>
              </w:rPr>
              <w:t>Cats greater than 6.0 kg should be treated with a dose of 0.2 mL/kg bodyweight.</w:t>
            </w:r>
          </w:p>
        </w:tc>
      </w:tr>
      <w:tr w:rsidR="00170426" w14:paraId="6F4BBB84" w14:textId="77777777" w:rsidTr="00C640EB">
        <w:tc>
          <w:tcPr>
            <w:tcW w:w="3397" w:type="dxa"/>
            <w:shd w:val="clear" w:color="auto" w:fill="E7E6E6" w:themeFill="background2"/>
          </w:tcPr>
          <w:p w14:paraId="765EBCC5" w14:textId="77777777" w:rsidR="00170426" w:rsidRDefault="00170426" w:rsidP="00270A48">
            <w:pPr>
              <w:pStyle w:val="GazetteTableHeading"/>
            </w:pPr>
            <w:r>
              <w:t>Pack sizes</w:t>
            </w:r>
          </w:p>
        </w:tc>
        <w:tc>
          <w:tcPr>
            <w:tcW w:w="6231" w:type="dxa"/>
          </w:tcPr>
          <w:p w14:paraId="2B7CD6DE" w14:textId="77777777" w:rsidR="00170426" w:rsidRPr="00E74630" w:rsidRDefault="00170426" w:rsidP="00270A48">
            <w:pPr>
              <w:pStyle w:val="GazetteTableText"/>
              <w:rPr>
                <w:sz w:val="18"/>
              </w:rPr>
            </w:pPr>
            <w:r w:rsidRPr="00E74630">
              <w:rPr>
                <w:sz w:val="18"/>
              </w:rPr>
              <w:t>27 mL</w:t>
            </w:r>
          </w:p>
        </w:tc>
      </w:tr>
      <w:tr w:rsidR="00170426" w14:paraId="32CD1891" w14:textId="77777777" w:rsidTr="00C640EB">
        <w:tc>
          <w:tcPr>
            <w:tcW w:w="3397" w:type="dxa"/>
            <w:shd w:val="clear" w:color="auto" w:fill="E7E6E6" w:themeFill="background2"/>
          </w:tcPr>
          <w:p w14:paraId="4765B1FC" w14:textId="77777777" w:rsidR="00170426" w:rsidRDefault="00170426" w:rsidP="00270A48">
            <w:pPr>
              <w:pStyle w:val="GazetteTableHeading"/>
            </w:pPr>
            <w:r>
              <w:t>Withholding period</w:t>
            </w:r>
          </w:p>
        </w:tc>
        <w:tc>
          <w:tcPr>
            <w:tcW w:w="6231" w:type="dxa"/>
          </w:tcPr>
          <w:p w14:paraId="2369F447" w14:textId="77777777" w:rsidR="00170426" w:rsidRPr="00E74630" w:rsidRDefault="00170426" w:rsidP="00270A48">
            <w:pPr>
              <w:pStyle w:val="GazetteTableText"/>
              <w:rPr>
                <w:sz w:val="18"/>
              </w:rPr>
            </w:pPr>
            <w:r w:rsidRPr="00E74630">
              <w:rPr>
                <w:sz w:val="18"/>
              </w:rPr>
              <w:t>N/A</w:t>
            </w:r>
          </w:p>
        </w:tc>
      </w:tr>
    </w:tbl>
    <w:p w14:paraId="0134452D" w14:textId="77777777" w:rsidR="00170426" w:rsidRPr="00E74630" w:rsidRDefault="00170426" w:rsidP="00170426">
      <w:pPr>
        <w:pStyle w:val="GazetteNormalText"/>
        <w:rPr>
          <w:rFonts w:hAnsi="Arial" w:cs="Arial"/>
          <w:i/>
        </w:rPr>
      </w:pPr>
      <w:r w:rsidRPr="00E74630">
        <w:rPr>
          <w:rFonts w:hAnsi="Arial" w:cs="Arial"/>
        </w:rPr>
        <w:t xml:space="preserve">A summary of the APVMA’s evaluation of </w:t>
      </w:r>
      <w:proofErr w:type="spellStart"/>
      <w:r w:rsidRPr="00E74630">
        <w:rPr>
          <w:rFonts w:hAnsi="Arial" w:cs="Arial"/>
          <w:b/>
          <w:bCs/>
          <w:lang w:val="en-AU"/>
        </w:rPr>
        <w:t>Varenzin</w:t>
      </w:r>
      <w:proofErr w:type="spellEnd"/>
      <w:r w:rsidRPr="00E74630">
        <w:rPr>
          <w:rFonts w:hAnsi="Arial" w:cs="Arial"/>
          <w:b/>
          <w:bCs/>
          <w:lang w:val="en-AU"/>
        </w:rPr>
        <w:t xml:space="preserve"> Oral Suspension for Cats</w:t>
      </w:r>
      <w:r w:rsidRPr="00E74630">
        <w:rPr>
          <w:rFonts w:hAnsi="Arial" w:cs="Arial"/>
          <w:lang w:val="en-AU"/>
        </w:rPr>
        <w:t xml:space="preserve"> </w:t>
      </w:r>
      <w:r w:rsidRPr="00E74630">
        <w:rPr>
          <w:rFonts w:hAnsi="Arial" w:cs="Arial"/>
        </w:rPr>
        <w:t>in accordance with the requirements of section 14(1)(</w:t>
      </w:r>
      <w:r>
        <w:rPr>
          <w:rFonts w:hAnsi="Arial" w:cs="Arial"/>
        </w:rPr>
        <w:t>c</w:t>
      </w:r>
      <w:r w:rsidRPr="00E74630">
        <w:rPr>
          <w:rFonts w:hAnsi="Arial" w:cs="Arial"/>
        </w:rPr>
        <w:t>) of the Agricultural and Veterinary Chemicals Code (the ‘</w:t>
      </w:r>
      <w:proofErr w:type="spellStart"/>
      <w:r w:rsidRPr="00E74630">
        <w:rPr>
          <w:rFonts w:hAnsi="Arial" w:cs="Arial"/>
        </w:rPr>
        <w:t>Agvet</w:t>
      </w:r>
      <w:proofErr w:type="spellEnd"/>
      <w:r w:rsidRPr="00E74630">
        <w:rPr>
          <w:rFonts w:hAnsi="Arial" w:cs="Arial"/>
        </w:rPr>
        <w:t xml:space="preserve"> Code’), scheduled to the</w:t>
      </w:r>
      <w:r w:rsidRPr="00E74630">
        <w:rPr>
          <w:rFonts w:hAnsi="Arial" w:cs="Arial"/>
          <w:i/>
        </w:rPr>
        <w:t xml:space="preserve"> Agricultural and Veterinary Chemicals Code Act 1994:</w:t>
      </w:r>
    </w:p>
    <w:p w14:paraId="4D4E824C" w14:textId="77777777" w:rsidR="00170426" w:rsidRPr="00873A42" w:rsidRDefault="00170426" w:rsidP="00170426">
      <w:pPr>
        <w:pStyle w:val="GazetteListNumbered"/>
        <w:rPr>
          <w:rFonts w:hAnsi="Arial" w:cs="Arial"/>
        </w:rPr>
      </w:pPr>
      <w:r w:rsidRPr="00E74630">
        <w:rPr>
          <w:rFonts w:hAnsi="Arial" w:cs="Arial"/>
        </w:rPr>
        <w:t xml:space="preserve">The APVMA has evaluated the application and in its assessment in relation to whether the </w:t>
      </w:r>
      <w:r w:rsidRPr="00E74630">
        <w:rPr>
          <w:rFonts w:hAnsi="Arial" w:cs="Arial"/>
          <w:b/>
          <w:bCs/>
        </w:rPr>
        <w:t>safety criteria</w:t>
      </w:r>
      <w:r w:rsidRPr="00E74630">
        <w:rPr>
          <w:rFonts w:hAnsi="Arial" w:cs="Arial"/>
        </w:rPr>
        <w:t xml:space="preserve"> have been met in accordance with the definition set out in section 5A of the </w:t>
      </w:r>
      <w:proofErr w:type="spellStart"/>
      <w:r w:rsidRPr="00E74630">
        <w:rPr>
          <w:rFonts w:hAnsi="Arial" w:cs="Arial"/>
        </w:rPr>
        <w:t>Agvet</w:t>
      </w:r>
      <w:proofErr w:type="spellEnd"/>
      <w:r w:rsidRPr="00E74630">
        <w:rPr>
          <w:rFonts w:hAnsi="Arial" w:cs="Arial"/>
        </w:rPr>
        <w:t xml:space="preserve"> Code, proposes to determine that:</w:t>
      </w:r>
    </w:p>
    <w:p w14:paraId="57E98B3B" w14:textId="45CD8CD3" w:rsidR="00170426" w:rsidRPr="008157F6" w:rsidRDefault="00170426" w:rsidP="00170426">
      <w:pPr>
        <w:pStyle w:val="GazetteListRomanNumeral"/>
        <w:rPr>
          <w:rFonts w:hAnsi="Arial" w:cs="Arial"/>
          <w:color w:val="auto"/>
        </w:rPr>
      </w:pPr>
      <w:r w:rsidRPr="00E74630">
        <w:rPr>
          <w:rFonts w:hAnsi="Arial" w:cs="Arial"/>
        </w:rPr>
        <w:t xml:space="preserve">The APVMA is satisfied that proposed use of </w:t>
      </w:r>
      <w:proofErr w:type="spellStart"/>
      <w:r w:rsidRPr="00E74630">
        <w:rPr>
          <w:rFonts w:hAnsi="Arial" w:cs="Arial"/>
        </w:rPr>
        <w:t>Varenzin</w:t>
      </w:r>
      <w:proofErr w:type="spellEnd"/>
      <w:r w:rsidRPr="00E74630">
        <w:rPr>
          <w:rFonts w:hAnsi="Arial" w:cs="Arial"/>
        </w:rPr>
        <w:t xml:space="preserve"> Oral Suspension for Cats would not be an undue hazard to </w:t>
      </w:r>
      <w:r w:rsidRPr="00E74630">
        <w:rPr>
          <w:rFonts w:hAnsi="Arial" w:cs="Arial"/>
          <w:color w:val="auto"/>
        </w:rPr>
        <w:t xml:space="preserve">the safety of people exposed to it during its </w:t>
      </w:r>
      <w:r w:rsidRPr="008157F6">
        <w:rPr>
          <w:rFonts w:hAnsi="Arial" w:cs="Arial"/>
          <w:color w:val="auto"/>
        </w:rPr>
        <w:t>handling and use.</w:t>
      </w:r>
      <w:r>
        <w:rPr>
          <w:rFonts w:hAnsi="Arial" w:cs="Arial"/>
          <w:color w:val="auto"/>
        </w:rPr>
        <w:t xml:space="preserve"> Assessment </w:t>
      </w:r>
      <w:r w:rsidRPr="008157F6">
        <w:rPr>
          <w:rFonts w:hAnsi="Arial" w:cs="Arial"/>
          <w:color w:val="auto"/>
          <w:lang w:val="en-AU"/>
        </w:rPr>
        <w:t>included</w:t>
      </w:r>
      <w:r>
        <w:rPr>
          <w:rFonts w:hAnsi="Arial" w:cs="Arial"/>
          <w:color w:val="auto"/>
          <w:lang w:val="en-AU"/>
        </w:rPr>
        <w:t>,</w:t>
      </w:r>
      <w:r w:rsidRPr="008157F6">
        <w:rPr>
          <w:rFonts w:hAnsi="Arial" w:cs="Arial"/>
          <w:color w:val="auto"/>
          <w:lang w:val="en-AU"/>
        </w:rPr>
        <w:t xml:space="preserve"> acute oral toxicology studies in a range of animals including Wistar rats, mice, Beagle dogs</w:t>
      </w:r>
      <w:r>
        <w:rPr>
          <w:rFonts w:hAnsi="Arial" w:cs="Arial"/>
          <w:color w:val="auto"/>
          <w:lang w:val="en-AU"/>
        </w:rPr>
        <w:t xml:space="preserve"> in </w:t>
      </w:r>
      <w:r w:rsidR="009975D2">
        <w:rPr>
          <w:rFonts w:hAnsi="Arial" w:cs="Arial"/>
          <w:color w:val="auto"/>
          <w:lang w:val="en-AU"/>
        </w:rPr>
        <w:t>3</w:t>
      </w:r>
      <w:r>
        <w:rPr>
          <w:rFonts w:hAnsi="Arial" w:cs="Arial"/>
          <w:color w:val="auto"/>
          <w:lang w:val="en-AU"/>
        </w:rPr>
        <w:t xml:space="preserve"> s</w:t>
      </w:r>
      <w:r w:rsidRPr="008157F6">
        <w:rPr>
          <w:rFonts w:hAnsi="Arial" w:cs="Arial"/>
          <w:color w:val="auto"/>
          <w:lang w:val="en-AU"/>
        </w:rPr>
        <w:t>hort term</w:t>
      </w:r>
      <w:r>
        <w:rPr>
          <w:rFonts w:hAnsi="Arial" w:cs="Arial"/>
          <w:color w:val="auto"/>
          <w:lang w:val="en-AU"/>
        </w:rPr>
        <w:t>,</w:t>
      </w:r>
      <w:r w:rsidRPr="008157F6">
        <w:rPr>
          <w:rFonts w:hAnsi="Arial" w:cs="Arial"/>
          <w:color w:val="auto"/>
          <w:lang w:val="en-AU"/>
        </w:rPr>
        <w:t xml:space="preserve"> </w:t>
      </w:r>
      <w:r w:rsidR="009975D2">
        <w:rPr>
          <w:rFonts w:hAnsi="Arial" w:cs="Arial"/>
          <w:color w:val="auto"/>
          <w:lang w:val="en-AU"/>
        </w:rPr>
        <w:t xml:space="preserve">5 </w:t>
      </w:r>
      <w:r w:rsidRPr="008157F6">
        <w:rPr>
          <w:rFonts w:hAnsi="Arial" w:cs="Arial"/>
          <w:color w:val="auto"/>
          <w:lang w:val="en-AU"/>
        </w:rPr>
        <w:t xml:space="preserve">sub chronic and </w:t>
      </w:r>
      <w:r w:rsidR="009975D2">
        <w:rPr>
          <w:rFonts w:hAnsi="Arial" w:cs="Arial"/>
          <w:color w:val="auto"/>
          <w:lang w:val="en-AU"/>
        </w:rPr>
        <w:t>2</w:t>
      </w:r>
      <w:r>
        <w:rPr>
          <w:rFonts w:hAnsi="Arial" w:cs="Arial"/>
          <w:color w:val="auto"/>
          <w:lang w:val="en-AU"/>
        </w:rPr>
        <w:t xml:space="preserve"> </w:t>
      </w:r>
      <w:r w:rsidRPr="008157F6">
        <w:rPr>
          <w:rFonts w:hAnsi="Arial" w:cs="Arial"/>
          <w:color w:val="auto"/>
          <w:lang w:val="en-AU"/>
        </w:rPr>
        <w:t>chronic studies</w:t>
      </w:r>
      <w:r>
        <w:rPr>
          <w:rFonts w:hAnsi="Arial" w:cs="Arial"/>
          <w:color w:val="auto"/>
          <w:lang w:val="en-AU"/>
        </w:rPr>
        <w:t>. R</w:t>
      </w:r>
      <w:r w:rsidRPr="008157F6">
        <w:rPr>
          <w:rFonts w:hAnsi="Arial" w:cs="Arial"/>
          <w:color w:val="auto"/>
          <w:lang w:val="en-AU"/>
        </w:rPr>
        <w:t>eproductive studies in rats</w:t>
      </w:r>
      <w:r>
        <w:rPr>
          <w:rFonts w:hAnsi="Arial" w:cs="Arial"/>
          <w:color w:val="auto"/>
          <w:lang w:val="en-AU"/>
        </w:rPr>
        <w:t>,</w:t>
      </w:r>
      <w:r w:rsidRPr="008157F6">
        <w:rPr>
          <w:rFonts w:hAnsi="Arial" w:cs="Arial"/>
          <w:color w:val="auto"/>
          <w:lang w:val="en-AU"/>
        </w:rPr>
        <w:t xml:space="preserve"> developmental studies in rats and Himalayan rabbits</w:t>
      </w:r>
      <w:r>
        <w:rPr>
          <w:rFonts w:hAnsi="Arial" w:cs="Arial"/>
          <w:color w:val="auto"/>
          <w:lang w:val="en-AU"/>
        </w:rPr>
        <w:t xml:space="preserve"> and</w:t>
      </w:r>
      <w:r w:rsidRPr="008157F6">
        <w:rPr>
          <w:rFonts w:hAnsi="Arial" w:cs="Arial"/>
          <w:color w:val="auto"/>
          <w:lang w:val="en-AU"/>
        </w:rPr>
        <w:t xml:space="preserve"> </w:t>
      </w:r>
      <w:r>
        <w:rPr>
          <w:rFonts w:hAnsi="Arial" w:cs="Arial"/>
          <w:color w:val="auto"/>
          <w:lang w:val="en-AU"/>
        </w:rPr>
        <w:t>c</w:t>
      </w:r>
      <w:r w:rsidRPr="008157F6">
        <w:rPr>
          <w:rFonts w:hAnsi="Arial" w:cs="Arial"/>
          <w:color w:val="auto"/>
          <w:lang w:val="en-AU"/>
        </w:rPr>
        <w:t>arcinogenicity in rats and genotoxicity studies</w:t>
      </w:r>
      <w:r>
        <w:rPr>
          <w:rFonts w:hAnsi="Arial" w:cs="Arial"/>
          <w:color w:val="auto"/>
          <w:lang w:val="en-AU"/>
        </w:rPr>
        <w:t xml:space="preserve"> were also evaluated. </w:t>
      </w:r>
      <w:r w:rsidRPr="008157F6">
        <w:rPr>
          <w:rFonts w:hAnsi="Arial" w:cs="Arial"/>
          <w:color w:val="auto"/>
          <w:lang w:val="en-AU"/>
        </w:rPr>
        <w:t xml:space="preserve">While there were no acute dermal or inhalation studies, skin irritation and corrosivity of product were evaluated in </w:t>
      </w:r>
      <w:r w:rsidRPr="008157F6">
        <w:rPr>
          <w:rFonts w:hAnsi="Arial" w:cs="Arial"/>
          <w:i/>
          <w:iCs/>
          <w:color w:val="auto"/>
          <w:lang w:val="en-AU"/>
        </w:rPr>
        <w:t>in vitro</w:t>
      </w:r>
      <w:r w:rsidRPr="008157F6">
        <w:rPr>
          <w:rFonts w:hAnsi="Arial" w:cs="Arial"/>
          <w:color w:val="auto"/>
          <w:lang w:val="en-AU"/>
        </w:rPr>
        <w:t xml:space="preserve"> </w:t>
      </w:r>
      <w:r>
        <w:rPr>
          <w:rFonts w:hAnsi="Arial" w:cs="Arial"/>
          <w:color w:val="auto"/>
          <w:lang w:val="en-AU"/>
        </w:rPr>
        <w:t>r</w:t>
      </w:r>
      <w:r w:rsidRPr="008157F6">
        <w:rPr>
          <w:rFonts w:hAnsi="Arial" w:cs="Arial"/>
          <w:color w:val="auto"/>
          <w:lang w:val="en-AU"/>
        </w:rPr>
        <w:t>econstructed human epidermis model (</w:t>
      </w:r>
      <w:proofErr w:type="spellStart"/>
      <w:r w:rsidRPr="008157F6">
        <w:rPr>
          <w:rFonts w:hAnsi="Arial" w:cs="Arial"/>
          <w:color w:val="auto"/>
          <w:lang w:val="en-AU"/>
        </w:rPr>
        <w:t>RhE</w:t>
      </w:r>
      <w:proofErr w:type="spellEnd"/>
      <w:r w:rsidRPr="008157F6">
        <w:rPr>
          <w:rFonts w:hAnsi="Arial" w:cs="Arial"/>
          <w:color w:val="auto"/>
          <w:lang w:val="en-AU"/>
        </w:rPr>
        <w:t xml:space="preserve">), skin sensitisation was tested using </w:t>
      </w:r>
      <w:r w:rsidRPr="008157F6">
        <w:rPr>
          <w:rFonts w:hAnsi="Arial" w:cs="Arial"/>
          <w:iCs/>
          <w:color w:val="auto"/>
          <w:lang w:val="en-US"/>
        </w:rPr>
        <w:t xml:space="preserve">mouse </w:t>
      </w:r>
      <w:r w:rsidRPr="008157F6">
        <w:rPr>
          <w:rFonts w:hAnsi="Arial" w:cs="Arial"/>
          <w:color w:val="auto"/>
          <w:lang w:val="en-AU"/>
        </w:rPr>
        <w:t xml:space="preserve">Local lymph node assay </w:t>
      </w:r>
      <w:r w:rsidRPr="008157F6">
        <w:rPr>
          <w:rFonts w:hAnsi="Arial" w:cs="Arial"/>
          <w:iCs/>
          <w:color w:val="auto"/>
          <w:lang w:val="en-US"/>
        </w:rPr>
        <w:t xml:space="preserve">(LLNA). </w:t>
      </w:r>
      <w:r>
        <w:rPr>
          <w:rFonts w:hAnsi="Arial" w:cs="Arial"/>
          <w:i/>
          <w:iCs/>
          <w:color w:val="auto"/>
          <w:lang w:val="en-AU"/>
        </w:rPr>
        <w:t>I</w:t>
      </w:r>
      <w:r w:rsidRPr="008157F6">
        <w:rPr>
          <w:rFonts w:hAnsi="Arial" w:cs="Arial"/>
          <w:i/>
          <w:iCs/>
          <w:color w:val="auto"/>
          <w:lang w:val="en-AU"/>
        </w:rPr>
        <w:t>n vitro</w:t>
      </w:r>
      <w:r w:rsidRPr="008157F6">
        <w:rPr>
          <w:rFonts w:hAnsi="Arial" w:cs="Arial"/>
          <w:color w:val="auto"/>
          <w:lang w:val="en-AU"/>
        </w:rPr>
        <w:t xml:space="preserve"> studies for eye </w:t>
      </w:r>
      <w:r w:rsidRPr="008157F6">
        <w:rPr>
          <w:rFonts w:hAnsi="Arial" w:cs="Arial"/>
          <w:iCs/>
          <w:color w:val="auto"/>
          <w:lang w:val="en-AU"/>
        </w:rPr>
        <w:t xml:space="preserve">irritation were evaluated in </w:t>
      </w:r>
      <w:r w:rsidRPr="008157F6">
        <w:rPr>
          <w:rFonts w:hAnsi="Arial" w:cs="Arial"/>
          <w:i/>
          <w:iCs/>
          <w:color w:val="auto"/>
          <w:lang w:val="en-AU"/>
        </w:rPr>
        <w:t xml:space="preserve">In vitro </w:t>
      </w:r>
      <w:r>
        <w:rPr>
          <w:rFonts w:hAnsi="Arial" w:cs="Arial"/>
          <w:i/>
          <w:iCs/>
          <w:color w:val="auto"/>
          <w:lang w:val="en-AU"/>
        </w:rPr>
        <w:t>r</w:t>
      </w:r>
      <w:r w:rsidRPr="008157F6">
        <w:rPr>
          <w:rFonts w:hAnsi="Arial" w:cs="Arial"/>
          <w:iCs/>
          <w:color w:val="auto"/>
          <w:lang w:val="en-AU"/>
        </w:rPr>
        <w:t>econstructed human cornea-like epithelium (</w:t>
      </w:r>
      <w:proofErr w:type="spellStart"/>
      <w:r w:rsidRPr="008157F6">
        <w:rPr>
          <w:rFonts w:hAnsi="Arial" w:cs="Arial"/>
          <w:iCs/>
          <w:color w:val="auto"/>
          <w:lang w:val="en-AU"/>
        </w:rPr>
        <w:t>RhCE</w:t>
      </w:r>
      <w:proofErr w:type="spellEnd"/>
      <w:r w:rsidRPr="008157F6">
        <w:rPr>
          <w:rFonts w:hAnsi="Arial" w:cs="Arial"/>
          <w:iCs/>
          <w:color w:val="auto"/>
          <w:lang w:val="en-AU"/>
        </w:rPr>
        <w:t xml:space="preserve">) and </w:t>
      </w:r>
      <w:r w:rsidRPr="0066204B">
        <w:rPr>
          <w:rFonts w:hAnsi="Arial" w:cs="Arial"/>
          <w:i/>
          <w:color w:val="auto"/>
          <w:lang w:val="en-AU"/>
        </w:rPr>
        <w:t>In vitro</w:t>
      </w:r>
      <w:r w:rsidRPr="008157F6">
        <w:rPr>
          <w:rFonts w:hAnsi="Arial" w:cs="Arial"/>
          <w:iCs/>
          <w:color w:val="auto"/>
          <w:lang w:val="en-AU"/>
        </w:rPr>
        <w:t xml:space="preserve"> Bovine Corneal Opacity and Permeability (BCOP) Test.</w:t>
      </w:r>
      <w:r w:rsidRPr="008157F6">
        <w:rPr>
          <w:rFonts w:hAnsi="Arial" w:cs="Arial"/>
          <w:color w:val="auto"/>
          <w:lang w:val="en-AU"/>
        </w:rPr>
        <w:t xml:space="preserve"> </w:t>
      </w:r>
      <w:r w:rsidRPr="008157F6">
        <w:rPr>
          <w:rFonts w:hAnsi="Arial" w:cs="Arial"/>
          <w:iCs/>
          <w:color w:val="auto"/>
          <w:lang w:val="en-AU"/>
        </w:rPr>
        <w:t xml:space="preserve">The pharmacokinetics of </w:t>
      </w:r>
      <w:proofErr w:type="spellStart"/>
      <w:r w:rsidRPr="008157F6">
        <w:rPr>
          <w:rFonts w:hAnsi="Arial" w:cs="Arial"/>
          <w:iCs/>
          <w:color w:val="auto"/>
          <w:lang w:val="en-AU"/>
        </w:rPr>
        <w:t>molidustat</w:t>
      </w:r>
      <w:proofErr w:type="spellEnd"/>
      <w:r w:rsidRPr="008157F6">
        <w:rPr>
          <w:rFonts w:hAnsi="Arial" w:cs="Arial"/>
          <w:iCs/>
          <w:color w:val="auto"/>
          <w:lang w:val="en-AU"/>
        </w:rPr>
        <w:t xml:space="preserve"> were evaluated in studie</w:t>
      </w:r>
      <w:r>
        <w:rPr>
          <w:rFonts w:hAnsi="Arial" w:cs="Arial"/>
          <w:iCs/>
          <w:color w:val="auto"/>
          <w:lang w:val="en-AU"/>
        </w:rPr>
        <w:t>s</w:t>
      </w:r>
      <w:r w:rsidRPr="008157F6">
        <w:rPr>
          <w:rFonts w:hAnsi="Arial" w:cs="Arial"/>
          <w:iCs/>
          <w:color w:val="auto"/>
          <w:lang w:val="en-AU"/>
        </w:rPr>
        <w:t xml:space="preserve"> </w:t>
      </w:r>
      <w:r>
        <w:rPr>
          <w:rFonts w:hAnsi="Arial" w:cs="Arial"/>
          <w:iCs/>
          <w:color w:val="auto"/>
          <w:lang w:val="en-AU"/>
        </w:rPr>
        <w:t>in</w:t>
      </w:r>
      <w:r w:rsidRPr="008157F6">
        <w:rPr>
          <w:rFonts w:hAnsi="Arial" w:cs="Arial"/>
          <w:iCs/>
          <w:color w:val="auto"/>
          <w:lang w:val="en-AU"/>
        </w:rPr>
        <w:t xml:space="preserve"> rat, dog, cat and monkey</w:t>
      </w:r>
      <w:r>
        <w:rPr>
          <w:rFonts w:hAnsi="Arial" w:cs="Arial"/>
          <w:iCs/>
          <w:color w:val="auto"/>
          <w:lang w:val="en-AU"/>
        </w:rPr>
        <w:t>s. Based on the results of these studies the APVMA determined that:</w:t>
      </w:r>
    </w:p>
    <w:p w14:paraId="358F31C6" w14:textId="7D36F907" w:rsidR="00170426" w:rsidRPr="00E74630" w:rsidRDefault="00170426" w:rsidP="00170426">
      <w:pPr>
        <w:pStyle w:val="GazetteListAlpha"/>
        <w:tabs>
          <w:tab w:val="clear" w:pos="720"/>
        </w:tabs>
        <w:ind w:left="1020" w:hanging="594"/>
        <w:rPr>
          <w:rFonts w:hAnsi="Arial" w:cs="Arial"/>
          <w:color w:val="auto"/>
        </w:rPr>
      </w:pPr>
      <w:r>
        <w:rPr>
          <w:rFonts w:hAnsi="Arial" w:cs="Arial"/>
          <w:color w:val="auto"/>
          <w:lang w:val="en-US"/>
        </w:rPr>
        <w:lastRenderedPageBreak/>
        <w:t xml:space="preserve">The </w:t>
      </w:r>
      <w:r w:rsidRPr="00E74630">
        <w:rPr>
          <w:rFonts w:hAnsi="Arial" w:cs="Arial"/>
          <w:color w:val="auto"/>
          <w:lang w:val="en-US"/>
        </w:rPr>
        <w:t>product is unlikely to be a skin or eye irritant; the main risk is potential dermal absorption from spillage</w:t>
      </w:r>
      <w:r w:rsidRPr="00E74630">
        <w:rPr>
          <w:rFonts w:hAnsi="Arial" w:cs="Arial"/>
          <w:color w:val="auto"/>
        </w:rPr>
        <w:t>.</w:t>
      </w:r>
    </w:p>
    <w:p w14:paraId="51753C84" w14:textId="6B4ECF58" w:rsidR="00170426" w:rsidRPr="00E74630" w:rsidRDefault="00170426" w:rsidP="00170426">
      <w:pPr>
        <w:pStyle w:val="GazetteListAlpha"/>
        <w:tabs>
          <w:tab w:val="clear" w:pos="720"/>
        </w:tabs>
        <w:ind w:left="1020" w:hanging="594"/>
        <w:rPr>
          <w:rFonts w:hAnsi="Arial" w:cs="Arial"/>
          <w:color w:val="auto"/>
        </w:rPr>
      </w:pPr>
      <w:proofErr w:type="spellStart"/>
      <w:r w:rsidRPr="00E74630">
        <w:rPr>
          <w:rFonts w:hAnsi="Arial" w:cs="Arial"/>
          <w:color w:val="auto"/>
          <w:lang w:val="en-AU"/>
        </w:rPr>
        <w:t>Molidustat</w:t>
      </w:r>
      <w:proofErr w:type="spellEnd"/>
      <w:r w:rsidRPr="00E74630">
        <w:rPr>
          <w:rFonts w:hAnsi="Arial" w:cs="Arial"/>
          <w:color w:val="auto"/>
          <w:lang w:val="en-AU"/>
        </w:rPr>
        <w:t xml:space="preserve"> was not a carcinogen in mice or rats.</w:t>
      </w:r>
      <w:r w:rsidRPr="00E74630">
        <w:rPr>
          <w:rFonts w:eastAsiaTheme="minorEastAsia" w:hAnsi="Arial" w:cs="Arial"/>
          <w:color w:val="auto"/>
          <w:lang w:val="en-US"/>
        </w:rPr>
        <w:t xml:space="preserve"> </w:t>
      </w:r>
      <w:r w:rsidRPr="00E74630">
        <w:rPr>
          <w:rFonts w:hAnsi="Arial" w:cs="Arial"/>
          <w:color w:val="auto"/>
          <w:lang w:val="en-US"/>
        </w:rPr>
        <w:t>Genotoxicity assays (</w:t>
      </w:r>
      <w:proofErr w:type="gramStart"/>
      <w:r w:rsidRPr="00E74630">
        <w:rPr>
          <w:rFonts w:hAnsi="Arial" w:cs="Arial"/>
          <w:color w:val="auto"/>
          <w:lang w:val="en-US"/>
        </w:rPr>
        <w:t>Ames</w:t>
      </w:r>
      <w:proofErr w:type="gramEnd"/>
      <w:r w:rsidRPr="00E74630">
        <w:rPr>
          <w:rFonts w:hAnsi="Arial" w:cs="Arial"/>
          <w:color w:val="auto"/>
          <w:lang w:val="en-US"/>
        </w:rPr>
        <w:t xml:space="preserve"> test, </w:t>
      </w:r>
      <w:r w:rsidRPr="00E74630">
        <w:rPr>
          <w:rFonts w:hAnsi="Arial" w:cs="Arial"/>
          <w:i/>
          <w:iCs/>
          <w:color w:val="auto"/>
        </w:rPr>
        <w:t>in vivo</w:t>
      </w:r>
      <w:r w:rsidRPr="00E74630">
        <w:rPr>
          <w:rFonts w:hAnsi="Arial" w:cs="Arial"/>
          <w:color w:val="auto"/>
        </w:rPr>
        <w:t xml:space="preserve"> UDS and cytotoxic bone barrow tests in rats) were negative.</w:t>
      </w:r>
    </w:p>
    <w:p w14:paraId="199F67A7" w14:textId="77777777" w:rsidR="00170426" w:rsidRPr="00E74630" w:rsidRDefault="00170426" w:rsidP="00170426">
      <w:pPr>
        <w:pStyle w:val="GazetteListAlpha"/>
        <w:tabs>
          <w:tab w:val="clear" w:pos="720"/>
        </w:tabs>
        <w:ind w:left="1020" w:hanging="594"/>
        <w:rPr>
          <w:rFonts w:hAnsi="Arial" w:cs="Arial"/>
          <w:color w:val="auto"/>
        </w:rPr>
      </w:pPr>
      <w:r w:rsidRPr="00E74630">
        <w:rPr>
          <w:rFonts w:hAnsi="Arial" w:cs="Arial"/>
          <w:color w:val="auto"/>
          <w:lang w:val="en-AU"/>
        </w:rPr>
        <w:t>No effect was shown on reproduction parameters in rats, including male or female fertility.</w:t>
      </w:r>
    </w:p>
    <w:p w14:paraId="13582107" w14:textId="77777777" w:rsidR="00170426" w:rsidRPr="00E74630" w:rsidRDefault="00170426" w:rsidP="00170426">
      <w:pPr>
        <w:pStyle w:val="GazetteListAlpha"/>
        <w:tabs>
          <w:tab w:val="clear" w:pos="720"/>
        </w:tabs>
        <w:ind w:left="1020" w:hanging="594"/>
        <w:rPr>
          <w:rFonts w:hAnsi="Arial" w:cs="Arial"/>
          <w:color w:val="auto"/>
        </w:rPr>
      </w:pPr>
      <w:r w:rsidRPr="00E74630">
        <w:rPr>
          <w:rFonts w:hAnsi="Arial" w:cs="Arial"/>
          <w:color w:val="auto"/>
          <w:lang w:val="en-AU"/>
        </w:rPr>
        <w:t xml:space="preserve">In a developmental toxicity study in rats, administration of </w:t>
      </w:r>
      <w:proofErr w:type="spellStart"/>
      <w:r w:rsidRPr="00E74630">
        <w:rPr>
          <w:rFonts w:hAnsi="Arial" w:cs="Arial"/>
          <w:color w:val="auto"/>
          <w:lang w:val="en-AU"/>
        </w:rPr>
        <w:t>molidustat</w:t>
      </w:r>
      <w:proofErr w:type="spellEnd"/>
      <w:r w:rsidRPr="00E74630">
        <w:rPr>
          <w:rFonts w:hAnsi="Arial" w:cs="Arial"/>
          <w:color w:val="auto"/>
          <w:lang w:val="en-AU"/>
        </w:rPr>
        <w:t xml:space="preserve"> led to an increased number of ocular malformations in foetuses at 30 mg/kg </w:t>
      </w:r>
      <w:proofErr w:type="spellStart"/>
      <w:r w:rsidRPr="00E74630">
        <w:rPr>
          <w:rFonts w:hAnsi="Arial" w:cs="Arial"/>
          <w:color w:val="auto"/>
          <w:lang w:val="en-AU"/>
        </w:rPr>
        <w:t>bw</w:t>
      </w:r>
      <w:proofErr w:type="spellEnd"/>
      <w:r w:rsidRPr="00E74630">
        <w:rPr>
          <w:rFonts w:hAnsi="Arial" w:cs="Arial"/>
          <w:color w:val="auto"/>
          <w:lang w:val="en-AU"/>
        </w:rPr>
        <w:t>/d.</w:t>
      </w:r>
      <w:r w:rsidRPr="00E74630">
        <w:rPr>
          <w:rFonts w:eastAsiaTheme="minorEastAsia" w:hAnsi="Arial" w:cs="Arial"/>
          <w:color w:val="auto"/>
          <w:bdr w:val="none" w:sz="0" w:space="0" w:color="auto"/>
          <w:lang w:val="en-AU" w:eastAsia="en-US"/>
        </w:rPr>
        <w:t xml:space="preserve"> </w:t>
      </w:r>
      <w:r w:rsidRPr="00E74630">
        <w:rPr>
          <w:rFonts w:hAnsi="Arial" w:cs="Arial"/>
          <w:color w:val="auto"/>
          <w:lang w:val="en-AU"/>
        </w:rPr>
        <w:t xml:space="preserve">No maternal toxicity was observed in rabbits and no influence on foetal development up to the highest test dose of 20 mg/kg </w:t>
      </w:r>
      <w:proofErr w:type="spellStart"/>
      <w:r w:rsidRPr="00E74630">
        <w:rPr>
          <w:rFonts w:hAnsi="Arial" w:cs="Arial"/>
          <w:color w:val="auto"/>
          <w:lang w:val="en-AU"/>
        </w:rPr>
        <w:t>bw</w:t>
      </w:r>
      <w:proofErr w:type="spellEnd"/>
      <w:r w:rsidRPr="00E74630">
        <w:rPr>
          <w:rFonts w:hAnsi="Arial" w:cs="Arial"/>
          <w:color w:val="auto"/>
          <w:lang w:val="en-AU"/>
        </w:rPr>
        <w:t xml:space="preserve">. The </w:t>
      </w:r>
      <w:r w:rsidRPr="00FA6E33">
        <w:rPr>
          <w:rFonts w:hAnsi="Arial" w:cs="Arial"/>
          <w:color w:val="auto"/>
          <w:lang w:val="en-AU"/>
        </w:rPr>
        <w:t xml:space="preserve">no observed adverse effect level </w:t>
      </w:r>
      <w:r>
        <w:rPr>
          <w:rFonts w:hAnsi="Arial" w:cs="Arial"/>
          <w:color w:val="auto"/>
          <w:lang w:val="en-AU"/>
        </w:rPr>
        <w:t>(</w:t>
      </w:r>
      <w:r w:rsidRPr="00E74630">
        <w:rPr>
          <w:rFonts w:hAnsi="Arial" w:cs="Arial"/>
          <w:color w:val="auto"/>
          <w:lang w:val="en-AU"/>
        </w:rPr>
        <w:t>NOAEL</w:t>
      </w:r>
      <w:r>
        <w:rPr>
          <w:rFonts w:hAnsi="Arial" w:cs="Arial"/>
          <w:color w:val="auto"/>
          <w:lang w:val="en-AU"/>
        </w:rPr>
        <w:t>)</w:t>
      </w:r>
      <w:r w:rsidRPr="00E74630">
        <w:rPr>
          <w:rFonts w:hAnsi="Arial" w:cs="Arial"/>
          <w:color w:val="auto"/>
          <w:lang w:val="en-AU"/>
        </w:rPr>
        <w:t xml:space="preserve"> for maternal and foetal toxicity was established at 10 mg/kg </w:t>
      </w:r>
      <w:proofErr w:type="spellStart"/>
      <w:r w:rsidRPr="00E74630">
        <w:rPr>
          <w:rFonts w:hAnsi="Arial" w:cs="Arial"/>
          <w:color w:val="auto"/>
          <w:lang w:val="en-AU"/>
        </w:rPr>
        <w:t>bw</w:t>
      </w:r>
      <w:proofErr w:type="spellEnd"/>
      <w:r w:rsidRPr="00E74630">
        <w:rPr>
          <w:rFonts w:hAnsi="Arial" w:cs="Arial"/>
          <w:color w:val="auto"/>
          <w:lang w:val="en-AU"/>
        </w:rPr>
        <w:t xml:space="preserve">/d. APVMA considered that an acute NOAEL of 5 mg/kg </w:t>
      </w:r>
      <w:proofErr w:type="spellStart"/>
      <w:r w:rsidRPr="00E74630">
        <w:rPr>
          <w:rFonts w:hAnsi="Arial" w:cs="Arial"/>
          <w:color w:val="auto"/>
          <w:lang w:val="en-AU"/>
        </w:rPr>
        <w:t>bw</w:t>
      </w:r>
      <w:proofErr w:type="spellEnd"/>
      <w:r w:rsidRPr="00E74630">
        <w:rPr>
          <w:rFonts w:hAnsi="Arial" w:cs="Arial"/>
          <w:color w:val="auto"/>
          <w:lang w:val="en-AU"/>
        </w:rPr>
        <w:t xml:space="preserve"> would be sufficiently protective of incidental and/or accidental exposure during the use of the product.</w:t>
      </w:r>
    </w:p>
    <w:p w14:paraId="36F7B53A" w14:textId="7F29B9AA" w:rsidR="00170426" w:rsidRPr="00E74630" w:rsidRDefault="00170426" w:rsidP="00170426">
      <w:pPr>
        <w:pStyle w:val="GazetteListAlpha"/>
        <w:tabs>
          <w:tab w:val="clear" w:pos="720"/>
        </w:tabs>
        <w:ind w:left="1020" w:hanging="594"/>
        <w:rPr>
          <w:rFonts w:hAnsi="Arial" w:cs="Arial"/>
          <w:color w:val="auto"/>
        </w:rPr>
      </w:pPr>
      <w:r w:rsidRPr="00E74630">
        <w:rPr>
          <w:rFonts w:hAnsi="Arial" w:cs="Arial"/>
          <w:color w:val="auto"/>
          <w:lang w:val="en-AU"/>
        </w:rPr>
        <w:t>No evidence of neurotoxicity was seen in repeat-dose studies or acute studies specifically designed to identify such effects</w:t>
      </w:r>
      <w:r w:rsidR="00C640EB">
        <w:rPr>
          <w:rFonts w:hAnsi="Arial" w:cs="Arial"/>
          <w:color w:val="auto"/>
          <w:lang w:val="en-AU"/>
        </w:rPr>
        <w:t>.</w:t>
      </w:r>
    </w:p>
    <w:p w14:paraId="57F047F0" w14:textId="77777777" w:rsidR="00170426" w:rsidRPr="00E74630" w:rsidRDefault="00170426" w:rsidP="00170426">
      <w:pPr>
        <w:pStyle w:val="GazetteListAlpha"/>
        <w:tabs>
          <w:tab w:val="clear" w:pos="720"/>
        </w:tabs>
        <w:ind w:left="1020" w:hanging="594"/>
        <w:rPr>
          <w:rFonts w:hAnsi="Arial" w:cs="Arial"/>
          <w:color w:val="auto"/>
        </w:rPr>
      </w:pPr>
      <w:r w:rsidRPr="00E74630">
        <w:rPr>
          <w:rFonts w:hAnsi="Arial" w:cs="Arial"/>
          <w:color w:val="auto"/>
        </w:rPr>
        <w:t>Regarding potential repeated exposure, there is evidence for little potential for bioaccumulation.</w:t>
      </w:r>
    </w:p>
    <w:p w14:paraId="3804A22C" w14:textId="77777777" w:rsidR="00170426" w:rsidRPr="00E74630" w:rsidRDefault="00170426" w:rsidP="00170426">
      <w:pPr>
        <w:pStyle w:val="GazetteListAlpha"/>
        <w:tabs>
          <w:tab w:val="clear" w:pos="720"/>
        </w:tabs>
        <w:ind w:left="1020" w:hanging="594"/>
        <w:rPr>
          <w:rFonts w:hAnsi="Arial" w:cs="Arial"/>
          <w:color w:val="auto"/>
        </w:rPr>
      </w:pPr>
      <w:r w:rsidRPr="00E74630">
        <w:rPr>
          <w:rFonts w:hAnsi="Arial" w:cs="Arial"/>
          <w:color w:val="auto"/>
          <w:lang w:val="en-US"/>
        </w:rPr>
        <w:t>It was concluded that accidental dermal exposure to veterinarians</w:t>
      </w:r>
      <w:r>
        <w:rPr>
          <w:rFonts w:hAnsi="Arial" w:cs="Arial"/>
          <w:color w:val="auto"/>
          <w:lang w:val="en-US"/>
        </w:rPr>
        <w:t xml:space="preserve"> or pet owners</w:t>
      </w:r>
      <w:r w:rsidRPr="00E74630">
        <w:rPr>
          <w:rFonts w:hAnsi="Arial" w:cs="Arial"/>
          <w:color w:val="auto"/>
          <w:lang w:val="en-US"/>
        </w:rPr>
        <w:t xml:space="preserve">, does not present an unacceptable risk, either as a single or repeated event. However, it would be prudent to wear disposable gloves during product application, particularly as </w:t>
      </w:r>
      <w:proofErr w:type="spellStart"/>
      <w:r w:rsidRPr="00E74630">
        <w:rPr>
          <w:rFonts w:hAnsi="Arial" w:cs="Arial"/>
          <w:color w:val="auto"/>
          <w:lang w:val="en-US"/>
        </w:rPr>
        <w:t>molidustat</w:t>
      </w:r>
      <w:proofErr w:type="spellEnd"/>
      <w:r w:rsidRPr="00E74630">
        <w:rPr>
          <w:rFonts w:hAnsi="Arial" w:cs="Arial"/>
          <w:color w:val="auto"/>
          <w:lang w:val="en-US"/>
        </w:rPr>
        <w:t xml:space="preserve"> has been associated with developmental effects in rats, albeit at doses greater than 10 mg/kg </w:t>
      </w:r>
      <w:proofErr w:type="spellStart"/>
      <w:r w:rsidRPr="00E74630">
        <w:rPr>
          <w:rFonts w:hAnsi="Arial" w:cs="Arial"/>
          <w:color w:val="auto"/>
          <w:lang w:val="en-US"/>
        </w:rPr>
        <w:t>bw</w:t>
      </w:r>
      <w:proofErr w:type="spellEnd"/>
      <w:r w:rsidRPr="00E74630">
        <w:rPr>
          <w:rFonts w:hAnsi="Arial" w:cs="Arial"/>
          <w:color w:val="auto"/>
          <w:lang w:val="en-US"/>
        </w:rPr>
        <w:t>/d.</w:t>
      </w:r>
    </w:p>
    <w:p w14:paraId="24CE3F9D" w14:textId="77777777" w:rsidR="00170426" w:rsidRPr="00E74630" w:rsidRDefault="00170426" w:rsidP="00170426">
      <w:pPr>
        <w:pStyle w:val="GazetteListAlpha"/>
        <w:tabs>
          <w:tab w:val="clear" w:pos="720"/>
        </w:tabs>
        <w:ind w:left="1020" w:hanging="594"/>
        <w:rPr>
          <w:rFonts w:hAnsi="Arial" w:cs="Arial"/>
          <w:color w:val="auto"/>
        </w:rPr>
      </w:pPr>
      <w:proofErr w:type="spellStart"/>
      <w:r w:rsidRPr="00E74630">
        <w:rPr>
          <w:rFonts w:hAnsi="Arial" w:cs="Arial"/>
          <w:color w:val="auto"/>
          <w:lang w:val="en-AU"/>
        </w:rPr>
        <w:t>Molidustat</w:t>
      </w:r>
      <w:proofErr w:type="spellEnd"/>
      <w:r w:rsidRPr="00E74630">
        <w:rPr>
          <w:rFonts w:hAnsi="Arial" w:cs="Arial"/>
          <w:color w:val="auto"/>
          <w:lang w:val="en-AU"/>
        </w:rPr>
        <w:t xml:space="preserve"> </w:t>
      </w:r>
      <w:r>
        <w:rPr>
          <w:rFonts w:hAnsi="Arial" w:cs="Arial"/>
          <w:color w:val="auto"/>
          <w:lang w:val="en-AU"/>
        </w:rPr>
        <w:t>was added</w:t>
      </w:r>
      <w:r w:rsidRPr="00E74630">
        <w:rPr>
          <w:rFonts w:hAnsi="Arial" w:cs="Arial"/>
          <w:color w:val="auto"/>
          <w:lang w:val="en-AU"/>
        </w:rPr>
        <w:t xml:space="preserve"> in </w:t>
      </w:r>
      <w:r>
        <w:rPr>
          <w:rFonts w:hAnsi="Arial" w:cs="Arial"/>
          <w:color w:val="auto"/>
          <w:lang w:val="en-AU"/>
        </w:rPr>
        <w:t xml:space="preserve">the </w:t>
      </w:r>
      <w:r w:rsidRPr="00E74630">
        <w:rPr>
          <w:rFonts w:hAnsi="Arial" w:cs="Arial"/>
          <w:color w:val="auto"/>
          <w:lang w:val="en-AU"/>
        </w:rPr>
        <w:t xml:space="preserve">Schedule 4 </w:t>
      </w:r>
      <w:r w:rsidRPr="009A2490">
        <w:rPr>
          <w:rFonts w:hAnsi="Arial" w:cs="Arial"/>
          <w:color w:val="auto"/>
          <w:lang w:val="en-AU"/>
        </w:rPr>
        <w:t xml:space="preserve">and clause 5 of Appendix D </w:t>
      </w:r>
      <w:r w:rsidRPr="00E74630">
        <w:rPr>
          <w:rFonts w:hAnsi="Arial" w:cs="Arial"/>
          <w:color w:val="auto"/>
          <w:lang w:val="en-AU"/>
        </w:rPr>
        <w:t>substance</w:t>
      </w:r>
      <w:r>
        <w:rPr>
          <w:rFonts w:hAnsi="Arial" w:cs="Arial"/>
          <w:color w:val="auto"/>
          <w:lang w:val="en-AU"/>
        </w:rPr>
        <w:t xml:space="preserve"> </w:t>
      </w:r>
      <w:r w:rsidRPr="00E74630">
        <w:rPr>
          <w:rFonts w:hAnsi="Arial" w:cs="Arial"/>
          <w:color w:val="auto"/>
          <w:lang w:val="en-AU"/>
        </w:rPr>
        <w:t>of the Poisons Standard (</w:t>
      </w:r>
      <w:r w:rsidRPr="00F11434">
        <w:rPr>
          <w:rFonts w:hAnsi="Arial" w:cs="Arial"/>
          <w:color w:val="auto"/>
          <w:lang w:val="en-AU"/>
        </w:rPr>
        <w:t>Standard for the Uniform Scheduling of Medicines and Poisons</w:t>
      </w:r>
      <w:r>
        <w:rPr>
          <w:rFonts w:hAnsi="Arial" w:cs="Arial"/>
          <w:color w:val="auto"/>
          <w:lang w:val="en-AU"/>
        </w:rPr>
        <w:t xml:space="preserve"> (SUMP), </w:t>
      </w:r>
      <w:r w:rsidRPr="00E74630">
        <w:rPr>
          <w:rFonts w:hAnsi="Arial" w:cs="Arial"/>
          <w:color w:val="auto"/>
          <w:lang w:val="en-AU"/>
        </w:rPr>
        <w:t xml:space="preserve">Health, 2024). This is considered appropriate for the proposed use of this veterinary medicine. None of the excipients in the product are listed or require listing in the SUSMP. </w:t>
      </w:r>
      <w:r>
        <w:rPr>
          <w:rFonts w:hAnsi="Arial" w:cs="Arial"/>
          <w:color w:val="auto"/>
          <w:lang w:val="en-AU"/>
        </w:rPr>
        <w:t xml:space="preserve">Based on the active constituent inclusion in the SUSMP </w:t>
      </w:r>
      <w:proofErr w:type="spellStart"/>
      <w:r w:rsidRPr="00E74630">
        <w:rPr>
          <w:rFonts w:hAnsi="Arial" w:cs="Arial"/>
          <w:color w:val="auto"/>
          <w:lang w:val="en-AU"/>
        </w:rPr>
        <w:t>Varenzin</w:t>
      </w:r>
      <w:proofErr w:type="spellEnd"/>
      <w:r w:rsidRPr="00E74630">
        <w:rPr>
          <w:rFonts w:hAnsi="Arial" w:cs="Arial"/>
          <w:color w:val="auto"/>
          <w:lang w:val="en-AU"/>
        </w:rPr>
        <w:t xml:space="preserve"> Oral Suspension for Cats will </w:t>
      </w:r>
      <w:r>
        <w:rPr>
          <w:rFonts w:hAnsi="Arial" w:cs="Arial"/>
          <w:color w:val="auto"/>
          <w:lang w:val="en-AU"/>
        </w:rPr>
        <w:t xml:space="preserve">have an entry in the Handbook of </w:t>
      </w:r>
      <w:r w:rsidRPr="00CA5553">
        <w:rPr>
          <w:rFonts w:hAnsi="Arial" w:cs="Arial"/>
          <w:color w:val="auto"/>
          <w:lang w:val="en-AU"/>
        </w:rPr>
        <w:t>First Aid Instructions, Safety Directions, Warning Statements, and General Safety Precautions</w:t>
      </w:r>
      <w:r>
        <w:rPr>
          <w:rFonts w:hAnsi="Arial" w:cs="Arial"/>
          <w:color w:val="auto"/>
          <w:lang w:val="en-AU"/>
        </w:rPr>
        <w:t xml:space="preserve"> </w:t>
      </w:r>
      <w:r w:rsidRPr="00F11434">
        <w:rPr>
          <w:rFonts w:hAnsi="Arial" w:cs="Arial"/>
          <w:color w:val="auto"/>
          <w:lang w:val="en-AU"/>
        </w:rPr>
        <w:t xml:space="preserve">for Agricultural and Veterinary Chemicals </w:t>
      </w:r>
      <w:r>
        <w:rPr>
          <w:rFonts w:hAnsi="Arial" w:cs="Arial"/>
          <w:color w:val="auto"/>
          <w:lang w:val="en-AU"/>
        </w:rPr>
        <w:t xml:space="preserve">(FAISD) and </w:t>
      </w:r>
      <w:r w:rsidRPr="00E74630">
        <w:rPr>
          <w:rFonts w:hAnsi="Arial" w:cs="Arial"/>
          <w:color w:val="auto"/>
          <w:lang w:val="en-AU"/>
        </w:rPr>
        <w:t>require</w:t>
      </w:r>
      <w:r>
        <w:rPr>
          <w:rFonts w:hAnsi="Arial" w:cs="Arial"/>
          <w:color w:val="auto"/>
          <w:lang w:val="en-AU"/>
        </w:rPr>
        <w:t>s</w:t>
      </w:r>
      <w:r w:rsidRPr="00E74630">
        <w:rPr>
          <w:rFonts w:hAnsi="Arial" w:cs="Arial"/>
          <w:color w:val="auto"/>
          <w:lang w:val="en-AU"/>
        </w:rPr>
        <w:t xml:space="preserve"> </w:t>
      </w:r>
      <w:r w:rsidRPr="00E74630">
        <w:rPr>
          <w:rFonts w:hAnsi="Arial" w:cs="Arial"/>
          <w:color w:val="auto"/>
          <w:lang w:val="en-US"/>
        </w:rPr>
        <w:t>the signal heading ‘PRESCRIPTION ANIMAL REMEDY’</w:t>
      </w:r>
      <w:r>
        <w:rPr>
          <w:rFonts w:hAnsi="Arial" w:cs="Arial"/>
          <w:color w:val="auto"/>
          <w:lang w:val="en-US"/>
        </w:rPr>
        <w:t xml:space="preserve"> and ‘</w:t>
      </w:r>
      <w:r w:rsidRPr="00CA5553">
        <w:rPr>
          <w:rFonts w:hAnsi="Arial" w:cs="Arial"/>
          <w:color w:val="auto"/>
          <w:lang w:val="en-US"/>
        </w:rPr>
        <w:t>FOR ANIMAL TREATMENT ONLY’</w:t>
      </w:r>
      <w:r>
        <w:rPr>
          <w:rFonts w:hAnsi="Arial" w:cs="Arial"/>
          <w:color w:val="auto"/>
          <w:lang w:val="en-US"/>
        </w:rPr>
        <w:t>.</w:t>
      </w:r>
    </w:p>
    <w:p w14:paraId="176B2468" w14:textId="77777777" w:rsidR="00170426" w:rsidRPr="00E74630" w:rsidRDefault="00170426" w:rsidP="00170426">
      <w:pPr>
        <w:pStyle w:val="GazetteListAlpha"/>
        <w:tabs>
          <w:tab w:val="clear" w:pos="720"/>
        </w:tabs>
        <w:ind w:left="851" w:hanging="425"/>
        <w:rPr>
          <w:rFonts w:hAnsi="Arial" w:cs="Arial"/>
          <w:color w:val="auto"/>
        </w:rPr>
      </w:pPr>
      <w:r w:rsidRPr="00E74630">
        <w:rPr>
          <w:rFonts w:hAnsi="Arial" w:cs="Arial"/>
          <w:color w:val="auto"/>
        </w:rPr>
        <w:t>To mitigate potential risks, the following signal headings, first aid instructions, safety directions, and restraint statements are to appear on the product label:</w:t>
      </w:r>
    </w:p>
    <w:p w14:paraId="0460705E" w14:textId="5A8EC918" w:rsidR="00170426" w:rsidRPr="00C640EB" w:rsidRDefault="00170426" w:rsidP="00C640EB">
      <w:pPr>
        <w:pStyle w:val="GazetteNormalText"/>
        <w:ind w:left="851"/>
        <w:rPr>
          <w:b/>
          <w:bCs/>
        </w:rPr>
      </w:pPr>
      <w:r w:rsidRPr="00C640EB">
        <w:rPr>
          <w:b/>
          <w:bCs/>
        </w:rPr>
        <w:t xml:space="preserve">Signal </w:t>
      </w:r>
      <w:r w:rsidR="00713D0D">
        <w:rPr>
          <w:b/>
          <w:bCs/>
        </w:rPr>
        <w:t>h</w:t>
      </w:r>
      <w:r w:rsidRPr="00C640EB">
        <w:rPr>
          <w:b/>
          <w:bCs/>
        </w:rPr>
        <w:t>eading</w:t>
      </w:r>
    </w:p>
    <w:p w14:paraId="02C37DAD" w14:textId="515FC356" w:rsidR="00170426" w:rsidRPr="00393455" w:rsidRDefault="00170426" w:rsidP="00393455">
      <w:pPr>
        <w:pStyle w:val="GazetteBulletList"/>
        <w:ind w:left="1191"/>
        <w:rPr>
          <w:i/>
          <w:iCs/>
        </w:rPr>
      </w:pPr>
      <w:bookmarkStart w:id="27" w:name="_Hlk210915154"/>
      <w:r w:rsidRPr="00393455">
        <w:rPr>
          <w:i/>
          <w:iCs/>
        </w:rPr>
        <w:t>PRESCRIPTION ANIMAL REMEDY</w:t>
      </w:r>
      <w:bookmarkEnd w:id="27"/>
    </w:p>
    <w:p w14:paraId="20B8F9D1" w14:textId="37C47424" w:rsidR="00170426" w:rsidRPr="00393455" w:rsidRDefault="00170426" w:rsidP="00393455">
      <w:pPr>
        <w:pStyle w:val="GazetteBulletList"/>
        <w:ind w:left="1191"/>
        <w:rPr>
          <w:i/>
          <w:iCs/>
        </w:rPr>
      </w:pPr>
      <w:r w:rsidRPr="00393455">
        <w:rPr>
          <w:i/>
          <w:iCs/>
        </w:rPr>
        <w:t>KEEP OUT OF REACH OF CHILDREN</w:t>
      </w:r>
    </w:p>
    <w:p w14:paraId="73548198" w14:textId="260A6516" w:rsidR="00170426" w:rsidRPr="00393455" w:rsidRDefault="00170426" w:rsidP="00393455">
      <w:pPr>
        <w:pStyle w:val="GazetteBulletList"/>
        <w:ind w:left="1191"/>
        <w:rPr>
          <w:i/>
          <w:iCs/>
        </w:rPr>
      </w:pPr>
      <w:r w:rsidRPr="00393455">
        <w:rPr>
          <w:i/>
          <w:iCs/>
        </w:rPr>
        <w:t>FOR ANIMAL TREATMENT ONLY</w:t>
      </w:r>
    </w:p>
    <w:p w14:paraId="0BFC9DAE" w14:textId="77777777" w:rsidR="00170426" w:rsidRPr="00393455" w:rsidRDefault="00170426" w:rsidP="00393455">
      <w:pPr>
        <w:pStyle w:val="GazetteBulletList"/>
        <w:ind w:left="1191"/>
        <w:rPr>
          <w:i/>
          <w:iCs/>
        </w:rPr>
      </w:pPr>
      <w:r w:rsidRPr="00393455">
        <w:rPr>
          <w:i/>
          <w:iCs/>
        </w:rPr>
        <w:t>READ SAFETY DIRECTIONS BEFORE OPENING OR USING</w:t>
      </w:r>
    </w:p>
    <w:p w14:paraId="486B0762" w14:textId="35D58557" w:rsidR="00170426" w:rsidRPr="00C640EB" w:rsidRDefault="00170426" w:rsidP="00C640EB">
      <w:pPr>
        <w:pStyle w:val="GazetteNormalText"/>
        <w:ind w:left="851"/>
        <w:rPr>
          <w:b/>
          <w:bCs/>
        </w:rPr>
      </w:pPr>
      <w:r w:rsidRPr="00C640EB">
        <w:rPr>
          <w:b/>
          <w:bCs/>
        </w:rPr>
        <w:t>Claims</w:t>
      </w:r>
    </w:p>
    <w:p w14:paraId="4D07095A" w14:textId="77777777" w:rsidR="00170426" w:rsidRPr="00393455" w:rsidRDefault="00170426" w:rsidP="00393455">
      <w:pPr>
        <w:pStyle w:val="GazetteBulletList"/>
        <w:ind w:left="1191"/>
        <w:rPr>
          <w:i/>
          <w:iCs/>
        </w:rPr>
      </w:pPr>
      <w:bookmarkStart w:id="28" w:name="_Hlk210914026"/>
      <w:r w:rsidRPr="00393455">
        <w:rPr>
          <w:i/>
          <w:iCs/>
        </w:rPr>
        <w:t>For use by or under direction of a veterinarian</w:t>
      </w:r>
    </w:p>
    <w:bookmarkEnd w:id="28"/>
    <w:p w14:paraId="21FE97DD" w14:textId="1D459F2B" w:rsidR="00170426" w:rsidRPr="00C640EB" w:rsidRDefault="00170426" w:rsidP="00C640EB">
      <w:pPr>
        <w:pStyle w:val="GazetteNormalText"/>
        <w:ind w:left="851"/>
        <w:rPr>
          <w:b/>
          <w:bCs/>
        </w:rPr>
      </w:pPr>
      <w:r w:rsidRPr="00C640EB">
        <w:rPr>
          <w:b/>
          <w:bCs/>
        </w:rPr>
        <w:t>Directions for use:</w:t>
      </w:r>
    </w:p>
    <w:p w14:paraId="3F14CEC7" w14:textId="77777777" w:rsidR="00170426" w:rsidRPr="00393455" w:rsidRDefault="00170426" w:rsidP="00393455">
      <w:pPr>
        <w:pStyle w:val="GazetteBulletList"/>
        <w:ind w:left="1191"/>
        <w:rPr>
          <w:i/>
          <w:iCs/>
        </w:rPr>
      </w:pPr>
      <w:bookmarkStart w:id="29" w:name="_Hlk210914057"/>
      <w:r w:rsidRPr="00393455">
        <w:rPr>
          <w:i/>
          <w:iCs/>
        </w:rPr>
        <w:t>Use as directed by prescribing veterinarian</w:t>
      </w:r>
    </w:p>
    <w:bookmarkEnd w:id="29"/>
    <w:p w14:paraId="1C4D8BCD" w14:textId="5B184D8B" w:rsidR="00170426" w:rsidRPr="00C640EB" w:rsidRDefault="00170426" w:rsidP="00C640EB">
      <w:pPr>
        <w:pStyle w:val="GazetteNormalText"/>
        <w:ind w:left="851"/>
        <w:rPr>
          <w:b/>
          <w:bCs/>
        </w:rPr>
      </w:pPr>
      <w:r w:rsidRPr="00C640EB">
        <w:rPr>
          <w:b/>
          <w:bCs/>
        </w:rPr>
        <w:t>First aid instructions</w:t>
      </w:r>
    </w:p>
    <w:p w14:paraId="65F8F357" w14:textId="77777777" w:rsidR="00170426" w:rsidRPr="00393455" w:rsidRDefault="00170426" w:rsidP="00393455">
      <w:pPr>
        <w:pStyle w:val="GazetteBulletList"/>
        <w:ind w:left="1191"/>
        <w:rPr>
          <w:i/>
          <w:iCs/>
        </w:rPr>
      </w:pPr>
      <w:r w:rsidRPr="00393455">
        <w:rPr>
          <w:i/>
          <w:iCs/>
        </w:rPr>
        <w:t>If poisoning occurs, contact a doctor or Poisons Information Centre. Phone Australia 13 11 26.</w:t>
      </w:r>
    </w:p>
    <w:p w14:paraId="1A9C2F78" w14:textId="77777777" w:rsidR="00170426" w:rsidRPr="00C640EB" w:rsidRDefault="00170426" w:rsidP="00C640EB">
      <w:pPr>
        <w:pStyle w:val="GazetteNormalText"/>
        <w:ind w:left="851"/>
        <w:rPr>
          <w:b/>
          <w:bCs/>
        </w:rPr>
      </w:pPr>
      <w:r w:rsidRPr="00C640EB">
        <w:rPr>
          <w:b/>
          <w:bCs/>
        </w:rPr>
        <w:lastRenderedPageBreak/>
        <w:t>Safety directions</w:t>
      </w:r>
    </w:p>
    <w:p w14:paraId="74D5C06B" w14:textId="77777777" w:rsidR="00170426" w:rsidRPr="00393455" w:rsidRDefault="00170426" w:rsidP="00393455">
      <w:pPr>
        <w:pStyle w:val="GazetteBulletList"/>
        <w:ind w:left="1191"/>
        <w:rPr>
          <w:i/>
          <w:iCs/>
        </w:rPr>
      </w:pPr>
      <w:r w:rsidRPr="00393455">
        <w:rPr>
          <w:b/>
          <w:bCs/>
          <w:i/>
          <w:iCs/>
        </w:rPr>
        <w:t xml:space="preserve">WARNING </w:t>
      </w:r>
      <w:r w:rsidRPr="00393455">
        <w:rPr>
          <w:b/>
          <w:bCs/>
          <w:i/>
          <w:iCs/>
        </w:rPr>
        <w:t>–</w:t>
      </w:r>
      <w:r w:rsidRPr="00393455">
        <w:rPr>
          <w:b/>
          <w:bCs/>
          <w:i/>
          <w:iCs/>
        </w:rPr>
        <w:t xml:space="preserve"> </w:t>
      </w:r>
      <w:r w:rsidRPr="00393455">
        <w:rPr>
          <w:i/>
          <w:iCs/>
        </w:rPr>
        <w:t xml:space="preserve">contains </w:t>
      </w:r>
      <w:proofErr w:type="spellStart"/>
      <w:r w:rsidRPr="00393455">
        <w:rPr>
          <w:i/>
          <w:iCs/>
        </w:rPr>
        <w:t>molidustat</w:t>
      </w:r>
      <w:proofErr w:type="spellEnd"/>
      <w:r w:rsidRPr="00393455">
        <w:rPr>
          <w:i/>
          <w:iCs/>
        </w:rPr>
        <w:t xml:space="preserve"> which causes birth defects in laboratory animals. Women of childbearing age should avoid contact with </w:t>
      </w:r>
      <w:proofErr w:type="spellStart"/>
      <w:r w:rsidRPr="00393455">
        <w:rPr>
          <w:i/>
          <w:iCs/>
        </w:rPr>
        <w:t>molidustat</w:t>
      </w:r>
      <w:proofErr w:type="spellEnd"/>
      <w:r w:rsidRPr="00393455">
        <w:rPr>
          <w:i/>
          <w:iCs/>
        </w:rPr>
        <w:t>.</w:t>
      </w:r>
    </w:p>
    <w:p w14:paraId="4743C10E" w14:textId="77777777" w:rsidR="00170426" w:rsidRPr="00393455" w:rsidRDefault="00170426" w:rsidP="00393455">
      <w:pPr>
        <w:pStyle w:val="GazetteBulletList"/>
        <w:ind w:left="1191"/>
        <w:rPr>
          <w:i/>
          <w:iCs/>
        </w:rPr>
      </w:pPr>
      <w:r w:rsidRPr="00393455">
        <w:rPr>
          <w:i/>
          <w:iCs/>
        </w:rPr>
        <w:t>Wash hands after use.</w:t>
      </w:r>
    </w:p>
    <w:p w14:paraId="0D521D6A" w14:textId="4589BB61" w:rsidR="00170426" w:rsidRPr="00C640EB" w:rsidRDefault="00170426" w:rsidP="00C640EB">
      <w:pPr>
        <w:pStyle w:val="GazetteNormalText"/>
        <w:ind w:left="851"/>
        <w:rPr>
          <w:b/>
          <w:bCs/>
        </w:rPr>
      </w:pPr>
      <w:r w:rsidRPr="00C640EB">
        <w:rPr>
          <w:b/>
          <w:bCs/>
        </w:rPr>
        <w:t xml:space="preserve">Additional </w:t>
      </w:r>
      <w:r w:rsidR="00713D0D">
        <w:rPr>
          <w:b/>
          <w:bCs/>
        </w:rPr>
        <w:t>u</w:t>
      </w:r>
      <w:r w:rsidRPr="00C640EB">
        <w:rPr>
          <w:b/>
          <w:bCs/>
        </w:rPr>
        <w:t xml:space="preserve">ser </w:t>
      </w:r>
      <w:r w:rsidR="00713D0D">
        <w:rPr>
          <w:b/>
          <w:bCs/>
        </w:rPr>
        <w:t>s</w:t>
      </w:r>
      <w:r w:rsidRPr="00C640EB">
        <w:rPr>
          <w:b/>
          <w:bCs/>
        </w:rPr>
        <w:t>afety</w:t>
      </w:r>
    </w:p>
    <w:p w14:paraId="223F317E" w14:textId="4D1C4FA7" w:rsidR="00170426" w:rsidRPr="00393455" w:rsidRDefault="00170426" w:rsidP="00393455">
      <w:pPr>
        <w:pStyle w:val="GazetteBulletList"/>
        <w:ind w:left="1191"/>
        <w:rPr>
          <w:i/>
          <w:iCs/>
        </w:rPr>
      </w:pPr>
      <w:r w:rsidRPr="00393455">
        <w:rPr>
          <w:i/>
          <w:iCs/>
        </w:rPr>
        <w:t>Not for human use.</w:t>
      </w:r>
    </w:p>
    <w:p w14:paraId="6D5A7B46" w14:textId="114E6EAE" w:rsidR="00170426" w:rsidRPr="00393455" w:rsidRDefault="00170426" w:rsidP="00393455">
      <w:pPr>
        <w:pStyle w:val="GazetteBulletList"/>
        <w:ind w:left="1191"/>
        <w:rPr>
          <w:i/>
          <w:iCs/>
        </w:rPr>
      </w:pPr>
      <w:r w:rsidRPr="00393455">
        <w:rPr>
          <w:i/>
          <w:iCs/>
        </w:rPr>
        <w:t>Keep this drug, including used syringes, out of reach of children.</w:t>
      </w:r>
    </w:p>
    <w:p w14:paraId="433817BA" w14:textId="77777777" w:rsidR="00170426" w:rsidRPr="00393455" w:rsidRDefault="00170426" w:rsidP="00393455">
      <w:pPr>
        <w:pStyle w:val="GazetteBulletList"/>
        <w:ind w:left="1191"/>
        <w:rPr>
          <w:i/>
          <w:iCs/>
        </w:rPr>
      </w:pPr>
      <w:r w:rsidRPr="00393455">
        <w:rPr>
          <w:i/>
          <w:iCs/>
        </w:rPr>
        <w:t>Wash hands immediately after spillage.</w:t>
      </w:r>
    </w:p>
    <w:p w14:paraId="59F3189B" w14:textId="02646BD2" w:rsidR="00170426" w:rsidRPr="00393455" w:rsidRDefault="00170426" w:rsidP="00393455">
      <w:pPr>
        <w:pStyle w:val="GazetteBulletList"/>
        <w:ind w:left="1191"/>
        <w:rPr>
          <w:i/>
          <w:iCs/>
        </w:rPr>
      </w:pPr>
      <w:bookmarkStart w:id="30" w:name="_Hlk157796735"/>
      <w:r w:rsidRPr="00393455">
        <w:rPr>
          <w:i/>
          <w:iCs/>
        </w:rPr>
        <w:t>In case of accidental ingestion, seek medical advice immediately and show the package leaflet or the label to the physician.</w:t>
      </w:r>
    </w:p>
    <w:p w14:paraId="5E03CA93" w14:textId="65D7A4D4" w:rsidR="00170426" w:rsidRPr="00393455" w:rsidRDefault="00170426" w:rsidP="00393455">
      <w:pPr>
        <w:pStyle w:val="GazetteBulletList"/>
        <w:ind w:left="1191"/>
        <w:rPr>
          <w:i/>
          <w:iCs/>
        </w:rPr>
      </w:pPr>
      <w:r w:rsidRPr="00393455">
        <w:rPr>
          <w:i/>
          <w:iCs/>
        </w:rPr>
        <w:t xml:space="preserve">Symptoms of exposure to </w:t>
      </w:r>
      <w:proofErr w:type="spellStart"/>
      <w:r w:rsidRPr="00393455">
        <w:rPr>
          <w:i/>
          <w:iCs/>
        </w:rPr>
        <w:t>molidustat</w:t>
      </w:r>
      <w:proofErr w:type="spellEnd"/>
      <w:r w:rsidRPr="00393455">
        <w:rPr>
          <w:i/>
          <w:iCs/>
        </w:rPr>
        <w:t xml:space="preserve"> may include:</w:t>
      </w:r>
    </w:p>
    <w:p w14:paraId="527F4231" w14:textId="77777777" w:rsidR="00170426" w:rsidRPr="00393455" w:rsidRDefault="00170426" w:rsidP="00393455">
      <w:pPr>
        <w:pStyle w:val="GazetteBulletList2"/>
        <w:ind w:left="1491" w:hanging="357"/>
        <w:rPr>
          <w:i/>
          <w:iCs/>
        </w:rPr>
      </w:pPr>
      <w:r w:rsidRPr="00393455">
        <w:rPr>
          <w:i/>
          <w:iCs/>
        </w:rPr>
        <w:t>gastrointestinal effects (nausea, vomiting, diarrhea), blood and clotting effects (increases in reticulocytes, erythropoietin, and haemoglobin), dizziness, fainting, hypertension (increased blood pressure) and tachycardia (increased heart rate).</w:t>
      </w:r>
    </w:p>
    <w:p w14:paraId="771B3501" w14:textId="612B26F3" w:rsidR="00170426" w:rsidRPr="00393455" w:rsidRDefault="00170426" w:rsidP="00393455">
      <w:pPr>
        <w:pStyle w:val="GazetteBulletList"/>
        <w:ind w:left="1191"/>
        <w:rPr>
          <w:i/>
          <w:iCs/>
        </w:rPr>
      </w:pPr>
      <w:r w:rsidRPr="00393455">
        <w:rPr>
          <w:i/>
          <w:iCs/>
        </w:rPr>
        <w:t>Symptoms may not occur immediately; therefore, the exposed individual should be monitored.</w:t>
      </w:r>
    </w:p>
    <w:bookmarkEnd w:id="30"/>
    <w:p w14:paraId="69CD5415" w14:textId="66259C63" w:rsidR="00170426" w:rsidRPr="00393455" w:rsidRDefault="00170426" w:rsidP="00393455">
      <w:pPr>
        <w:pStyle w:val="GazetteBulletList"/>
        <w:ind w:left="1191"/>
        <w:rPr>
          <w:i/>
          <w:iCs/>
        </w:rPr>
      </w:pPr>
      <w:r w:rsidRPr="00393455">
        <w:rPr>
          <w:i/>
          <w:iCs/>
        </w:rPr>
        <w:t xml:space="preserve">People with known hypersensitivity to </w:t>
      </w:r>
      <w:proofErr w:type="spellStart"/>
      <w:r w:rsidRPr="00393455">
        <w:rPr>
          <w:i/>
          <w:iCs/>
        </w:rPr>
        <w:t>molidustat</w:t>
      </w:r>
      <w:proofErr w:type="spellEnd"/>
      <w:r w:rsidRPr="00393455">
        <w:rPr>
          <w:i/>
          <w:iCs/>
        </w:rPr>
        <w:t xml:space="preserve"> should avoid direct contact with this product and should administer the product to cats with caution.</w:t>
      </w:r>
    </w:p>
    <w:p w14:paraId="051F990D" w14:textId="77777777" w:rsidR="00170426" w:rsidRPr="00393455" w:rsidRDefault="00170426" w:rsidP="00393455">
      <w:pPr>
        <w:pStyle w:val="GazetteBulletList"/>
        <w:ind w:left="1191"/>
        <w:rPr>
          <w:i/>
          <w:iCs/>
        </w:rPr>
      </w:pPr>
      <w:r w:rsidRPr="00393455">
        <w:rPr>
          <w:i/>
          <w:iCs/>
        </w:rPr>
        <w:t xml:space="preserve">If there is a risk for spillage and skin exposure during product administration, wearing disposable gloves is advisable to pregnant women and people with hypersensitivity to </w:t>
      </w:r>
      <w:proofErr w:type="spellStart"/>
      <w:r w:rsidRPr="00393455">
        <w:rPr>
          <w:i/>
          <w:iCs/>
        </w:rPr>
        <w:t>molidustat</w:t>
      </w:r>
      <w:proofErr w:type="spellEnd"/>
      <w:r w:rsidRPr="00393455">
        <w:rPr>
          <w:i/>
          <w:iCs/>
        </w:rPr>
        <w:t xml:space="preserve"> sodium.</w:t>
      </w:r>
    </w:p>
    <w:p w14:paraId="283F3F06" w14:textId="77777777" w:rsidR="00170426" w:rsidRPr="00F11434" w:rsidRDefault="00170426" w:rsidP="00170426">
      <w:pPr>
        <w:pStyle w:val="GazetteListAlpha"/>
        <w:tabs>
          <w:tab w:val="clear" w:pos="720"/>
        </w:tabs>
        <w:ind w:left="851" w:hanging="425"/>
        <w:rPr>
          <w:rFonts w:hAnsi="Arial" w:cs="Arial"/>
          <w:color w:val="auto"/>
        </w:rPr>
      </w:pPr>
      <w:r w:rsidRPr="00E74630">
        <w:rPr>
          <w:rFonts w:hAnsi="Arial" w:cs="Arial"/>
          <w:color w:val="auto"/>
          <w:lang w:val="en-AU"/>
        </w:rPr>
        <w:t xml:space="preserve">After consideration of the toxicological profile and likely human exposure associated with the use </w:t>
      </w:r>
      <w:proofErr w:type="spellStart"/>
      <w:r w:rsidRPr="00E74630">
        <w:rPr>
          <w:rFonts w:hAnsi="Arial" w:cs="Arial"/>
          <w:color w:val="auto"/>
          <w:lang w:val="en-AU"/>
        </w:rPr>
        <w:t>Varenzin</w:t>
      </w:r>
      <w:proofErr w:type="spellEnd"/>
      <w:r w:rsidRPr="00E74630">
        <w:rPr>
          <w:rFonts w:hAnsi="Arial" w:cs="Arial"/>
          <w:color w:val="auto"/>
          <w:lang w:val="en-AU"/>
        </w:rPr>
        <w:t xml:space="preserve"> Oral Suspension for Cats, the APVMA</w:t>
      </w:r>
      <w:r w:rsidRPr="00A45C13">
        <w:t xml:space="preserve"> </w:t>
      </w:r>
      <w:r w:rsidRPr="00A45C13">
        <w:rPr>
          <w:rFonts w:hAnsi="Arial" w:cs="Arial"/>
          <w:color w:val="auto"/>
          <w:lang w:val="en-AU"/>
        </w:rPr>
        <w:t xml:space="preserve">concludes that the human health risks are acceptable and the safety criteria of section 5A of the </w:t>
      </w:r>
      <w:proofErr w:type="spellStart"/>
      <w:r w:rsidRPr="00A45C13">
        <w:rPr>
          <w:rFonts w:hAnsi="Arial" w:cs="Arial"/>
          <w:color w:val="auto"/>
          <w:lang w:val="en-AU"/>
        </w:rPr>
        <w:t>Agvet</w:t>
      </w:r>
      <w:proofErr w:type="spellEnd"/>
      <w:r w:rsidRPr="00A45C13">
        <w:rPr>
          <w:rFonts w:hAnsi="Arial" w:cs="Arial"/>
          <w:color w:val="auto"/>
          <w:lang w:val="en-AU"/>
        </w:rPr>
        <w:t xml:space="preserve"> Code are met when used in accordance with the directions for use (DFU).</w:t>
      </w:r>
    </w:p>
    <w:p w14:paraId="1D617E9B" w14:textId="77777777" w:rsidR="00170426" w:rsidRPr="00E74630" w:rsidRDefault="00170426" w:rsidP="00170426">
      <w:pPr>
        <w:pStyle w:val="GazetteListRomanNumeral"/>
        <w:ind w:hanging="312"/>
        <w:rPr>
          <w:rFonts w:hAnsi="Arial" w:cs="Arial"/>
        </w:rPr>
      </w:pPr>
      <w:r w:rsidRPr="00E74630">
        <w:rPr>
          <w:rFonts w:hAnsi="Arial" w:cs="Arial"/>
        </w:rPr>
        <w:t xml:space="preserve">The APVMA is satisfied that the proposed use of </w:t>
      </w:r>
      <w:proofErr w:type="spellStart"/>
      <w:r w:rsidRPr="00E74630">
        <w:rPr>
          <w:rFonts w:hAnsi="Arial" w:cs="Arial"/>
          <w:lang w:val="en-AU"/>
        </w:rPr>
        <w:t>Varenzin</w:t>
      </w:r>
      <w:proofErr w:type="spellEnd"/>
      <w:r w:rsidRPr="00E74630">
        <w:rPr>
          <w:rFonts w:hAnsi="Arial" w:cs="Arial"/>
          <w:lang w:val="en-AU"/>
        </w:rPr>
        <w:t xml:space="preserve"> Oral Suspension for Cats </w:t>
      </w:r>
      <w:r w:rsidRPr="00E74630">
        <w:rPr>
          <w:rFonts w:hAnsi="Arial" w:cs="Arial"/>
        </w:rPr>
        <w:t xml:space="preserve">will not be an undue hazard to the safety of people using anything containing its </w:t>
      </w:r>
      <w:r w:rsidRPr="00FA6E33">
        <w:rPr>
          <w:rFonts w:hAnsi="Arial" w:cs="Arial"/>
          <w:b/>
          <w:bCs/>
        </w:rPr>
        <w:t>residues.</w:t>
      </w:r>
    </w:p>
    <w:p w14:paraId="4042C757" w14:textId="77777777" w:rsidR="00170426" w:rsidRPr="00F11434" w:rsidRDefault="00170426" w:rsidP="00170426">
      <w:pPr>
        <w:pStyle w:val="GazetteListRomanNumeral"/>
        <w:numPr>
          <w:ilvl w:val="1"/>
          <w:numId w:val="4"/>
        </w:numPr>
        <w:ind w:left="1222"/>
        <w:rPr>
          <w:rFonts w:hAnsi="Arial" w:cs="Arial"/>
        </w:rPr>
      </w:pPr>
      <w:r w:rsidRPr="00E74630">
        <w:rPr>
          <w:rFonts w:hAnsi="Arial" w:cs="Arial"/>
        </w:rPr>
        <w:t>The product is for use in companion animals (</w:t>
      </w:r>
      <w:r>
        <w:rPr>
          <w:rFonts w:hAnsi="Arial" w:cs="Arial"/>
        </w:rPr>
        <w:t>cat</w:t>
      </w:r>
      <w:r w:rsidRPr="00E74630">
        <w:rPr>
          <w:rFonts w:hAnsi="Arial" w:cs="Arial"/>
        </w:rPr>
        <w:t xml:space="preserve">s) only. </w:t>
      </w:r>
      <w:proofErr w:type="spellStart"/>
      <w:r w:rsidRPr="00FA6E33">
        <w:rPr>
          <w:rFonts w:hAnsi="Arial" w:cs="Arial"/>
          <w:lang w:val="en-AU"/>
        </w:rPr>
        <w:t>Varenzin</w:t>
      </w:r>
      <w:proofErr w:type="spellEnd"/>
      <w:r w:rsidRPr="00FA6E33">
        <w:rPr>
          <w:rFonts w:hAnsi="Arial" w:cs="Arial"/>
          <w:lang w:val="en-AU"/>
        </w:rPr>
        <w:t xml:space="preserve"> Oral Suspension for Cats</w:t>
      </w:r>
      <w:r w:rsidRPr="00E74630">
        <w:rPr>
          <w:rFonts w:hAnsi="Arial" w:cs="Arial"/>
          <w:i/>
          <w:iCs/>
          <w:lang w:val="en-AU"/>
        </w:rPr>
        <w:t xml:space="preserve"> </w:t>
      </w:r>
      <w:proofErr w:type="gramStart"/>
      <w:r w:rsidRPr="00E74630">
        <w:rPr>
          <w:rFonts w:hAnsi="Arial" w:cs="Arial"/>
        </w:rPr>
        <w:t>is</w:t>
      </w:r>
      <w:proofErr w:type="gramEnd"/>
      <w:r w:rsidRPr="00E74630">
        <w:rPr>
          <w:rFonts w:hAnsi="Arial" w:cs="Arial"/>
        </w:rPr>
        <w:t xml:space="preserve"> therefore, unlikely to enter the food chain.</w:t>
      </w:r>
    </w:p>
    <w:p w14:paraId="5CE635F0" w14:textId="6C2400F2" w:rsidR="00170426" w:rsidRPr="00E74630" w:rsidRDefault="00170426" w:rsidP="00170426">
      <w:pPr>
        <w:pStyle w:val="GazetteListRomanNumeral"/>
        <w:rPr>
          <w:rFonts w:hAnsi="Arial" w:cs="Arial"/>
        </w:rPr>
      </w:pPr>
      <w:r w:rsidRPr="00E74630">
        <w:rPr>
          <w:rFonts w:hAnsi="Arial" w:cs="Arial"/>
        </w:rPr>
        <w:t xml:space="preserve">The APVMA is satisfied that the proposed use of </w:t>
      </w:r>
      <w:proofErr w:type="spellStart"/>
      <w:r w:rsidRPr="00E74630">
        <w:rPr>
          <w:rFonts w:hAnsi="Arial" w:cs="Arial"/>
          <w:lang w:val="en-AU"/>
        </w:rPr>
        <w:t>Varenzin</w:t>
      </w:r>
      <w:proofErr w:type="spellEnd"/>
      <w:r w:rsidRPr="00E74630">
        <w:rPr>
          <w:rFonts w:hAnsi="Arial" w:cs="Arial"/>
          <w:lang w:val="en-AU"/>
        </w:rPr>
        <w:t xml:space="preserve"> Oral Suspension for Cats </w:t>
      </w:r>
      <w:r w:rsidRPr="00E74630">
        <w:rPr>
          <w:rFonts w:hAnsi="Arial" w:cs="Arial"/>
        </w:rPr>
        <w:t xml:space="preserve">containing the active constituent </w:t>
      </w:r>
      <w:proofErr w:type="spellStart"/>
      <w:r w:rsidRPr="00E74630">
        <w:rPr>
          <w:rFonts w:hAnsi="Arial" w:cs="Arial"/>
        </w:rPr>
        <w:t>Molidustat</w:t>
      </w:r>
      <w:proofErr w:type="spellEnd"/>
      <w:r w:rsidRPr="00E74630">
        <w:rPr>
          <w:rFonts w:hAnsi="Arial" w:cs="Arial"/>
        </w:rPr>
        <w:t xml:space="preserve"> sodium is not likely to have an unintended effect that is harmful to plants or the </w:t>
      </w:r>
      <w:r w:rsidRPr="00FA6E33">
        <w:rPr>
          <w:rFonts w:hAnsi="Arial" w:cs="Arial"/>
          <w:b/>
          <w:bCs/>
        </w:rPr>
        <w:t xml:space="preserve">environment </w:t>
      </w:r>
      <w:r w:rsidRPr="00E74630">
        <w:rPr>
          <w:rFonts w:hAnsi="Arial" w:cs="Arial"/>
        </w:rPr>
        <w:t>if used according to the product label directions.</w:t>
      </w:r>
    </w:p>
    <w:p w14:paraId="06B01028" w14:textId="42252BF0" w:rsidR="00170426" w:rsidRPr="00E74630" w:rsidRDefault="00170426" w:rsidP="00170426">
      <w:pPr>
        <w:pStyle w:val="GazetteListRomanNumeral"/>
        <w:numPr>
          <w:ilvl w:val="1"/>
          <w:numId w:val="4"/>
        </w:numPr>
        <w:ind w:left="1222"/>
        <w:rPr>
          <w:rFonts w:hAnsi="Arial" w:cs="Arial"/>
        </w:rPr>
      </w:pPr>
      <w:r w:rsidRPr="00E74630">
        <w:rPr>
          <w:rFonts w:hAnsi="Arial" w:cs="Arial"/>
        </w:rPr>
        <w:t xml:space="preserve">Environmental risks of </w:t>
      </w:r>
      <w:proofErr w:type="spellStart"/>
      <w:r w:rsidRPr="00E74630">
        <w:rPr>
          <w:rFonts w:hAnsi="Arial" w:cs="Arial"/>
          <w:lang w:val="en-AU"/>
        </w:rPr>
        <w:t>Varenzin</w:t>
      </w:r>
      <w:proofErr w:type="spellEnd"/>
      <w:r w:rsidRPr="00E74630">
        <w:rPr>
          <w:rFonts w:hAnsi="Arial" w:cs="Arial"/>
          <w:lang w:val="en-AU"/>
        </w:rPr>
        <w:t xml:space="preserve"> Oral Suspension for Cats </w:t>
      </w:r>
      <w:r w:rsidRPr="00E74630">
        <w:rPr>
          <w:rFonts w:hAnsi="Arial" w:cs="Arial"/>
        </w:rPr>
        <w:t xml:space="preserve">(containing 25 mg/mL </w:t>
      </w:r>
      <w:proofErr w:type="spellStart"/>
      <w:r w:rsidRPr="00E74630">
        <w:rPr>
          <w:rFonts w:hAnsi="Arial" w:cs="Arial"/>
        </w:rPr>
        <w:t>molidustat</w:t>
      </w:r>
      <w:proofErr w:type="spellEnd"/>
      <w:r w:rsidRPr="00E74630">
        <w:rPr>
          <w:rFonts w:hAnsi="Arial" w:cs="Arial"/>
        </w:rPr>
        <w:t xml:space="preserve"> sodium) were assessed according to the VICH </w:t>
      </w:r>
      <w:r>
        <w:rPr>
          <w:rStyle w:val="FootnoteReference"/>
          <w:rFonts w:hAnsi="Arial" w:cs="Arial"/>
        </w:rPr>
        <w:footnoteReference w:id="1"/>
      </w:r>
      <w:r w:rsidRPr="00E74630">
        <w:rPr>
          <w:rFonts w:hAnsi="Arial" w:cs="Arial"/>
        </w:rPr>
        <w:t xml:space="preserve">Phase I decision tree. The assessment determined that the amount of </w:t>
      </w:r>
      <w:proofErr w:type="spellStart"/>
      <w:r w:rsidRPr="00E74630">
        <w:rPr>
          <w:rFonts w:hAnsi="Arial" w:cs="Arial"/>
          <w:lang w:val="en-AU"/>
        </w:rPr>
        <w:t>molidustat</w:t>
      </w:r>
      <w:proofErr w:type="spellEnd"/>
      <w:r w:rsidRPr="00E74630">
        <w:rPr>
          <w:rFonts w:hAnsi="Arial" w:cs="Arial"/>
          <w:lang w:val="en-AU"/>
        </w:rPr>
        <w:t xml:space="preserve"> sodium </w:t>
      </w:r>
      <w:r w:rsidRPr="00E74630">
        <w:rPr>
          <w:rFonts w:hAnsi="Arial" w:cs="Arial"/>
        </w:rPr>
        <w:t>introduced to the environment is expected to be negligible based on its uses in non-food animals (cats). Therefore, the assessment stopped in VICH phase I, and no further assessment was required.</w:t>
      </w:r>
    </w:p>
    <w:p w14:paraId="2B688B73" w14:textId="77777777" w:rsidR="00170426" w:rsidRPr="00E74630" w:rsidRDefault="00170426" w:rsidP="00170426">
      <w:pPr>
        <w:pStyle w:val="GazetteListRomanNumeral"/>
        <w:numPr>
          <w:ilvl w:val="1"/>
          <w:numId w:val="4"/>
        </w:numPr>
        <w:ind w:left="1222"/>
        <w:rPr>
          <w:rFonts w:hAnsi="Arial" w:cs="Arial"/>
        </w:rPr>
      </w:pPr>
      <w:r w:rsidRPr="00E74630">
        <w:rPr>
          <w:rFonts w:hAnsi="Arial" w:cs="Arial"/>
        </w:rPr>
        <w:t>The following mitigation/labelling statement is recommended, based on the outcome of the risk assessment and current label standards:</w:t>
      </w:r>
    </w:p>
    <w:p w14:paraId="64F87BF6" w14:textId="77777777" w:rsidR="00DA0F9A" w:rsidRDefault="00DA0F9A" w:rsidP="00C640EB">
      <w:pPr>
        <w:pStyle w:val="GazetteNormalText"/>
        <w:ind w:left="851"/>
        <w:rPr>
          <w:b/>
          <w:bCs/>
        </w:rPr>
      </w:pPr>
    </w:p>
    <w:p w14:paraId="64BA881A" w14:textId="13595402" w:rsidR="00170426" w:rsidRPr="00C640EB" w:rsidRDefault="00170426" w:rsidP="00C640EB">
      <w:pPr>
        <w:pStyle w:val="GazetteNormalText"/>
        <w:ind w:left="851"/>
        <w:rPr>
          <w:b/>
          <w:bCs/>
        </w:rPr>
      </w:pPr>
      <w:r w:rsidRPr="00C640EB">
        <w:rPr>
          <w:b/>
          <w:bCs/>
        </w:rPr>
        <w:lastRenderedPageBreak/>
        <w:t>Disposal</w:t>
      </w:r>
    </w:p>
    <w:p w14:paraId="630438AA" w14:textId="77777777" w:rsidR="00170426" w:rsidRPr="00DA0F9A" w:rsidRDefault="00170426" w:rsidP="00DA0F9A">
      <w:pPr>
        <w:pStyle w:val="GazetteBulletList"/>
        <w:ind w:left="1191"/>
        <w:rPr>
          <w:i/>
          <w:iCs/>
        </w:rPr>
      </w:pPr>
      <w:r w:rsidRPr="00DA0F9A">
        <w:rPr>
          <w:i/>
          <w:iCs/>
        </w:rPr>
        <w:t>Dispose of container by wrapping with paper and putting in garbage.</w:t>
      </w:r>
    </w:p>
    <w:p w14:paraId="33FECF30" w14:textId="625F3A38" w:rsidR="00170426" w:rsidRPr="00E74630" w:rsidRDefault="00170426" w:rsidP="00170426">
      <w:pPr>
        <w:pStyle w:val="GazetteListRomanNumeral"/>
        <w:rPr>
          <w:rFonts w:hAnsi="Arial" w:cs="Arial"/>
        </w:rPr>
      </w:pPr>
      <w:r w:rsidRPr="00E74630">
        <w:rPr>
          <w:rFonts w:hAnsi="Arial" w:cs="Arial"/>
        </w:rPr>
        <w:t xml:space="preserve">The APVMA is satisfied that the proposed use of </w:t>
      </w:r>
      <w:proofErr w:type="spellStart"/>
      <w:r w:rsidRPr="00E74630">
        <w:rPr>
          <w:rFonts w:hAnsi="Arial" w:cs="Arial"/>
          <w:lang w:val="en-AU"/>
        </w:rPr>
        <w:t>Varenzin</w:t>
      </w:r>
      <w:proofErr w:type="spellEnd"/>
      <w:r w:rsidRPr="00E74630">
        <w:rPr>
          <w:rFonts w:hAnsi="Arial" w:cs="Arial"/>
          <w:lang w:val="en-AU"/>
        </w:rPr>
        <w:t xml:space="preserve"> Oral Suspension for Cats </w:t>
      </w:r>
      <w:r w:rsidRPr="00E74630">
        <w:rPr>
          <w:rFonts w:hAnsi="Arial" w:cs="Arial"/>
        </w:rPr>
        <w:t xml:space="preserve">is not likely to have an unintended effect that is harmful to </w:t>
      </w:r>
      <w:r w:rsidRPr="00FA6E33">
        <w:rPr>
          <w:rFonts w:hAnsi="Arial" w:cs="Arial"/>
          <w:b/>
          <w:bCs/>
        </w:rPr>
        <w:t xml:space="preserve">target animals (cats) </w:t>
      </w:r>
      <w:r w:rsidRPr="00E74630">
        <w:rPr>
          <w:rFonts w:hAnsi="Arial" w:cs="Arial"/>
        </w:rPr>
        <w:t>if used according to the product label directions.</w:t>
      </w:r>
    </w:p>
    <w:p w14:paraId="515F40D3" w14:textId="6CAFB025" w:rsidR="00170426" w:rsidRPr="005A5B91" w:rsidRDefault="00170426" w:rsidP="00170426">
      <w:pPr>
        <w:pStyle w:val="GazetteListRomanNumeral"/>
        <w:numPr>
          <w:ilvl w:val="1"/>
          <w:numId w:val="1"/>
        </w:numPr>
        <w:ind w:left="1276"/>
        <w:rPr>
          <w:rFonts w:hAnsi="Arial" w:cs="Arial"/>
        </w:rPr>
      </w:pPr>
      <w:r w:rsidRPr="00E74630">
        <w:rPr>
          <w:rFonts w:hAnsi="Arial" w:cs="Arial"/>
          <w:lang w:val="en-AU"/>
        </w:rPr>
        <w:t>Target Animal Safety</w:t>
      </w:r>
      <w:r w:rsidRPr="00E74630">
        <w:rPr>
          <w:rFonts w:hAnsi="Arial" w:cs="Arial"/>
          <w:b/>
          <w:bCs/>
          <w:lang w:val="en-AU"/>
        </w:rPr>
        <w:t xml:space="preserve"> </w:t>
      </w:r>
      <w:r w:rsidRPr="00E74630">
        <w:rPr>
          <w:rFonts w:hAnsi="Arial" w:cs="Arial"/>
          <w:lang w:val="en-AU"/>
        </w:rPr>
        <w:t>(TAS) was investigated in a pivotal TAS study</w:t>
      </w:r>
      <w:r>
        <w:rPr>
          <w:rFonts w:hAnsi="Arial" w:cs="Arial"/>
          <w:lang w:val="en-AU"/>
        </w:rPr>
        <w:t xml:space="preserve">, with </w:t>
      </w:r>
      <w:r w:rsidRPr="00E74630">
        <w:rPr>
          <w:rFonts w:hAnsi="Arial" w:cs="Arial"/>
        </w:rPr>
        <w:t>0.5X and 1X</w:t>
      </w:r>
      <w:r>
        <w:rPr>
          <w:rFonts w:hAnsi="Arial" w:cs="Arial"/>
          <w:lang w:val="en-AU"/>
        </w:rPr>
        <w:t xml:space="preserve"> of</w:t>
      </w:r>
      <w:r w:rsidRPr="00E74630">
        <w:rPr>
          <w:rFonts w:hAnsi="Arial" w:cs="Arial"/>
          <w:lang w:val="en-AU"/>
        </w:rPr>
        <w:t xml:space="preserve"> </w:t>
      </w:r>
      <w:r>
        <w:rPr>
          <w:rFonts w:hAnsi="Arial" w:cs="Arial"/>
          <w:lang w:val="en-AU"/>
        </w:rPr>
        <w:t>5 mg/kg dose</w:t>
      </w:r>
      <w:r w:rsidRPr="00E74630">
        <w:rPr>
          <w:rFonts w:hAnsi="Arial" w:cs="Arial"/>
          <w:lang w:val="en-AU"/>
        </w:rPr>
        <w:t xml:space="preserve"> </w:t>
      </w:r>
      <w:r w:rsidRPr="00AA34D1">
        <w:rPr>
          <w:rFonts w:hAnsi="Arial" w:cs="Arial"/>
          <w:iCs/>
          <w:lang w:val="en-US"/>
        </w:rPr>
        <w:t>conducted with 16 healthy male cats (approximately 10 to 11 months)</w:t>
      </w:r>
      <w:r w:rsidRPr="00AA34D1">
        <w:rPr>
          <w:rFonts w:hAnsi="Arial" w:cs="Arial"/>
          <w:i/>
          <w:lang w:val="en-US"/>
        </w:rPr>
        <w:t xml:space="preserve"> </w:t>
      </w:r>
      <w:r w:rsidRPr="00E74630">
        <w:rPr>
          <w:rFonts w:hAnsi="Arial" w:cs="Arial"/>
          <w:lang w:val="en-AU"/>
        </w:rPr>
        <w:t xml:space="preserve">for 4 weeks, supported by </w:t>
      </w:r>
      <w:r w:rsidR="009975D2">
        <w:rPr>
          <w:rFonts w:hAnsi="Arial" w:cs="Arial"/>
          <w:lang w:val="en-AU"/>
        </w:rPr>
        <w:t>2</w:t>
      </w:r>
      <w:r w:rsidRPr="00E74630">
        <w:rPr>
          <w:rFonts w:hAnsi="Arial" w:cs="Arial"/>
          <w:lang w:val="en-AU"/>
        </w:rPr>
        <w:t xml:space="preserve"> field stud</w:t>
      </w:r>
      <w:r>
        <w:rPr>
          <w:rFonts w:hAnsi="Arial" w:cs="Arial"/>
          <w:lang w:val="en-AU"/>
        </w:rPr>
        <w:t xml:space="preserve">ies in cats with diagnosed CKD and </w:t>
      </w:r>
      <w:r w:rsidR="009975D2">
        <w:rPr>
          <w:rFonts w:hAnsi="Arial" w:cs="Arial"/>
          <w:lang w:val="en-AU"/>
        </w:rPr>
        <w:t>2</w:t>
      </w:r>
      <w:r>
        <w:rPr>
          <w:rFonts w:hAnsi="Arial" w:cs="Arial"/>
          <w:lang w:val="en-AU"/>
        </w:rPr>
        <w:t xml:space="preserve"> </w:t>
      </w:r>
      <w:r w:rsidRPr="00E74630">
        <w:rPr>
          <w:rFonts w:hAnsi="Arial" w:cs="Arial"/>
          <w:lang w:val="en-AU"/>
        </w:rPr>
        <w:t>efficacy trials</w:t>
      </w:r>
      <w:r>
        <w:rPr>
          <w:rFonts w:hAnsi="Arial" w:cs="Arial"/>
          <w:lang w:val="en-AU"/>
        </w:rPr>
        <w:t xml:space="preserve"> in healthy cats</w:t>
      </w:r>
      <w:r w:rsidRPr="00E74630">
        <w:rPr>
          <w:rFonts w:hAnsi="Arial" w:cs="Arial"/>
          <w:lang w:val="en-AU"/>
        </w:rPr>
        <w:t>.</w:t>
      </w:r>
      <w:r w:rsidRPr="00E74630">
        <w:rPr>
          <w:rFonts w:eastAsiaTheme="minorHAnsi" w:hAnsi="Arial" w:cs="Arial"/>
          <w:color w:val="auto"/>
          <w:bdr w:val="none" w:sz="0" w:space="0" w:color="auto"/>
          <w:lang w:val="en-AU" w:eastAsia="en-US"/>
        </w:rPr>
        <w:t xml:space="preserve"> </w:t>
      </w:r>
      <w:r w:rsidRPr="00E74630">
        <w:rPr>
          <w:rFonts w:hAnsi="Arial" w:cs="Arial"/>
          <w:lang w:val="en-AU"/>
        </w:rPr>
        <w:t xml:space="preserve">A 2X safety was observed </w:t>
      </w:r>
      <w:r>
        <w:rPr>
          <w:rFonts w:hAnsi="Arial" w:cs="Arial"/>
          <w:lang w:val="en-AU"/>
        </w:rPr>
        <w:t xml:space="preserve">15 days </w:t>
      </w:r>
      <w:r w:rsidRPr="00E74630">
        <w:rPr>
          <w:rFonts w:hAnsi="Arial" w:cs="Arial"/>
          <w:lang w:val="en-AU"/>
        </w:rPr>
        <w:t xml:space="preserve">in a </w:t>
      </w:r>
      <w:r>
        <w:rPr>
          <w:rFonts w:hAnsi="Arial" w:cs="Arial"/>
          <w:lang w:val="en-AU"/>
        </w:rPr>
        <w:t>dose determination study</w:t>
      </w:r>
      <w:r w:rsidRPr="00E74630">
        <w:rPr>
          <w:rFonts w:hAnsi="Arial" w:cs="Arial"/>
          <w:lang w:val="en-AU"/>
        </w:rPr>
        <w:t xml:space="preserve"> conducted with 10 mg/kg </w:t>
      </w:r>
      <w:proofErr w:type="spellStart"/>
      <w:r w:rsidRPr="00E74630">
        <w:rPr>
          <w:rFonts w:hAnsi="Arial" w:cs="Arial"/>
          <w:lang w:val="en-AU"/>
        </w:rPr>
        <w:t>bw</w:t>
      </w:r>
      <w:proofErr w:type="spellEnd"/>
      <w:r w:rsidRPr="00E74630">
        <w:rPr>
          <w:rFonts w:hAnsi="Arial" w:cs="Arial"/>
          <w:lang w:val="en-AU"/>
        </w:rPr>
        <w:t xml:space="preserve"> dose rate</w:t>
      </w:r>
      <w:r>
        <w:rPr>
          <w:rFonts w:hAnsi="Arial" w:cs="Arial"/>
          <w:lang w:val="en-AU"/>
        </w:rPr>
        <w:t xml:space="preserve"> in healthy cats</w:t>
      </w:r>
      <w:r w:rsidRPr="005C7D58">
        <w:rPr>
          <w:rFonts w:hAnsi="Arial" w:cs="Arial"/>
          <w:lang w:val="en-AU"/>
        </w:rPr>
        <w:t xml:space="preserve"> </w:t>
      </w:r>
      <w:r>
        <w:rPr>
          <w:rFonts w:hAnsi="Arial" w:cs="Arial"/>
          <w:lang w:val="en-AU"/>
        </w:rPr>
        <w:t>and discontinued due to development of polycythaemia</w:t>
      </w:r>
      <w:r w:rsidRPr="00E74630">
        <w:rPr>
          <w:rFonts w:hAnsi="Arial" w:cs="Arial"/>
          <w:lang w:val="en-AU"/>
        </w:rPr>
        <w:t>.</w:t>
      </w:r>
      <w:r>
        <w:rPr>
          <w:rFonts w:hAnsi="Arial" w:cs="Arial"/>
          <w:lang w:val="en-AU"/>
        </w:rPr>
        <w:t xml:space="preserve"> Two target animal efficacy field studies conducted with cats having diagnosed CKD also provided evidence for safety of the intended use of the product in cats with CKD.</w:t>
      </w:r>
    </w:p>
    <w:p w14:paraId="4E46B711" w14:textId="77777777" w:rsidR="00170426" w:rsidRPr="005C7D58" w:rsidRDefault="00170426" w:rsidP="00170426">
      <w:pPr>
        <w:pStyle w:val="GazetteListRomanNumeral"/>
        <w:numPr>
          <w:ilvl w:val="1"/>
          <w:numId w:val="1"/>
        </w:numPr>
        <w:ind w:left="1276"/>
        <w:rPr>
          <w:rFonts w:hAnsi="Arial" w:cs="Arial"/>
        </w:rPr>
      </w:pPr>
      <w:r w:rsidRPr="00E74630">
        <w:rPr>
          <w:rFonts w:hAnsi="Arial" w:cs="Arial"/>
          <w:lang w:val="en-AU"/>
        </w:rPr>
        <w:t>Standard requirements for safety trials to demonstrate 3X and 5X safety</w:t>
      </w:r>
      <w:r>
        <w:rPr>
          <w:rFonts w:hAnsi="Arial" w:cs="Arial"/>
          <w:lang w:val="en-AU"/>
        </w:rPr>
        <w:t xml:space="preserve"> of 5 mg/kg dose</w:t>
      </w:r>
      <w:r w:rsidRPr="00E74630">
        <w:rPr>
          <w:rFonts w:hAnsi="Arial" w:cs="Arial"/>
          <w:lang w:val="en-AU"/>
        </w:rPr>
        <w:t xml:space="preserve"> was not conducted due to observation of increase of haematocrit (HCT) to abnormal levels with 1X and 2X studies in healthy cats and animal welfare issues arising due to very high haematocrit if higher doses are used. This abnormal elevation of haematocrit was not observed in trials conducted in CKD cats with the proposed 5 mg/kg </w:t>
      </w:r>
      <w:proofErr w:type="spellStart"/>
      <w:r w:rsidRPr="00E74630">
        <w:rPr>
          <w:rFonts w:hAnsi="Arial" w:cs="Arial"/>
          <w:lang w:val="en-AU"/>
        </w:rPr>
        <w:t>bw</w:t>
      </w:r>
      <w:proofErr w:type="spellEnd"/>
      <w:r w:rsidRPr="00E74630">
        <w:rPr>
          <w:rFonts w:hAnsi="Arial" w:cs="Arial"/>
          <w:lang w:val="en-AU"/>
        </w:rPr>
        <w:t xml:space="preserve"> dose rate.</w:t>
      </w:r>
    </w:p>
    <w:p w14:paraId="09E9EDE8" w14:textId="11A8D40B" w:rsidR="00170426" w:rsidRPr="005C7D58" w:rsidRDefault="00170426" w:rsidP="00170426">
      <w:pPr>
        <w:pStyle w:val="GazetteListRomanNumeral"/>
        <w:numPr>
          <w:ilvl w:val="1"/>
          <w:numId w:val="1"/>
        </w:numPr>
        <w:ind w:left="1276"/>
        <w:rPr>
          <w:rFonts w:hAnsi="Arial" w:cs="Arial"/>
        </w:rPr>
      </w:pPr>
      <w:r w:rsidRPr="00E74630">
        <w:rPr>
          <w:rFonts w:hAnsi="Arial" w:cs="Arial"/>
          <w:lang w:val="en-AU"/>
        </w:rPr>
        <w:t xml:space="preserve">The typical haematological parameters and signs observed at the dose levels studied are very similar in </w:t>
      </w:r>
      <w:r>
        <w:rPr>
          <w:rFonts w:hAnsi="Arial" w:cs="Arial"/>
          <w:lang w:val="en-AU"/>
        </w:rPr>
        <w:t xml:space="preserve">above </w:t>
      </w:r>
      <w:r w:rsidRPr="00E74630">
        <w:rPr>
          <w:rFonts w:hAnsi="Arial" w:cs="Arial"/>
          <w:lang w:val="en-AU"/>
        </w:rPr>
        <w:t>studies and relate to the pharmacological action of</w:t>
      </w:r>
      <w:r w:rsidRPr="00E74630">
        <w:rPr>
          <w:rFonts w:hAnsi="Arial" w:cs="Arial"/>
        </w:rPr>
        <w:t xml:space="preserve"> </w:t>
      </w:r>
      <w:proofErr w:type="spellStart"/>
      <w:r w:rsidRPr="00E74630">
        <w:rPr>
          <w:rFonts w:hAnsi="Arial" w:cs="Arial"/>
        </w:rPr>
        <w:t>molidustat</w:t>
      </w:r>
      <w:proofErr w:type="spellEnd"/>
      <w:r w:rsidRPr="00E74630">
        <w:rPr>
          <w:rFonts w:hAnsi="Arial" w:cs="Arial"/>
        </w:rPr>
        <w:t xml:space="preserve">. These include polycythaemia associated elevated </w:t>
      </w:r>
      <w:r w:rsidRPr="00E74630">
        <w:rPr>
          <w:rFonts w:hAnsi="Arial" w:cs="Arial"/>
          <w:lang w:val="en-AU"/>
        </w:rPr>
        <w:t xml:space="preserve">haematocrit, haemoglobin and erythrocyte values. Correlating to these effects, related changes were noted in </w:t>
      </w:r>
      <w:r w:rsidRPr="0016490D">
        <w:rPr>
          <w:rFonts w:hAnsi="Arial" w:cs="Arial"/>
          <w:lang w:val="en-AU"/>
        </w:rPr>
        <w:t xml:space="preserve">Mean Corpuscular Haemoglobin </w:t>
      </w:r>
      <w:r>
        <w:rPr>
          <w:rFonts w:hAnsi="Arial" w:cs="Arial"/>
          <w:lang w:val="en-AU"/>
        </w:rPr>
        <w:t>(</w:t>
      </w:r>
      <w:r w:rsidRPr="00E74630">
        <w:rPr>
          <w:rFonts w:hAnsi="Arial" w:cs="Arial"/>
          <w:lang w:val="en-AU"/>
        </w:rPr>
        <w:t>MCH</w:t>
      </w:r>
      <w:r>
        <w:rPr>
          <w:rFonts w:hAnsi="Arial" w:cs="Arial"/>
          <w:lang w:val="en-AU"/>
        </w:rPr>
        <w:t>)</w:t>
      </w:r>
      <w:r w:rsidRPr="00E74630">
        <w:rPr>
          <w:rFonts w:hAnsi="Arial" w:cs="Arial"/>
          <w:lang w:val="en-AU"/>
        </w:rPr>
        <w:t xml:space="preserve">, </w:t>
      </w:r>
      <w:r w:rsidRPr="0016490D">
        <w:rPr>
          <w:rFonts w:hAnsi="Arial" w:cs="Arial"/>
          <w:lang w:val="en-AU"/>
        </w:rPr>
        <w:t xml:space="preserve">Mean Corpuscular Haemoglobin Concentration </w:t>
      </w:r>
      <w:r>
        <w:rPr>
          <w:rFonts w:hAnsi="Arial" w:cs="Arial"/>
          <w:lang w:val="en-AU"/>
        </w:rPr>
        <w:t>(</w:t>
      </w:r>
      <w:r w:rsidRPr="00E74630">
        <w:rPr>
          <w:rFonts w:hAnsi="Arial" w:cs="Arial"/>
          <w:lang w:val="en-AU"/>
        </w:rPr>
        <w:t>MCHC</w:t>
      </w:r>
      <w:r>
        <w:rPr>
          <w:rFonts w:hAnsi="Arial" w:cs="Arial"/>
          <w:lang w:val="en-AU"/>
        </w:rPr>
        <w:t>)</w:t>
      </w:r>
      <w:r w:rsidRPr="00E74630">
        <w:rPr>
          <w:rFonts w:hAnsi="Arial" w:cs="Arial"/>
          <w:lang w:val="en-AU"/>
        </w:rPr>
        <w:t xml:space="preserve"> and </w:t>
      </w:r>
      <w:r w:rsidRPr="0016490D">
        <w:rPr>
          <w:rFonts w:hAnsi="Arial" w:cs="Arial"/>
          <w:lang w:val="en-AU"/>
        </w:rPr>
        <w:t xml:space="preserve">Mean Corpuscular Volume </w:t>
      </w:r>
      <w:r>
        <w:rPr>
          <w:rFonts w:hAnsi="Arial" w:cs="Arial"/>
          <w:lang w:val="en-AU"/>
        </w:rPr>
        <w:t>(</w:t>
      </w:r>
      <w:r w:rsidRPr="00E74630">
        <w:rPr>
          <w:rFonts w:hAnsi="Arial" w:cs="Arial"/>
          <w:lang w:val="en-AU"/>
        </w:rPr>
        <w:t>MCV</w:t>
      </w:r>
      <w:r>
        <w:rPr>
          <w:rFonts w:hAnsi="Arial" w:cs="Arial"/>
          <w:lang w:val="en-AU"/>
        </w:rPr>
        <w:t>)</w:t>
      </w:r>
      <w:r w:rsidRPr="00E74630">
        <w:rPr>
          <w:rFonts w:hAnsi="Arial" w:cs="Arial"/>
          <w:lang w:val="en-AU"/>
        </w:rPr>
        <w:t>. Increases in serum potassium, creatinine, serum phosphorus, and systolic blood pressure were also seen.</w:t>
      </w:r>
    </w:p>
    <w:p w14:paraId="6E5891E1" w14:textId="570762EF" w:rsidR="00170426" w:rsidRPr="00414588" w:rsidRDefault="00170426" w:rsidP="00170426">
      <w:pPr>
        <w:pStyle w:val="GazetteListRomanNumeral"/>
        <w:numPr>
          <w:ilvl w:val="1"/>
          <w:numId w:val="1"/>
        </w:numPr>
        <w:ind w:left="1276"/>
        <w:rPr>
          <w:rFonts w:hAnsi="Arial" w:cs="Arial"/>
        </w:rPr>
      </w:pPr>
      <w:r>
        <w:rPr>
          <w:rFonts w:eastAsiaTheme="minorHAnsi" w:hAnsi="Arial" w:cs="Arial"/>
          <w:color w:val="auto"/>
          <w:bdr w:val="none" w:sz="0" w:space="0" w:color="auto"/>
          <w:lang w:eastAsia="en-US"/>
        </w:rPr>
        <w:t>Margin of safety study</w:t>
      </w:r>
    </w:p>
    <w:p w14:paraId="56E15235" w14:textId="77777777" w:rsidR="00170426" w:rsidRPr="0024155C" w:rsidRDefault="00170426" w:rsidP="00170426">
      <w:pPr>
        <w:pStyle w:val="GazetteListRomanNumeral"/>
        <w:numPr>
          <w:ilvl w:val="0"/>
          <w:numId w:val="36"/>
        </w:numPr>
        <w:rPr>
          <w:rFonts w:hAnsi="Arial" w:cs="Arial"/>
        </w:rPr>
      </w:pPr>
      <w:r>
        <w:rPr>
          <w:rFonts w:eastAsiaTheme="minorHAnsi" w:hAnsi="Arial" w:cs="Arial"/>
          <w:color w:val="auto"/>
          <w:bdr w:val="none" w:sz="0" w:space="0" w:color="auto"/>
          <w:lang w:eastAsia="en-US"/>
        </w:rPr>
        <w:t xml:space="preserve">pivotal safety study showed increased </w:t>
      </w:r>
      <w:r w:rsidRPr="00414588">
        <w:rPr>
          <w:rFonts w:eastAsiaTheme="minorHAnsi" w:hAnsi="Arial" w:cs="Arial"/>
          <w:color w:val="auto"/>
          <w:bdr w:val="none" w:sz="0" w:space="0" w:color="auto"/>
          <w:lang w:val="en-AU" w:eastAsia="en-US"/>
        </w:rPr>
        <w:t>haematocrit, haemoglobin and erythrocyte values although this increase was not dose dependent</w:t>
      </w:r>
      <w:r>
        <w:rPr>
          <w:rFonts w:eastAsiaTheme="minorHAnsi" w:hAnsi="Arial" w:cs="Arial"/>
          <w:color w:val="auto"/>
          <w:bdr w:val="none" w:sz="0" w:space="0" w:color="auto"/>
          <w:lang w:val="en-AU" w:eastAsia="en-US"/>
        </w:rPr>
        <w:t>.</w:t>
      </w:r>
    </w:p>
    <w:p w14:paraId="1D1BA3A2" w14:textId="77777777" w:rsidR="00170426" w:rsidRDefault="00170426" w:rsidP="00170426">
      <w:pPr>
        <w:pStyle w:val="GazetteListRomanNumeral"/>
        <w:numPr>
          <w:ilvl w:val="0"/>
          <w:numId w:val="36"/>
        </w:numPr>
        <w:rPr>
          <w:rFonts w:hAnsi="Arial" w:cs="Arial"/>
        </w:rPr>
      </w:pPr>
      <w:r>
        <w:rPr>
          <w:rFonts w:eastAsiaTheme="minorHAnsi" w:hAnsi="Arial" w:cs="Arial"/>
          <w:color w:val="auto"/>
          <w:bdr w:val="none" w:sz="0" w:space="0" w:color="auto"/>
          <w:lang w:val="en-AU" w:eastAsia="en-US"/>
        </w:rPr>
        <w:t xml:space="preserve"> </w:t>
      </w:r>
      <w:proofErr w:type="gramStart"/>
      <w:r>
        <w:rPr>
          <w:rFonts w:eastAsiaTheme="minorHAnsi" w:hAnsi="Arial" w:cs="Arial"/>
          <w:color w:val="auto"/>
          <w:bdr w:val="none" w:sz="0" w:space="0" w:color="auto"/>
          <w:lang w:val="en-AU" w:eastAsia="en-US"/>
        </w:rPr>
        <w:t>An</w:t>
      </w:r>
      <w:r w:rsidRPr="00414588">
        <w:rPr>
          <w:rFonts w:eastAsiaTheme="minorHAnsi" w:hAnsi="Arial" w:cs="Arial"/>
          <w:color w:val="auto"/>
          <w:bdr w:val="none" w:sz="0" w:space="0" w:color="auto"/>
          <w:lang w:val="en-AU" w:eastAsia="en-US"/>
        </w:rPr>
        <w:t xml:space="preserve"> </w:t>
      </w:r>
      <w:r>
        <w:rPr>
          <w:rFonts w:eastAsiaTheme="minorHAnsi" w:hAnsi="Arial" w:cs="Arial"/>
          <w:color w:val="auto"/>
          <w:bdr w:val="none" w:sz="0" w:space="0" w:color="auto"/>
          <w:lang w:eastAsia="en-US"/>
        </w:rPr>
        <w:t>i</w:t>
      </w:r>
      <w:r w:rsidRPr="005C7D58">
        <w:rPr>
          <w:rFonts w:hAnsi="Arial" w:cs="Arial"/>
        </w:rPr>
        <w:t>ncreased cellular density of the bone marrow,</w:t>
      </w:r>
      <w:proofErr w:type="gramEnd"/>
      <w:r w:rsidRPr="005C7D58">
        <w:rPr>
          <w:rFonts w:hAnsi="Arial" w:cs="Arial"/>
        </w:rPr>
        <w:t xml:space="preserve"> reduced thymus weight and histopathological findings of congestion of the vasculature in the brain, thrombosis/haemostasis in the heart, prominent myocardial vessels, minimal oedematous change of valves in the heart, and acute thrombosis of large pulmonary arteries in the lung were also observed in a safety study conducted in healthy cats.</w:t>
      </w:r>
    </w:p>
    <w:p w14:paraId="4861324D" w14:textId="77777777" w:rsidR="00170426" w:rsidRPr="00C30338" w:rsidRDefault="00170426" w:rsidP="00170426">
      <w:pPr>
        <w:pStyle w:val="GazetteListRomanNumeral"/>
        <w:numPr>
          <w:ilvl w:val="0"/>
          <w:numId w:val="36"/>
        </w:numPr>
        <w:rPr>
          <w:rFonts w:hAnsi="Arial" w:cs="Arial"/>
        </w:rPr>
      </w:pPr>
      <w:r w:rsidRPr="0024155C">
        <w:rPr>
          <w:rFonts w:hAnsi="Arial" w:cs="Arial"/>
        </w:rPr>
        <w:t>Findings related to stress were noticed in the thymus (increased atrophy/involution), the adrenal glands (increased severity score of cortical vacuolation) and the spleen (mild lymphoid depletion in the white pulp).</w:t>
      </w:r>
    </w:p>
    <w:p w14:paraId="53D39381" w14:textId="77777777" w:rsidR="00170426" w:rsidRPr="005C7D58" w:rsidRDefault="00170426" w:rsidP="00170426">
      <w:pPr>
        <w:pStyle w:val="GazetteListRomanNumeral"/>
        <w:numPr>
          <w:ilvl w:val="1"/>
          <w:numId w:val="1"/>
        </w:numPr>
        <w:ind w:left="1276"/>
        <w:rPr>
          <w:rFonts w:hAnsi="Arial" w:cs="Arial"/>
        </w:rPr>
      </w:pPr>
      <w:r>
        <w:rPr>
          <w:rFonts w:hAnsi="Arial" w:cs="Arial"/>
          <w:lang w:val="en-AU"/>
        </w:rPr>
        <w:t>Target Animal Efficacy Field studies</w:t>
      </w:r>
    </w:p>
    <w:p w14:paraId="76CEAC67" w14:textId="33057F20" w:rsidR="00170426" w:rsidRPr="00E74630" w:rsidRDefault="00170426" w:rsidP="00170426">
      <w:pPr>
        <w:pStyle w:val="GazetteListRomanNumeral"/>
        <w:numPr>
          <w:ilvl w:val="0"/>
          <w:numId w:val="31"/>
        </w:numPr>
        <w:spacing w:line="360" w:lineRule="auto"/>
        <w:rPr>
          <w:rFonts w:hAnsi="Arial" w:cs="Arial"/>
        </w:rPr>
      </w:pPr>
      <w:r w:rsidRPr="00E74630">
        <w:rPr>
          <w:rFonts w:hAnsi="Arial" w:cs="Arial"/>
          <w:lang w:val="en-AU"/>
        </w:rPr>
        <w:t>Vomiting was the most frequently reported adverse event in the</w:t>
      </w:r>
      <w:r>
        <w:rPr>
          <w:rFonts w:hAnsi="Arial" w:cs="Arial"/>
          <w:lang w:val="en-AU"/>
        </w:rPr>
        <w:t xml:space="preserve"> field studies</w:t>
      </w:r>
      <w:r w:rsidRPr="00E74630">
        <w:rPr>
          <w:rFonts w:hAnsi="Arial" w:cs="Arial"/>
          <w:lang w:val="en-AU"/>
        </w:rPr>
        <w:t>.</w:t>
      </w:r>
    </w:p>
    <w:p w14:paraId="71B8E4E0" w14:textId="77777777" w:rsidR="00170426" w:rsidRDefault="00170426" w:rsidP="00170426">
      <w:pPr>
        <w:pStyle w:val="GazetteListRomanNumeral"/>
        <w:numPr>
          <w:ilvl w:val="0"/>
          <w:numId w:val="31"/>
        </w:numPr>
        <w:spacing w:line="360" w:lineRule="auto"/>
        <w:rPr>
          <w:rFonts w:hAnsi="Arial" w:cs="Arial"/>
        </w:rPr>
      </w:pPr>
      <w:r w:rsidRPr="00E74630">
        <w:rPr>
          <w:rFonts w:hAnsi="Arial" w:cs="Arial"/>
        </w:rPr>
        <w:t xml:space="preserve">The adverse effects reported in </w:t>
      </w:r>
      <w:r>
        <w:rPr>
          <w:rFonts w:hAnsi="Arial" w:cs="Arial"/>
        </w:rPr>
        <w:t xml:space="preserve">field studies </w:t>
      </w:r>
      <w:r w:rsidRPr="00E74630">
        <w:rPr>
          <w:rFonts w:hAnsi="Arial" w:cs="Arial"/>
        </w:rPr>
        <w:t xml:space="preserve">conducted with cats </w:t>
      </w:r>
      <w:r>
        <w:rPr>
          <w:rFonts w:hAnsi="Arial" w:cs="Arial"/>
        </w:rPr>
        <w:t xml:space="preserve">with </w:t>
      </w:r>
      <w:r w:rsidRPr="00E74630">
        <w:rPr>
          <w:rFonts w:hAnsi="Arial" w:cs="Arial"/>
        </w:rPr>
        <w:t xml:space="preserve">CKD and clinicopathologic parameters can be attributed to underlying CKD or conditions that are not unexpected in a large group of predominantly senior to geriatric cats. Vomiting, lethargy, inappetence, halitosis, polyuria, polydipsia, renal abnormality related serum chemistry, haematology and urine values were as expected in </w:t>
      </w:r>
      <w:r>
        <w:rPr>
          <w:rFonts w:hAnsi="Arial" w:cs="Arial"/>
        </w:rPr>
        <w:t xml:space="preserve">cats with CKD. </w:t>
      </w:r>
      <w:r w:rsidRPr="00E74630">
        <w:rPr>
          <w:rFonts w:hAnsi="Arial" w:cs="Arial"/>
        </w:rPr>
        <w:t>Hypoalbuminemia, elevated globulin, mildly low chloride concentrations, occasional hypernatremia and hyperchloremia associated with dehydration, and hyper- or hypocalcaemia were also found.</w:t>
      </w:r>
    </w:p>
    <w:p w14:paraId="5D315025" w14:textId="2CC2EC85" w:rsidR="00170426" w:rsidRPr="005A5B91" w:rsidRDefault="00170426" w:rsidP="00170426">
      <w:pPr>
        <w:pStyle w:val="ListParagraph"/>
        <w:numPr>
          <w:ilvl w:val="0"/>
          <w:numId w:val="31"/>
        </w:numPr>
        <w:spacing w:line="360" w:lineRule="auto"/>
        <w:rPr>
          <w:rFonts w:eastAsia="Arial Unicode MS" w:cs="Arial"/>
          <w:color w:val="000000"/>
          <w:szCs w:val="18"/>
          <w:u w:color="000000"/>
          <w:bdr w:val="nil"/>
          <w:lang w:val="en-GB" w:eastAsia="en-AU"/>
        </w:rPr>
      </w:pPr>
      <w:r w:rsidRPr="005A5B91">
        <w:rPr>
          <w:rFonts w:eastAsia="Arial Unicode MS" w:cs="Arial"/>
          <w:color w:val="000000"/>
          <w:szCs w:val="18"/>
          <w:u w:color="000000"/>
          <w:bdr w:val="nil"/>
          <w:lang w:val="en-GB" w:eastAsia="en-AU"/>
        </w:rPr>
        <w:lastRenderedPageBreak/>
        <w:t xml:space="preserve">Two out of 55 cats (3.6%) had seizures in the phase II (unmasked safety phase) of the pivotal field study conducted with </w:t>
      </w:r>
      <w:proofErr w:type="spellStart"/>
      <w:r w:rsidRPr="005A5B91">
        <w:rPr>
          <w:rFonts w:eastAsia="Arial Unicode MS" w:cs="Arial"/>
          <w:color w:val="000000"/>
          <w:szCs w:val="18"/>
          <w:u w:color="000000"/>
          <w:bdr w:val="nil"/>
          <w:lang w:val="en-GB" w:eastAsia="en-AU"/>
        </w:rPr>
        <w:t>Varenzin</w:t>
      </w:r>
      <w:proofErr w:type="spellEnd"/>
      <w:r w:rsidRPr="005A5B91">
        <w:rPr>
          <w:rFonts w:eastAsia="Arial Unicode MS" w:cs="Arial"/>
          <w:color w:val="000000"/>
          <w:szCs w:val="18"/>
          <w:u w:color="000000"/>
          <w:bdr w:val="nil"/>
          <w:lang w:val="en-GB" w:eastAsia="en-AU"/>
        </w:rPr>
        <w:t>. These cats had severe uraemia, severe anaemia, dehydration, hypertension and prior history of seizures.</w:t>
      </w:r>
    </w:p>
    <w:p w14:paraId="47DC9580" w14:textId="77777777" w:rsidR="00170426" w:rsidRPr="00E74630" w:rsidRDefault="00170426" w:rsidP="00170426">
      <w:pPr>
        <w:pStyle w:val="GazetteListRomanNumeral"/>
        <w:numPr>
          <w:ilvl w:val="0"/>
          <w:numId w:val="31"/>
        </w:numPr>
        <w:spacing w:before="0" w:line="360" w:lineRule="auto"/>
        <w:rPr>
          <w:rFonts w:hAnsi="Arial" w:cs="Arial"/>
        </w:rPr>
      </w:pPr>
      <w:r>
        <w:rPr>
          <w:rFonts w:hAnsi="Arial" w:cs="Arial"/>
        </w:rPr>
        <w:t>In t</w:t>
      </w:r>
      <w:r w:rsidRPr="00414588">
        <w:rPr>
          <w:rFonts w:hAnsi="Arial" w:cs="Arial"/>
          <w:lang w:val="en-AU"/>
        </w:rPr>
        <w:t>he interim safety report</w:t>
      </w:r>
      <w:r>
        <w:rPr>
          <w:rFonts w:hAnsi="Arial" w:cs="Arial"/>
          <w:lang w:val="en-AU"/>
        </w:rPr>
        <w:t>,</w:t>
      </w:r>
      <w:r w:rsidRPr="00414588">
        <w:rPr>
          <w:rFonts w:hAnsi="Arial" w:cs="Arial"/>
          <w:lang w:val="en-AU"/>
        </w:rPr>
        <w:t xml:space="preserve"> monocytosis, lymphopenia, neutrophilia, low platelets, low MCV, low reticulocyte-haemoglobin concentration and high reticulocyte counts were found. No evidence of abnormal coagulation was noticed except in one cat with prolonged coagulation.</w:t>
      </w:r>
    </w:p>
    <w:p w14:paraId="74602537" w14:textId="77777777" w:rsidR="00170426" w:rsidRPr="00E74630" w:rsidRDefault="00170426" w:rsidP="00170426">
      <w:pPr>
        <w:pStyle w:val="GazetteListRomanNumeral"/>
        <w:numPr>
          <w:ilvl w:val="1"/>
          <w:numId w:val="1"/>
        </w:numPr>
        <w:ind w:left="1276"/>
        <w:rPr>
          <w:rFonts w:hAnsi="Arial" w:cs="Arial"/>
          <w:lang w:val="en-AU"/>
        </w:rPr>
      </w:pPr>
      <w:r w:rsidRPr="00E74630">
        <w:rPr>
          <w:rFonts w:hAnsi="Arial" w:cs="Arial"/>
          <w:lang w:val="en-AU"/>
        </w:rPr>
        <w:t xml:space="preserve">The use of </w:t>
      </w:r>
      <w:proofErr w:type="spellStart"/>
      <w:r w:rsidRPr="00E74630">
        <w:rPr>
          <w:rFonts w:hAnsi="Arial" w:cs="Arial"/>
          <w:lang w:val="en-AU"/>
        </w:rPr>
        <w:t>Varenzin</w:t>
      </w:r>
      <w:proofErr w:type="spellEnd"/>
      <w:r w:rsidRPr="00E74630">
        <w:rPr>
          <w:rFonts w:hAnsi="Arial" w:cs="Arial"/>
          <w:lang w:val="en-AU"/>
        </w:rPr>
        <w:t xml:space="preserve"> Oral Suspension for Cats has neither been studied during pregnancy, lactation or intended for breeding. As indicated above, increase incidence of ocular malformations such as flat eye rudiments and microphthalmia were observed at doses of 30 mg/kg </w:t>
      </w:r>
      <w:proofErr w:type="spellStart"/>
      <w:r w:rsidRPr="00E74630">
        <w:rPr>
          <w:rFonts w:hAnsi="Arial" w:cs="Arial"/>
          <w:lang w:val="en-AU"/>
        </w:rPr>
        <w:t>bw</w:t>
      </w:r>
      <w:proofErr w:type="spellEnd"/>
      <w:r w:rsidRPr="00E74630">
        <w:rPr>
          <w:rFonts w:hAnsi="Arial" w:cs="Arial"/>
          <w:lang w:val="en-AU"/>
        </w:rPr>
        <w:t xml:space="preserve"> </w:t>
      </w:r>
      <w:proofErr w:type="spellStart"/>
      <w:r w:rsidRPr="00E74630">
        <w:rPr>
          <w:rFonts w:hAnsi="Arial" w:cs="Arial"/>
          <w:lang w:val="en-AU"/>
        </w:rPr>
        <w:t>molidustat</w:t>
      </w:r>
      <w:proofErr w:type="spellEnd"/>
      <w:r w:rsidRPr="00E74630">
        <w:rPr>
          <w:rFonts w:hAnsi="Arial" w:cs="Arial"/>
          <w:lang w:val="en-AU"/>
        </w:rPr>
        <w:t xml:space="preserve"> per day in rats. Therefore, precautions were imposed in the label for use of the product in pregnant, lactating cats or cats intended for breeding.</w:t>
      </w:r>
    </w:p>
    <w:p w14:paraId="2780A764" w14:textId="5F0349F4" w:rsidR="00170426" w:rsidRPr="00E74630" w:rsidRDefault="00170426" w:rsidP="00170426">
      <w:pPr>
        <w:pStyle w:val="GazetteListRomanNumeral"/>
        <w:numPr>
          <w:ilvl w:val="1"/>
          <w:numId w:val="1"/>
        </w:numPr>
        <w:ind w:left="1276"/>
        <w:rPr>
          <w:rFonts w:hAnsi="Arial" w:cs="Arial"/>
          <w:lang w:val="en-AU"/>
        </w:rPr>
      </w:pPr>
      <w:r w:rsidRPr="00E74630">
        <w:rPr>
          <w:rFonts w:hAnsi="Arial" w:cs="Arial"/>
          <w:lang w:val="en-AU"/>
        </w:rPr>
        <w:t xml:space="preserve">Studies in cats indicated that </w:t>
      </w:r>
      <w:r w:rsidRPr="006A7C0C">
        <w:rPr>
          <w:rFonts w:hAnsi="Arial" w:cs="Arial"/>
          <w:lang w:val="en-AU"/>
        </w:rPr>
        <w:t>principal route of elimination</w:t>
      </w:r>
      <w:r>
        <w:rPr>
          <w:rFonts w:hAnsi="Arial" w:cs="Arial"/>
          <w:lang w:val="en-AU"/>
        </w:rPr>
        <w:t xml:space="preserve"> of </w:t>
      </w:r>
      <w:proofErr w:type="spellStart"/>
      <w:r>
        <w:rPr>
          <w:rFonts w:hAnsi="Arial" w:cs="Arial"/>
          <w:lang w:val="en-AU"/>
        </w:rPr>
        <w:t>molidustat</w:t>
      </w:r>
      <w:proofErr w:type="spellEnd"/>
      <w:r w:rsidRPr="006A7C0C">
        <w:rPr>
          <w:rFonts w:hAnsi="Arial" w:cs="Arial"/>
          <w:lang w:val="en-AU"/>
        </w:rPr>
        <w:t xml:space="preserve"> in cats appears to be faecal</w:t>
      </w:r>
      <w:r>
        <w:rPr>
          <w:rFonts w:hAnsi="Arial" w:cs="Arial"/>
          <w:lang w:val="en-AU"/>
        </w:rPr>
        <w:t>. M</w:t>
      </w:r>
      <w:r w:rsidRPr="00E74630">
        <w:rPr>
          <w:rFonts w:hAnsi="Arial" w:cs="Arial"/>
          <w:lang w:val="en-AU"/>
        </w:rPr>
        <w:t xml:space="preserve">ost of the </w:t>
      </w:r>
      <w:proofErr w:type="spellStart"/>
      <w:r w:rsidRPr="00E74630">
        <w:rPr>
          <w:rFonts w:hAnsi="Arial" w:cs="Arial"/>
          <w:lang w:val="en-AU"/>
        </w:rPr>
        <w:t>molidustat</w:t>
      </w:r>
      <w:proofErr w:type="spellEnd"/>
      <w:r w:rsidRPr="00E74630">
        <w:rPr>
          <w:rFonts w:hAnsi="Arial" w:cs="Arial"/>
          <w:lang w:val="en-AU"/>
        </w:rPr>
        <w:t xml:space="preserve"> found in faeces was actively excreted. </w:t>
      </w:r>
      <w:r>
        <w:rPr>
          <w:rFonts w:hAnsi="Arial" w:cs="Arial"/>
          <w:lang w:val="en-AU"/>
        </w:rPr>
        <w:t>Main metabolite in cat was</w:t>
      </w:r>
      <w:r w:rsidRPr="006A7C0C">
        <w:rPr>
          <w:rFonts w:eastAsiaTheme="minorEastAsia" w:hAnsi="Arial" w:cstheme="minorBidi"/>
          <w:color w:val="44546A" w:themeColor="text2"/>
          <w:sz w:val="22"/>
          <w:szCs w:val="22"/>
          <w:bdr w:val="none" w:sz="0" w:space="0" w:color="auto"/>
          <w:lang w:val="en-AU" w:eastAsia="en-US"/>
        </w:rPr>
        <w:t xml:space="preserve"> </w:t>
      </w:r>
      <w:r w:rsidRPr="006A7C0C">
        <w:rPr>
          <w:rFonts w:hAnsi="Arial" w:cs="Arial"/>
          <w:lang w:val="en-AU"/>
        </w:rPr>
        <w:t xml:space="preserve">glucuronic acid conjugate of </w:t>
      </w:r>
      <w:proofErr w:type="spellStart"/>
      <w:r w:rsidRPr="006A7C0C">
        <w:rPr>
          <w:rFonts w:hAnsi="Arial" w:cs="Arial"/>
          <w:lang w:val="en-AU"/>
        </w:rPr>
        <w:t>molidustat</w:t>
      </w:r>
      <w:proofErr w:type="spellEnd"/>
      <w:r>
        <w:rPr>
          <w:rFonts w:hAnsi="Arial" w:cs="Arial"/>
          <w:lang w:val="en-AU"/>
        </w:rPr>
        <w:t xml:space="preserve">. </w:t>
      </w:r>
      <w:r w:rsidRPr="00E74630">
        <w:rPr>
          <w:rFonts w:hAnsi="Arial" w:cs="Arial"/>
          <w:lang w:val="en-AU"/>
        </w:rPr>
        <w:t xml:space="preserve">Considering the inefficient </w:t>
      </w:r>
      <w:proofErr w:type="spellStart"/>
      <w:r w:rsidRPr="00E74630">
        <w:rPr>
          <w:rFonts w:hAnsi="Arial" w:cs="Arial"/>
          <w:lang w:val="en-AU"/>
        </w:rPr>
        <w:t>glucuronyl</w:t>
      </w:r>
      <w:proofErr w:type="spellEnd"/>
      <w:r w:rsidRPr="00E74630">
        <w:rPr>
          <w:rFonts w:hAnsi="Arial" w:cs="Arial"/>
          <w:lang w:val="en-AU"/>
        </w:rPr>
        <w:t xml:space="preserve"> transferase enzyme activity in cats, the precaution statement was imposed to use with caution in cats with hepatic impairment.</w:t>
      </w:r>
    </w:p>
    <w:p w14:paraId="2DACA705" w14:textId="04825CDB" w:rsidR="00170426" w:rsidRPr="00393455" w:rsidRDefault="00170426" w:rsidP="00393455">
      <w:pPr>
        <w:pStyle w:val="GazetteListRomanNumeral"/>
        <w:numPr>
          <w:ilvl w:val="1"/>
          <w:numId w:val="1"/>
        </w:numPr>
        <w:ind w:left="1276"/>
        <w:rPr>
          <w:rFonts w:hAnsi="Arial" w:cs="Arial"/>
          <w:lang w:val="en-AU"/>
        </w:rPr>
      </w:pPr>
      <w:r w:rsidRPr="00E74630">
        <w:rPr>
          <w:rFonts w:hAnsi="Arial" w:cs="Arial"/>
          <w:lang w:val="en-AU"/>
        </w:rPr>
        <w:t xml:space="preserve">The APVMA has therefore, concluded that the administration of </w:t>
      </w:r>
      <w:proofErr w:type="spellStart"/>
      <w:r w:rsidRPr="00E74630">
        <w:rPr>
          <w:rFonts w:hAnsi="Arial" w:cs="Arial"/>
          <w:lang w:val="en-AU"/>
        </w:rPr>
        <w:t>Varenzin</w:t>
      </w:r>
      <w:proofErr w:type="spellEnd"/>
      <w:r w:rsidRPr="00E74630">
        <w:rPr>
          <w:rFonts w:hAnsi="Arial" w:cs="Arial"/>
          <w:lang w:val="en-AU"/>
        </w:rPr>
        <w:t xml:space="preserve"> Oral Suspension for Cats is generally well tolerated at 5</w:t>
      </w:r>
      <w:r>
        <w:rPr>
          <w:rFonts w:hAnsi="Arial" w:cs="Arial"/>
          <w:lang w:val="en-AU"/>
        </w:rPr>
        <w:t xml:space="preserve"> </w:t>
      </w:r>
      <w:r w:rsidRPr="00E74630">
        <w:rPr>
          <w:rFonts w:hAnsi="Arial" w:cs="Arial"/>
          <w:lang w:val="en-AU"/>
        </w:rPr>
        <w:t xml:space="preserve">mg/kg </w:t>
      </w:r>
      <w:proofErr w:type="spellStart"/>
      <w:r w:rsidRPr="00E74630">
        <w:rPr>
          <w:rFonts w:hAnsi="Arial" w:cs="Arial"/>
          <w:lang w:val="en-AU"/>
        </w:rPr>
        <w:t>bw</w:t>
      </w:r>
      <w:proofErr w:type="spellEnd"/>
      <w:r w:rsidRPr="00E74630">
        <w:rPr>
          <w:rFonts w:hAnsi="Arial" w:cs="Arial"/>
          <w:lang w:val="en-AU"/>
        </w:rPr>
        <w:t xml:space="preserve"> dose rate</w:t>
      </w:r>
      <w:r>
        <w:rPr>
          <w:rFonts w:hAnsi="Arial" w:cs="Arial"/>
          <w:lang w:val="en-AU"/>
        </w:rPr>
        <w:t xml:space="preserve"> for 28 days treatment cycle</w:t>
      </w:r>
      <w:r w:rsidRPr="00E74630">
        <w:rPr>
          <w:rFonts w:hAnsi="Arial" w:cs="Arial"/>
          <w:lang w:val="en-AU"/>
        </w:rPr>
        <w:t xml:space="preserve"> and appropriate statements have been included on the label to mitigate the risks identified:</w:t>
      </w:r>
    </w:p>
    <w:p w14:paraId="53903452" w14:textId="00C53390" w:rsidR="00170426" w:rsidRPr="00C640EB" w:rsidRDefault="00170426" w:rsidP="00C640EB">
      <w:pPr>
        <w:pStyle w:val="GazetteNormalText"/>
        <w:ind w:left="851"/>
        <w:rPr>
          <w:b/>
          <w:bCs/>
        </w:rPr>
      </w:pPr>
      <w:r w:rsidRPr="00C640EB">
        <w:rPr>
          <w:b/>
          <w:bCs/>
        </w:rPr>
        <w:t>Contraindications:</w:t>
      </w:r>
    </w:p>
    <w:p w14:paraId="5E340EE5" w14:textId="77777777" w:rsidR="00170426" w:rsidRPr="00DA0F9A" w:rsidRDefault="00170426" w:rsidP="00DA0F9A">
      <w:pPr>
        <w:pStyle w:val="GazetteBulletList"/>
        <w:ind w:left="1191"/>
        <w:rPr>
          <w:i/>
          <w:iCs/>
        </w:rPr>
      </w:pPr>
      <w:r w:rsidRPr="00DA0F9A">
        <w:rPr>
          <w:i/>
          <w:iCs/>
        </w:rPr>
        <w:t xml:space="preserve">Contraindicated for cats with known hypersensitivity to </w:t>
      </w:r>
      <w:proofErr w:type="spellStart"/>
      <w:r w:rsidRPr="00DA0F9A">
        <w:rPr>
          <w:i/>
          <w:iCs/>
        </w:rPr>
        <w:t>molidustat</w:t>
      </w:r>
      <w:proofErr w:type="spellEnd"/>
      <w:r w:rsidRPr="00DA0F9A">
        <w:rPr>
          <w:i/>
          <w:iCs/>
        </w:rPr>
        <w:t>.</w:t>
      </w:r>
    </w:p>
    <w:p w14:paraId="0E2C509E" w14:textId="2D43E23E" w:rsidR="00170426" w:rsidRPr="00C640EB" w:rsidRDefault="00170426" w:rsidP="00C640EB">
      <w:pPr>
        <w:pStyle w:val="GazetteNormalText"/>
        <w:ind w:left="851"/>
        <w:rPr>
          <w:b/>
          <w:bCs/>
        </w:rPr>
      </w:pPr>
      <w:r w:rsidRPr="00C640EB">
        <w:rPr>
          <w:b/>
          <w:bCs/>
        </w:rPr>
        <w:t>Precautions:</w:t>
      </w:r>
    </w:p>
    <w:p w14:paraId="551D86AD" w14:textId="77777777" w:rsidR="00170426" w:rsidRPr="00DA0F9A" w:rsidRDefault="00170426" w:rsidP="00DA0F9A">
      <w:pPr>
        <w:pStyle w:val="GazetteBulletList"/>
        <w:ind w:left="1191"/>
        <w:rPr>
          <w:i/>
          <w:iCs/>
        </w:rPr>
      </w:pPr>
      <w:r w:rsidRPr="00DA0F9A">
        <w:rPr>
          <w:i/>
          <w:iCs/>
        </w:rPr>
        <w:t xml:space="preserve">The safe use of </w:t>
      </w:r>
      <w:proofErr w:type="spellStart"/>
      <w:r w:rsidRPr="00DA0F9A">
        <w:rPr>
          <w:i/>
          <w:iCs/>
        </w:rPr>
        <w:t>Varenzin</w:t>
      </w:r>
      <w:proofErr w:type="spellEnd"/>
      <w:r w:rsidRPr="00DA0F9A">
        <w:rPr>
          <w:i/>
          <w:iCs/>
        </w:rPr>
        <w:t xml:space="preserve"> has not been evaluated in cats less than 1 year of age and cats </w:t>
      </w:r>
      <w:r w:rsidRPr="00DA0F9A">
        <w:rPr>
          <w:i/>
          <w:iCs/>
        </w:rPr>
        <w:t>≤</w:t>
      </w:r>
      <w:r w:rsidRPr="00DA0F9A">
        <w:rPr>
          <w:i/>
          <w:iCs/>
        </w:rPr>
        <w:t xml:space="preserve"> 2 kg.</w:t>
      </w:r>
    </w:p>
    <w:p w14:paraId="68C48D69" w14:textId="77777777" w:rsidR="00170426" w:rsidRPr="00DA0F9A" w:rsidRDefault="00170426" w:rsidP="00DA0F9A">
      <w:pPr>
        <w:pStyle w:val="GazetteBulletList"/>
        <w:ind w:left="1191"/>
        <w:rPr>
          <w:i/>
          <w:iCs/>
        </w:rPr>
      </w:pPr>
      <w:r w:rsidRPr="00DA0F9A">
        <w:rPr>
          <w:i/>
          <w:iCs/>
        </w:rPr>
        <w:t xml:space="preserve">Use with caution in cats with hepatic impairment. </w:t>
      </w:r>
      <w:proofErr w:type="spellStart"/>
      <w:r w:rsidRPr="00DA0F9A">
        <w:rPr>
          <w:i/>
          <w:iCs/>
        </w:rPr>
        <w:t>Molidustat</w:t>
      </w:r>
      <w:proofErr w:type="spellEnd"/>
      <w:r w:rsidRPr="00DA0F9A">
        <w:rPr>
          <w:i/>
          <w:iCs/>
        </w:rPr>
        <w:t xml:space="preserve"> is metabolised by the liver. The safety of the product has not been studied in cats with hepatic impairment.</w:t>
      </w:r>
    </w:p>
    <w:p w14:paraId="5771EAEE" w14:textId="754B97FA" w:rsidR="00170426" w:rsidRPr="00DA0F9A" w:rsidRDefault="00170426" w:rsidP="00DA0F9A">
      <w:pPr>
        <w:pStyle w:val="GazetteBulletList"/>
        <w:ind w:left="1191"/>
        <w:rPr>
          <w:i/>
          <w:iCs/>
        </w:rPr>
      </w:pPr>
      <w:r w:rsidRPr="00DA0F9A">
        <w:rPr>
          <w:i/>
          <w:iCs/>
        </w:rPr>
        <w:t xml:space="preserve">The safe use of </w:t>
      </w:r>
      <w:proofErr w:type="spellStart"/>
      <w:r w:rsidRPr="00DA0F9A">
        <w:rPr>
          <w:i/>
          <w:iCs/>
        </w:rPr>
        <w:t>Varenzin</w:t>
      </w:r>
      <w:proofErr w:type="spellEnd"/>
      <w:r w:rsidRPr="00DA0F9A">
        <w:rPr>
          <w:i/>
          <w:iCs/>
        </w:rPr>
        <w:t xml:space="preserve"> has not been evaluated in cats that are pregnant, lactating, or intended for breeding. Therefore, use of </w:t>
      </w:r>
      <w:proofErr w:type="spellStart"/>
      <w:r w:rsidRPr="00DA0F9A">
        <w:rPr>
          <w:i/>
          <w:iCs/>
        </w:rPr>
        <w:t>Varenzin</w:t>
      </w:r>
      <w:proofErr w:type="spellEnd"/>
      <w:r w:rsidRPr="00DA0F9A">
        <w:rPr>
          <w:i/>
          <w:iCs/>
        </w:rPr>
        <w:t xml:space="preserve"> is not recommended in these classes of animals.</w:t>
      </w:r>
    </w:p>
    <w:p w14:paraId="484E9AFB" w14:textId="77777777" w:rsidR="00170426" w:rsidRPr="00DA0F9A" w:rsidRDefault="00170426" w:rsidP="00DA0F9A">
      <w:pPr>
        <w:pStyle w:val="GazetteBulletList"/>
        <w:ind w:left="1191"/>
        <w:rPr>
          <w:i/>
          <w:iCs/>
        </w:rPr>
      </w:pPr>
      <w:r w:rsidRPr="00DA0F9A">
        <w:rPr>
          <w:i/>
          <w:iCs/>
        </w:rPr>
        <w:t>Use with caution in cats with a history of seizures and cats that may be predisposed to thromboembolic disease.</w:t>
      </w:r>
    </w:p>
    <w:p w14:paraId="0A9C65F4" w14:textId="77777777" w:rsidR="00170426" w:rsidRPr="00DA0F9A" w:rsidRDefault="00170426" w:rsidP="00DA0F9A">
      <w:pPr>
        <w:pStyle w:val="GazetteBulletList"/>
        <w:ind w:left="1191"/>
        <w:rPr>
          <w:i/>
          <w:iCs/>
        </w:rPr>
      </w:pPr>
      <w:r w:rsidRPr="00DA0F9A">
        <w:rPr>
          <w:i/>
          <w:iCs/>
        </w:rPr>
        <w:t xml:space="preserve">The use of </w:t>
      </w:r>
      <w:proofErr w:type="spellStart"/>
      <w:r w:rsidRPr="00DA0F9A">
        <w:rPr>
          <w:i/>
          <w:iCs/>
        </w:rPr>
        <w:t>Varenzin</w:t>
      </w:r>
      <w:proofErr w:type="spellEnd"/>
      <w:r w:rsidRPr="00DA0F9A">
        <w:rPr>
          <w:i/>
          <w:iCs/>
        </w:rPr>
        <w:t xml:space="preserve"> administered concurrently with other erythropoiesis-stimulating agents, </w:t>
      </w:r>
      <w:proofErr w:type="gramStart"/>
      <w:r w:rsidRPr="00DA0F9A">
        <w:rPr>
          <w:i/>
          <w:iCs/>
        </w:rPr>
        <w:t>Including</w:t>
      </w:r>
      <w:proofErr w:type="gramEnd"/>
      <w:r w:rsidRPr="00DA0F9A">
        <w:rPr>
          <w:i/>
          <w:iCs/>
        </w:rPr>
        <w:t xml:space="preserve"> recombinant erythropoietin drugs, has not been studied.</w:t>
      </w:r>
    </w:p>
    <w:p w14:paraId="2D000228" w14:textId="77777777" w:rsidR="00170426" w:rsidRPr="00DA0F9A" w:rsidRDefault="00170426" w:rsidP="00DA0F9A">
      <w:pPr>
        <w:pStyle w:val="GazetteBulletList"/>
        <w:ind w:left="1191"/>
        <w:rPr>
          <w:i/>
          <w:iCs/>
        </w:rPr>
      </w:pPr>
      <w:r w:rsidRPr="00DA0F9A">
        <w:rPr>
          <w:i/>
          <w:iCs/>
        </w:rPr>
        <w:t xml:space="preserve">Phosphate binders or other products containing multivalent cations such as calcium, iron, magnesium or aluminium have been shown to chelate with other HIF-PH inhibitors. Based on information in humans, staggered administration of </w:t>
      </w:r>
      <w:proofErr w:type="spellStart"/>
      <w:r w:rsidRPr="00DA0F9A">
        <w:rPr>
          <w:i/>
          <w:iCs/>
        </w:rPr>
        <w:t>Varenzin</w:t>
      </w:r>
      <w:proofErr w:type="spellEnd"/>
      <w:r w:rsidRPr="00DA0F9A">
        <w:rPr>
          <w:i/>
          <w:iCs/>
        </w:rPr>
        <w:t xml:space="preserve"> and phosphate binders (at least 1 hour apart), if possible, should be considered to prevent potentially decreasing absorption of </w:t>
      </w:r>
      <w:proofErr w:type="spellStart"/>
      <w:r w:rsidRPr="00DA0F9A">
        <w:rPr>
          <w:i/>
          <w:iCs/>
        </w:rPr>
        <w:t>molidustat</w:t>
      </w:r>
      <w:proofErr w:type="spellEnd"/>
      <w:r w:rsidRPr="00DA0F9A">
        <w:rPr>
          <w:i/>
          <w:iCs/>
        </w:rPr>
        <w:t>.</w:t>
      </w:r>
    </w:p>
    <w:p w14:paraId="745F7B11" w14:textId="7EBC34DB" w:rsidR="00170426" w:rsidRPr="00C640EB" w:rsidRDefault="00170426" w:rsidP="00C640EB">
      <w:pPr>
        <w:pStyle w:val="GazetteNormalText"/>
        <w:ind w:left="851"/>
        <w:rPr>
          <w:b/>
          <w:bCs/>
        </w:rPr>
      </w:pPr>
      <w:r w:rsidRPr="00C640EB">
        <w:rPr>
          <w:b/>
          <w:bCs/>
        </w:rPr>
        <w:t>Side effects:</w:t>
      </w:r>
    </w:p>
    <w:p w14:paraId="0E012068" w14:textId="77777777" w:rsidR="00170426" w:rsidRPr="00DA0F9A" w:rsidRDefault="00170426" w:rsidP="00DA0F9A">
      <w:pPr>
        <w:pStyle w:val="GazetteBulletList"/>
        <w:ind w:left="1191"/>
        <w:rPr>
          <w:i/>
          <w:iCs/>
        </w:rPr>
      </w:pPr>
      <w:r w:rsidRPr="00DA0F9A">
        <w:rPr>
          <w:i/>
          <w:iCs/>
        </w:rPr>
        <w:t xml:space="preserve">Vomiting was the most frequently reported adverse event in the pivotal field study, either alone or with other events, and was reported at least once in 28/55 (50.9%) of the cats treated with </w:t>
      </w:r>
      <w:proofErr w:type="spellStart"/>
      <w:r w:rsidRPr="00DA0F9A">
        <w:rPr>
          <w:i/>
          <w:iCs/>
        </w:rPr>
        <w:t>Varenzin</w:t>
      </w:r>
      <w:proofErr w:type="spellEnd"/>
      <w:r w:rsidRPr="00DA0F9A">
        <w:rPr>
          <w:i/>
          <w:iCs/>
        </w:rPr>
        <w:t xml:space="preserve"> in the pivotal field study. Vomiting was more frequent on treatment days than during treatment pause.</w:t>
      </w:r>
    </w:p>
    <w:p w14:paraId="5C44F88A" w14:textId="77777777" w:rsidR="00170426" w:rsidRPr="00DA0F9A" w:rsidRDefault="00170426" w:rsidP="00DA0F9A">
      <w:pPr>
        <w:pStyle w:val="GazetteBulletList"/>
        <w:ind w:left="1191"/>
        <w:rPr>
          <w:i/>
          <w:iCs/>
        </w:rPr>
      </w:pPr>
      <w:r w:rsidRPr="00DA0F9A">
        <w:rPr>
          <w:i/>
          <w:iCs/>
        </w:rPr>
        <w:t xml:space="preserve">Two out of 55 cats (3.6%) had seizures in the phase II (unmasked safety phase) of the </w:t>
      </w:r>
      <w:r w:rsidRPr="00DA0F9A">
        <w:rPr>
          <w:i/>
          <w:iCs/>
          <w:lang w:val="en-AU"/>
        </w:rPr>
        <w:t xml:space="preserve">pivotal field study conducted with </w:t>
      </w:r>
      <w:proofErr w:type="spellStart"/>
      <w:r w:rsidRPr="00DA0F9A">
        <w:rPr>
          <w:i/>
          <w:iCs/>
          <w:lang w:val="en-AU"/>
        </w:rPr>
        <w:t>Varenzin</w:t>
      </w:r>
      <w:proofErr w:type="spellEnd"/>
      <w:r w:rsidRPr="00DA0F9A">
        <w:rPr>
          <w:i/>
          <w:iCs/>
          <w:lang w:val="en-AU"/>
        </w:rPr>
        <w:t xml:space="preserve">. One cat had a seizure associated with severe uraemia, severe anaemia, and </w:t>
      </w:r>
      <w:r w:rsidRPr="00DA0F9A">
        <w:rPr>
          <w:i/>
          <w:iCs/>
          <w:lang w:val="en-AU"/>
        </w:rPr>
        <w:lastRenderedPageBreak/>
        <w:t xml:space="preserve">dehydration. Other cat had a history of a seizure about 1 year prior, had severe hypertension and a seizure during the study. </w:t>
      </w:r>
      <w:r w:rsidRPr="00DA0F9A">
        <w:rPr>
          <w:i/>
          <w:iCs/>
        </w:rPr>
        <w:t xml:space="preserve">It was assessed that </w:t>
      </w:r>
      <w:r w:rsidRPr="00DA0F9A">
        <w:rPr>
          <w:i/>
          <w:iCs/>
          <w:lang w:val="en-AU"/>
        </w:rPr>
        <w:t xml:space="preserve">the seizures were not related to the administration of </w:t>
      </w:r>
      <w:proofErr w:type="spellStart"/>
      <w:r w:rsidRPr="00DA0F9A">
        <w:rPr>
          <w:i/>
          <w:iCs/>
          <w:lang w:val="en-AU"/>
        </w:rPr>
        <w:t>Varenzin</w:t>
      </w:r>
      <w:proofErr w:type="spellEnd"/>
      <w:r w:rsidRPr="00DA0F9A">
        <w:rPr>
          <w:i/>
          <w:iCs/>
          <w:lang w:val="en-AU"/>
        </w:rPr>
        <w:t>.</w:t>
      </w:r>
    </w:p>
    <w:p w14:paraId="5CFFC044" w14:textId="77777777" w:rsidR="00170426" w:rsidRPr="00DA0F9A" w:rsidRDefault="00170426" w:rsidP="00DA0F9A">
      <w:pPr>
        <w:pStyle w:val="GazetteBulletList"/>
        <w:ind w:left="1191"/>
        <w:rPr>
          <w:i/>
          <w:iCs/>
          <w:lang w:val="en-AU"/>
        </w:rPr>
      </w:pPr>
      <w:r w:rsidRPr="00DA0F9A">
        <w:rPr>
          <w:i/>
          <w:iCs/>
          <w:lang w:val="en-AU"/>
        </w:rPr>
        <w:t xml:space="preserve">Polycythaemia may result from use of </w:t>
      </w:r>
      <w:proofErr w:type="spellStart"/>
      <w:r w:rsidRPr="00DA0F9A">
        <w:rPr>
          <w:i/>
          <w:iCs/>
          <w:lang w:val="en-AU"/>
        </w:rPr>
        <w:t>Varenzin</w:t>
      </w:r>
      <w:proofErr w:type="spellEnd"/>
      <w:r w:rsidRPr="00DA0F9A">
        <w:rPr>
          <w:i/>
          <w:iCs/>
          <w:lang w:val="en-AU"/>
        </w:rPr>
        <w:t xml:space="preserve">. When starting treatment with </w:t>
      </w:r>
      <w:proofErr w:type="spellStart"/>
      <w:r w:rsidRPr="00DA0F9A">
        <w:rPr>
          <w:i/>
          <w:iCs/>
          <w:lang w:val="en-AU"/>
        </w:rPr>
        <w:t>Varenzin</w:t>
      </w:r>
      <w:proofErr w:type="spellEnd"/>
      <w:r w:rsidRPr="00DA0F9A">
        <w:rPr>
          <w:i/>
          <w:iCs/>
          <w:lang w:val="en-AU"/>
        </w:rPr>
        <w:t xml:space="preserve">, cats should have their haematocrit (HCT) or packed cell volume (PCV) levels monitored fortnightly during the treatment cycle to ensure HCT or PCV does not exceed the upper limit of the reference range. Discontinue </w:t>
      </w:r>
      <w:proofErr w:type="spellStart"/>
      <w:r w:rsidRPr="00DA0F9A">
        <w:rPr>
          <w:i/>
          <w:iCs/>
          <w:lang w:val="en-AU"/>
        </w:rPr>
        <w:t>Varenzin</w:t>
      </w:r>
      <w:proofErr w:type="spellEnd"/>
      <w:r w:rsidRPr="00DA0F9A">
        <w:rPr>
          <w:i/>
          <w:iCs/>
          <w:lang w:val="en-AU"/>
        </w:rPr>
        <w:t xml:space="preserve"> if HCT or PCV exceeds the upper limit of the reference range.</w:t>
      </w:r>
    </w:p>
    <w:p w14:paraId="5A7FCD63" w14:textId="77777777" w:rsidR="00170426" w:rsidRPr="00DA0F9A" w:rsidRDefault="00170426" w:rsidP="00DA0F9A">
      <w:pPr>
        <w:pStyle w:val="GazetteBulletList"/>
        <w:ind w:left="1191"/>
        <w:rPr>
          <w:i/>
          <w:iCs/>
          <w:lang w:val="en-AU"/>
        </w:rPr>
      </w:pPr>
      <w:r w:rsidRPr="00DA0F9A">
        <w:rPr>
          <w:i/>
          <w:iCs/>
          <w:lang w:val="en-AU"/>
        </w:rPr>
        <w:t xml:space="preserve">Polycythaemia was observed with the use of </w:t>
      </w:r>
      <w:proofErr w:type="spellStart"/>
      <w:r w:rsidRPr="00DA0F9A">
        <w:rPr>
          <w:i/>
          <w:iCs/>
          <w:lang w:val="en-AU"/>
        </w:rPr>
        <w:t>Varenzin</w:t>
      </w:r>
      <w:proofErr w:type="spellEnd"/>
      <w:r w:rsidRPr="00DA0F9A">
        <w:rPr>
          <w:i/>
          <w:iCs/>
          <w:lang w:val="en-AU"/>
        </w:rPr>
        <w:t xml:space="preserve"> in studies conducted with healthy cats. This was associated with changes in mucous membrane colour, slightly prolonged capillary refill time, heart pounding, and tachycardia. Polycythaemia is expected when </w:t>
      </w:r>
      <w:proofErr w:type="spellStart"/>
      <w:r w:rsidRPr="00DA0F9A">
        <w:rPr>
          <w:i/>
          <w:iCs/>
          <w:lang w:val="en-AU"/>
        </w:rPr>
        <w:t>Varenzin</w:t>
      </w:r>
      <w:proofErr w:type="spellEnd"/>
      <w:r w:rsidRPr="00DA0F9A">
        <w:rPr>
          <w:i/>
          <w:iCs/>
          <w:lang w:val="en-AU"/>
        </w:rPr>
        <w:t xml:space="preserve"> is administered to non-anaemic cats.</w:t>
      </w:r>
    </w:p>
    <w:p w14:paraId="6FDBEADA" w14:textId="33C30F65" w:rsidR="00170426" w:rsidRPr="00DA0F9A" w:rsidRDefault="00170426" w:rsidP="00DA0F9A">
      <w:pPr>
        <w:pStyle w:val="GazetteBulletList"/>
        <w:ind w:left="1191"/>
        <w:rPr>
          <w:i/>
          <w:iCs/>
          <w:lang w:val="en-AU"/>
        </w:rPr>
      </w:pPr>
      <w:r w:rsidRPr="00DA0F9A">
        <w:rPr>
          <w:i/>
          <w:iCs/>
          <w:lang w:val="en-AU"/>
        </w:rPr>
        <w:t>Overdose: A safety study was conducted in healthy cats administered 10 mg/kg (2x) recommended dose. The most common adverse effect noted was polycythaemia. In case of an overdose, seek advice from a veterinarian and treat symptomatically.</w:t>
      </w:r>
    </w:p>
    <w:p w14:paraId="62CDB018" w14:textId="77777777" w:rsidR="00170426" w:rsidRPr="00C640EB" w:rsidRDefault="00170426" w:rsidP="00C640EB">
      <w:pPr>
        <w:pStyle w:val="GazetteNormalText"/>
        <w:ind w:left="851"/>
        <w:rPr>
          <w:b/>
          <w:bCs/>
        </w:rPr>
      </w:pPr>
      <w:r w:rsidRPr="00C640EB">
        <w:rPr>
          <w:b/>
          <w:bCs/>
        </w:rPr>
        <w:t>General directions:</w:t>
      </w:r>
    </w:p>
    <w:p w14:paraId="07E96F26" w14:textId="77777777" w:rsidR="00170426" w:rsidRPr="00DA0F9A" w:rsidRDefault="00170426" w:rsidP="00DA0F9A">
      <w:pPr>
        <w:pStyle w:val="GazetteBulletList"/>
        <w:ind w:left="1191"/>
        <w:rPr>
          <w:i/>
          <w:iCs/>
          <w:u w:val="single"/>
        </w:rPr>
      </w:pPr>
      <w:r w:rsidRPr="00DA0F9A">
        <w:rPr>
          <w:i/>
          <w:iCs/>
          <w:u w:val="single"/>
        </w:rPr>
        <w:t>Monitoring and follow up recommendations:</w:t>
      </w:r>
    </w:p>
    <w:p w14:paraId="2159C3E6" w14:textId="77777777" w:rsidR="00170426" w:rsidRPr="00DA0F9A" w:rsidRDefault="00170426" w:rsidP="00DA0F9A">
      <w:pPr>
        <w:pStyle w:val="GazetteBulletList2"/>
        <w:ind w:left="1491" w:hanging="357"/>
        <w:rPr>
          <w:i/>
          <w:iCs/>
        </w:rPr>
      </w:pPr>
      <w:r w:rsidRPr="00DA0F9A">
        <w:rPr>
          <w:i/>
          <w:iCs/>
        </w:rPr>
        <w:t>Cats should have their haematocrit (HCT) or packed cell volume (PCV) levels monitored fortnightly during the treatment cycle to ensure HCT or PCV does not exceed the upper limit of the reference range.</w:t>
      </w:r>
    </w:p>
    <w:p w14:paraId="0BBCFFC9" w14:textId="77777777" w:rsidR="00170426" w:rsidRPr="00DA0F9A" w:rsidRDefault="00170426" w:rsidP="00DA0F9A">
      <w:pPr>
        <w:pStyle w:val="GazetteBulletList2"/>
        <w:ind w:left="1491" w:hanging="357"/>
        <w:rPr>
          <w:i/>
          <w:iCs/>
        </w:rPr>
      </w:pPr>
      <w:r w:rsidRPr="00DA0F9A">
        <w:rPr>
          <w:i/>
          <w:iCs/>
        </w:rPr>
        <w:t xml:space="preserve">Polycythaemia after administration of </w:t>
      </w:r>
      <w:proofErr w:type="spellStart"/>
      <w:r w:rsidRPr="00DA0F9A">
        <w:rPr>
          <w:i/>
          <w:iCs/>
        </w:rPr>
        <w:t>Varenzin</w:t>
      </w:r>
      <w:proofErr w:type="spellEnd"/>
      <w:r w:rsidRPr="00DA0F9A">
        <w:rPr>
          <w:i/>
          <w:iCs/>
        </w:rPr>
        <w:t xml:space="preserve"> was also associated with generally mild increases in serum potassium, creatinine, serum phosphorus, and systolic blood pressure in studies in healthy cats.</w:t>
      </w:r>
    </w:p>
    <w:p w14:paraId="6CAD8275" w14:textId="77777777" w:rsidR="00170426" w:rsidRPr="00DA0F9A" w:rsidRDefault="00170426" w:rsidP="00DA0F9A">
      <w:pPr>
        <w:pStyle w:val="GazetteBulletList"/>
        <w:ind w:left="1191"/>
        <w:rPr>
          <w:i/>
          <w:iCs/>
          <w:u w:val="single"/>
        </w:rPr>
      </w:pPr>
      <w:r w:rsidRPr="00DA0F9A">
        <w:rPr>
          <w:i/>
          <w:iCs/>
          <w:u w:val="single"/>
        </w:rPr>
        <w:t>Observations from Safety study</w:t>
      </w:r>
    </w:p>
    <w:p w14:paraId="5772A46F" w14:textId="77777777" w:rsidR="00170426" w:rsidRPr="00DA0F9A" w:rsidRDefault="00170426" w:rsidP="00DA0F9A">
      <w:pPr>
        <w:pStyle w:val="GazetteBulletList2"/>
        <w:ind w:left="1491" w:hanging="357"/>
        <w:rPr>
          <w:i/>
          <w:iCs/>
        </w:rPr>
      </w:pPr>
      <w:r w:rsidRPr="00DA0F9A">
        <w:rPr>
          <w:i/>
          <w:iCs/>
        </w:rPr>
        <w:t xml:space="preserve">The administration of </w:t>
      </w:r>
      <w:proofErr w:type="spellStart"/>
      <w:r w:rsidRPr="00DA0F9A">
        <w:rPr>
          <w:i/>
          <w:iCs/>
        </w:rPr>
        <w:t>molidustat</w:t>
      </w:r>
      <w:proofErr w:type="spellEnd"/>
      <w:r w:rsidRPr="00DA0F9A">
        <w:rPr>
          <w:i/>
          <w:iCs/>
        </w:rPr>
        <w:t xml:space="preserve"> to healthy cats in the pivotal safety study (0.5X (2.5 mg/kg) and 1X (5 mg/kg) was associated with </w:t>
      </w:r>
      <w:r w:rsidRPr="00DA0F9A">
        <w:rPr>
          <w:i/>
          <w:iCs/>
          <w:lang w:val="en-US"/>
        </w:rPr>
        <w:t xml:space="preserve">postmortem findings: reduced thymus weight, </w:t>
      </w:r>
      <w:r w:rsidRPr="00DA0F9A">
        <w:rPr>
          <w:i/>
          <w:iCs/>
        </w:rPr>
        <w:t xml:space="preserve">histopathological findings of congestion of the vasculature in the brain, thrombosis/ haemostasis in the heart, prominent myocardial vessels, minimal oedematous change of valves in the heart, and acute thrombosis of large pulmonary arteries in the lung. These findings were attributed to the pharmacologic mode of action (erythropoiesis via HIF-PH inhibition) of </w:t>
      </w:r>
      <w:proofErr w:type="spellStart"/>
      <w:r w:rsidRPr="00DA0F9A">
        <w:rPr>
          <w:i/>
          <w:iCs/>
        </w:rPr>
        <w:t>molidustat</w:t>
      </w:r>
      <w:proofErr w:type="spellEnd"/>
      <w:r w:rsidRPr="00DA0F9A">
        <w:rPr>
          <w:i/>
          <w:iCs/>
        </w:rPr>
        <w:t xml:space="preserve"> oral suspension.</w:t>
      </w:r>
    </w:p>
    <w:p w14:paraId="641B1FBF" w14:textId="7B8DCA86" w:rsidR="00170426" w:rsidRPr="00DA0F9A" w:rsidRDefault="00170426" w:rsidP="00DA0F9A">
      <w:pPr>
        <w:pStyle w:val="GazetteBulletList2"/>
        <w:ind w:left="1491" w:hanging="357"/>
        <w:rPr>
          <w:i/>
          <w:iCs/>
        </w:rPr>
      </w:pPr>
      <w:r w:rsidRPr="00DA0F9A">
        <w:rPr>
          <w:i/>
          <w:iCs/>
        </w:rPr>
        <w:t xml:space="preserve">An increased cellular density of the bone marrow mainly due to an increased erythropoietic activity and increased extra-medullary haematopoiesis was observed in several cats at 5 mg/kg </w:t>
      </w:r>
      <w:proofErr w:type="spellStart"/>
      <w:r w:rsidRPr="00DA0F9A">
        <w:rPr>
          <w:i/>
          <w:iCs/>
        </w:rPr>
        <w:t>bw</w:t>
      </w:r>
      <w:proofErr w:type="spellEnd"/>
      <w:r w:rsidRPr="00DA0F9A">
        <w:rPr>
          <w:i/>
          <w:iCs/>
        </w:rPr>
        <w:t xml:space="preserve"> dose rate.</w:t>
      </w:r>
    </w:p>
    <w:p w14:paraId="7F9DD207" w14:textId="77777777" w:rsidR="00170426" w:rsidRPr="00DA0F9A" w:rsidRDefault="00170426" w:rsidP="00DA0F9A">
      <w:pPr>
        <w:pStyle w:val="GazetteBulletList2"/>
        <w:ind w:left="1491" w:hanging="357"/>
        <w:rPr>
          <w:i/>
          <w:iCs/>
        </w:rPr>
      </w:pPr>
      <w:r w:rsidRPr="00DA0F9A">
        <w:rPr>
          <w:i/>
          <w:iCs/>
        </w:rPr>
        <w:t xml:space="preserve">Polycythaemia after administration of </w:t>
      </w:r>
      <w:proofErr w:type="spellStart"/>
      <w:r w:rsidRPr="00DA0F9A">
        <w:rPr>
          <w:i/>
          <w:iCs/>
        </w:rPr>
        <w:t>Varenzin</w:t>
      </w:r>
      <w:proofErr w:type="spellEnd"/>
      <w:r w:rsidRPr="00DA0F9A">
        <w:rPr>
          <w:i/>
          <w:iCs/>
        </w:rPr>
        <w:t xml:space="preserve"> was also associated with generally mild increases in serum potassium, creatinine, serum phosphorus, and systolic blood pressure in studies in healthy cats.</w:t>
      </w:r>
    </w:p>
    <w:p w14:paraId="67F486AB" w14:textId="2B81E809" w:rsidR="00170426" w:rsidRPr="00DA0F9A" w:rsidRDefault="00170426" w:rsidP="00DA0F9A">
      <w:pPr>
        <w:pStyle w:val="GazetteBulletList"/>
        <w:ind w:left="1191"/>
        <w:rPr>
          <w:i/>
          <w:iCs/>
        </w:rPr>
      </w:pPr>
      <w:r w:rsidRPr="00DA0F9A">
        <w:rPr>
          <w:i/>
          <w:iCs/>
        </w:rPr>
        <w:t xml:space="preserve">A nontarget animal safety study in rats has shown increase incidence of ocular malformations such as flat eye rudiments and microphthalmia at doses of 30 mg/kg </w:t>
      </w:r>
      <w:proofErr w:type="spellStart"/>
      <w:r w:rsidRPr="00DA0F9A">
        <w:rPr>
          <w:i/>
          <w:iCs/>
        </w:rPr>
        <w:t>bw</w:t>
      </w:r>
      <w:proofErr w:type="spellEnd"/>
      <w:r w:rsidRPr="00DA0F9A">
        <w:rPr>
          <w:i/>
          <w:iCs/>
        </w:rPr>
        <w:t xml:space="preserve"> per day. There was evidence for excretion of </w:t>
      </w:r>
      <w:proofErr w:type="spellStart"/>
      <w:r w:rsidRPr="00DA0F9A">
        <w:rPr>
          <w:i/>
          <w:iCs/>
        </w:rPr>
        <w:t>molidustat</w:t>
      </w:r>
      <w:proofErr w:type="spellEnd"/>
      <w:r w:rsidRPr="00DA0F9A">
        <w:rPr>
          <w:i/>
          <w:iCs/>
        </w:rPr>
        <w:t xml:space="preserve"> in milk in studies conducted with rats. It may be advisable to bottle feed kittens with milk replacers if a lactating queen is treated with </w:t>
      </w:r>
      <w:proofErr w:type="spellStart"/>
      <w:r w:rsidRPr="00DA0F9A">
        <w:rPr>
          <w:i/>
          <w:iCs/>
        </w:rPr>
        <w:t>Varenzin</w:t>
      </w:r>
      <w:proofErr w:type="spellEnd"/>
      <w:r w:rsidRPr="00DA0F9A">
        <w:rPr>
          <w:i/>
          <w:iCs/>
        </w:rPr>
        <w:t xml:space="preserve"> in unavoidable circumstances.</w:t>
      </w:r>
    </w:p>
    <w:p w14:paraId="2ADF439C" w14:textId="77777777" w:rsidR="00170426" w:rsidRPr="00E74630" w:rsidRDefault="00170426" w:rsidP="00170426">
      <w:pPr>
        <w:pStyle w:val="GazetteListNumbered"/>
        <w:rPr>
          <w:rFonts w:hAnsi="Arial" w:cs="Arial"/>
        </w:rPr>
      </w:pPr>
      <w:r w:rsidRPr="00E74630">
        <w:rPr>
          <w:rFonts w:hAnsi="Arial" w:cs="Arial"/>
        </w:rPr>
        <w:t xml:space="preserve">The APVMA has evaluated the application and in its assessment in relation to whether the </w:t>
      </w:r>
      <w:r w:rsidRPr="00E74630">
        <w:rPr>
          <w:rFonts w:hAnsi="Arial" w:cs="Arial"/>
          <w:b/>
          <w:bCs/>
        </w:rPr>
        <w:t>efficacy criteria</w:t>
      </w:r>
      <w:r w:rsidRPr="00E74630">
        <w:rPr>
          <w:rFonts w:hAnsi="Arial" w:cs="Arial"/>
        </w:rPr>
        <w:t xml:space="preserve"> have been met in accordance with the definition set out in section 5B of the </w:t>
      </w:r>
      <w:proofErr w:type="spellStart"/>
      <w:r w:rsidRPr="00E74630">
        <w:rPr>
          <w:rFonts w:hAnsi="Arial" w:cs="Arial"/>
        </w:rPr>
        <w:t>Agvet</w:t>
      </w:r>
      <w:proofErr w:type="spellEnd"/>
      <w:r w:rsidRPr="00E74630">
        <w:rPr>
          <w:rFonts w:hAnsi="Arial" w:cs="Arial"/>
        </w:rPr>
        <w:t xml:space="preserve"> Code, and proposes to determine that:</w:t>
      </w:r>
    </w:p>
    <w:p w14:paraId="52318A51" w14:textId="77777777" w:rsidR="00170426" w:rsidRPr="00E74630" w:rsidRDefault="00170426" w:rsidP="00170426">
      <w:pPr>
        <w:pStyle w:val="GazetteListRomanNumeral"/>
        <w:numPr>
          <w:ilvl w:val="0"/>
          <w:numId w:val="9"/>
        </w:numPr>
        <w:ind w:left="454" w:hanging="284"/>
        <w:rPr>
          <w:rFonts w:hAnsi="Arial" w:cs="Arial"/>
        </w:rPr>
      </w:pPr>
      <w:r w:rsidRPr="00E74630">
        <w:rPr>
          <w:rFonts w:hAnsi="Arial" w:cs="Arial"/>
        </w:rPr>
        <w:lastRenderedPageBreak/>
        <w:t>In relation to its assessment of efficacy the APVMA is satisfied that data from trials supporting the efficacy of the product adequately demonstrate that if used according to the product label directions, the product is effective for its proposed uses.</w:t>
      </w:r>
    </w:p>
    <w:p w14:paraId="4FFADEAF" w14:textId="6209931A" w:rsidR="00C640EB" w:rsidRPr="00393455" w:rsidRDefault="00170426" w:rsidP="00393455">
      <w:pPr>
        <w:pStyle w:val="GazetteListRomanNumeral"/>
        <w:numPr>
          <w:ilvl w:val="0"/>
          <w:numId w:val="0"/>
        </w:numPr>
        <w:ind w:left="426"/>
        <w:rPr>
          <w:color w:val="auto"/>
        </w:rPr>
      </w:pPr>
      <w:r>
        <w:rPr>
          <w:color w:val="auto"/>
          <w:lang w:val="en-AU"/>
        </w:rPr>
        <w:t>The studies included 6 pharmacological studies in the target species,</w:t>
      </w:r>
      <w:r w:rsidRPr="005934A1">
        <w:rPr>
          <w:color w:val="auto"/>
          <w:lang w:val="en-AU"/>
        </w:rPr>
        <w:t xml:space="preserve"> </w:t>
      </w:r>
      <w:r w:rsidR="009975D2">
        <w:rPr>
          <w:color w:val="auto"/>
          <w:lang w:val="en-AU"/>
        </w:rPr>
        <w:t>3</w:t>
      </w:r>
      <w:r w:rsidRPr="005934A1">
        <w:rPr>
          <w:color w:val="auto"/>
          <w:lang w:val="en-AU"/>
        </w:rPr>
        <w:t xml:space="preserve"> dose determination, </w:t>
      </w:r>
      <w:r w:rsidR="009975D2">
        <w:rPr>
          <w:color w:val="auto"/>
          <w:lang w:val="en-AU"/>
        </w:rPr>
        <w:t>2</w:t>
      </w:r>
      <w:r w:rsidRPr="005934A1">
        <w:rPr>
          <w:color w:val="auto"/>
          <w:lang w:val="en-AU"/>
        </w:rPr>
        <w:t xml:space="preserve"> dose confirmation, one </w:t>
      </w:r>
      <w:r>
        <w:rPr>
          <w:color w:val="auto"/>
          <w:lang w:val="en-AU"/>
        </w:rPr>
        <w:t>pilot scale multi-site filed efficacy study,</w:t>
      </w:r>
      <w:r w:rsidRPr="005934A1">
        <w:rPr>
          <w:color w:val="auto"/>
          <w:lang w:val="en-AU"/>
        </w:rPr>
        <w:t xml:space="preserve"> </w:t>
      </w:r>
      <w:r>
        <w:rPr>
          <w:color w:val="auto"/>
          <w:lang w:val="en-AU"/>
        </w:rPr>
        <w:t xml:space="preserve">a </w:t>
      </w:r>
      <w:r w:rsidRPr="005934A1">
        <w:rPr>
          <w:color w:val="auto"/>
          <w:lang w:val="en-AU"/>
        </w:rPr>
        <w:t xml:space="preserve">pivotal field efficacy/ safety study and </w:t>
      </w:r>
      <w:r w:rsidR="009975D2">
        <w:rPr>
          <w:color w:val="auto"/>
          <w:lang w:val="en-AU"/>
        </w:rPr>
        <w:t>2</w:t>
      </w:r>
      <w:r w:rsidRPr="005934A1">
        <w:rPr>
          <w:color w:val="auto"/>
          <w:lang w:val="en-AU"/>
        </w:rPr>
        <w:t xml:space="preserve"> palatability studies have been provided to support this submission in relation to cats</w:t>
      </w:r>
      <w:r>
        <w:rPr>
          <w:color w:val="auto"/>
          <w:lang w:val="en-AU"/>
        </w:rPr>
        <w:t xml:space="preserve">. </w:t>
      </w:r>
      <w:r w:rsidRPr="007A47E9">
        <w:rPr>
          <w:color w:val="auto"/>
        </w:rPr>
        <w:t>The summary of the efficacy studies/assessment results have been provided below:</w:t>
      </w:r>
    </w:p>
    <w:p w14:paraId="012E57B3" w14:textId="77777777" w:rsidR="00170426" w:rsidRPr="00C640EB" w:rsidRDefault="00170426" w:rsidP="00170426">
      <w:pPr>
        <w:pStyle w:val="ListParagraph"/>
        <w:numPr>
          <w:ilvl w:val="1"/>
          <w:numId w:val="1"/>
        </w:numPr>
        <w:spacing w:after="160" w:line="360" w:lineRule="auto"/>
        <w:ind w:left="1134"/>
        <w:rPr>
          <w:rFonts w:eastAsia="Arial Unicode MS" w:hAnsi="Arial Unicode MS" w:cs="Arial Unicode MS"/>
          <w:b/>
          <w:bCs/>
          <w:color w:val="000000"/>
          <w:szCs w:val="18"/>
          <w:u w:color="000000"/>
          <w:bdr w:val="nil"/>
          <w:lang w:val="en-GB" w:eastAsia="en-AU"/>
        </w:rPr>
      </w:pPr>
      <w:r w:rsidRPr="00E74630">
        <w:rPr>
          <w:rFonts w:eastAsia="Arial Unicode MS" w:cs="Arial"/>
          <w:b/>
          <w:bCs/>
          <w:szCs w:val="18"/>
          <w:u w:color="000000"/>
          <w:bdr w:val="nil"/>
          <w:lang w:val="en-GB" w:eastAsia="en-AU"/>
        </w:rPr>
        <w:t>Pharmacody</w:t>
      </w:r>
      <w:r w:rsidRPr="00C640EB">
        <w:rPr>
          <w:rFonts w:eastAsia="Arial Unicode MS" w:hAnsi="Arial Unicode MS" w:cs="Arial Unicode MS"/>
          <w:b/>
          <w:bCs/>
          <w:color w:val="000000"/>
          <w:szCs w:val="18"/>
          <w:u w:color="000000"/>
          <w:bdr w:val="nil"/>
          <w:lang w:val="en-GB" w:eastAsia="en-AU"/>
        </w:rPr>
        <w:t>namics:</w:t>
      </w:r>
    </w:p>
    <w:p w14:paraId="69E70C39" w14:textId="77777777" w:rsidR="00170426" w:rsidRPr="00E74630" w:rsidRDefault="00170426" w:rsidP="00170426">
      <w:pPr>
        <w:pStyle w:val="ListParagraph"/>
        <w:spacing w:line="360" w:lineRule="auto"/>
        <w:ind w:left="1134"/>
        <w:rPr>
          <w:rFonts w:eastAsia="Arial Unicode MS" w:cs="Arial"/>
          <w:szCs w:val="18"/>
          <w:u w:color="000000"/>
          <w:bdr w:val="nil"/>
          <w:lang w:val="en-GB" w:eastAsia="en-AU"/>
        </w:rPr>
      </w:pPr>
      <w:proofErr w:type="spellStart"/>
      <w:r w:rsidRPr="00E74630">
        <w:rPr>
          <w:rFonts w:eastAsia="Arial Unicode MS" w:cs="Arial"/>
          <w:szCs w:val="18"/>
          <w:u w:color="000000"/>
          <w:bdr w:val="nil"/>
          <w:lang w:val="en-GB" w:eastAsia="en-AU"/>
        </w:rPr>
        <w:t>Varenzin</w:t>
      </w:r>
      <w:proofErr w:type="spellEnd"/>
      <w:r w:rsidRPr="00E74630">
        <w:rPr>
          <w:rFonts w:eastAsia="Arial Unicode MS" w:cs="Arial"/>
          <w:szCs w:val="18"/>
          <w:u w:color="000000"/>
          <w:bdr w:val="nil"/>
          <w:lang w:val="en-GB" w:eastAsia="en-AU"/>
        </w:rPr>
        <w:t xml:space="preserve"> (</w:t>
      </w:r>
      <w:proofErr w:type="spellStart"/>
      <w:r w:rsidRPr="00E74630">
        <w:rPr>
          <w:rFonts w:eastAsia="Arial Unicode MS" w:cs="Arial"/>
          <w:szCs w:val="18"/>
          <w:u w:color="000000"/>
          <w:bdr w:val="nil"/>
          <w:lang w:val="en-GB" w:eastAsia="en-AU"/>
        </w:rPr>
        <w:t>molidustat</w:t>
      </w:r>
      <w:proofErr w:type="spellEnd"/>
      <w:r w:rsidRPr="00E74630">
        <w:rPr>
          <w:rFonts w:eastAsia="Arial Unicode MS" w:cs="Arial"/>
          <w:szCs w:val="18"/>
          <w:u w:color="000000"/>
          <w:bdr w:val="nil"/>
          <w:lang w:val="en-GB" w:eastAsia="en-AU"/>
        </w:rPr>
        <w:t xml:space="preserve"> oral suspension) is a competitive and reversible inhibitor of hypoxia-inducible factor prolyl hydroxylase (HIF-PH). The inhibition of HIF-PH induces a dose-dependent increase of endogenous erythropoietin (EPO) by stabilizing HIF, resulting in increased erythropoiesis (red blood cell production).</w:t>
      </w:r>
    </w:p>
    <w:p w14:paraId="4E2BAAAD" w14:textId="1C5E5C96" w:rsidR="00170426" w:rsidRPr="00393455" w:rsidRDefault="00170426" w:rsidP="00393455">
      <w:pPr>
        <w:pStyle w:val="ListParagraph"/>
        <w:spacing w:line="360" w:lineRule="auto"/>
        <w:ind w:left="1134"/>
        <w:rPr>
          <w:rFonts w:eastAsia="Arial Unicode MS" w:cs="Arial"/>
          <w:szCs w:val="18"/>
          <w:u w:color="000000"/>
          <w:bdr w:val="nil"/>
          <w:lang w:val="en-GB" w:eastAsia="en-AU"/>
        </w:rPr>
      </w:pPr>
      <w:r w:rsidRPr="00E74630">
        <w:rPr>
          <w:rFonts w:eastAsia="Arial Unicode MS" w:cs="Arial"/>
          <w:szCs w:val="18"/>
          <w:u w:color="000000"/>
          <w:bdr w:val="nil"/>
          <w:lang w:eastAsia="en-AU"/>
        </w:rPr>
        <w:t xml:space="preserve">Dose dependent EPO release was demonstrated and a pivotal study showed that multiple daily doses did not cause accumulatio. </w:t>
      </w:r>
      <w:proofErr w:type="spellStart"/>
      <w:r w:rsidRPr="00E74630">
        <w:rPr>
          <w:rFonts w:eastAsia="Arial Unicode MS" w:cs="Arial"/>
          <w:szCs w:val="18"/>
          <w:u w:color="000000"/>
          <w:bdr w:val="nil"/>
          <w:lang w:eastAsia="en-AU"/>
        </w:rPr>
        <w:t>Molidustat</w:t>
      </w:r>
      <w:proofErr w:type="spellEnd"/>
      <w:r w:rsidRPr="00E74630">
        <w:rPr>
          <w:rFonts w:eastAsia="Arial Unicode MS" w:cs="Arial"/>
          <w:szCs w:val="18"/>
          <w:u w:color="000000"/>
          <w:bdr w:val="nil"/>
          <w:lang w:eastAsia="en-AU"/>
        </w:rPr>
        <w:t xml:space="preserve"> associated production of EPO was indistinguishable from endogenous production but with few other pharmacological targets. Due to this selectivity, </w:t>
      </w:r>
      <w:proofErr w:type="spellStart"/>
      <w:r w:rsidRPr="00E74630">
        <w:rPr>
          <w:rFonts w:eastAsia="Arial Unicode MS" w:cs="Arial"/>
          <w:szCs w:val="18"/>
          <w:u w:color="000000"/>
          <w:bdr w:val="nil"/>
          <w:lang w:eastAsia="en-AU"/>
        </w:rPr>
        <w:t>molidustat</w:t>
      </w:r>
      <w:proofErr w:type="spellEnd"/>
      <w:r w:rsidRPr="00E74630">
        <w:rPr>
          <w:rFonts w:eastAsia="Arial Unicode MS" w:cs="Arial"/>
          <w:szCs w:val="18"/>
          <w:u w:color="000000"/>
          <w:bdr w:val="nil"/>
          <w:lang w:eastAsia="en-AU"/>
        </w:rPr>
        <w:t xml:space="preserve"> had negligible effects on most physiological systems or ion channel function.</w:t>
      </w:r>
      <w:r w:rsidRPr="00E74630">
        <w:rPr>
          <w:rFonts w:eastAsiaTheme="minorEastAsia" w:cs="Arial"/>
          <w:szCs w:val="18"/>
          <w:lang w:eastAsia="en-AU"/>
        </w:rPr>
        <w:t xml:space="preserve"> </w:t>
      </w:r>
      <w:r w:rsidRPr="00E74630">
        <w:rPr>
          <w:rFonts w:eastAsia="Arial Unicode MS" w:cs="Arial"/>
          <w:szCs w:val="18"/>
          <w:u w:color="000000"/>
          <w:bdr w:val="nil"/>
          <w:lang w:eastAsia="en-AU"/>
        </w:rPr>
        <w:t>increased production of endogenous erythropoietin (EPO) in turn, stimulates red blood cell production.</w:t>
      </w:r>
    </w:p>
    <w:p w14:paraId="7C3F7DBE" w14:textId="0A8E2B91" w:rsidR="00170426" w:rsidRPr="00E74630" w:rsidRDefault="00170426" w:rsidP="00170426">
      <w:pPr>
        <w:pStyle w:val="ListParagraph"/>
        <w:numPr>
          <w:ilvl w:val="1"/>
          <w:numId w:val="1"/>
        </w:numPr>
        <w:spacing w:after="160" w:line="360" w:lineRule="auto"/>
        <w:ind w:left="1134"/>
        <w:rPr>
          <w:rFonts w:eastAsia="Arial Unicode MS" w:cs="Arial"/>
          <w:b/>
          <w:bCs/>
          <w:szCs w:val="18"/>
          <w:u w:color="000000"/>
          <w:bdr w:val="nil"/>
          <w:lang w:val="en-GB" w:eastAsia="en-AU"/>
        </w:rPr>
      </w:pPr>
      <w:r w:rsidRPr="00E74630">
        <w:rPr>
          <w:rFonts w:eastAsia="Arial Unicode MS" w:cs="Arial"/>
          <w:b/>
          <w:bCs/>
          <w:szCs w:val="18"/>
          <w:u w:color="000000"/>
          <w:bdr w:val="nil"/>
          <w:lang w:val="en-GB" w:eastAsia="en-AU"/>
        </w:rPr>
        <w:t>Interactions:</w:t>
      </w:r>
    </w:p>
    <w:p w14:paraId="52C86B06" w14:textId="2C39D42A" w:rsidR="00170426" w:rsidRPr="00393455" w:rsidRDefault="00170426" w:rsidP="00393455">
      <w:pPr>
        <w:pStyle w:val="ListParagraph"/>
        <w:spacing w:line="360" w:lineRule="auto"/>
        <w:ind w:left="1134"/>
        <w:rPr>
          <w:rFonts w:eastAsia="Arial Unicode MS" w:cs="Arial"/>
          <w:szCs w:val="18"/>
          <w:u w:color="000000"/>
          <w:bdr w:val="nil"/>
          <w:lang w:val="en-GB" w:eastAsia="en-AU"/>
        </w:rPr>
      </w:pPr>
      <w:r w:rsidRPr="00E74630">
        <w:rPr>
          <w:rFonts w:eastAsia="Arial Unicode MS" w:cs="Arial"/>
          <w:szCs w:val="18"/>
          <w:u w:color="000000"/>
          <w:bdr w:val="nil"/>
          <w:lang w:val="en-GB" w:eastAsia="en-AU"/>
        </w:rPr>
        <w:t xml:space="preserve">Field study indicated that wide range of concomitant medications relevant to CKD do not interact with </w:t>
      </w:r>
      <w:proofErr w:type="spellStart"/>
      <w:r w:rsidRPr="00E74630">
        <w:rPr>
          <w:rFonts w:eastAsia="Arial Unicode MS" w:cs="Arial"/>
          <w:szCs w:val="18"/>
          <w:u w:color="000000"/>
          <w:bdr w:val="nil"/>
          <w:lang w:val="en-GB" w:eastAsia="en-AU"/>
        </w:rPr>
        <w:t>molidustat</w:t>
      </w:r>
      <w:proofErr w:type="spellEnd"/>
      <w:r w:rsidRPr="00E74630">
        <w:rPr>
          <w:rFonts w:eastAsia="Arial Unicode MS" w:cs="Arial"/>
          <w:szCs w:val="18"/>
          <w:u w:color="000000"/>
          <w:bdr w:val="nil"/>
          <w:lang w:val="en-GB" w:eastAsia="en-AU"/>
        </w:rPr>
        <w:t xml:space="preserve"> adversely. Due to the dependencies of metabolism in the liver, interactions are likely only with potent inhibitors of individual and/or dual UDP transferase inhibitors.</w:t>
      </w:r>
    </w:p>
    <w:p w14:paraId="6DBEA96E" w14:textId="5A97C73A" w:rsidR="00170426" w:rsidRPr="00E74630" w:rsidRDefault="00170426" w:rsidP="00170426">
      <w:pPr>
        <w:pStyle w:val="ListParagraph"/>
        <w:numPr>
          <w:ilvl w:val="1"/>
          <w:numId w:val="1"/>
        </w:numPr>
        <w:spacing w:after="160" w:line="360" w:lineRule="auto"/>
        <w:ind w:left="1134"/>
        <w:rPr>
          <w:rFonts w:eastAsia="Arial Unicode MS" w:cs="Arial"/>
          <w:b/>
          <w:bCs/>
          <w:szCs w:val="18"/>
          <w:u w:color="000000"/>
          <w:bdr w:val="nil"/>
          <w:lang w:val="en-GB" w:eastAsia="en-AU"/>
        </w:rPr>
      </w:pPr>
      <w:r w:rsidRPr="00E74630">
        <w:rPr>
          <w:rFonts w:eastAsia="Arial Unicode MS" w:cs="Arial"/>
          <w:b/>
          <w:bCs/>
          <w:szCs w:val="18"/>
          <w:u w:color="000000"/>
          <w:bdr w:val="nil"/>
          <w:lang w:val="en-GB" w:eastAsia="en-AU"/>
        </w:rPr>
        <w:t>Pharmacokinetics:</w:t>
      </w:r>
    </w:p>
    <w:p w14:paraId="4676E283" w14:textId="77777777" w:rsidR="00170426" w:rsidRPr="00E74630" w:rsidRDefault="00170426" w:rsidP="00170426">
      <w:pPr>
        <w:pStyle w:val="ListParagraph"/>
        <w:spacing w:line="360" w:lineRule="auto"/>
        <w:ind w:left="1134"/>
        <w:rPr>
          <w:rFonts w:eastAsia="Arial Unicode MS" w:cs="Arial"/>
          <w:szCs w:val="18"/>
          <w:u w:val="single" w:color="000000"/>
          <w:bdr w:val="nil"/>
          <w:lang w:val="en-GB" w:eastAsia="en-AU"/>
        </w:rPr>
      </w:pPr>
      <w:r w:rsidRPr="00E74630">
        <w:rPr>
          <w:rFonts w:eastAsia="Arial Unicode MS" w:cs="Arial"/>
          <w:szCs w:val="18"/>
          <w:u w:val="single" w:color="000000"/>
          <w:bdr w:val="nil"/>
          <w:lang w:val="en-GB" w:eastAsia="en-AU"/>
        </w:rPr>
        <w:t>Absorption</w:t>
      </w:r>
    </w:p>
    <w:p w14:paraId="7EB3AAC0" w14:textId="0C9042C5" w:rsidR="00170426" w:rsidRPr="00393455" w:rsidRDefault="00170426" w:rsidP="00393455">
      <w:pPr>
        <w:pStyle w:val="ListParagraph"/>
        <w:spacing w:line="360" w:lineRule="auto"/>
        <w:ind w:left="1134"/>
        <w:rPr>
          <w:rFonts w:eastAsia="Arial Unicode MS" w:cs="Arial"/>
          <w:szCs w:val="18"/>
          <w:bdr w:val="nil"/>
          <w:lang w:eastAsia="en-AU"/>
        </w:rPr>
      </w:pPr>
      <w:r w:rsidRPr="00E74630">
        <w:rPr>
          <w:rFonts w:eastAsia="Arial Unicode MS" w:cs="Arial"/>
          <w:szCs w:val="18"/>
          <w:bdr w:val="nil"/>
          <w:lang w:eastAsia="en-AU"/>
        </w:rPr>
        <w:t xml:space="preserve">In a study in cats, </w:t>
      </w:r>
      <w:proofErr w:type="spellStart"/>
      <w:r w:rsidRPr="00E74630">
        <w:rPr>
          <w:rFonts w:eastAsia="Arial Unicode MS" w:cs="Arial"/>
          <w:szCs w:val="18"/>
          <w:bdr w:val="nil"/>
          <w:lang w:eastAsia="en-AU"/>
        </w:rPr>
        <w:t>Varenzin</w:t>
      </w:r>
      <w:proofErr w:type="spellEnd"/>
      <w:r w:rsidRPr="00E74630">
        <w:rPr>
          <w:rFonts w:eastAsia="Arial Unicode MS" w:cs="Arial"/>
          <w:szCs w:val="18"/>
          <w:bdr w:val="nil"/>
          <w:lang w:eastAsia="en-AU"/>
        </w:rPr>
        <w:t xml:space="preserve"> showed a high oral bioavailability (mean 81%; 58-110% range) at the proposed dose rate (5 mg/kg </w:t>
      </w:r>
      <w:proofErr w:type="spellStart"/>
      <w:r w:rsidRPr="00E74630">
        <w:rPr>
          <w:rFonts w:eastAsia="Arial Unicode MS" w:cs="Arial"/>
          <w:szCs w:val="18"/>
          <w:bdr w:val="nil"/>
          <w:lang w:eastAsia="en-AU"/>
        </w:rPr>
        <w:t>bw</w:t>
      </w:r>
      <w:proofErr w:type="spellEnd"/>
      <w:r w:rsidRPr="00E74630">
        <w:rPr>
          <w:rFonts w:eastAsia="Arial Unicode MS" w:cs="Arial"/>
          <w:szCs w:val="18"/>
          <w:bdr w:val="nil"/>
          <w:lang w:eastAsia="en-AU"/>
        </w:rPr>
        <w:t>) in cats after oral administration</w:t>
      </w:r>
      <w:r w:rsidRPr="00946DFE">
        <w:rPr>
          <w:rFonts w:eastAsia="Arial Unicode MS" w:cs="Arial"/>
          <w:szCs w:val="18"/>
          <w:bdr w:val="nil"/>
          <w:lang w:eastAsia="en-AU"/>
        </w:rPr>
        <w:t>. A slightly different formulation used in another study resulted in 65% bioavailability in cats</w:t>
      </w:r>
      <w:r w:rsidRPr="00E74630">
        <w:rPr>
          <w:rFonts w:eastAsia="Arial Unicode MS" w:cs="Arial"/>
          <w:szCs w:val="18"/>
          <w:bdr w:val="nil"/>
          <w:lang w:eastAsia="en-AU"/>
        </w:rPr>
        <w:t xml:space="preserve">. </w:t>
      </w:r>
      <w:r w:rsidRPr="00E74630">
        <w:rPr>
          <w:rFonts w:eastAsia="Arial Unicode MS" w:cs="Arial"/>
          <w:szCs w:val="18"/>
          <w:bdr w:val="nil"/>
          <w:lang w:val="en-GB" w:eastAsia="en-AU"/>
        </w:rPr>
        <w:t>The</w:t>
      </w:r>
      <w:r w:rsidRPr="00E74630">
        <w:rPr>
          <w:rFonts w:eastAsia="Arial Unicode MS" w:cs="Arial"/>
          <w:szCs w:val="18"/>
          <w:bdr w:val="nil"/>
          <w:lang w:eastAsia="en-AU"/>
        </w:rPr>
        <w:t xml:space="preserve"> exposure of </w:t>
      </w: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xml:space="preserve"> demonstrated dose-proportionality up to 10 mg/kg </w:t>
      </w:r>
      <w:proofErr w:type="spellStart"/>
      <w:r w:rsidRPr="00E74630">
        <w:rPr>
          <w:rFonts w:eastAsia="Arial Unicode MS" w:cs="Arial"/>
          <w:szCs w:val="18"/>
          <w:bdr w:val="nil"/>
          <w:lang w:eastAsia="en-AU"/>
        </w:rPr>
        <w:t>bw</w:t>
      </w:r>
      <w:proofErr w:type="spellEnd"/>
      <w:r w:rsidRPr="00E74630">
        <w:rPr>
          <w:rFonts w:eastAsia="Arial Unicode MS" w:cs="Arial"/>
          <w:szCs w:val="18"/>
          <w:bdr w:val="nil"/>
          <w:lang w:eastAsia="en-AU"/>
        </w:rPr>
        <w:t xml:space="preserve"> with </w:t>
      </w:r>
      <w:proofErr w:type="spellStart"/>
      <w:r w:rsidRPr="00E74630">
        <w:rPr>
          <w:rFonts w:eastAsia="Arial Unicode MS" w:cs="Arial"/>
          <w:szCs w:val="18"/>
          <w:bdr w:val="nil"/>
          <w:lang w:eastAsia="en-AU"/>
        </w:rPr>
        <w:t>Varenzin</w:t>
      </w:r>
      <w:proofErr w:type="spellEnd"/>
      <w:r w:rsidRPr="00E74630">
        <w:rPr>
          <w:rFonts w:eastAsia="Arial Unicode MS" w:cs="Arial"/>
          <w:szCs w:val="18"/>
          <w:bdr w:val="nil"/>
          <w:lang w:eastAsia="en-AU"/>
        </w:rPr>
        <w:t xml:space="preserve"> oral suspension in cats.</w:t>
      </w:r>
      <w:r w:rsidRPr="00E74630">
        <w:rPr>
          <w:rFonts w:eastAsia="Arial Unicode MS" w:cs="Arial"/>
          <w:szCs w:val="18"/>
          <w:bdr w:val="nil"/>
          <w:lang w:val="en-GB" w:eastAsia="en-AU"/>
        </w:rPr>
        <w:t xml:space="preserve"> The accumulation index in cats was 1.1.</w:t>
      </w:r>
      <w:r w:rsidRPr="00E74630">
        <w:rPr>
          <w:rFonts w:cs="Arial"/>
          <w:b/>
          <w:bCs/>
          <w:szCs w:val="18"/>
          <w:lang w:eastAsia="en-GB"/>
        </w:rPr>
        <w:t xml:space="preserve"> </w:t>
      </w:r>
      <w:r w:rsidRPr="00E74630">
        <w:rPr>
          <w:rFonts w:eastAsia="Arial Unicode MS" w:cs="Arial"/>
          <w:szCs w:val="18"/>
          <w:bdr w:val="nil"/>
          <w:lang w:eastAsia="en-AU"/>
        </w:rPr>
        <w:t xml:space="preserve">Some relatively small differences were seen between </w:t>
      </w:r>
      <w:proofErr w:type="gramStart"/>
      <w:r w:rsidRPr="00E74630">
        <w:rPr>
          <w:rFonts w:eastAsia="Arial Unicode MS" w:cs="Arial"/>
          <w:szCs w:val="18"/>
          <w:bdr w:val="nil"/>
          <w:lang w:eastAsia="en-AU"/>
        </w:rPr>
        <w:t>sexes</w:t>
      </w:r>
      <w:proofErr w:type="gramEnd"/>
      <w:r w:rsidRPr="00E74630">
        <w:rPr>
          <w:rFonts w:eastAsia="Arial Unicode MS" w:cs="Arial"/>
          <w:szCs w:val="18"/>
          <w:bdr w:val="nil"/>
          <w:lang w:eastAsia="en-AU"/>
        </w:rPr>
        <w:t xml:space="preserve"> and it is likely that the lower exposure of females can be related to greater clearance and elimination of both parent and metabolite.</w:t>
      </w:r>
    </w:p>
    <w:p w14:paraId="4DAA7EF6" w14:textId="77777777" w:rsidR="00170426" w:rsidRPr="00E74630" w:rsidRDefault="00170426" w:rsidP="00170426">
      <w:pPr>
        <w:pStyle w:val="ListParagraph"/>
        <w:spacing w:line="360" w:lineRule="auto"/>
        <w:ind w:left="1134"/>
        <w:rPr>
          <w:rFonts w:eastAsia="Arial Unicode MS" w:cs="Arial"/>
          <w:szCs w:val="18"/>
          <w:u w:val="single"/>
          <w:bdr w:val="nil"/>
          <w:lang w:eastAsia="en-AU"/>
        </w:rPr>
      </w:pPr>
      <w:r w:rsidRPr="00E74630">
        <w:rPr>
          <w:rFonts w:eastAsia="Arial Unicode MS" w:cs="Arial"/>
          <w:szCs w:val="18"/>
          <w:u w:val="single"/>
          <w:bdr w:val="nil"/>
          <w:lang w:eastAsia="en-AU"/>
        </w:rPr>
        <w:t>Distribution</w:t>
      </w:r>
    </w:p>
    <w:p w14:paraId="3925AC72" w14:textId="50E4515A" w:rsidR="00170426" w:rsidRPr="00393455" w:rsidRDefault="00170426" w:rsidP="00393455">
      <w:pPr>
        <w:pStyle w:val="ListParagraph"/>
        <w:spacing w:line="360" w:lineRule="auto"/>
        <w:ind w:left="1134"/>
        <w:rPr>
          <w:rFonts w:eastAsia="Arial Unicode MS" w:cs="Arial"/>
          <w:szCs w:val="18"/>
          <w:bdr w:val="nil"/>
          <w:lang w:eastAsia="en-AU"/>
        </w:rPr>
      </w:pPr>
      <w:r w:rsidRPr="00E74630">
        <w:rPr>
          <w:rFonts w:eastAsia="Arial Unicode MS" w:cs="Arial"/>
          <w:iCs/>
          <w:szCs w:val="18"/>
          <w:bdr w:val="nil"/>
          <w:lang w:eastAsia="en-AU"/>
        </w:rPr>
        <w:t xml:space="preserve">The binding of </w:t>
      </w:r>
      <w:proofErr w:type="spellStart"/>
      <w:r w:rsidRPr="00E74630">
        <w:rPr>
          <w:rFonts w:eastAsia="Arial Unicode MS" w:cs="Arial"/>
          <w:iCs/>
          <w:szCs w:val="18"/>
          <w:bdr w:val="nil"/>
          <w:lang w:eastAsia="en-AU"/>
        </w:rPr>
        <w:t>molidustat</w:t>
      </w:r>
      <w:proofErr w:type="spellEnd"/>
      <w:r w:rsidRPr="00E74630">
        <w:rPr>
          <w:rFonts w:eastAsia="Arial Unicode MS" w:cs="Arial"/>
          <w:iCs/>
          <w:szCs w:val="18"/>
          <w:bdr w:val="nil"/>
          <w:lang w:eastAsia="en-AU"/>
        </w:rPr>
        <w:t xml:space="preserve"> to plasma proteins was low in all species (</w:t>
      </w:r>
      <w:r w:rsidRPr="00946DFE">
        <w:rPr>
          <w:rFonts w:eastAsia="Arial Unicode MS" w:cs="Arial"/>
          <w:iCs/>
          <w:szCs w:val="18"/>
          <w:bdr w:val="nil"/>
          <w:lang w:eastAsia="en-AU"/>
        </w:rPr>
        <w:t xml:space="preserve">mouse, rat, rabbit, </w:t>
      </w:r>
      <w:r>
        <w:rPr>
          <w:rFonts w:eastAsia="Arial Unicode MS" w:cs="Arial"/>
          <w:iCs/>
          <w:szCs w:val="18"/>
          <w:bdr w:val="nil"/>
          <w:lang w:eastAsia="en-AU"/>
        </w:rPr>
        <w:t xml:space="preserve">cat, </w:t>
      </w:r>
      <w:r w:rsidRPr="00946DFE">
        <w:rPr>
          <w:rFonts w:eastAsia="Arial Unicode MS" w:cs="Arial"/>
          <w:iCs/>
          <w:szCs w:val="18"/>
          <w:bdr w:val="nil"/>
          <w:lang w:eastAsia="en-AU"/>
        </w:rPr>
        <w:t xml:space="preserve">dog, </w:t>
      </w:r>
      <w:r w:rsidRPr="00E74630">
        <w:rPr>
          <w:rFonts w:eastAsia="Arial Unicode MS" w:cs="Arial"/>
          <w:iCs/>
          <w:szCs w:val="18"/>
          <w:bdr w:val="nil"/>
          <w:lang w:eastAsia="en-AU"/>
        </w:rPr>
        <w:t>including humans) investigated</w:t>
      </w:r>
      <w:r>
        <w:rPr>
          <w:rFonts w:eastAsia="Arial Unicode MS" w:cs="Arial"/>
          <w:iCs/>
          <w:szCs w:val="18"/>
          <w:bdr w:val="nil"/>
          <w:lang w:eastAsia="en-AU"/>
        </w:rPr>
        <w:t xml:space="preserve"> in laboratory studies using blood samples obtained from these species</w:t>
      </w:r>
      <w:r w:rsidRPr="00E74630">
        <w:rPr>
          <w:rFonts w:eastAsia="Arial Unicode MS" w:cs="Arial"/>
          <w:iCs/>
          <w:szCs w:val="18"/>
          <w:bdr w:val="nil"/>
          <w:lang w:eastAsia="en-AU"/>
        </w:rPr>
        <w:t>. In rats, highest levels were found in liver, kidneys, and adrenals. Most organs and tissues showed moderate to low concentrations, including blood, skeletal muscles, lungs, thymus, bone marrow, heart, adipose tissue, pancreas, testes and epididymides. There was virtually no penetration across the blood/brain barrier.</w:t>
      </w:r>
    </w:p>
    <w:p w14:paraId="755554EC" w14:textId="77777777" w:rsidR="00170426" w:rsidRPr="00E74630" w:rsidRDefault="00170426" w:rsidP="00170426">
      <w:pPr>
        <w:pStyle w:val="ListParagraph"/>
        <w:spacing w:line="360" w:lineRule="auto"/>
        <w:ind w:left="1134"/>
        <w:rPr>
          <w:rFonts w:eastAsia="Arial Unicode MS" w:cs="Arial"/>
          <w:szCs w:val="18"/>
          <w:u w:val="single"/>
          <w:bdr w:val="nil"/>
          <w:lang w:eastAsia="en-AU"/>
        </w:rPr>
      </w:pPr>
      <w:r w:rsidRPr="00E74630">
        <w:rPr>
          <w:rFonts w:eastAsia="Arial Unicode MS" w:cs="Arial"/>
          <w:szCs w:val="18"/>
          <w:u w:val="single"/>
          <w:bdr w:val="nil"/>
          <w:lang w:eastAsia="en-AU"/>
        </w:rPr>
        <w:t>Metabolism and Elimination</w:t>
      </w:r>
    </w:p>
    <w:p w14:paraId="65A7D4D2" w14:textId="2F437932" w:rsidR="00170426" w:rsidRPr="00E74630" w:rsidRDefault="00170426" w:rsidP="00170426">
      <w:pPr>
        <w:pStyle w:val="ListParagraph"/>
        <w:spacing w:line="360" w:lineRule="auto"/>
        <w:ind w:left="1134"/>
        <w:rPr>
          <w:rFonts w:eastAsia="Arial Unicode MS" w:cs="Arial"/>
          <w:szCs w:val="18"/>
          <w:bdr w:val="nil"/>
          <w:lang w:eastAsia="en-AU"/>
        </w:rPr>
      </w:pP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xml:space="preserve"> is </w:t>
      </w:r>
      <w:proofErr w:type="spellStart"/>
      <w:r w:rsidRPr="00E74630">
        <w:rPr>
          <w:rFonts w:eastAsia="Arial Unicode MS" w:cs="Arial"/>
          <w:szCs w:val="18"/>
          <w:bdr w:val="nil"/>
          <w:lang w:eastAsia="en-AU"/>
        </w:rPr>
        <w:t>biotransformed</w:t>
      </w:r>
      <w:proofErr w:type="spellEnd"/>
      <w:r w:rsidRPr="00E74630">
        <w:rPr>
          <w:rFonts w:eastAsia="Arial Unicode MS" w:cs="Arial"/>
          <w:szCs w:val="18"/>
          <w:bdr w:val="nil"/>
          <w:lang w:eastAsia="en-AU"/>
        </w:rPr>
        <w:t xml:space="preserve"> to one major metabolite (N-glucuronide) in most species including cat. Hepatocyte studies confirmed similar mechanisms in cats. The metabolites M-1 (the glucuronic acid conjugate of </w:t>
      </w: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was formed to 29.4% after 4 hours and M2 (a combination of oxidative activation and subsequent hydrolysis of the pyrazolone moiety and an elimination of the triazole moiety) to 17.6%, respectively in the hepatocyte study in cats.</w:t>
      </w:r>
    </w:p>
    <w:p w14:paraId="729C7C7D" w14:textId="77777777" w:rsidR="00170426" w:rsidRPr="00E74630" w:rsidRDefault="00170426" w:rsidP="00170426">
      <w:pPr>
        <w:pStyle w:val="ListParagraph"/>
        <w:spacing w:line="360" w:lineRule="auto"/>
        <w:ind w:left="1134"/>
        <w:rPr>
          <w:rFonts w:eastAsia="Arial Unicode MS" w:cs="Arial"/>
          <w:szCs w:val="18"/>
          <w:bdr w:val="nil"/>
          <w:lang w:eastAsia="en-AU"/>
        </w:rPr>
      </w:pPr>
      <w:r w:rsidRPr="00E74630">
        <w:rPr>
          <w:rFonts w:eastAsia="Arial Unicode MS" w:cs="Arial"/>
          <w:szCs w:val="18"/>
          <w:bdr w:val="nil"/>
          <w:lang w:eastAsia="en-AU"/>
        </w:rPr>
        <w:t xml:space="preserve">The excretion pattern of </w:t>
      </w: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xml:space="preserve"> is different between species. Enterohepatic circulation (EHC) is likely. The principal route of elimination appears to be faecal.</w:t>
      </w:r>
      <w:r w:rsidRPr="00E74630">
        <w:rPr>
          <w:rFonts w:eastAsia="Arial Unicode MS" w:cs="Arial"/>
          <w:b/>
          <w:bCs/>
          <w:szCs w:val="18"/>
          <w:bdr w:val="nil"/>
          <w:lang w:eastAsia="en-AU"/>
        </w:rPr>
        <w:t xml:space="preserve"> </w:t>
      </w:r>
      <w:r w:rsidRPr="00E74630">
        <w:rPr>
          <w:rFonts w:eastAsia="Arial Unicode MS" w:cs="Arial"/>
          <w:szCs w:val="18"/>
          <w:bdr w:val="nil"/>
          <w:lang w:eastAsia="en-AU"/>
        </w:rPr>
        <w:t xml:space="preserve">The systemic clearance of </w:t>
      </w: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xml:space="preserve"> was in the same order of magnitude as the faecal clearance and more than 100 times higher compared to renal clearance in cats.</w:t>
      </w:r>
    </w:p>
    <w:p w14:paraId="329D51F4" w14:textId="5954984B" w:rsidR="00170426" w:rsidRPr="00393455" w:rsidRDefault="00170426" w:rsidP="00393455">
      <w:pPr>
        <w:pStyle w:val="ListParagraph"/>
        <w:spacing w:line="360" w:lineRule="auto"/>
        <w:ind w:left="1134"/>
        <w:rPr>
          <w:rFonts w:eastAsia="Arial Unicode MS" w:cs="Arial"/>
          <w:szCs w:val="18"/>
          <w:bdr w:val="nil"/>
          <w:lang w:eastAsia="en-AU"/>
        </w:rPr>
      </w:pPr>
      <w:r w:rsidRPr="00E74630">
        <w:rPr>
          <w:rFonts w:eastAsia="Arial Unicode MS" w:cs="Arial"/>
          <w:szCs w:val="18"/>
          <w:bdr w:val="nil"/>
          <w:lang w:eastAsia="en-AU"/>
        </w:rPr>
        <w:lastRenderedPageBreak/>
        <w:t xml:space="preserve">Some </w:t>
      </w: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xml:space="preserve"> found in faeces may be unabsorbed compound after oral administration</w:t>
      </w:r>
      <w:r>
        <w:rPr>
          <w:rFonts w:eastAsia="Arial Unicode MS" w:cs="Arial"/>
          <w:szCs w:val="18"/>
          <w:bdr w:val="nil"/>
          <w:lang w:eastAsia="en-AU"/>
        </w:rPr>
        <w:t>)</w:t>
      </w:r>
      <w:r w:rsidRPr="00E74630">
        <w:rPr>
          <w:rFonts w:eastAsia="Arial Unicode MS" w:cs="Arial"/>
          <w:szCs w:val="18"/>
          <w:bdr w:val="nil"/>
          <w:lang w:eastAsia="en-AU"/>
        </w:rPr>
        <w:t xml:space="preserve">. However, the total elimination in faeces after oral administration was </w:t>
      </w:r>
      <w:proofErr w:type="gramStart"/>
      <w:r w:rsidRPr="00E74630">
        <w:rPr>
          <w:rFonts w:eastAsia="Arial Unicode MS" w:cs="Arial"/>
          <w:szCs w:val="18"/>
          <w:bdr w:val="nil"/>
          <w:lang w:eastAsia="en-AU"/>
        </w:rPr>
        <w:t>similar to</w:t>
      </w:r>
      <w:proofErr w:type="gramEnd"/>
      <w:r w:rsidRPr="00E74630">
        <w:rPr>
          <w:rFonts w:eastAsia="Arial Unicode MS" w:cs="Arial"/>
          <w:szCs w:val="18"/>
          <w:bdr w:val="nil"/>
          <w:lang w:eastAsia="en-AU"/>
        </w:rPr>
        <w:t xml:space="preserve"> that after </w:t>
      </w:r>
      <w:r>
        <w:rPr>
          <w:rFonts w:eastAsia="Arial Unicode MS" w:cs="Arial"/>
          <w:szCs w:val="18"/>
          <w:bdr w:val="nil"/>
          <w:lang w:eastAsia="en-AU"/>
        </w:rPr>
        <w:t>intravenous (</w:t>
      </w:r>
      <w:r w:rsidRPr="00E74630">
        <w:rPr>
          <w:rFonts w:eastAsia="Arial Unicode MS" w:cs="Arial"/>
          <w:szCs w:val="18"/>
          <w:bdr w:val="nil"/>
          <w:lang w:eastAsia="en-AU"/>
        </w:rPr>
        <w:t xml:space="preserve">IV administration, suggesting that most of the </w:t>
      </w:r>
      <w:proofErr w:type="spellStart"/>
      <w:r w:rsidRPr="00E74630">
        <w:rPr>
          <w:rFonts w:eastAsia="Arial Unicode MS" w:cs="Arial"/>
          <w:szCs w:val="18"/>
          <w:bdr w:val="nil"/>
          <w:lang w:eastAsia="en-AU"/>
        </w:rPr>
        <w:t>molidustat</w:t>
      </w:r>
      <w:proofErr w:type="spellEnd"/>
      <w:r w:rsidRPr="00E74630">
        <w:rPr>
          <w:rFonts w:eastAsia="Arial Unicode MS" w:cs="Arial"/>
          <w:szCs w:val="18"/>
          <w:bdr w:val="nil"/>
          <w:lang w:eastAsia="en-AU"/>
        </w:rPr>
        <w:t xml:space="preserve"> found in faeces was actively excreted in cats.</w:t>
      </w:r>
    </w:p>
    <w:p w14:paraId="585DD9E0" w14:textId="77777777" w:rsidR="00170426" w:rsidRPr="00E74630" w:rsidRDefault="00170426" w:rsidP="00170426">
      <w:pPr>
        <w:pStyle w:val="ListParagraph"/>
        <w:numPr>
          <w:ilvl w:val="1"/>
          <w:numId w:val="1"/>
        </w:numPr>
        <w:spacing w:after="160" w:line="360" w:lineRule="auto"/>
        <w:ind w:left="1134"/>
        <w:rPr>
          <w:rFonts w:eastAsia="Arial Unicode MS" w:cs="Arial"/>
          <w:b/>
          <w:bCs/>
          <w:szCs w:val="18"/>
          <w:u w:color="000000"/>
          <w:bdr w:val="nil"/>
          <w:lang w:val="en-GB" w:eastAsia="en-AU"/>
        </w:rPr>
      </w:pPr>
      <w:r w:rsidRPr="00E74630">
        <w:rPr>
          <w:rFonts w:eastAsia="Arial Unicode MS" w:cs="Arial"/>
          <w:b/>
          <w:bCs/>
          <w:szCs w:val="18"/>
          <w:u w:color="000000"/>
          <w:bdr w:val="nil"/>
          <w:lang w:val="en-GB" w:eastAsia="en-AU"/>
        </w:rPr>
        <w:t>Dose finding:</w:t>
      </w:r>
    </w:p>
    <w:p w14:paraId="742AC7F2" w14:textId="291582C1" w:rsidR="00170426" w:rsidRPr="00393455" w:rsidRDefault="00170426" w:rsidP="00393455">
      <w:pPr>
        <w:pStyle w:val="ListParagraph"/>
        <w:spacing w:line="360" w:lineRule="auto"/>
        <w:ind w:left="1134"/>
        <w:rPr>
          <w:rFonts w:eastAsia="Arial Unicode MS" w:cs="Arial"/>
          <w:szCs w:val="18"/>
          <w:u w:color="000000"/>
          <w:bdr w:val="nil"/>
          <w:lang w:eastAsia="en-AU"/>
        </w:rPr>
      </w:pPr>
      <w:r w:rsidRPr="00E74630">
        <w:rPr>
          <w:rFonts w:eastAsia="Arial Unicode MS" w:cs="Arial"/>
          <w:szCs w:val="18"/>
          <w:u w:color="000000"/>
          <w:bdr w:val="nil"/>
          <w:lang w:val="en-GB" w:eastAsia="en-AU"/>
        </w:rPr>
        <w:t xml:space="preserve">Three dose determination studies were conducted, investigating 0.1, 0.5, 2.5, 3, 5, 6, 10 mg/kg </w:t>
      </w:r>
      <w:proofErr w:type="spellStart"/>
      <w:r w:rsidRPr="00E74630">
        <w:rPr>
          <w:rFonts w:eastAsia="Arial Unicode MS" w:cs="Arial"/>
          <w:szCs w:val="18"/>
          <w:u w:color="000000"/>
          <w:bdr w:val="nil"/>
          <w:lang w:val="en-GB" w:eastAsia="en-AU"/>
        </w:rPr>
        <w:t>bw</w:t>
      </w:r>
      <w:proofErr w:type="spellEnd"/>
      <w:r w:rsidRPr="00E74630">
        <w:rPr>
          <w:rFonts w:eastAsia="Arial Unicode MS" w:cs="Arial"/>
          <w:szCs w:val="18"/>
          <w:u w:color="000000"/>
          <w:bdr w:val="nil"/>
          <w:lang w:val="en-GB" w:eastAsia="en-AU"/>
        </w:rPr>
        <w:t xml:space="preserve"> dose rates.</w:t>
      </w:r>
      <w:r w:rsidRPr="00E74630">
        <w:rPr>
          <w:rFonts w:eastAsiaTheme="minorEastAsia" w:cs="Arial"/>
          <w:color w:val="44546A" w:themeColor="text2"/>
          <w:szCs w:val="18"/>
        </w:rPr>
        <w:t xml:space="preserve"> </w:t>
      </w:r>
      <w:r w:rsidRPr="00E74630">
        <w:rPr>
          <w:rFonts w:eastAsia="Arial Unicode MS" w:cs="Arial"/>
          <w:szCs w:val="18"/>
          <w:u w:color="000000"/>
          <w:bdr w:val="nil"/>
          <w:lang w:eastAsia="en-AU"/>
        </w:rPr>
        <w:t xml:space="preserve">The effective dose was identified as 5 mg/kg </w:t>
      </w:r>
      <w:r>
        <w:rPr>
          <w:rFonts w:eastAsia="Arial Unicode MS" w:cs="Arial"/>
          <w:szCs w:val="18"/>
          <w:u w:color="000000"/>
          <w:bdr w:val="nil"/>
          <w:lang w:eastAsia="en-AU"/>
        </w:rPr>
        <w:t xml:space="preserve">per </w:t>
      </w:r>
      <w:proofErr w:type="spellStart"/>
      <w:r>
        <w:rPr>
          <w:rFonts w:eastAsia="Arial Unicode MS" w:cs="Arial"/>
          <w:szCs w:val="18"/>
          <w:u w:color="000000"/>
          <w:bdr w:val="nil"/>
          <w:lang w:eastAsia="en-AU"/>
        </w:rPr>
        <w:t>os</w:t>
      </w:r>
      <w:proofErr w:type="spellEnd"/>
      <w:r>
        <w:rPr>
          <w:rFonts w:eastAsia="Arial Unicode MS" w:cs="Arial"/>
          <w:szCs w:val="18"/>
          <w:u w:color="000000"/>
          <w:bdr w:val="nil"/>
          <w:lang w:eastAsia="en-AU"/>
        </w:rPr>
        <w:t xml:space="preserve"> (</w:t>
      </w:r>
      <w:r w:rsidRPr="00E74630">
        <w:rPr>
          <w:rFonts w:eastAsia="Arial Unicode MS" w:cs="Arial"/>
          <w:szCs w:val="18"/>
          <w:u w:color="000000"/>
          <w:bdr w:val="nil"/>
          <w:lang w:eastAsia="en-AU"/>
        </w:rPr>
        <w:t>PO</w:t>
      </w:r>
      <w:r>
        <w:rPr>
          <w:rFonts w:eastAsia="Arial Unicode MS" w:cs="Arial"/>
          <w:szCs w:val="18"/>
          <w:u w:color="000000"/>
          <w:bdr w:val="nil"/>
          <w:lang w:eastAsia="en-AU"/>
        </w:rPr>
        <w:t xml:space="preserve">) </w:t>
      </w:r>
      <w:r w:rsidRPr="00E74630">
        <w:rPr>
          <w:rFonts w:eastAsia="Arial Unicode MS" w:cs="Arial"/>
          <w:szCs w:val="18"/>
          <w:u w:color="000000"/>
          <w:bdr w:val="nil"/>
          <w:lang w:eastAsia="en-AU"/>
        </w:rPr>
        <w:t>in an oily vehicle and the possibility of toxic effects (polycythaemia) with higher dose rates was highlighted.</w:t>
      </w:r>
    </w:p>
    <w:p w14:paraId="28458F7E" w14:textId="77777777" w:rsidR="00170426" w:rsidRPr="00E74630" w:rsidRDefault="00170426" w:rsidP="00170426">
      <w:pPr>
        <w:pStyle w:val="ListParagraph"/>
        <w:spacing w:line="360" w:lineRule="auto"/>
        <w:ind w:left="1134"/>
        <w:rPr>
          <w:rFonts w:eastAsia="Arial Unicode MS" w:cs="Arial"/>
          <w:szCs w:val="18"/>
          <w:u w:color="000000"/>
          <w:bdr w:val="nil"/>
          <w:lang w:val="en-GB" w:eastAsia="en-AU"/>
        </w:rPr>
      </w:pPr>
      <w:r w:rsidRPr="00E74630">
        <w:rPr>
          <w:rFonts w:eastAsia="Arial Unicode MS" w:cs="Arial"/>
          <w:szCs w:val="18"/>
          <w:u w:color="000000"/>
          <w:bdr w:val="nil"/>
          <w:lang w:eastAsia="en-AU"/>
        </w:rPr>
        <w:t>Efficacy of 5 mg/kg dose rate was confirmed in an exploratory laboratory study involving healthy cats.</w:t>
      </w:r>
    </w:p>
    <w:p w14:paraId="0F9EA2ED" w14:textId="06C83E1F" w:rsidR="00170426" w:rsidRPr="00E74630" w:rsidRDefault="00170426" w:rsidP="00170426">
      <w:pPr>
        <w:pStyle w:val="ListParagraph"/>
        <w:spacing w:line="360" w:lineRule="auto"/>
        <w:ind w:left="1134"/>
        <w:rPr>
          <w:rFonts w:eastAsia="Arial Unicode MS" w:cs="Arial"/>
          <w:szCs w:val="18"/>
          <w:u w:color="000000"/>
          <w:bdr w:val="nil"/>
          <w:lang w:val="en-GB" w:eastAsia="en-AU"/>
        </w:rPr>
      </w:pPr>
      <w:r w:rsidRPr="00E74630">
        <w:rPr>
          <w:rFonts w:eastAsia="Arial Unicode MS" w:cs="Arial"/>
          <w:szCs w:val="18"/>
          <w:u w:color="000000"/>
          <w:bdr w:val="nil"/>
          <w:lang w:val="en-GB" w:eastAsia="en-AU"/>
        </w:rPr>
        <w:t xml:space="preserve">In treated groups, the concentration of EPO in plasma peaked </w:t>
      </w:r>
      <w:r w:rsidR="009975D2">
        <w:rPr>
          <w:rFonts w:eastAsia="Arial Unicode MS" w:cs="Arial"/>
          <w:szCs w:val="18"/>
          <w:u w:color="000000"/>
          <w:bdr w:val="nil"/>
          <w:lang w:val="en-GB" w:eastAsia="en-AU"/>
        </w:rPr>
        <w:t>6</w:t>
      </w:r>
      <w:r w:rsidRPr="00E74630">
        <w:rPr>
          <w:rFonts w:eastAsia="Arial Unicode MS" w:cs="Arial"/>
          <w:szCs w:val="18"/>
          <w:u w:color="000000"/>
          <w:bdr w:val="nil"/>
          <w:lang w:val="en-GB" w:eastAsia="en-AU"/>
        </w:rPr>
        <w:t xml:space="preserve"> hours post-treatment on day 0 and day 2. The mean concentration of EPO paralleled that of </w:t>
      </w:r>
      <w:proofErr w:type="spellStart"/>
      <w:r w:rsidRPr="00E74630">
        <w:rPr>
          <w:rFonts w:eastAsia="Arial Unicode MS" w:cs="Arial"/>
          <w:szCs w:val="18"/>
          <w:u w:color="000000"/>
          <w:bdr w:val="nil"/>
          <w:lang w:val="en-GB" w:eastAsia="en-AU"/>
        </w:rPr>
        <w:t>molidustat</w:t>
      </w:r>
      <w:proofErr w:type="spellEnd"/>
      <w:r w:rsidRPr="00E74630">
        <w:rPr>
          <w:rFonts w:eastAsia="Arial Unicode MS" w:cs="Arial"/>
          <w:szCs w:val="18"/>
          <w:u w:color="000000"/>
          <w:bdr w:val="nil"/>
          <w:lang w:val="en-GB" w:eastAsia="en-AU"/>
        </w:rPr>
        <w:t xml:space="preserve">. Levels were 1.4 times and almost 1.5 higher in fasted cats than in fed cats </w:t>
      </w:r>
      <w:r w:rsidR="009975D2">
        <w:rPr>
          <w:rFonts w:eastAsia="Arial Unicode MS" w:cs="Arial"/>
          <w:szCs w:val="18"/>
          <w:u w:color="000000"/>
          <w:bdr w:val="nil"/>
          <w:lang w:val="en-GB" w:eastAsia="en-AU"/>
        </w:rPr>
        <w:t>6</w:t>
      </w:r>
      <w:r w:rsidRPr="00E74630">
        <w:rPr>
          <w:rFonts w:eastAsia="Arial Unicode MS" w:cs="Arial"/>
          <w:szCs w:val="18"/>
          <w:u w:color="000000"/>
          <w:bdr w:val="nil"/>
          <w:lang w:val="en-GB" w:eastAsia="en-AU"/>
        </w:rPr>
        <w:t xml:space="preserve"> hours post-treatment on day 0, and day 2 respectively.</w:t>
      </w:r>
    </w:p>
    <w:p w14:paraId="65900833" w14:textId="4CB8A60C" w:rsidR="00170426" w:rsidRPr="00393455" w:rsidRDefault="00170426" w:rsidP="00393455">
      <w:pPr>
        <w:pStyle w:val="ListParagraph"/>
        <w:spacing w:line="360" w:lineRule="auto"/>
        <w:ind w:left="1134"/>
        <w:rPr>
          <w:rFonts w:eastAsia="Arial Unicode MS" w:cs="Arial"/>
          <w:szCs w:val="18"/>
          <w:u w:color="000000"/>
          <w:bdr w:val="nil"/>
          <w:lang w:eastAsia="en-AU"/>
        </w:rPr>
      </w:pPr>
      <w:r w:rsidRPr="00E74630">
        <w:rPr>
          <w:rFonts w:eastAsia="Arial Unicode MS" w:cs="Arial"/>
          <w:szCs w:val="18"/>
          <w:u w:color="000000"/>
          <w:bdr w:val="nil"/>
          <w:lang w:val="en-GB" w:eastAsia="en-AU"/>
        </w:rPr>
        <w:t xml:space="preserve">The concentration of EPO markedly decreased by 24h after treatment on day 0, day 1 and day 2 and returned to near pre-treatment values by 48 hours after the last treatment. Mean values at 24, 30 and/or 48h after each treatment were higher in fed compared to fasted cats throughout the study. </w:t>
      </w:r>
      <w:r w:rsidRPr="00E74630">
        <w:rPr>
          <w:rFonts w:eastAsia="Arial Unicode MS" w:cs="Arial"/>
          <w:szCs w:val="18"/>
          <w:u w:color="000000"/>
          <w:bdr w:val="nil"/>
          <w:lang w:eastAsia="en-AU"/>
        </w:rPr>
        <w:t>Peak levels of EPO are elevated in fasting cats; the duration of EPO elevation is longer in fed cats. Given the requirement to maintain cats below the upper reference limit for haematocrit, feeding prior to treatment may be advisable to achieve the effect while reducing the EPO maxima.</w:t>
      </w:r>
      <w:r w:rsidRPr="00E74630">
        <w:rPr>
          <w:rFonts w:eastAsiaTheme="minorEastAsia" w:cs="Arial"/>
          <w:color w:val="000000" w:themeColor="text1"/>
          <w:szCs w:val="18"/>
        </w:rPr>
        <w:t xml:space="preserve"> </w:t>
      </w:r>
      <w:r w:rsidRPr="00E74630">
        <w:rPr>
          <w:rFonts w:eastAsia="Arial Unicode MS" w:cs="Arial"/>
          <w:szCs w:val="18"/>
          <w:u w:color="000000"/>
          <w:bdr w:val="nil"/>
          <w:lang w:eastAsia="en-AU"/>
        </w:rPr>
        <w:t xml:space="preserve">In addition to EPO, the beneficial increased erythrocytes, haemoglobin and HCT as well as increased RBC distribution width was strong evidence of the desired effect of </w:t>
      </w:r>
      <w:proofErr w:type="spellStart"/>
      <w:r w:rsidRPr="00E74630">
        <w:rPr>
          <w:rFonts w:eastAsia="Arial Unicode MS" w:cs="Arial"/>
          <w:szCs w:val="18"/>
          <w:u w:color="000000"/>
          <w:bdr w:val="nil"/>
          <w:lang w:eastAsia="en-AU"/>
        </w:rPr>
        <w:t>molidustat</w:t>
      </w:r>
      <w:proofErr w:type="spellEnd"/>
      <w:r w:rsidRPr="00E74630">
        <w:rPr>
          <w:rFonts w:eastAsia="Arial Unicode MS" w:cs="Arial"/>
          <w:szCs w:val="18"/>
          <w:u w:color="000000"/>
          <w:bdr w:val="nil"/>
          <w:lang w:eastAsia="en-AU"/>
        </w:rPr>
        <w:t>.</w:t>
      </w:r>
    </w:p>
    <w:p w14:paraId="093ECA50" w14:textId="03414094" w:rsidR="00170426" w:rsidRPr="00393455" w:rsidRDefault="00170426" w:rsidP="00393455">
      <w:pPr>
        <w:pStyle w:val="ListParagraph"/>
        <w:spacing w:line="360" w:lineRule="auto"/>
        <w:ind w:left="1134"/>
        <w:rPr>
          <w:rFonts w:eastAsia="Arial Unicode MS" w:cs="Arial"/>
          <w:szCs w:val="18"/>
          <w:u w:color="000000"/>
          <w:bdr w:val="nil"/>
          <w:lang w:eastAsia="en-AU"/>
        </w:rPr>
      </w:pPr>
      <w:r w:rsidRPr="00E74630">
        <w:rPr>
          <w:rFonts w:eastAsia="Arial Unicode MS" w:cs="Arial"/>
          <w:szCs w:val="18"/>
          <w:u w:color="000000"/>
          <w:bdr w:val="nil"/>
          <w:lang w:eastAsia="en-AU"/>
        </w:rPr>
        <w:t>In a pivotal field study involving cats</w:t>
      </w:r>
      <w:r>
        <w:rPr>
          <w:rFonts w:eastAsia="Arial Unicode MS" w:cs="Arial"/>
          <w:szCs w:val="18"/>
          <w:u w:color="000000"/>
          <w:bdr w:val="nil"/>
          <w:lang w:eastAsia="en-AU"/>
        </w:rPr>
        <w:t xml:space="preserve"> with diagnosed </w:t>
      </w:r>
      <w:r w:rsidRPr="00E74630">
        <w:rPr>
          <w:rFonts w:eastAsia="Arial Unicode MS" w:cs="Arial"/>
          <w:szCs w:val="18"/>
          <w:u w:color="000000"/>
          <w:bdr w:val="nil"/>
          <w:lang w:eastAsia="en-AU"/>
        </w:rPr>
        <w:t>CKD confirmed safety and efficacy of the use of proposed 5 mg/kg dose rate.</w:t>
      </w:r>
    </w:p>
    <w:p w14:paraId="48E422F3" w14:textId="77777777" w:rsidR="00170426" w:rsidRPr="00E74630" w:rsidRDefault="00170426" w:rsidP="00170426">
      <w:pPr>
        <w:pStyle w:val="ListParagraph"/>
        <w:numPr>
          <w:ilvl w:val="1"/>
          <w:numId w:val="1"/>
        </w:numPr>
        <w:spacing w:after="160" w:line="360" w:lineRule="auto"/>
        <w:ind w:left="1134"/>
        <w:rPr>
          <w:rFonts w:eastAsia="Arial Unicode MS" w:cs="Arial"/>
          <w:b/>
          <w:bCs/>
          <w:szCs w:val="18"/>
          <w:u w:color="000000"/>
          <w:bdr w:val="nil"/>
          <w:lang w:val="en-GB" w:eastAsia="en-AU"/>
        </w:rPr>
      </w:pPr>
      <w:r w:rsidRPr="00E74630">
        <w:rPr>
          <w:rFonts w:eastAsia="Arial Unicode MS" w:cs="Arial"/>
          <w:b/>
          <w:bCs/>
          <w:szCs w:val="18"/>
          <w:u w:color="000000"/>
          <w:bdr w:val="nil"/>
          <w:lang w:val="en-GB" w:eastAsia="en-AU"/>
        </w:rPr>
        <w:t>Field stud</w:t>
      </w:r>
      <w:r>
        <w:rPr>
          <w:rFonts w:eastAsia="Arial Unicode MS" w:cs="Arial"/>
          <w:b/>
          <w:bCs/>
          <w:szCs w:val="18"/>
          <w:u w:color="000000"/>
          <w:bdr w:val="nil"/>
          <w:lang w:val="en-GB" w:eastAsia="en-AU"/>
        </w:rPr>
        <w:t>ies</w:t>
      </w:r>
      <w:r w:rsidRPr="00E74630">
        <w:rPr>
          <w:rFonts w:eastAsia="Arial Unicode MS" w:cs="Arial"/>
          <w:b/>
          <w:bCs/>
          <w:szCs w:val="18"/>
          <w:u w:color="000000"/>
          <w:bdr w:val="nil"/>
          <w:lang w:val="en-GB" w:eastAsia="en-AU"/>
        </w:rPr>
        <w:t>:</w:t>
      </w:r>
    </w:p>
    <w:p w14:paraId="4FC99348" w14:textId="02AFE3CB" w:rsidR="00170426" w:rsidRPr="00393455" w:rsidRDefault="00170426" w:rsidP="00393455">
      <w:pPr>
        <w:pStyle w:val="ListParagraph"/>
        <w:spacing w:line="360" w:lineRule="auto"/>
        <w:ind w:left="1134"/>
        <w:rPr>
          <w:rFonts w:eastAsia="Arial Unicode MS" w:cs="Arial"/>
          <w:szCs w:val="18"/>
          <w:u w:color="000000"/>
          <w:bdr w:val="nil"/>
          <w:lang w:eastAsia="en-AU"/>
        </w:rPr>
      </w:pPr>
      <w:r w:rsidRPr="00B67897">
        <w:rPr>
          <w:rFonts w:eastAsia="Arial Unicode MS" w:cs="Arial"/>
          <w:szCs w:val="18"/>
          <w:u w:color="000000"/>
          <w:bdr w:val="nil"/>
          <w:lang w:eastAsia="en-AU"/>
        </w:rPr>
        <w:t xml:space="preserve">In field studies conducted with </w:t>
      </w:r>
      <w:proofErr w:type="spellStart"/>
      <w:r w:rsidRPr="00B67897">
        <w:rPr>
          <w:rFonts w:eastAsia="Arial Unicode MS" w:cs="Arial"/>
          <w:szCs w:val="18"/>
          <w:u w:color="000000"/>
          <w:bdr w:val="nil"/>
          <w:lang w:eastAsia="en-AU"/>
        </w:rPr>
        <w:t>Varenzin</w:t>
      </w:r>
      <w:proofErr w:type="spellEnd"/>
      <w:r w:rsidRPr="00B67897">
        <w:rPr>
          <w:rFonts w:eastAsia="Arial Unicode MS" w:cs="Arial"/>
          <w:szCs w:val="18"/>
          <w:u w:color="000000"/>
          <w:bdr w:val="nil"/>
          <w:lang w:eastAsia="en-AU"/>
        </w:rPr>
        <w:t>, the treatment success was based on an absolute increase of ≥4 percentage points in HCT observed on study day 28 compared to study day 0, or a relative increase of 25% in HCT on study day 28 compared to study day 0.</w:t>
      </w:r>
    </w:p>
    <w:p w14:paraId="032404B5" w14:textId="77777777" w:rsidR="00170426" w:rsidRDefault="00170426" w:rsidP="00170426">
      <w:pPr>
        <w:pStyle w:val="ListParagraph"/>
        <w:numPr>
          <w:ilvl w:val="0"/>
          <w:numId w:val="33"/>
        </w:numPr>
        <w:spacing w:after="160" w:line="360" w:lineRule="auto"/>
        <w:ind w:left="1418" w:hanging="284"/>
        <w:rPr>
          <w:rFonts w:eastAsia="Arial Unicode MS" w:cs="Arial"/>
          <w:szCs w:val="18"/>
          <w:u w:color="000000"/>
          <w:bdr w:val="nil"/>
          <w:lang w:eastAsia="en-AU"/>
        </w:rPr>
      </w:pPr>
      <w:r>
        <w:rPr>
          <w:rFonts w:eastAsia="Arial Unicode MS" w:cs="Arial"/>
          <w:szCs w:val="18"/>
          <w:u w:color="000000"/>
          <w:bdr w:val="nil"/>
          <w:lang w:eastAsia="en-AU"/>
        </w:rPr>
        <w:t xml:space="preserve"> Pilot</w:t>
      </w:r>
      <w:r w:rsidRPr="003412E4">
        <w:rPr>
          <w:rFonts w:eastAsia="Arial Unicode MS" w:cs="Arial"/>
          <w:szCs w:val="18"/>
          <w:u w:color="000000"/>
          <w:bdr w:val="nil"/>
          <w:lang w:eastAsia="en-AU"/>
        </w:rPr>
        <w:t xml:space="preserve"> multi-site field study</w:t>
      </w:r>
      <w:r>
        <w:rPr>
          <w:rFonts w:eastAsia="Arial Unicode MS" w:cs="Arial"/>
          <w:szCs w:val="18"/>
          <w:u w:color="000000"/>
          <w:bdr w:val="nil"/>
          <w:lang w:eastAsia="en-AU"/>
        </w:rPr>
        <w:t>:</w:t>
      </w:r>
    </w:p>
    <w:p w14:paraId="39DC81D9" w14:textId="7850AA77" w:rsidR="00393455" w:rsidRPr="00393455" w:rsidRDefault="00170426" w:rsidP="00393455">
      <w:pPr>
        <w:pStyle w:val="ListParagraph"/>
        <w:spacing w:line="360" w:lineRule="auto"/>
        <w:ind w:left="1134"/>
        <w:rPr>
          <w:rFonts w:eastAsia="Arial Unicode MS" w:cs="Arial"/>
          <w:szCs w:val="18"/>
          <w:u w:color="000000"/>
          <w:bdr w:val="nil"/>
          <w:lang w:eastAsia="en-AU"/>
        </w:rPr>
      </w:pPr>
      <w:r w:rsidRPr="00E74630">
        <w:rPr>
          <w:rFonts w:eastAsia="Arial Unicode MS" w:cs="Arial"/>
          <w:szCs w:val="18"/>
          <w:u w:color="000000"/>
          <w:bdr w:val="nil"/>
          <w:lang w:eastAsia="en-AU"/>
        </w:rPr>
        <w:t>Some positive effects were confirmed in a pilot multi-site field study, which, while not using the final formulation, also demonstrated relative safety over a 28-day period. However, the study did not demonstrate significant effective increases in trial ‘success’</w:t>
      </w:r>
      <w:r>
        <w:rPr>
          <w:rFonts w:eastAsia="Arial Unicode MS" w:cs="Arial"/>
          <w:szCs w:val="18"/>
          <w:u w:color="000000"/>
          <w:bdr w:val="nil"/>
          <w:lang w:eastAsia="en-AU"/>
        </w:rPr>
        <w:t>. The study</w:t>
      </w:r>
      <w:r w:rsidRPr="00E74630">
        <w:rPr>
          <w:rFonts w:eastAsia="Arial Unicode MS" w:cs="Arial"/>
          <w:szCs w:val="18"/>
          <w:u w:color="000000"/>
          <w:bdr w:val="nil"/>
          <w:lang w:eastAsia="en-AU"/>
        </w:rPr>
        <w:t xml:space="preserve"> did not observe parallel EPO release and safety and confirmed the need to monitor</w:t>
      </w:r>
      <w:r w:rsidRPr="00664A2C">
        <w:rPr>
          <w:rFonts w:cs="Arial"/>
        </w:rPr>
        <w:t xml:space="preserve"> </w:t>
      </w:r>
      <w:r w:rsidRPr="00664A2C">
        <w:rPr>
          <w:rFonts w:eastAsia="Arial Unicode MS" w:cs="Arial"/>
          <w:szCs w:val="18"/>
          <w:u w:color="000000"/>
          <w:bdr w:val="nil"/>
          <w:lang w:eastAsia="en-AU"/>
        </w:rPr>
        <w:t>haematocrit</w:t>
      </w:r>
      <w:r w:rsidRPr="00664A2C">
        <w:rPr>
          <w:rFonts w:eastAsia="Arial Unicode MS" w:cs="Arial"/>
          <w:i/>
          <w:iCs/>
          <w:szCs w:val="18"/>
          <w:u w:color="000000"/>
          <w:bdr w:val="nil"/>
          <w:lang w:eastAsia="en-AU"/>
        </w:rPr>
        <w:t xml:space="preserve"> </w:t>
      </w:r>
      <w:r>
        <w:rPr>
          <w:rFonts w:eastAsia="Arial Unicode MS" w:cs="Arial"/>
          <w:szCs w:val="18"/>
          <w:u w:color="000000"/>
          <w:bdr w:val="nil"/>
          <w:lang w:eastAsia="en-AU"/>
        </w:rPr>
        <w:t>(</w:t>
      </w:r>
      <w:r w:rsidRPr="00E74630">
        <w:rPr>
          <w:rFonts w:eastAsia="Arial Unicode MS" w:cs="Arial"/>
          <w:szCs w:val="18"/>
          <w:u w:color="000000"/>
          <w:bdr w:val="nil"/>
          <w:lang w:eastAsia="en-AU"/>
        </w:rPr>
        <w:t>HCT</w:t>
      </w:r>
      <w:r>
        <w:rPr>
          <w:rFonts w:eastAsia="Arial Unicode MS" w:cs="Arial"/>
          <w:szCs w:val="18"/>
          <w:u w:color="000000"/>
          <w:bdr w:val="nil"/>
          <w:lang w:eastAsia="en-AU"/>
        </w:rPr>
        <w:t>) or packed cell volume (</w:t>
      </w:r>
      <w:r w:rsidRPr="00E74630">
        <w:rPr>
          <w:rFonts w:eastAsia="Arial Unicode MS" w:cs="Arial"/>
          <w:szCs w:val="18"/>
          <w:u w:color="000000"/>
          <w:bdr w:val="nil"/>
          <w:lang w:eastAsia="en-AU"/>
        </w:rPr>
        <w:t>PCV</w:t>
      </w:r>
      <w:r>
        <w:rPr>
          <w:rFonts w:eastAsia="Arial Unicode MS" w:cs="Arial"/>
          <w:szCs w:val="18"/>
          <w:u w:color="000000"/>
          <w:bdr w:val="nil"/>
          <w:lang w:eastAsia="en-AU"/>
        </w:rPr>
        <w:t>)</w:t>
      </w:r>
      <w:r w:rsidRPr="00E74630">
        <w:rPr>
          <w:rFonts w:eastAsia="Arial Unicode MS" w:cs="Arial"/>
          <w:szCs w:val="18"/>
          <w:u w:color="000000"/>
          <w:bdr w:val="nil"/>
          <w:lang w:eastAsia="en-AU"/>
        </w:rPr>
        <w:t xml:space="preserve"> during treatment. When beneficial effects reach their maximum, the proposed product can become toxic as HCT rises.</w:t>
      </w:r>
    </w:p>
    <w:p w14:paraId="6965B346" w14:textId="77777777" w:rsidR="00170426" w:rsidRPr="00E74630" w:rsidRDefault="00170426" w:rsidP="00170426">
      <w:pPr>
        <w:pStyle w:val="ListParagraph"/>
        <w:numPr>
          <w:ilvl w:val="0"/>
          <w:numId w:val="34"/>
        </w:numPr>
        <w:spacing w:after="160" w:line="360" w:lineRule="auto"/>
        <w:rPr>
          <w:rFonts w:eastAsia="Arial Unicode MS" w:cs="Arial"/>
          <w:szCs w:val="18"/>
          <w:u w:color="000000"/>
          <w:bdr w:val="nil"/>
          <w:lang w:eastAsia="en-AU"/>
        </w:rPr>
      </w:pPr>
      <w:r>
        <w:rPr>
          <w:rFonts w:eastAsia="Arial Unicode MS" w:cs="Arial"/>
          <w:szCs w:val="18"/>
          <w:u w:color="000000"/>
          <w:bdr w:val="nil"/>
          <w:lang w:eastAsia="en-AU"/>
        </w:rPr>
        <w:t>Pivotal</w:t>
      </w:r>
      <w:r w:rsidRPr="00F70154">
        <w:rPr>
          <w:rFonts w:eastAsia="Arial Unicode MS" w:cs="Arial"/>
          <w:szCs w:val="18"/>
          <w:u w:color="000000"/>
          <w:bdr w:val="nil"/>
          <w:lang w:eastAsia="en-AU"/>
        </w:rPr>
        <w:t xml:space="preserve"> multi-site field study</w:t>
      </w:r>
      <w:r>
        <w:rPr>
          <w:rFonts w:eastAsia="Arial Unicode MS" w:cs="Arial"/>
          <w:szCs w:val="18"/>
          <w:u w:color="000000"/>
          <w:bdr w:val="nil"/>
          <w:lang w:eastAsia="en-AU"/>
        </w:rPr>
        <w:t>:</w:t>
      </w:r>
    </w:p>
    <w:p w14:paraId="7D9B708C" w14:textId="77777777" w:rsidR="00170426" w:rsidRPr="00E74630" w:rsidRDefault="00170426" w:rsidP="00170426">
      <w:pPr>
        <w:pStyle w:val="ListParagraph"/>
        <w:spacing w:line="360" w:lineRule="auto"/>
        <w:ind w:left="1134"/>
        <w:rPr>
          <w:rFonts w:eastAsia="Arial Unicode MS" w:cs="Arial"/>
          <w:szCs w:val="18"/>
          <w:u w:color="000000"/>
          <w:bdr w:val="nil"/>
          <w:lang w:val="en-GB" w:eastAsia="en-AU"/>
        </w:rPr>
      </w:pPr>
      <w:r w:rsidRPr="00E74630">
        <w:rPr>
          <w:rFonts w:eastAsia="Arial Unicode MS" w:cs="Arial"/>
          <w:szCs w:val="18"/>
          <w:u w:color="000000"/>
          <w:bdr w:val="nil"/>
          <w:lang w:eastAsia="en-AU"/>
        </w:rPr>
        <w:t xml:space="preserve">A ‘pivotal’ multi-site field study demonstrated statistical success on HCT/PCV at both 21 and 28 days after treatment but with no improvement in ‘quality of life’. Only 40 cats with CKD were exposed to </w:t>
      </w:r>
      <w:proofErr w:type="spellStart"/>
      <w:r w:rsidRPr="00E74630">
        <w:rPr>
          <w:rFonts w:eastAsia="Arial Unicode MS" w:cs="Arial"/>
          <w:szCs w:val="18"/>
          <w:u w:color="000000"/>
          <w:bdr w:val="nil"/>
          <w:lang w:eastAsia="en-AU"/>
        </w:rPr>
        <w:t>molidustat</w:t>
      </w:r>
      <w:proofErr w:type="spellEnd"/>
      <w:r w:rsidRPr="00E74630">
        <w:rPr>
          <w:rFonts w:eastAsia="Arial Unicode MS" w:cs="Arial"/>
          <w:szCs w:val="18"/>
          <w:u w:color="000000"/>
          <w:bdr w:val="nil"/>
          <w:lang w:eastAsia="en-AU"/>
        </w:rPr>
        <w:t xml:space="preserve"> in the final formulation in this trial. The field study also provided evidence that a wide range of concomitant medications relevant to CKD do not interact with </w:t>
      </w:r>
      <w:proofErr w:type="spellStart"/>
      <w:r w:rsidRPr="00E74630">
        <w:rPr>
          <w:rFonts w:eastAsia="Arial Unicode MS" w:cs="Arial"/>
          <w:szCs w:val="18"/>
          <w:u w:color="000000"/>
          <w:bdr w:val="nil"/>
          <w:lang w:eastAsia="en-AU"/>
        </w:rPr>
        <w:t>molidustat</w:t>
      </w:r>
      <w:proofErr w:type="spellEnd"/>
      <w:r w:rsidRPr="00E74630">
        <w:rPr>
          <w:rFonts w:eastAsia="Arial Unicode MS" w:cs="Arial"/>
          <w:szCs w:val="18"/>
          <w:u w:color="000000"/>
          <w:bdr w:val="nil"/>
          <w:lang w:eastAsia="en-AU"/>
        </w:rPr>
        <w:t xml:space="preserve"> adversely. </w:t>
      </w:r>
      <w:r w:rsidRPr="00E74630">
        <w:rPr>
          <w:rFonts w:eastAsia="Arial Unicode MS" w:cs="Arial"/>
          <w:szCs w:val="18"/>
          <w:bdr w:val="nil"/>
          <w:lang w:eastAsia="en-AU"/>
        </w:rPr>
        <w:t>Treatment success</w:t>
      </w:r>
      <w:r w:rsidRPr="00E74630">
        <w:rPr>
          <w:rFonts w:eastAsia="Arial Unicode MS" w:cs="Arial"/>
          <w:szCs w:val="18"/>
          <w:u w:color="000000"/>
          <w:bdr w:val="nil"/>
          <w:lang w:eastAsia="en-AU"/>
        </w:rPr>
        <w:t xml:space="preserve"> was evaluated on day 28 (± 2) relative to day 0. </w:t>
      </w:r>
      <w:r w:rsidRPr="00E74630">
        <w:rPr>
          <w:rFonts w:eastAsia="Arial Unicode MS" w:cs="Arial"/>
          <w:szCs w:val="18"/>
          <w:u w:color="000000"/>
          <w:bdr w:val="nil"/>
          <w:lang w:eastAsia="en-AU"/>
        </w:rPr>
        <w:br/>
        <w:t>‘Success’ was defined as an increase of &gt;4% HCT observed on day 28 and/or an overall increase of 25% in HCT relative to day 0.</w:t>
      </w:r>
    </w:p>
    <w:p w14:paraId="4F39AF2F" w14:textId="77777777" w:rsidR="00170426" w:rsidRPr="00E74630" w:rsidRDefault="00170426" w:rsidP="00170426">
      <w:pPr>
        <w:pStyle w:val="ListParagraph"/>
        <w:numPr>
          <w:ilvl w:val="0"/>
          <w:numId w:val="35"/>
        </w:numPr>
        <w:spacing w:after="160" w:line="360" w:lineRule="auto"/>
        <w:rPr>
          <w:rFonts w:eastAsia="Arial Unicode MS" w:cs="Arial"/>
          <w:szCs w:val="18"/>
          <w:u w:color="000000"/>
          <w:bdr w:val="nil"/>
          <w:lang w:val="en-GB" w:eastAsia="en-AU"/>
        </w:rPr>
      </w:pPr>
      <w:r w:rsidRPr="00E74630">
        <w:rPr>
          <w:rFonts w:eastAsia="Arial Unicode MS" w:cs="Arial"/>
          <w:szCs w:val="18"/>
          <w:u w:color="000000"/>
          <w:bdr w:val="nil"/>
          <w:lang w:eastAsia="en-AU"/>
        </w:rPr>
        <w:t>The proportion of cats showing treatment successes</w:t>
      </w:r>
      <w:r>
        <w:rPr>
          <w:rFonts w:eastAsia="Arial Unicode MS" w:cs="Arial"/>
          <w:szCs w:val="18"/>
          <w:u w:color="000000"/>
          <w:bdr w:val="nil"/>
          <w:lang w:eastAsia="en-AU"/>
        </w:rPr>
        <w:t xml:space="preserve"> in the pivotal field study</w:t>
      </w:r>
      <w:r w:rsidRPr="00E74630">
        <w:rPr>
          <w:rFonts w:eastAsia="Arial Unicode MS" w:cs="Arial"/>
          <w:szCs w:val="18"/>
          <w:u w:color="000000"/>
          <w:bdr w:val="nil"/>
          <w:lang w:eastAsia="en-AU"/>
        </w:rPr>
        <w:t xml:space="preserve"> on day 28 in the IVP group was clear and significantly greater than the placebo group. After 28 days of treatment, ~68% of IVP group cats compared with 17% of placebo cats had achieved treatment success. Similarly, the proportion of cats showing treatment successes on day 21 in the IVP group was also significantly greater than the placebo group. After 21 days of treatment, 69% of IVP group </w:t>
      </w:r>
      <w:r w:rsidRPr="00E74630">
        <w:rPr>
          <w:rFonts w:eastAsia="Arial Unicode MS" w:cs="Arial"/>
          <w:szCs w:val="18"/>
          <w:u w:color="000000"/>
          <w:bdr w:val="nil"/>
          <w:lang w:eastAsia="en-AU"/>
        </w:rPr>
        <w:lastRenderedPageBreak/>
        <w:t>cats compared with ~24% of placebo cats had achieved treatment success. There was no evidence for a gender-based difference in response.</w:t>
      </w:r>
    </w:p>
    <w:p w14:paraId="73026F85" w14:textId="4BAC0FE1" w:rsidR="00170426" w:rsidRPr="00987E88" w:rsidRDefault="00170426" w:rsidP="00170426">
      <w:pPr>
        <w:pStyle w:val="ListParagraph"/>
        <w:numPr>
          <w:ilvl w:val="0"/>
          <w:numId w:val="35"/>
        </w:numPr>
        <w:spacing w:after="160" w:line="360" w:lineRule="auto"/>
        <w:rPr>
          <w:rFonts w:eastAsia="Arial Unicode MS" w:cs="Arial"/>
          <w:szCs w:val="18"/>
          <w:u w:color="000000"/>
          <w:bdr w:val="nil"/>
          <w:lang w:val="en-GB" w:eastAsia="en-AU"/>
        </w:rPr>
      </w:pPr>
      <w:r w:rsidRPr="00E74630">
        <w:rPr>
          <w:rFonts w:eastAsia="Arial Unicode MS" w:cs="Arial"/>
          <w:szCs w:val="18"/>
          <w:u w:color="000000"/>
          <w:bdr w:val="nil"/>
          <w:lang w:eastAsia="en-AU"/>
        </w:rPr>
        <w:t xml:space="preserve">The adverse effects (AE) reported and changes in clinicopathologic parameters </w:t>
      </w:r>
      <w:r>
        <w:rPr>
          <w:rFonts w:eastAsia="Arial Unicode MS" w:cs="Arial"/>
          <w:szCs w:val="18"/>
          <w:u w:color="000000"/>
          <w:bdr w:val="nil"/>
          <w:lang w:eastAsia="en-AU"/>
        </w:rPr>
        <w:t>were</w:t>
      </w:r>
      <w:r w:rsidRPr="00E74630">
        <w:rPr>
          <w:rFonts w:eastAsia="Arial Unicode MS" w:cs="Arial"/>
          <w:szCs w:val="18"/>
          <w:u w:color="000000"/>
          <w:bdr w:val="nil"/>
          <w:lang w:eastAsia="en-AU"/>
        </w:rPr>
        <w:t xml:space="preserve"> attributed to underlying CKD or conditions that are not unexpected in a large group of predominantly senior to geriatric cats. In AEs or abnormalities in clinicopathologic data, no obvious pattern was apparent in relation to concomitant medication.</w:t>
      </w:r>
      <w:r w:rsidRPr="00E74630">
        <w:rPr>
          <w:rFonts w:eastAsiaTheme="minorEastAsia" w:cs="Arial"/>
          <w:szCs w:val="18"/>
        </w:rPr>
        <w:t xml:space="preserve"> </w:t>
      </w:r>
      <w:r w:rsidRPr="00E74630">
        <w:rPr>
          <w:rFonts w:eastAsia="Arial Unicode MS" w:cs="Arial"/>
          <w:szCs w:val="18"/>
          <w:u w:color="000000"/>
          <w:bdr w:val="nil"/>
          <w:lang w:eastAsia="en-AU"/>
        </w:rPr>
        <w:t>No patterns were detected linking reported AEs to the IVP as opposed to spontaneously arising from concurrent diseases and or conditions. There were 8 serious adverse events which could all be attributed to late stages of CKD.</w:t>
      </w:r>
    </w:p>
    <w:p w14:paraId="401421FF" w14:textId="1C3339B1" w:rsidR="00170426" w:rsidRPr="00393455" w:rsidRDefault="00170426" w:rsidP="00393455">
      <w:pPr>
        <w:pStyle w:val="ListParagraph"/>
        <w:numPr>
          <w:ilvl w:val="0"/>
          <w:numId w:val="35"/>
        </w:numPr>
        <w:spacing w:after="160" w:line="360" w:lineRule="auto"/>
        <w:rPr>
          <w:rFonts w:eastAsia="Arial Unicode MS" w:cs="Arial"/>
          <w:szCs w:val="18"/>
          <w:u w:color="000000"/>
          <w:bdr w:val="nil"/>
          <w:lang w:val="en-GB" w:eastAsia="en-AU"/>
        </w:rPr>
      </w:pPr>
      <w:r w:rsidRPr="00987E88">
        <w:rPr>
          <w:rFonts w:eastAsia="Arial Unicode MS" w:cs="Arial"/>
          <w:szCs w:val="18"/>
          <w:u w:color="000000"/>
          <w:bdr w:val="nil"/>
          <w:lang w:val="en-GB" w:eastAsia="en-AU"/>
        </w:rPr>
        <w:t>T</w:t>
      </w:r>
      <w:r w:rsidRPr="00987E88">
        <w:rPr>
          <w:rFonts w:eastAsia="Arial Unicode MS" w:cs="Arial"/>
          <w:szCs w:val="18"/>
          <w:u w:color="000000"/>
          <w:bdr w:val="nil"/>
          <w:lang w:eastAsia="en-AU"/>
        </w:rPr>
        <w:t xml:space="preserve">he product was compatible with </w:t>
      </w:r>
      <w:r w:rsidRPr="00987E88">
        <w:rPr>
          <w:rFonts w:eastAsia="Arial Unicode MS" w:cs="Arial"/>
          <w:szCs w:val="18"/>
          <w:u w:color="000000"/>
          <w:bdr w:val="nil"/>
          <w:lang w:val="en" w:eastAsia="en-AU"/>
        </w:rPr>
        <w:t>wide range of additional medications</w:t>
      </w:r>
      <w:r w:rsidRPr="00987E88">
        <w:rPr>
          <w:rFonts w:eastAsia="Arial Unicode MS" w:cs="Arial"/>
          <w:szCs w:val="18"/>
          <w:u w:color="000000"/>
          <w:bdr w:val="nil"/>
          <w:lang w:eastAsia="en-AU"/>
        </w:rPr>
        <w:t xml:space="preserve"> used in the </w:t>
      </w:r>
      <w:r w:rsidRPr="00987E88">
        <w:rPr>
          <w:rFonts w:eastAsia="Arial Unicode MS" w:cs="Arial"/>
          <w:szCs w:val="18"/>
          <w:u w:color="000000"/>
          <w:bdr w:val="nil"/>
          <w:lang w:val="en" w:eastAsia="en-AU"/>
        </w:rPr>
        <w:t xml:space="preserve">community-based cats diagnosed with CKD already receiving in the field </w:t>
      </w:r>
      <w:r w:rsidRPr="009F67BF">
        <w:rPr>
          <w:rFonts w:eastAsia="Arial Unicode MS" w:cs="Arial"/>
          <w:szCs w:val="18"/>
          <w:u w:color="000000"/>
          <w:bdr w:val="nil"/>
          <w:lang w:eastAsia="en-AU"/>
        </w:rPr>
        <w:t xml:space="preserve">study. These included </w:t>
      </w:r>
      <w:r>
        <w:rPr>
          <w:rFonts w:eastAsia="Arial Unicode MS" w:cs="Arial"/>
          <w:szCs w:val="18"/>
          <w:u w:color="000000"/>
          <w:bdr w:val="nil"/>
          <w:lang w:eastAsia="en-AU"/>
        </w:rPr>
        <w:t xml:space="preserve">supportive therapies and symptomatic treatments with combinations of electrolytes, </w:t>
      </w:r>
      <w:r w:rsidRPr="009F67BF">
        <w:rPr>
          <w:rFonts w:eastAsia="Arial Unicode MS" w:cs="Arial"/>
          <w:szCs w:val="18"/>
          <w:u w:color="000000"/>
          <w:bdr w:val="nil"/>
          <w:lang w:eastAsia="en-AU"/>
        </w:rPr>
        <w:t>antibiotics,</w:t>
      </w:r>
      <w:r>
        <w:rPr>
          <w:rFonts w:cstheme="minorHAnsi"/>
          <w:bCs/>
          <w:color w:val="000000" w:themeColor="text1"/>
          <w:sz w:val="20"/>
          <w:szCs w:val="20"/>
          <w:lang w:val="en"/>
        </w:rPr>
        <w:t xml:space="preserve"> </w:t>
      </w:r>
      <w:r w:rsidRPr="009F67BF">
        <w:rPr>
          <w:rFonts w:eastAsia="Arial Unicode MS" w:cs="Arial"/>
          <w:szCs w:val="18"/>
          <w:u w:color="000000"/>
          <w:bdr w:val="nil"/>
          <w:lang w:eastAsia="en-AU"/>
        </w:rPr>
        <w:t>vitamin and mineral supplements,</w:t>
      </w:r>
      <w:r>
        <w:rPr>
          <w:rFonts w:eastAsia="Arial Unicode MS" w:cs="Arial"/>
          <w:szCs w:val="18"/>
          <w:u w:color="000000"/>
          <w:bdr w:val="nil"/>
          <w:lang w:eastAsia="en-AU"/>
        </w:rPr>
        <w:t xml:space="preserve"> p</w:t>
      </w:r>
      <w:r w:rsidRPr="0028153E">
        <w:rPr>
          <w:rFonts w:eastAsia="Arial Unicode MS" w:cs="Arial"/>
          <w:szCs w:val="18"/>
          <w:u w:color="000000"/>
          <w:bdr w:val="nil"/>
          <w:lang w:eastAsia="en-AU"/>
        </w:rPr>
        <w:t>robiotics</w:t>
      </w:r>
      <w:r>
        <w:rPr>
          <w:rFonts w:eastAsia="Arial Unicode MS" w:cs="Arial"/>
          <w:szCs w:val="18"/>
          <w:u w:color="000000"/>
          <w:bdr w:val="nil"/>
          <w:lang w:eastAsia="en-AU"/>
        </w:rPr>
        <w:t>, treatments for hypertension, antacids, antiemetics and antidepressants etc.</w:t>
      </w:r>
      <w:r w:rsidRPr="009F67BF">
        <w:rPr>
          <w:rFonts w:eastAsia="Arial Unicode MS" w:cs="Arial"/>
          <w:szCs w:val="18"/>
          <w:u w:color="000000"/>
          <w:bdr w:val="nil"/>
          <w:lang w:eastAsia="en-AU"/>
        </w:rPr>
        <w:t xml:space="preserve"> No</w:t>
      </w:r>
      <w:r w:rsidRPr="00987E88">
        <w:rPr>
          <w:rFonts w:eastAsia="Arial Unicode MS" w:cs="Arial"/>
          <w:bCs/>
          <w:szCs w:val="18"/>
          <w:u w:color="000000"/>
          <w:bdr w:val="nil"/>
          <w:lang w:val="en" w:eastAsia="en-AU"/>
        </w:rPr>
        <w:t xml:space="preserve"> compatibility issues were identified</w:t>
      </w:r>
      <w:r>
        <w:rPr>
          <w:rFonts w:eastAsia="Arial Unicode MS" w:cs="Arial"/>
          <w:bCs/>
          <w:szCs w:val="18"/>
          <w:u w:color="000000"/>
          <w:bdr w:val="nil"/>
          <w:lang w:val="en" w:eastAsia="en-AU"/>
        </w:rPr>
        <w:t xml:space="preserve"> with these medications</w:t>
      </w:r>
      <w:r w:rsidRPr="00987E88">
        <w:rPr>
          <w:rFonts w:eastAsia="Arial Unicode MS" w:cs="Arial"/>
          <w:bCs/>
          <w:szCs w:val="18"/>
          <w:u w:color="000000"/>
          <w:bdr w:val="nil"/>
          <w:lang w:val="en" w:eastAsia="en-AU"/>
        </w:rPr>
        <w:t>.</w:t>
      </w:r>
    </w:p>
    <w:p w14:paraId="5F690C33" w14:textId="77777777" w:rsidR="00170426" w:rsidRPr="00B4125F" w:rsidRDefault="00170426" w:rsidP="00170426">
      <w:pPr>
        <w:pStyle w:val="ListParagraph"/>
        <w:numPr>
          <w:ilvl w:val="1"/>
          <w:numId w:val="1"/>
        </w:numPr>
        <w:spacing w:after="160" w:line="360" w:lineRule="auto"/>
        <w:rPr>
          <w:rFonts w:eastAsia="Arial Unicode MS" w:cs="Arial"/>
          <w:b/>
          <w:bCs/>
          <w:szCs w:val="18"/>
          <w:u w:color="000000"/>
          <w:bdr w:val="nil"/>
          <w:lang w:val="en-GB" w:eastAsia="en-AU"/>
        </w:rPr>
      </w:pPr>
      <w:r w:rsidRPr="00B4125F">
        <w:rPr>
          <w:rFonts w:eastAsia="Arial Unicode MS" w:cs="Arial"/>
          <w:b/>
          <w:bCs/>
          <w:szCs w:val="18"/>
          <w:u w:color="000000"/>
          <w:bdr w:val="nil"/>
          <w:lang w:eastAsia="en-AU"/>
        </w:rPr>
        <w:t>Palatability</w:t>
      </w:r>
    </w:p>
    <w:p w14:paraId="5C05F530" w14:textId="15864D2A" w:rsidR="00170426" w:rsidRPr="00B57C3A" w:rsidRDefault="00170426" w:rsidP="00170426">
      <w:pPr>
        <w:pStyle w:val="ListParagraph"/>
        <w:spacing w:line="360" w:lineRule="auto"/>
        <w:ind w:left="1440"/>
        <w:rPr>
          <w:rFonts w:eastAsia="Arial Unicode MS" w:cs="Arial"/>
          <w:szCs w:val="18"/>
          <w:u w:color="000000"/>
          <w:bdr w:val="nil"/>
          <w:lang w:val="en-GB" w:eastAsia="en-AU"/>
        </w:rPr>
      </w:pPr>
      <w:r>
        <w:rPr>
          <w:rFonts w:eastAsia="Arial Unicode MS" w:cs="Arial"/>
          <w:szCs w:val="18"/>
          <w:u w:color="000000"/>
          <w:bdr w:val="nil"/>
          <w:lang w:eastAsia="en-AU"/>
        </w:rPr>
        <w:t xml:space="preserve">Two exploratory palatability studies have been conducted using different formulations and </w:t>
      </w:r>
      <w:r w:rsidRPr="00B57C3A">
        <w:rPr>
          <w:rFonts w:eastAsia="Arial Unicode MS" w:cs="Arial"/>
          <w:szCs w:val="18"/>
          <w:u w:color="000000"/>
          <w:bdr w:val="nil"/>
          <w:lang w:eastAsia="en-AU"/>
        </w:rPr>
        <w:t xml:space="preserve">acceptable palatability of </w:t>
      </w:r>
      <w:proofErr w:type="spellStart"/>
      <w:r w:rsidRPr="00B57C3A">
        <w:rPr>
          <w:rFonts w:eastAsia="Arial Unicode MS" w:cs="Arial"/>
          <w:szCs w:val="18"/>
          <w:u w:color="000000"/>
          <w:bdr w:val="nil"/>
          <w:lang w:eastAsia="en-AU"/>
        </w:rPr>
        <w:t>molidustat</w:t>
      </w:r>
      <w:proofErr w:type="spellEnd"/>
      <w:r w:rsidRPr="00B57C3A">
        <w:rPr>
          <w:rFonts w:eastAsia="Arial Unicode MS" w:cs="Arial"/>
          <w:szCs w:val="18"/>
          <w:u w:color="000000"/>
          <w:bdr w:val="nil"/>
          <w:lang w:eastAsia="en-AU"/>
        </w:rPr>
        <w:t xml:space="preserve"> in an </w:t>
      </w:r>
      <w:r w:rsidRPr="00B57C3A">
        <w:rPr>
          <w:rFonts w:eastAsia="Arial Unicode MS" w:cs="Arial"/>
          <w:szCs w:val="18"/>
          <w:bdr w:val="nil"/>
          <w:lang w:eastAsia="en-AU"/>
        </w:rPr>
        <w:t>oily vehicle</w:t>
      </w:r>
      <w:r>
        <w:rPr>
          <w:rFonts w:eastAsia="Arial Unicode MS" w:cs="Arial"/>
          <w:szCs w:val="18"/>
          <w:u w:color="000000"/>
          <w:bdr w:val="nil"/>
          <w:lang w:eastAsia="en-AU"/>
        </w:rPr>
        <w:t xml:space="preserve"> was demonstrated. However, the studies did not include the final formulation. Overseas pharmacovigilance data show 1.8% </w:t>
      </w:r>
      <w:r w:rsidRPr="00987E88">
        <w:rPr>
          <w:rFonts w:eastAsia="Arial Unicode MS" w:cs="Arial"/>
          <w:szCs w:val="18"/>
          <w:u w:color="000000"/>
          <w:bdr w:val="nil"/>
          <w:lang w:eastAsia="en-AU"/>
        </w:rPr>
        <w:t>of product complaints and indicate a low level of resistance by patients to the product in terms of palatability</w:t>
      </w:r>
      <w:r>
        <w:rPr>
          <w:rFonts w:eastAsia="Arial Unicode MS" w:cs="Arial"/>
          <w:szCs w:val="18"/>
          <w:u w:color="000000"/>
          <w:bdr w:val="nil"/>
          <w:lang w:eastAsia="en-AU"/>
        </w:rPr>
        <w:t>. Appropriate label statements were added to consult veterinarian if cat shows resistance to dosing.</w:t>
      </w:r>
    </w:p>
    <w:p w14:paraId="6B9C2B85" w14:textId="77777777" w:rsidR="00170426" w:rsidRPr="00E74630" w:rsidRDefault="00170426" w:rsidP="00170426">
      <w:pPr>
        <w:pStyle w:val="GazetteListRomanNumeral"/>
        <w:numPr>
          <w:ilvl w:val="0"/>
          <w:numId w:val="9"/>
        </w:numPr>
        <w:ind w:left="567" w:hanging="360"/>
        <w:rPr>
          <w:rFonts w:hAnsi="Arial" w:cs="Arial"/>
          <w:color w:val="auto"/>
        </w:rPr>
      </w:pPr>
      <w:r w:rsidRPr="00E74630">
        <w:rPr>
          <w:rFonts w:hAnsi="Arial" w:cs="Arial"/>
          <w:color w:val="auto"/>
        </w:rPr>
        <w:t xml:space="preserve">The APVMA has therefore, concluded that </w:t>
      </w:r>
      <w:r w:rsidRPr="00E74630">
        <w:rPr>
          <w:rFonts w:hAnsi="Arial" w:cs="Arial"/>
          <w:color w:val="auto"/>
          <w:lang w:val="en-AU"/>
        </w:rPr>
        <w:t xml:space="preserve">of </w:t>
      </w:r>
      <w:proofErr w:type="spellStart"/>
      <w:r w:rsidRPr="00E74630">
        <w:rPr>
          <w:rFonts w:hAnsi="Arial" w:cs="Arial"/>
          <w:color w:val="auto"/>
          <w:lang w:val="en-AU"/>
        </w:rPr>
        <w:t>Varenzin</w:t>
      </w:r>
      <w:proofErr w:type="spellEnd"/>
      <w:r w:rsidRPr="00E74630">
        <w:rPr>
          <w:rFonts w:hAnsi="Arial" w:cs="Arial"/>
          <w:color w:val="auto"/>
          <w:lang w:val="en-AU"/>
        </w:rPr>
        <w:t xml:space="preserve"> Oral Suspension for Cats is</w:t>
      </w:r>
      <w:r w:rsidRPr="00E74630">
        <w:rPr>
          <w:rFonts w:hAnsi="Arial" w:cs="Arial"/>
          <w:color w:val="auto"/>
        </w:rPr>
        <w:t xml:space="preserve">, would be effective as an </w:t>
      </w:r>
      <w:r w:rsidRPr="00E74630">
        <w:rPr>
          <w:rFonts w:hAnsi="Arial" w:cs="Arial"/>
          <w:color w:val="auto"/>
          <w:lang w:val="en-AU"/>
        </w:rPr>
        <w:t xml:space="preserve">aid in control of nonregenerative anaemia associated with chronic kidney disease (CKD) in cats, </w:t>
      </w:r>
      <w:r w:rsidRPr="00E74630">
        <w:rPr>
          <w:rFonts w:hAnsi="Arial" w:cs="Arial"/>
          <w:color w:val="auto"/>
        </w:rPr>
        <w:t>and relevant statements have been placed on the label to mitigate any risks identified:</w:t>
      </w:r>
    </w:p>
    <w:p w14:paraId="613E7B89" w14:textId="262629B8" w:rsidR="00170426" w:rsidRPr="00393455" w:rsidRDefault="00170426" w:rsidP="00393455">
      <w:pPr>
        <w:pStyle w:val="GazetteNormalText"/>
        <w:ind w:left="851"/>
        <w:rPr>
          <w:b/>
          <w:bCs/>
        </w:rPr>
      </w:pPr>
      <w:r w:rsidRPr="00393455">
        <w:rPr>
          <w:b/>
          <w:bCs/>
        </w:rPr>
        <w:t>Claims:</w:t>
      </w:r>
    </w:p>
    <w:p w14:paraId="46CCBE56" w14:textId="3E6C6602" w:rsidR="00393455" w:rsidRPr="00393455" w:rsidRDefault="00170426" w:rsidP="00393455">
      <w:pPr>
        <w:pStyle w:val="GazetteListRomanNumeral"/>
        <w:numPr>
          <w:ilvl w:val="0"/>
          <w:numId w:val="24"/>
        </w:numPr>
        <w:ind w:left="1208" w:hanging="357"/>
        <w:rPr>
          <w:rFonts w:eastAsia="Times New Roman" w:hAnsi="Arial" w:cs="Arial"/>
          <w:i/>
          <w:iCs/>
          <w:color w:val="auto"/>
          <w:bdr w:val="none" w:sz="0" w:space="0" w:color="auto"/>
          <w:lang w:val="en-AU" w:eastAsia="en-US"/>
        </w:rPr>
      </w:pPr>
      <w:r w:rsidRPr="00393455">
        <w:rPr>
          <w:rFonts w:eastAsia="Times New Roman" w:hAnsi="Arial" w:cs="Arial"/>
          <w:i/>
          <w:iCs/>
          <w:color w:val="auto"/>
          <w:bdr w:val="none" w:sz="0" w:space="0" w:color="auto"/>
          <w:lang w:val="en-AU" w:eastAsia="en-US"/>
        </w:rPr>
        <w:t>Aids in the control of nonregenerative anaemia associated with chronic kidney disease (CKD) in cats.</w:t>
      </w:r>
      <w:bookmarkStart w:id="31" w:name="_Hlk210834544"/>
    </w:p>
    <w:p w14:paraId="2BA7756A" w14:textId="3D06878A" w:rsidR="00170426" w:rsidRPr="00393455" w:rsidRDefault="00170426" w:rsidP="00393455">
      <w:pPr>
        <w:pStyle w:val="GazetteNormalText"/>
        <w:ind w:left="851"/>
        <w:rPr>
          <w:b/>
          <w:bCs/>
        </w:rPr>
      </w:pPr>
      <w:r w:rsidRPr="00393455">
        <w:rPr>
          <w:b/>
          <w:bCs/>
        </w:rPr>
        <w:t xml:space="preserve">Dosage and </w:t>
      </w:r>
      <w:r w:rsidR="00713D0D">
        <w:rPr>
          <w:b/>
          <w:bCs/>
        </w:rPr>
        <w:t>a</w:t>
      </w:r>
      <w:r w:rsidRPr="00393455">
        <w:rPr>
          <w:b/>
          <w:bCs/>
        </w:rPr>
        <w:t>dministration</w:t>
      </w:r>
      <w:bookmarkEnd w:id="31"/>
      <w:r w:rsidRPr="00393455">
        <w:rPr>
          <w:b/>
          <w:bCs/>
        </w:rPr>
        <w:t>:</w:t>
      </w:r>
    </w:p>
    <w:p w14:paraId="5250206C" w14:textId="77777777" w:rsidR="00170426" w:rsidRPr="001E047E" w:rsidRDefault="00170426" w:rsidP="00393455">
      <w:pPr>
        <w:pStyle w:val="GazetteListRomanNumeral"/>
        <w:numPr>
          <w:ilvl w:val="0"/>
          <w:numId w:val="24"/>
        </w:numPr>
        <w:ind w:left="1208" w:hanging="357"/>
        <w:rPr>
          <w:rFonts w:hAnsi="Arial" w:cs="Arial"/>
          <w:i/>
          <w:iCs/>
          <w:color w:val="auto"/>
          <w:lang w:val="en-AU"/>
        </w:rPr>
      </w:pPr>
      <w:r w:rsidRPr="00E74630">
        <w:rPr>
          <w:rFonts w:hAnsi="Arial" w:cs="Arial"/>
          <w:i/>
          <w:iCs/>
          <w:color w:val="auto"/>
          <w:lang w:val="en-US"/>
        </w:rPr>
        <w:t>Shake well before use</w:t>
      </w:r>
      <w:r>
        <w:rPr>
          <w:rFonts w:hAnsi="Arial" w:cs="Arial"/>
          <w:i/>
          <w:iCs/>
          <w:color w:val="auto"/>
          <w:lang w:val="en-US"/>
        </w:rPr>
        <w:t>.</w:t>
      </w:r>
    </w:p>
    <w:p w14:paraId="66F8C2EC" w14:textId="77777777" w:rsidR="00170426" w:rsidRPr="00E74630" w:rsidRDefault="00170426" w:rsidP="00393455">
      <w:pPr>
        <w:pStyle w:val="GazetteListRomanNumeral"/>
        <w:numPr>
          <w:ilvl w:val="0"/>
          <w:numId w:val="24"/>
        </w:numPr>
        <w:ind w:left="1208" w:hanging="357"/>
        <w:rPr>
          <w:rFonts w:hAnsi="Arial" w:cs="Arial"/>
          <w:i/>
          <w:iCs/>
          <w:color w:val="auto"/>
          <w:lang w:val="en-AU"/>
        </w:rPr>
      </w:pPr>
      <w:r w:rsidRPr="00E74630">
        <w:rPr>
          <w:rFonts w:hAnsi="Arial" w:cs="Arial"/>
          <w:i/>
          <w:iCs/>
          <w:color w:val="auto"/>
          <w:lang w:val="en-AU"/>
        </w:rPr>
        <w:t xml:space="preserve"> Use content within 28 days after first broaching the vial. Discard unused portion.</w:t>
      </w:r>
    </w:p>
    <w:p w14:paraId="705AC2F4" w14:textId="77777777" w:rsidR="00170426" w:rsidRDefault="00170426" w:rsidP="00393455">
      <w:pPr>
        <w:pStyle w:val="GazetteListRomanNumeral"/>
        <w:numPr>
          <w:ilvl w:val="0"/>
          <w:numId w:val="24"/>
        </w:numPr>
        <w:ind w:left="1208" w:hanging="357"/>
        <w:rPr>
          <w:rFonts w:hAnsi="Arial" w:cs="Arial"/>
          <w:i/>
          <w:iCs/>
          <w:color w:val="auto"/>
          <w:lang w:val="en-AU"/>
        </w:rPr>
      </w:pPr>
      <w:r w:rsidRPr="00E74630">
        <w:rPr>
          <w:rFonts w:hAnsi="Arial" w:cs="Arial"/>
          <w:i/>
          <w:iCs/>
          <w:color w:val="auto"/>
          <w:lang w:val="en-AU"/>
        </w:rPr>
        <w:t xml:space="preserve">The dosage of </w:t>
      </w:r>
      <w:proofErr w:type="spellStart"/>
      <w:r w:rsidRPr="00E74630">
        <w:rPr>
          <w:rFonts w:hAnsi="Arial" w:cs="Arial"/>
          <w:i/>
          <w:iCs/>
          <w:color w:val="auto"/>
          <w:lang w:val="en-AU"/>
        </w:rPr>
        <w:t>Varenzin</w:t>
      </w:r>
      <w:proofErr w:type="spellEnd"/>
      <w:r w:rsidRPr="00E74630">
        <w:rPr>
          <w:rFonts w:hAnsi="Arial" w:cs="Arial"/>
          <w:i/>
          <w:iCs/>
          <w:color w:val="auto"/>
          <w:lang w:val="en-AU"/>
        </w:rPr>
        <w:t xml:space="preserve"> is 5.0 mg/kg body weight (</w:t>
      </w:r>
      <w:proofErr w:type="spellStart"/>
      <w:r w:rsidRPr="00E74630">
        <w:rPr>
          <w:rFonts w:hAnsi="Arial" w:cs="Arial"/>
          <w:i/>
          <w:iCs/>
          <w:color w:val="auto"/>
          <w:lang w:val="en-AU"/>
        </w:rPr>
        <w:t>bw</w:t>
      </w:r>
      <w:proofErr w:type="spellEnd"/>
      <w:r w:rsidRPr="00E74630">
        <w:rPr>
          <w:rFonts w:hAnsi="Arial" w:cs="Arial"/>
          <w:i/>
          <w:iCs/>
          <w:color w:val="auto"/>
          <w:lang w:val="en-AU"/>
        </w:rPr>
        <w:t xml:space="preserve">). The product is administered once daily for 28 days. </w:t>
      </w:r>
      <w:proofErr w:type="spellStart"/>
      <w:r w:rsidRPr="00E74630">
        <w:rPr>
          <w:rFonts w:hAnsi="Arial" w:cs="Arial"/>
          <w:i/>
          <w:iCs/>
          <w:color w:val="auto"/>
          <w:lang w:val="en-AU"/>
        </w:rPr>
        <w:t>Varenzin</w:t>
      </w:r>
      <w:proofErr w:type="spellEnd"/>
      <w:r w:rsidRPr="00E74630">
        <w:rPr>
          <w:rFonts w:hAnsi="Arial" w:cs="Arial"/>
          <w:i/>
          <w:iCs/>
          <w:color w:val="auto"/>
          <w:lang w:val="en-AU"/>
        </w:rPr>
        <w:t xml:space="preserve"> should be administered using the dosing syringe provided in the package. The dosing syringe is marked in increments of 0.1 </w:t>
      </w:r>
      <w:proofErr w:type="spellStart"/>
      <w:r w:rsidRPr="00E74630">
        <w:rPr>
          <w:rFonts w:hAnsi="Arial" w:cs="Arial"/>
          <w:i/>
          <w:iCs/>
          <w:color w:val="auto"/>
          <w:lang w:val="en-AU"/>
        </w:rPr>
        <w:t>mL.</w:t>
      </w:r>
      <w:proofErr w:type="spellEnd"/>
      <w:r w:rsidRPr="00E74630">
        <w:rPr>
          <w:rFonts w:hAnsi="Arial" w:cs="Arial"/>
          <w:i/>
          <w:iCs/>
          <w:color w:val="auto"/>
          <w:lang w:val="en-AU"/>
        </w:rPr>
        <w:t xml:space="preserve"> The dose should be rounded up to the nearest 0.1 </w:t>
      </w:r>
      <w:proofErr w:type="spellStart"/>
      <w:r w:rsidRPr="00E74630">
        <w:rPr>
          <w:rFonts w:hAnsi="Arial" w:cs="Arial"/>
          <w:i/>
          <w:iCs/>
          <w:color w:val="auto"/>
          <w:lang w:val="en-AU"/>
        </w:rPr>
        <w:t>mL.</w:t>
      </w:r>
      <w:proofErr w:type="spellEnd"/>
    </w:p>
    <w:p w14:paraId="64F60812" w14:textId="77777777" w:rsidR="00170426" w:rsidRPr="00B4125F" w:rsidRDefault="00170426" w:rsidP="00393455">
      <w:pPr>
        <w:pStyle w:val="GazetteListRomanNumeral"/>
        <w:numPr>
          <w:ilvl w:val="0"/>
          <w:numId w:val="24"/>
        </w:numPr>
        <w:ind w:left="1208" w:hanging="357"/>
        <w:rPr>
          <w:rFonts w:hAnsi="Arial" w:cs="Arial"/>
          <w:i/>
          <w:iCs/>
          <w:color w:val="auto"/>
          <w:lang w:val="en-AU"/>
        </w:rPr>
      </w:pPr>
      <w:r w:rsidRPr="00B4125F">
        <w:rPr>
          <w:rFonts w:hAnsi="Arial" w:cs="Arial"/>
          <w:i/>
          <w:iCs/>
          <w:color w:val="auto"/>
          <w:lang w:val="en-AU"/>
        </w:rPr>
        <w:t>If the cat demonstrates resistance to dosing, please consult your veterinarian.</w:t>
      </w:r>
    </w:p>
    <w:p w14:paraId="4DA07713" w14:textId="77777777" w:rsidR="00170426" w:rsidRPr="00B4125F" w:rsidRDefault="00170426" w:rsidP="00393455">
      <w:pPr>
        <w:pStyle w:val="GazetteListRomanNumeral"/>
        <w:numPr>
          <w:ilvl w:val="0"/>
          <w:numId w:val="0"/>
        </w:numPr>
        <w:ind w:left="851"/>
        <w:rPr>
          <w:rFonts w:hAnsi="Arial" w:cs="Arial"/>
          <w:i/>
          <w:iCs/>
          <w:color w:val="auto"/>
          <w:u w:val="single"/>
          <w:lang w:val="en-AU"/>
        </w:rPr>
      </w:pPr>
      <w:r w:rsidRPr="00B4125F">
        <w:rPr>
          <w:rFonts w:hAnsi="Arial" w:cs="Arial"/>
          <w:i/>
          <w:iCs/>
          <w:color w:val="auto"/>
          <w:u w:val="single"/>
          <w:lang w:val="en-AU"/>
        </w:rPr>
        <w:t>Administration</w:t>
      </w:r>
    </w:p>
    <w:p w14:paraId="2004FA42" w14:textId="77777777" w:rsidR="00170426" w:rsidRPr="00E74630" w:rsidRDefault="00170426" w:rsidP="00393455">
      <w:pPr>
        <w:pStyle w:val="GazetteListRomanNumeral"/>
        <w:numPr>
          <w:ilvl w:val="0"/>
          <w:numId w:val="24"/>
        </w:numPr>
        <w:rPr>
          <w:rFonts w:hAnsi="Arial" w:cs="Arial"/>
          <w:i/>
          <w:iCs/>
          <w:color w:val="auto"/>
          <w:lang w:val="en-AU"/>
        </w:rPr>
      </w:pPr>
      <w:r w:rsidRPr="00E74630">
        <w:rPr>
          <w:rFonts w:hAnsi="Arial" w:cs="Arial"/>
          <w:i/>
          <w:iCs/>
          <w:color w:val="auto"/>
          <w:lang w:val="en-US"/>
        </w:rPr>
        <w:t>Remove screw cap. Use the enclosed syringe for each treatment. Place the syringe nozzle firmly into the opening of the bottle. Turn the bottle upside down and withdraw the necessary volume. Ensure the bottle is returned to an upright position before removing the syringe. The product should be administered with the syringe into the cat’s mouth.</w:t>
      </w:r>
    </w:p>
    <w:p w14:paraId="7A016E18" w14:textId="588AC272" w:rsidR="00170426" w:rsidRPr="00E74630" w:rsidRDefault="00170426" w:rsidP="00393455">
      <w:pPr>
        <w:pStyle w:val="GazetteListRomanNumeral"/>
        <w:numPr>
          <w:ilvl w:val="0"/>
          <w:numId w:val="24"/>
        </w:numPr>
        <w:rPr>
          <w:rFonts w:hAnsi="Arial" w:cs="Arial"/>
          <w:i/>
          <w:iCs/>
          <w:color w:val="auto"/>
          <w:lang w:val="en-AU"/>
        </w:rPr>
      </w:pPr>
      <w:r w:rsidRPr="00E74630">
        <w:rPr>
          <w:rFonts w:hAnsi="Arial" w:cs="Arial"/>
          <w:i/>
          <w:iCs/>
          <w:color w:val="auto"/>
          <w:lang w:val="en-US"/>
        </w:rPr>
        <w:t>After administration, close bottle tightly with cap and store syringe in the carton together with the product.</w:t>
      </w:r>
      <w:r w:rsidR="009975D2">
        <w:rPr>
          <w:rFonts w:hAnsi="Arial" w:cs="Arial"/>
          <w:i/>
          <w:iCs/>
          <w:color w:val="auto"/>
          <w:lang w:val="en-US"/>
        </w:rPr>
        <w:t xml:space="preserve"> </w:t>
      </w:r>
      <w:r w:rsidRPr="00E74630">
        <w:rPr>
          <w:rFonts w:hAnsi="Arial" w:cs="Arial"/>
          <w:i/>
          <w:iCs/>
          <w:color w:val="auto"/>
          <w:lang w:val="en-US"/>
        </w:rPr>
        <w:t>Do not disassemble or wash the syringe. The product should be given once daily for 28 consecutive days.</w:t>
      </w:r>
    </w:p>
    <w:p w14:paraId="3F3CC3C5" w14:textId="77777777" w:rsidR="00BF2CAA" w:rsidRDefault="00BF2CAA" w:rsidP="00393455">
      <w:pPr>
        <w:pStyle w:val="GazetteNormalText"/>
        <w:ind w:left="851"/>
        <w:rPr>
          <w:b/>
          <w:bCs/>
        </w:rPr>
      </w:pPr>
    </w:p>
    <w:p w14:paraId="23E990CC" w14:textId="6A722E64" w:rsidR="00170426" w:rsidRPr="00393455" w:rsidRDefault="00170426" w:rsidP="00393455">
      <w:pPr>
        <w:pStyle w:val="GazetteNormalText"/>
        <w:ind w:left="851"/>
        <w:rPr>
          <w:b/>
          <w:bCs/>
        </w:rPr>
      </w:pPr>
      <w:r w:rsidRPr="00393455">
        <w:rPr>
          <w:b/>
          <w:bCs/>
        </w:rPr>
        <w:lastRenderedPageBreak/>
        <w:t xml:space="preserve">General </w:t>
      </w:r>
      <w:r w:rsidR="00713D0D">
        <w:rPr>
          <w:b/>
          <w:bCs/>
        </w:rPr>
        <w:t>d</w:t>
      </w:r>
      <w:r w:rsidRPr="00393455">
        <w:rPr>
          <w:b/>
          <w:bCs/>
        </w:rPr>
        <w:t>irections:</w:t>
      </w:r>
    </w:p>
    <w:p w14:paraId="5264A22C" w14:textId="77777777" w:rsidR="00170426" w:rsidRPr="00C378AB" w:rsidRDefault="00170426" w:rsidP="00393455">
      <w:pPr>
        <w:pStyle w:val="GazetteListRomanNumeral"/>
        <w:numPr>
          <w:ilvl w:val="0"/>
          <w:numId w:val="0"/>
        </w:numPr>
        <w:ind w:left="1135" w:hanging="284"/>
        <w:rPr>
          <w:rFonts w:hAnsi="Arial" w:cs="Arial"/>
          <w:i/>
          <w:iCs/>
          <w:color w:val="auto"/>
          <w:u w:val="single"/>
          <w:lang w:val="en-AU"/>
        </w:rPr>
      </w:pPr>
      <w:r w:rsidRPr="00C378AB">
        <w:rPr>
          <w:rFonts w:hAnsi="Arial" w:cs="Arial"/>
          <w:i/>
          <w:iCs/>
          <w:color w:val="auto"/>
          <w:u w:val="single"/>
          <w:lang w:val="en-AU"/>
        </w:rPr>
        <w:t>Monitoring and follow up recommendations:</w:t>
      </w:r>
    </w:p>
    <w:p w14:paraId="79AE576F" w14:textId="260FD144" w:rsidR="00170426" w:rsidRPr="00E74630" w:rsidRDefault="00170426" w:rsidP="00393455">
      <w:pPr>
        <w:pStyle w:val="GazetteListRomanNumeral"/>
        <w:numPr>
          <w:ilvl w:val="0"/>
          <w:numId w:val="25"/>
        </w:numPr>
        <w:ind w:left="1208" w:hanging="357"/>
        <w:rPr>
          <w:rFonts w:hAnsi="Arial" w:cs="Arial"/>
          <w:i/>
          <w:iCs/>
          <w:color w:val="auto"/>
          <w:lang w:val="en-AU"/>
        </w:rPr>
      </w:pPr>
      <w:r w:rsidRPr="00E74630">
        <w:rPr>
          <w:rFonts w:hAnsi="Arial" w:cs="Arial"/>
          <w:i/>
          <w:iCs/>
          <w:color w:val="auto"/>
          <w:lang w:val="en-AU"/>
        </w:rPr>
        <w:t>After treatment cessation the haematocrit level should be periodically checked, beginning 7 days after cessation, with the frequency depending on the clinical status of the patient (e.g. weekly, 2 weekly or monthly).</w:t>
      </w:r>
    </w:p>
    <w:p w14:paraId="305D3B48" w14:textId="1DA704A3" w:rsidR="00170426" w:rsidRPr="00E74630" w:rsidRDefault="00170426" w:rsidP="00393455">
      <w:pPr>
        <w:pStyle w:val="GazetteListRomanNumeral"/>
        <w:numPr>
          <w:ilvl w:val="0"/>
          <w:numId w:val="25"/>
        </w:numPr>
        <w:ind w:left="1208" w:hanging="357"/>
        <w:rPr>
          <w:rFonts w:hAnsi="Arial" w:cs="Arial"/>
          <w:i/>
          <w:iCs/>
          <w:color w:val="auto"/>
          <w:lang w:val="en-AU"/>
        </w:rPr>
      </w:pPr>
      <w:r w:rsidRPr="00E74630">
        <w:rPr>
          <w:rFonts w:hAnsi="Arial" w:cs="Arial"/>
          <w:i/>
          <w:iCs/>
          <w:color w:val="auto"/>
          <w:lang w:val="en-AU"/>
        </w:rPr>
        <w:t>When the HCT or PCV level declines below the lower limit of the reference range, a new treatment cycle should be started. The ideal interval between treatment cycles will vary between cats and may change over time for an individual cat.</w:t>
      </w:r>
    </w:p>
    <w:p w14:paraId="03B7F9AC" w14:textId="0218698D" w:rsidR="00170426" w:rsidRDefault="00170426" w:rsidP="00393455">
      <w:pPr>
        <w:pStyle w:val="GazetteListRomanNumeral"/>
        <w:numPr>
          <w:ilvl w:val="0"/>
          <w:numId w:val="25"/>
        </w:numPr>
        <w:ind w:left="1208" w:hanging="357"/>
        <w:rPr>
          <w:rFonts w:hAnsi="Arial" w:cs="Arial"/>
          <w:i/>
          <w:iCs/>
          <w:color w:val="auto"/>
          <w:lang w:val="en-AU"/>
        </w:rPr>
      </w:pPr>
      <w:r w:rsidRPr="00E74630">
        <w:rPr>
          <w:rFonts w:hAnsi="Arial" w:cs="Arial"/>
          <w:i/>
          <w:iCs/>
          <w:color w:val="auto"/>
          <w:lang w:val="en-AU"/>
        </w:rPr>
        <w:t xml:space="preserve">If a cat does not respond to treatment after 3 weeks, it is recommended to re-examine the animal for any other underlying condition that may contribute to anaemia, such as iron deficiency, inflammatory disease, or blood loss. It is advised to treat the underlying condition before re-starting treatment with </w:t>
      </w:r>
      <w:proofErr w:type="spellStart"/>
      <w:r w:rsidRPr="00E74630">
        <w:rPr>
          <w:rFonts w:hAnsi="Arial" w:cs="Arial"/>
          <w:i/>
          <w:iCs/>
          <w:color w:val="auto"/>
          <w:lang w:val="en-AU"/>
        </w:rPr>
        <w:t>Varenzin</w:t>
      </w:r>
      <w:proofErr w:type="spellEnd"/>
      <w:r w:rsidRPr="00E74630">
        <w:rPr>
          <w:rFonts w:hAnsi="Arial" w:cs="Arial"/>
          <w:i/>
          <w:iCs/>
          <w:color w:val="auto"/>
          <w:lang w:val="en-AU"/>
        </w:rPr>
        <w:t>.</w:t>
      </w:r>
    </w:p>
    <w:p w14:paraId="43F1FE05" w14:textId="77777777" w:rsidR="00170426" w:rsidRPr="007362C7" w:rsidRDefault="00170426" w:rsidP="00393455">
      <w:pPr>
        <w:pStyle w:val="GazetteListRomanNumeral"/>
        <w:numPr>
          <w:ilvl w:val="0"/>
          <w:numId w:val="25"/>
        </w:numPr>
        <w:ind w:left="1208" w:hanging="357"/>
        <w:rPr>
          <w:rFonts w:hAnsi="Arial" w:cs="Arial"/>
          <w:i/>
          <w:iCs/>
          <w:color w:val="auto"/>
          <w:lang w:val="en-AU"/>
        </w:rPr>
      </w:pPr>
      <w:r w:rsidRPr="007362C7">
        <w:rPr>
          <w:rFonts w:hAnsi="Arial" w:cs="Arial"/>
          <w:i/>
          <w:iCs/>
          <w:color w:val="auto"/>
          <w:lang w:val="en-AU"/>
        </w:rPr>
        <w:t>Efficacy studies have shown reduced clinical response when vomiting occurs</w:t>
      </w:r>
      <w:r>
        <w:rPr>
          <w:rFonts w:hAnsi="Arial" w:cs="Arial"/>
          <w:i/>
          <w:iCs/>
          <w:color w:val="auto"/>
          <w:lang w:val="en-AU"/>
        </w:rPr>
        <w:t xml:space="preserve"> </w:t>
      </w:r>
      <w:r w:rsidRPr="007362C7">
        <w:rPr>
          <w:rFonts w:hAnsi="Arial" w:cs="Arial"/>
          <w:i/>
          <w:iCs/>
          <w:color w:val="auto"/>
          <w:lang w:val="en-AU"/>
        </w:rPr>
        <w:t>immediately after dosing, related to under dosing. Consult your veterinarian if vomiting after</w:t>
      </w:r>
      <w:r>
        <w:rPr>
          <w:rFonts w:hAnsi="Arial" w:cs="Arial"/>
          <w:i/>
          <w:iCs/>
          <w:color w:val="auto"/>
          <w:lang w:val="en-AU"/>
        </w:rPr>
        <w:t xml:space="preserve"> </w:t>
      </w:r>
      <w:r w:rsidRPr="007362C7">
        <w:rPr>
          <w:rFonts w:hAnsi="Arial" w:cs="Arial"/>
          <w:i/>
          <w:iCs/>
          <w:color w:val="auto"/>
          <w:lang w:val="en-AU"/>
        </w:rPr>
        <w:t>dosing continues in subsequent administrations.</w:t>
      </w:r>
    </w:p>
    <w:p w14:paraId="35AAEB0C" w14:textId="77777777" w:rsidR="00170426" w:rsidRPr="00393455" w:rsidRDefault="00170426" w:rsidP="00393455">
      <w:pPr>
        <w:pStyle w:val="GazetteListRomanNumeral"/>
        <w:numPr>
          <w:ilvl w:val="0"/>
          <w:numId w:val="0"/>
        </w:numPr>
        <w:ind w:left="851"/>
        <w:rPr>
          <w:rFonts w:hAnsi="Arial" w:cs="Arial"/>
          <w:i/>
          <w:iCs/>
          <w:color w:val="auto"/>
          <w:u w:val="single"/>
          <w:lang w:val="en-AU"/>
        </w:rPr>
      </w:pPr>
      <w:r w:rsidRPr="00393455">
        <w:rPr>
          <w:rFonts w:hAnsi="Arial" w:cs="Arial"/>
          <w:i/>
          <w:iCs/>
          <w:color w:val="auto"/>
          <w:u w:val="single"/>
          <w:lang w:val="en-AU"/>
        </w:rPr>
        <w:t>Demonstrated efficacy in field studies:</w:t>
      </w:r>
    </w:p>
    <w:p w14:paraId="7907EE0B" w14:textId="77777777" w:rsidR="00170426" w:rsidRDefault="00170426" w:rsidP="00393455">
      <w:pPr>
        <w:pStyle w:val="GazetteListNumbered"/>
        <w:numPr>
          <w:ilvl w:val="0"/>
          <w:numId w:val="29"/>
        </w:numPr>
        <w:ind w:left="1208" w:hanging="357"/>
        <w:rPr>
          <w:rFonts w:hAnsi="Arial" w:cs="Arial"/>
          <w:i/>
          <w:iCs/>
        </w:rPr>
      </w:pPr>
      <w:r w:rsidRPr="007362C7">
        <w:rPr>
          <w:rFonts w:hAnsi="Arial" w:cs="Arial"/>
          <w:i/>
          <w:iCs/>
        </w:rPr>
        <w:t xml:space="preserve">In field studies conducted with </w:t>
      </w:r>
      <w:proofErr w:type="spellStart"/>
      <w:r w:rsidRPr="007362C7">
        <w:rPr>
          <w:rFonts w:hAnsi="Arial" w:cs="Arial"/>
          <w:i/>
          <w:iCs/>
        </w:rPr>
        <w:t>Varenzin</w:t>
      </w:r>
      <w:proofErr w:type="spellEnd"/>
      <w:r w:rsidRPr="007362C7">
        <w:rPr>
          <w:rFonts w:hAnsi="Arial" w:cs="Arial"/>
          <w:i/>
          <w:iCs/>
        </w:rPr>
        <w:t xml:space="preserve">, the </w:t>
      </w:r>
      <w:r>
        <w:rPr>
          <w:rFonts w:hAnsi="Arial" w:cs="Arial"/>
          <w:i/>
          <w:iCs/>
        </w:rPr>
        <w:t xml:space="preserve">applicant’s determination of </w:t>
      </w:r>
      <w:r w:rsidRPr="007362C7">
        <w:rPr>
          <w:rFonts w:hAnsi="Arial" w:cs="Arial"/>
          <w:i/>
          <w:iCs/>
        </w:rPr>
        <w:t>treatment success was based on an absolute</w:t>
      </w:r>
      <w:r>
        <w:rPr>
          <w:rFonts w:hAnsi="Arial" w:cs="Arial"/>
          <w:i/>
          <w:iCs/>
        </w:rPr>
        <w:t xml:space="preserve"> </w:t>
      </w:r>
      <w:r w:rsidRPr="007362C7">
        <w:rPr>
          <w:rFonts w:hAnsi="Arial" w:cs="Arial"/>
          <w:i/>
          <w:iCs/>
        </w:rPr>
        <w:t xml:space="preserve">increase of </w:t>
      </w:r>
      <w:r>
        <w:rPr>
          <w:rFonts w:hAnsi="Arial" w:cs="Arial"/>
          <w:i/>
          <w:iCs/>
        </w:rPr>
        <w:t>≥</w:t>
      </w:r>
      <w:r w:rsidRPr="007362C7">
        <w:rPr>
          <w:rFonts w:hAnsi="Arial" w:cs="Arial"/>
          <w:i/>
          <w:iCs/>
        </w:rPr>
        <w:t>4 percentage points in HCT observed on study day 28 compared to study day</w:t>
      </w:r>
      <w:r>
        <w:rPr>
          <w:rFonts w:hAnsi="Arial" w:cs="Arial"/>
          <w:i/>
          <w:iCs/>
        </w:rPr>
        <w:t xml:space="preserve"> </w:t>
      </w:r>
      <w:r w:rsidRPr="007362C7">
        <w:rPr>
          <w:rFonts w:hAnsi="Arial" w:cs="Arial"/>
          <w:i/>
          <w:iCs/>
        </w:rPr>
        <w:t>0, or a relative increase of 25% in HCT on study day 28 compared to study day 0.</w:t>
      </w:r>
    </w:p>
    <w:p w14:paraId="40440F29" w14:textId="77777777" w:rsidR="00170426" w:rsidRPr="00B4125F" w:rsidRDefault="00170426" w:rsidP="00393455">
      <w:pPr>
        <w:pStyle w:val="GazetteListNumbered"/>
        <w:numPr>
          <w:ilvl w:val="0"/>
          <w:numId w:val="29"/>
        </w:numPr>
        <w:ind w:left="1208" w:hanging="357"/>
        <w:rPr>
          <w:rFonts w:hAnsi="Arial" w:cs="Arial"/>
          <w:i/>
          <w:iCs/>
        </w:rPr>
      </w:pPr>
      <w:r w:rsidRPr="007362C7">
        <w:rPr>
          <w:rFonts w:hAnsi="Arial" w:cs="Arial"/>
          <w:i/>
          <w:iCs/>
        </w:rPr>
        <w:t>In the efficacy study population of the pivotal field study involving CKD cats showed 68%</w:t>
      </w:r>
      <w:r>
        <w:rPr>
          <w:rFonts w:hAnsi="Arial" w:cs="Arial"/>
          <w:i/>
          <w:iCs/>
        </w:rPr>
        <w:t xml:space="preserve"> </w:t>
      </w:r>
      <w:r w:rsidRPr="007362C7">
        <w:rPr>
          <w:rFonts w:hAnsi="Arial" w:cs="Arial"/>
          <w:i/>
          <w:iCs/>
        </w:rPr>
        <w:t xml:space="preserve">and 17% success rates respectively for </w:t>
      </w:r>
      <w:proofErr w:type="spellStart"/>
      <w:r w:rsidRPr="007362C7">
        <w:rPr>
          <w:rFonts w:hAnsi="Arial" w:cs="Arial"/>
          <w:i/>
          <w:iCs/>
        </w:rPr>
        <w:t>molidustat</w:t>
      </w:r>
      <w:proofErr w:type="spellEnd"/>
      <w:r w:rsidRPr="007362C7">
        <w:rPr>
          <w:rFonts w:hAnsi="Arial" w:cs="Arial"/>
          <w:i/>
          <w:iCs/>
        </w:rPr>
        <w:t xml:space="preserve"> treatment group [n</w:t>
      </w:r>
      <w:r>
        <w:rPr>
          <w:rFonts w:hAnsi="Arial" w:cs="Arial"/>
          <w:i/>
          <w:iCs/>
        </w:rPr>
        <w:t>=</w:t>
      </w:r>
      <w:r w:rsidRPr="007362C7">
        <w:rPr>
          <w:rFonts w:hAnsi="Arial" w:cs="Arial"/>
          <w:i/>
          <w:iCs/>
        </w:rPr>
        <w:t>40] and placebo</w:t>
      </w:r>
      <w:r>
        <w:rPr>
          <w:rFonts w:hAnsi="Arial" w:cs="Arial"/>
          <w:i/>
          <w:iCs/>
        </w:rPr>
        <w:t xml:space="preserve"> </w:t>
      </w:r>
      <w:r w:rsidRPr="007362C7">
        <w:rPr>
          <w:rFonts w:hAnsi="Arial" w:cs="Arial"/>
          <w:i/>
          <w:iCs/>
        </w:rPr>
        <w:t xml:space="preserve">group [n=35], at day 28. At day 21 the success rate was 69% for </w:t>
      </w:r>
      <w:proofErr w:type="spellStart"/>
      <w:r w:rsidRPr="007362C7">
        <w:rPr>
          <w:rFonts w:hAnsi="Arial" w:cs="Arial"/>
          <w:i/>
          <w:iCs/>
        </w:rPr>
        <w:t>molidustat</w:t>
      </w:r>
      <w:proofErr w:type="spellEnd"/>
      <w:r w:rsidRPr="007362C7">
        <w:rPr>
          <w:rFonts w:hAnsi="Arial" w:cs="Arial"/>
          <w:i/>
          <w:iCs/>
        </w:rPr>
        <w:t xml:space="preserve"> treatment</w:t>
      </w:r>
      <w:r>
        <w:rPr>
          <w:rFonts w:hAnsi="Arial" w:cs="Arial"/>
          <w:i/>
          <w:iCs/>
        </w:rPr>
        <w:t xml:space="preserve"> </w:t>
      </w:r>
      <w:r w:rsidRPr="007362C7">
        <w:rPr>
          <w:rFonts w:hAnsi="Arial" w:cs="Arial"/>
          <w:i/>
          <w:iCs/>
        </w:rPr>
        <w:t>group [n=39] and 24% for control group [n=34]. At both time points the success rates</w:t>
      </w:r>
      <w:r>
        <w:rPr>
          <w:rFonts w:hAnsi="Arial" w:cs="Arial"/>
          <w:i/>
          <w:iCs/>
        </w:rPr>
        <w:t xml:space="preserve"> </w:t>
      </w:r>
      <w:r w:rsidRPr="007362C7">
        <w:rPr>
          <w:rFonts w:hAnsi="Arial" w:cs="Arial"/>
          <w:i/>
          <w:iCs/>
          <w:color w:val="auto"/>
          <w:lang w:val="en-AU"/>
        </w:rPr>
        <w:t>in treatment groups were statistically significant over the placebo group. It was noted</w:t>
      </w:r>
      <w:r>
        <w:rPr>
          <w:rFonts w:hAnsi="Arial" w:cs="Arial"/>
          <w:i/>
          <w:iCs/>
          <w:color w:val="auto"/>
          <w:lang w:val="en-AU"/>
        </w:rPr>
        <w:t xml:space="preserve"> </w:t>
      </w:r>
      <w:r w:rsidRPr="007362C7">
        <w:rPr>
          <w:rFonts w:hAnsi="Arial" w:cs="Arial"/>
          <w:i/>
          <w:iCs/>
        </w:rPr>
        <w:t>however, only 17 of 39 and 16 of 40 cats were back within the normal reference range of</w:t>
      </w:r>
      <w:r>
        <w:rPr>
          <w:rFonts w:hAnsi="Arial" w:cs="Arial"/>
          <w:i/>
          <w:iCs/>
        </w:rPr>
        <w:t xml:space="preserve"> </w:t>
      </w:r>
      <w:r w:rsidRPr="007362C7">
        <w:rPr>
          <w:rFonts w:hAnsi="Arial" w:cs="Arial"/>
          <w:i/>
          <w:iCs/>
          <w:color w:val="auto"/>
          <w:lang w:val="en-AU"/>
        </w:rPr>
        <w:t>HCT at days 21 and 28 respectively.</w:t>
      </w:r>
    </w:p>
    <w:p w14:paraId="0E0678C8" w14:textId="77777777" w:rsidR="00170426" w:rsidRPr="00C378AB" w:rsidRDefault="00170426" w:rsidP="00393455">
      <w:pPr>
        <w:pStyle w:val="GazetteListNumbered"/>
        <w:numPr>
          <w:ilvl w:val="0"/>
          <w:numId w:val="29"/>
        </w:numPr>
        <w:ind w:left="1208" w:hanging="357"/>
        <w:rPr>
          <w:rFonts w:hAnsi="Arial" w:cs="Arial"/>
          <w:i/>
          <w:iCs/>
        </w:rPr>
      </w:pPr>
      <w:r>
        <w:rPr>
          <w:rFonts w:hAnsi="Arial" w:cs="Arial"/>
          <w:i/>
          <w:iCs/>
        </w:rPr>
        <w:t xml:space="preserve"> </w:t>
      </w:r>
      <w:r w:rsidRPr="00980A42">
        <w:rPr>
          <w:rFonts w:hAnsi="Arial" w:cs="Arial"/>
          <w:i/>
          <w:iCs/>
          <w:lang w:val="en-AU"/>
        </w:rPr>
        <w:t xml:space="preserve">In a pilot field study, 15 cats with chronic kidney disease (CKD) were assigned to the </w:t>
      </w:r>
      <w:proofErr w:type="spellStart"/>
      <w:r w:rsidRPr="00980A42">
        <w:rPr>
          <w:rFonts w:hAnsi="Arial" w:cs="Arial"/>
          <w:i/>
          <w:iCs/>
          <w:lang w:val="en-AU"/>
        </w:rPr>
        <w:t>molidustat</w:t>
      </w:r>
      <w:proofErr w:type="spellEnd"/>
      <w:r w:rsidRPr="00980A42">
        <w:rPr>
          <w:rFonts w:hAnsi="Arial" w:cs="Arial"/>
          <w:i/>
          <w:iCs/>
          <w:lang w:val="en-AU"/>
        </w:rPr>
        <w:t xml:space="preserve"> treatment group, and 6 cats with (CKD) were assigned to the control group. Treatment success rate in the </w:t>
      </w:r>
      <w:proofErr w:type="spellStart"/>
      <w:r w:rsidRPr="00980A42">
        <w:rPr>
          <w:rFonts w:hAnsi="Arial" w:cs="Arial"/>
          <w:i/>
          <w:iCs/>
          <w:lang w:val="en-AU"/>
        </w:rPr>
        <w:t>molidustat</w:t>
      </w:r>
      <w:proofErr w:type="spellEnd"/>
      <w:r w:rsidRPr="00980A42">
        <w:rPr>
          <w:rFonts w:hAnsi="Arial" w:cs="Arial"/>
          <w:i/>
          <w:iCs/>
          <w:lang w:val="en-AU"/>
        </w:rPr>
        <w:t xml:space="preserve"> treated group was numerically superior to the vehicle control group on study day 28 (50% [7/14] vs. 20% [1/5]). Eight cats from the effectiveness phase were enrolled in a continuation phase, which lasted an additional 56 days, and received, depending on their PCV, either 2.5 mg/kg or 5 mg/kg </w:t>
      </w:r>
      <w:proofErr w:type="spellStart"/>
      <w:r w:rsidRPr="00980A42">
        <w:rPr>
          <w:rFonts w:hAnsi="Arial" w:cs="Arial"/>
          <w:i/>
          <w:iCs/>
          <w:lang w:val="en-AU"/>
        </w:rPr>
        <w:t>bw</w:t>
      </w:r>
      <w:proofErr w:type="spellEnd"/>
      <w:r w:rsidRPr="00980A42">
        <w:rPr>
          <w:rFonts w:hAnsi="Arial" w:cs="Arial"/>
          <w:i/>
          <w:iCs/>
          <w:lang w:val="en-AU"/>
        </w:rPr>
        <w:t xml:space="preserve"> of the same </w:t>
      </w:r>
      <w:proofErr w:type="spellStart"/>
      <w:r w:rsidRPr="00980A42">
        <w:rPr>
          <w:rFonts w:hAnsi="Arial" w:cs="Arial"/>
          <w:i/>
          <w:iCs/>
          <w:lang w:val="en-AU"/>
        </w:rPr>
        <w:t>molidustat</w:t>
      </w:r>
      <w:proofErr w:type="spellEnd"/>
      <w:r w:rsidRPr="00980A42">
        <w:rPr>
          <w:rFonts w:hAnsi="Arial" w:cs="Arial"/>
          <w:i/>
          <w:iCs/>
          <w:lang w:val="en-AU"/>
        </w:rPr>
        <w:t xml:space="preserve"> oral suspension formulation. The continuation phase was a multi-</w:t>
      </w:r>
      <w:proofErr w:type="spellStart"/>
      <w:r w:rsidRPr="00980A42">
        <w:rPr>
          <w:rFonts w:hAnsi="Arial" w:cs="Arial"/>
          <w:i/>
          <w:iCs/>
          <w:lang w:val="en-AU"/>
        </w:rPr>
        <w:t>center</w:t>
      </w:r>
      <w:proofErr w:type="spellEnd"/>
      <w:r w:rsidRPr="00980A42">
        <w:rPr>
          <w:rFonts w:hAnsi="Arial" w:cs="Arial"/>
          <w:i/>
          <w:iCs/>
          <w:lang w:val="en-AU"/>
        </w:rPr>
        <w:t>, unmasked, non-randomized, uncontrolled field safety and effectiveness study. During the continuation phase of the study, PCV was evaluated weekly, and HCT was evaluated on study days 56 and 84 (± 2 days). Treatment success for each cat during the continuation phase was defined the same as during the 28-day study. On study day 56, 75% (6/8) of the cats were considered successes and on study day 84, 62.5% (5/8) of the cats were considered successes.</w:t>
      </w:r>
    </w:p>
    <w:p w14:paraId="29543ED0" w14:textId="77777777" w:rsidR="00170426" w:rsidRPr="00E74630" w:rsidRDefault="00170426" w:rsidP="00170426">
      <w:pPr>
        <w:pStyle w:val="GazetteListNumbered"/>
        <w:rPr>
          <w:rFonts w:hAnsi="Arial" w:cs="Arial"/>
        </w:rPr>
      </w:pPr>
      <w:r w:rsidRPr="007362C7">
        <w:rPr>
          <w:rFonts w:hAnsi="Arial" w:cs="Arial"/>
          <w:lang w:val="en-AU"/>
        </w:rPr>
        <w:t>The</w:t>
      </w:r>
      <w:r>
        <w:rPr>
          <w:rFonts w:hAnsi="Arial" w:cs="Arial"/>
          <w:lang w:val="en-AU"/>
        </w:rPr>
        <w:t xml:space="preserve"> </w:t>
      </w:r>
      <w:r w:rsidRPr="00E74630">
        <w:rPr>
          <w:rFonts w:hAnsi="Arial" w:cs="Arial"/>
        </w:rPr>
        <w:t xml:space="preserve">APVMA has evaluated the application and in its assessment in relation to whether the </w:t>
      </w:r>
      <w:r w:rsidRPr="00C378AB">
        <w:rPr>
          <w:rFonts w:hAnsi="Arial" w:cs="Arial"/>
          <w:b/>
          <w:bCs/>
        </w:rPr>
        <w:t xml:space="preserve">trade </w:t>
      </w:r>
      <w:r w:rsidRPr="00E74630">
        <w:rPr>
          <w:rFonts w:hAnsi="Arial" w:cs="Arial"/>
        </w:rPr>
        <w:t xml:space="preserve">criteria have been met in accordance with the definition set out in section 5C of the </w:t>
      </w:r>
      <w:proofErr w:type="spellStart"/>
      <w:r w:rsidRPr="00E74630">
        <w:rPr>
          <w:rFonts w:hAnsi="Arial" w:cs="Arial"/>
        </w:rPr>
        <w:t>Agvet</w:t>
      </w:r>
      <w:proofErr w:type="spellEnd"/>
      <w:r w:rsidRPr="00E74630">
        <w:rPr>
          <w:rFonts w:hAnsi="Arial" w:cs="Arial"/>
        </w:rPr>
        <w:t xml:space="preserve"> Code, proposes to determine that:</w:t>
      </w:r>
    </w:p>
    <w:p w14:paraId="35C40B23" w14:textId="60133E48" w:rsidR="00170426" w:rsidRPr="00DA0F9A" w:rsidRDefault="00170426" w:rsidP="00DA0F9A">
      <w:pPr>
        <w:pStyle w:val="GazetteListRomanNumeral"/>
        <w:numPr>
          <w:ilvl w:val="0"/>
          <w:numId w:val="9"/>
        </w:numPr>
        <w:ind w:left="454" w:hanging="284"/>
        <w:rPr>
          <w:rFonts w:hAnsi="Arial" w:cs="Arial"/>
        </w:rPr>
      </w:pPr>
      <w:r w:rsidRPr="00E74630">
        <w:rPr>
          <w:rFonts w:hAnsi="Arial" w:cs="Arial"/>
        </w:rPr>
        <w:t xml:space="preserve">The APVMA is satisfied that the proposed use of </w:t>
      </w:r>
      <w:proofErr w:type="spellStart"/>
      <w:r w:rsidRPr="00E74630">
        <w:rPr>
          <w:rFonts w:hAnsi="Arial" w:cs="Arial"/>
          <w:lang w:val="en-AU"/>
        </w:rPr>
        <w:t>Varenzin</w:t>
      </w:r>
      <w:proofErr w:type="spellEnd"/>
      <w:r w:rsidRPr="00E74630">
        <w:rPr>
          <w:rFonts w:hAnsi="Arial" w:cs="Arial"/>
          <w:lang w:val="en-AU"/>
        </w:rPr>
        <w:t xml:space="preserve"> Oral Suspension for Cats </w:t>
      </w:r>
      <w:r w:rsidRPr="00E74630">
        <w:rPr>
          <w:rFonts w:hAnsi="Arial" w:cs="Arial"/>
        </w:rPr>
        <w:t xml:space="preserve">would not adversely affect </w:t>
      </w:r>
      <w:r w:rsidRPr="00980A42">
        <w:rPr>
          <w:rFonts w:hAnsi="Arial" w:cs="Arial"/>
          <w:b/>
          <w:bCs/>
        </w:rPr>
        <w:t>trade</w:t>
      </w:r>
      <w:r w:rsidRPr="00E74630">
        <w:rPr>
          <w:rFonts w:hAnsi="Arial" w:cs="Arial"/>
        </w:rPr>
        <w:t xml:space="preserve"> between Australia and places outside Australia as the product is for use in cats, which are not </w:t>
      </w:r>
      <w:r w:rsidRPr="00E74630">
        <w:rPr>
          <w:rFonts w:hAnsi="Arial" w:cs="Arial"/>
          <w:lang w:val="en-AU"/>
        </w:rPr>
        <w:t xml:space="preserve">food-producing animals, and which do not produce </w:t>
      </w:r>
      <w:r w:rsidRPr="00E74630">
        <w:rPr>
          <w:rFonts w:hAnsi="Arial" w:cs="Arial"/>
        </w:rPr>
        <w:t>any major Australian export commodities.</w:t>
      </w:r>
      <w:r w:rsidR="00DA0F9A">
        <w:rPr>
          <w:rFonts w:hAnsi="Arial" w:cs="Arial"/>
        </w:rPr>
        <w:br w:type="page"/>
      </w:r>
    </w:p>
    <w:p w14:paraId="6921C754" w14:textId="77777777" w:rsidR="00170426" w:rsidRDefault="00170426" w:rsidP="00393455">
      <w:pPr>
        <w:pStyle w:val="GazetteHeading2"/>
      </w:pPr>
      <w:r>
        <w:lastRenderedPageBreak/>
        <w:t xml:space="preserve">Making a </w:t>
      </w:r>
      <w:r w:rsidRPr="00393455">
        <w:t>submission</w:t>
      </w:r>
    </w:p>
    <w:p w14:paraId="4FE8E1DE" w14:textId="77777777" w:rsidR="00170426" w:rsidRDefault="00170426" w:rsidP="00170426">
      <w:pPr>
        <w:pStyle w:val="GazetteNormalText"/>
      </w:pPr>
      <w:r w:rsidRPr="00DB1E90">
        <w:t xml:space="preserve">In accordance with section 12 of the </w:t>
      </w:r>
      <w:proofErr w:type="spellStart"/>
      <w:r w:rsidRPr="00DB1E90">
        <w:t>Agvet</w:t>
      </w:r>
      <w:proofErr w:type="spellEnd"/>
      <w:r w:rsidRPr="00DB1E90">
        <w:t xml:space="preserve"> Code, the APVMA invites any person to submit a relevant written submission as to whether</w:t>
      </w:r>
      <w:r w:rsidRPr="00FE16B4">
        <w:rPr>
          <w:b/>
          <w:bCs/>
        </w:rPr>
        <w:t xml:space="preserve"> </w:t>
      </w:r>
      <w:proofErr w:type="spellStart"/>
      <w:r w:rsidRPr="00FE16B4">
        <w:rPr>
          <w:b/>
          <w:bCs/>
        </w:rPr>
        <w:t>molidustat</w:t>
      </w:r>
      <w:proofErr w:type="spellEnd"/>
      <w:r w:rsidRPr="00FE16B4">
        <w:rPr>
          <w:b/>
          <w:bCs/>
        </w:rPr>
        <w:t xml:space="preserve"> sodium</w:t>
      </w:r>
      <w:r w:rsidRPr="00DB1E90">
        <w:t xml:space="preserve"> should be approved. Submissions should relate only to matters that are considered in determining whether the safety criteria set out in section 5A of the </w:t>
      </w:r>
      <w:proofErr w:type="spellStart"/>
      <w:r w:rsidRPr="00DB1E90">
        <w:t>Agvet</w:t>
      </w:r>
      <w:proofErr w:type="spellEnd"/>
      <w:r w:rsidRPr="00DB1E90">
        <w:t xml:space="preserve"> Code have been met. Submissions should state the grounds on which they are based</w:t>
      </w:r>
      <w:r>
        <w:t>.</w:t>
      </w:r>
    </w:p>
    <w:p w14:paraId="342DE142" w14:textId="77777777" w:rsidR="00170426" w:rsidRDefault="00170426" w:rsidP="00170426">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rsidRPr="00FE16B4">
        <w:rPr>
          <w:b/>
          <w:bCs/>
          <w:lang w:val="en-AU"/>
        </w:rPr>
        <w:t>Varenzin</w:t>
      </w:r>
      <w:proofErr w:type="spellEnd"/>
      <w:r w:rsidRPr="00FE16B4">
        <w:rPr>
          <w:b/>
          <w:bCs/>
          <w:lang w:val="en-AU"/>
        </w:rPr>
        <w:t xml:space="preserve"> Oral Suspension for Cats</w:t>
      </w:r>
      <w:r w:rsidRPr="00C917A4">
        <w:rPr>
          <w:lang w:val="en-AU"/>
        </w:rPr>
        <w:t xml:space="preserv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F27721F" w14:textId="77777777" w:rsidR="00170426" w:rsidRDefault="00170426" w:rsidP="00170426">
      <w:pPr>
        <w:pStyle w:val="GazetteNormalText"/>
      </w:pPr>
      <w:r>
        <w:t>Submissions must be received by the APVMA within 28 days of the date of this notice and be directed to the contact listed below. All submissions to the APVMA will be acknowledged in writing via email or by post.</w:t>
      </w:r>
    </w:p>
    <w:p w14:paraId="0752049A" w14:textId="77777777" w:rsidR="00170426" w:rsidRDefault="00170426" w:rsidP="00170426">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70874CA7" w14:textId="77777777" w:rsidR="00170426" w:rsidRDefault="00170426" w:rsidP="00170426">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9" w:history="1">
        <w:r>
          <w:rPr>
            <w:rStyle w:val="Hyperlink"/>
          </w:rPr>
          <w:t>public submission coversheet</w:t>
        </w:r>
      </w:hyperlink>
      <w:r>
        <w:t>).</w:t>
      </w:r>
    </w:p>
    <w:p w14:paraId="1194922A" w14:textId="6739B9F7" w:rsidR="00170426" w:rsidRDefault="00170426" w:rsidP="00170426">
      <w:pPr>
        <w:pStyle w:val="GazetteNormalText"/>
      </w:pPr>
      <w:r>
        <w:t xml:space="preserve">Please lodge your submission with a </w:t>
      </w:r>
      <w:hyperlink r:id="rId30" w:history="1">
        <w:r>
          <w:rPr>
            <w:rStyle w:val="Hyperlink"/>
          </w:rPr>
          <w:t>public submission coversheet</w:t>
        </w:r>
      </w:hyperlink>
      <w:r>
        <w:t>, which provides options for how your submission will be published.</w:t>
      </w:r>
    </w:p>
    <w:p w14:paraId="0BB81387" w14:textId="77777777" w:rsidR="00170426" w:rsidRDefault="00170426" w:rsidP="00170426">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2FD1D359" w14:textId="77777777" w:rsidR="00170426" w:rsidRDefault="00170426" w:rsidP="00170426">
      <w:pPr>
        <w:pStyle w:val="GazetteNormalText"/>
        <w:rPr>
          <w:szCs w:val="24"/>
        </w:rPr>
      </w:pPr>
      <w:r>
        <w:t>Please send your written submission and coversheet by email or post to:</w:t>
      </w:r>
    </w:p>
    <w:p w14:paraId="1FA5C4BE" w14:textId="77777777" w:rsidR="00170426" w:rsidRDefault="00170426" w:rsidP="00170426">
      <w:pPr>
        <w:pStyle w:val="GazetteNormalText"/>
      </w:pPr>
      <w:r>
        <w:t>Email:</w:t>
      </w:r>
      <w:r>
        <w:tab/>
      </w:r>
      <w:hyperlink r:id="rId31" w:history="1">
        <w:r>
          <w:rPr>
            <w:rStyle w:val="Hyperlink"/>
          </w:rPr>
          <w:t>casemanagement@apvma.gov.au</w:t>
        </w:r>
      </w:hyperlink>
    </w:p>
    <w:p w14:paraId="4D8C2DC1" w14:textId="488007D8" w:rsidR="00170426" w:rsidRPr="00C917A4" w:rsidRDefault="00170426" w:rsidP="00170426">
      <w:pPr>
        <w:pStyle w:val="GazetteContact"/>
      </w:pPr>
      <w:r>
        <w:t>Post:</w:t>
      </w:r>
      <w:r>
        <w:br/>
        <w:t>Case Management</w:t>
      </w:r>
      <w:r>
        <w:br/>
        <w:t>Australian Pesticides and Veterinary Medicines Authority</w:t>
      </w:r>
      <w:r>
        <w:br/>
        <w:t>GPO Box 574</w:t>
      </w:r>
      <w:r>
        <w:br/>
      </w:r>
      <w:r w:rsidRPr="00C917A4">
        <w:t>Canberra ACT 2601</w:t>
      </w:r>
    </w:p>
    <w:p w14:paraId="15C4258D" w14:textId="77777777" w:rsidR="00170426" w:rsidRDefault="00170426" w:rsidP="00170426">
      <w:pPr>
        <w:pStyle w:val="GazetteHeading2"/>
      </w:pPr>
      <w:r>
        <w:t>Privacy</w:t>
      </w:r>
    </w:p>
    <w:p w14:paraId="20E13CEF" w14:textId="77777777" w:rsidR="00170426" w:rsidRPr="003D5FD3" w:rsidRDefault="00170426" w:rsidP="00170426">
      <w:pPr>
        <w:pStyle w:val="GazetteNormalText"/>
      </w:pPr>
      <w:r w:rsidRPr="007A5F5E">
        <w:t xml:space="preserve">For information on how the APVMA manages personal information when you make a submission, see our </w:t>
      </w:r>
      <w:hyperlink r:id="rId32" w:history="1">
        <w:r w:rsidRPr="00F8012B">
          <w:rPr>
            <w:rStyle w:val="Hyperlink"/>
          </w:rPr>
          <w:t>Privacy Policy</w:t>
        </w:r>
      </w:hyperlink>
      <w:r>
        <w:t>.</w:t>
      </w:r>
    </w:p>
    <w:p w14:paraId="259E4D5A" w14:textId="77777777" w:rsidR="00170426" w:rsidRDefault="00170426" w:rsidP="001A4A93">
      <w:pPr>
        <w:pStyle w:val="S8Gazettetabletext"/>
        <w:rPr>
          <w:rStyle w:val="Hyperlink"/>
          <w:color w:val="000000"/>
          <w:u w:val="none"/>
        </w:rPr>
        <w:sectPr w:rsidR="00170426" w:rsidSect="00CB73E0">
          <w:pgSz w:w="11906" w:h="16838"/>
          <w:pgMar w:top="1440" w:right="1134" w:bottom="1440" w:left="1134" w:header="794" w:footer="737" w:gutter="0"/>
          <w:cols w:space="708"/>
          <w:docGrid w:linePitch="360"/>
        </w:sectPr>
      </w:pPr>
    </w:p>
    <w:p w14:paraId="6D670BC0" w14:textId="77777777" w:rsidR="00170426" w:rsidRDefault="00170426" w:rsidP="00170426">
      <w:pPr>
        <w:pStyle w:val="GazetteHeading1"/>
      </w:pPr>
      <w:bookmarkStart w:id="32" w:name="_Toc217376732"/>
      <w:r>
        <w:lastRenderedPageBreak/>
        <w:t>Licensing of veterinary chemical manufacturers</w:t>
      </w:r>
      <w:bookmarkEnd w:id="32"/>
    </w:p>
    <w:p w14:paraId="253AB67E" w14:textId="77777777" w:rsidR="00170426" w:rsidRDefault="00170426" w:rsidP="00170426">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5877CF6C" w14:textId="77777777" w:rsidR="00170426" w:rsidRDefault="00170426" w:rsidP="00170426">
      <w:pPr>
        <w:pStyle w:val="GazetteNormalText"/>
        <w:rPr>
          <w:rStyle w:val="Hyperlink"/>
        </w:rPr>
      </w:pPr>
      <w:r>
        <w:t xml:space="preserve">For a comprehensive listing of all licensed manufacturers please see the </w:t>
      </w:r>
      <w:hyperlink r:id="rId33" w:history="1">
        <w:r>
          <w:rPr>
            <w:rStyle w:val="Hyperlink"/>
          </w:rPr>
          <w:t>APVMA</w:t>
        </w:r>
        <w:r w:rsidRPr="001E795C">
          <w:rPr>
            <w:rStyle w:val="Hyperlink"/>
          </w:rPr>
          <w:t xml:space="preserve"> website</w:t>
        </w:r>
      </w:hyperlink>
      <w:r w:rsidRPr="00B70EE8">
        <w:rPr>
          <w:rStyle w:val="Hyperlink"/>
          <w:u w:val="none"/>
        </w:rPr>
        <w:t>.</w:t>
      </w:r>
    </w:p>
    <w:p w14:paraId="075D3F4D" w14:textId="77777777" w:rsidR="00170426" w:rsidRDefault="00170426" w:rsidP="00170426">
      <w:pPr>
        <w:pStyle w:val="GazetteHeading2"/>
      </w:pPr>
      <w:r>
        <w:t>New licenses</w:t>
      </w:r>
    </w:p>
    <w:p w14:paraId="1F521104" w14:textId="77777777" w:rsidR="00170426" w:rsidRDefault="00170426" w:rsidP="00170426">
      <w:pPr>
        <w:pStyle w:val="GazetteNormalText"/>
      </w:pPr>
      <w:r>
        <w:t xml:space="preserve">The APVMA has issued the following licenses under subsection 123(1) of the </w:t>
      </w:r>
      <w:proofErr w:type="spellStart"/>
      <w:r>
        <w:t>Agvet</w:t>
      </w:r>
      <w:proofErr w:type="spellEnd"/>
      <w:r>
        <w:t xml:space="preserve"> Code:</w:t>
      </w:r>
    </w:p>
    <w:p w14:paraId="2A638818" w14:textId="3B4FE792" w:rsidR="00170426" w:rsidRDefault="00170426" w:rsidP="00170426">
      <w:pPr>
        <w:pStyle w:val="Caption"/>
      </w:pPr>
      <w:r>
        <w:t xml:space="preserve">Table </w:t>
      </w:r>
      <w:r>
        <w:fldChar w:fldCharType="begin"/>
      </w:r>
      <w:r>
        <w:instrText xml:space="preserve"> SEQ Table \* ARABIC </w:instrText>
      </w:r>
      <w:r>
        <w:fldChar w:fldCharType="separate"/>
      </w:r>
      <w:r w:rsidR="00472E89">
        <w:rPr>
          <w:noProof/>
        </w:rPr>
        <w:t>10</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22"/>
        <w:gridCol w:w="818"/>
        <w:gridCol w:w="945"/>
        <w:gridCol w:w="1488"/>
        <w:gridCol w:w="2001"/>
        <w:gridCol w:w="2099"/>
        <w:gridCol w:w="955"/>
      </w:tblGrid>
      <w:tr w:rsidR="00170426" w14:paraId="37CEEAE5" w14:textId="77777777" w:rsidTr="009975D2">
        <w:trPr>
          <w:cantSplit/>
          <w:tblHeader/>
        </w:trPr>
        <w:tc>
          <w:tcPr>
            <w:tcW w:w="687" w:type="pct"/>
            <w:shd w:val="clear" w:color="auto" w:fill="D9D9D9" w:themeFill="background1" w:themeFillShade="D9"/>
          </w:tcPr>
          <w:p w14:paraId="4768B8B1" w14:textId="77777777" w:rsidR="00170426" w:rsidRDefault="00170426" w:rsidP="00270A48">
            <w:pPr>
              <w:pStyle w:val="GazetteTableHeading"/>
            </w:pPr>
            <w:r>
              <w:t>Company name</w:t>
            </w:r>
          </w:p>
        </w:tc>
        <w:tc>
          <w:tcPr>
            <w:tcW w:w="425" w:type="pct"/>
            <w:shd w:val="clear" w:color="auto" w:fill="D9D9D9" w:themeFill="background1" w:themeFillShade="D9"/>
          </w:tcPr>
          <w:p w14:paraId="17822C14" w14:textId="77777777" w:rsidR="00170426" w:rsidRDefault="00170426" w:rsidP="00270A48">
            <w:pPr>
              <w:pStyle w:val="GazetteTableHeading"/>
            </w:pPr>
            <w:r>
              <w:t>Licence number</w:t>
            </w:r>
          </w:p>
        </w:tc>
        <w:tc>
          <w:tcPr>
            <w:tcW w:w="491" w:type="pct"/>
            <w:shd w:val="clear" w:color="auto" w:fill="D9D9D9" w:themeFill="background1" w:themeFillShade="D9"/>
          </w:tcPr>
          <w:p w14:paraId="77E1C391" w14:textId="77777777" w:rsidR="00170426" w:rsidRDefault="00170426" w:rsidP="00270A48">
            <w:pPr>
              <w:pStyle w:val="GazetteTableHeading"/>
            </w:pPr>
            <w:r>
              <w:t>Company ACN</w:t>
            </w:r>
          </w:p>
        </w:tc>
        <w:tc>
          <w:tcPr>
            <w:tcW w:w="773" w:type="pct"/>
            <w:shd w:val="clear" w:color="auto" w:fill="D9D9D9" w:themeFill="background1" w:themeFillShade="D9"/>
          </w:tcPr>
          <w:p w14:paraId="2B189CBF" w14:textId="77777777" w:rsidR="00170426" w:rsidRDefault="00170426" w:rsidP="00270A48">
            <w:pPr>
              <w:pStyle w:val="GazetteTableHeading"/>
            </w:pPr>
            <w:r>
              <w:t>Address</w:t>
            </w:r>
          </w:p>
        </w:tc>
        <w:tc>
          <w:tcPr>
            <w:tcW w:w="1039" w:type="pct"/>
            <w:shd w:val="clear" w:color="auto" w:fill="D9D9D9" w:themeFill="background1" w:themeFillShade="D9"/>
          </w:tcPr>
          <w:p w14:paraId="6A4203A8" w14:textId="77777777" w:rsidR="00170426" w:rsidRDefault="00170426" w:rsidP="00270A48">
            <w:pPr>
              <w:pStyle w:val="GazetteTableHeading"/>
            </w:pPr>
            <w:r>
              <w:t>Product types</w:t>
            </w:r>
          </w:p>
        </w:tc>
        <w:tc>
          <w:tcPr>
            <w:tcW w:w="1090" w:type="pct"/>
            <w:shd w:val="clear" w:color="auto" w:fill="D9D9D9" w:themeFill="background1" w:themeFillShade="D9"/>
          </w:tcPr>
          <w:p w14:paraId="01932DAF" w14:textId="77777777" w:rsidR="00170426" w:rsidRDefault="00170426" w:rsidP="00270A48">
            <w:pPr>
              <w:pStyle w:val="GazetteTableHeading"/>
            </w:pPr>
            <w:r>
              <w:t>Steps of manufacture</w:t>
            </w:r>
          </w:p>
        </w:tc>
        <w:tc>
          <w:tcPr>
            <w:tcW w:w="496" w:type="pct"/>
            <w:shd w:val="clear" w:color="auto" w:fill="D9D9D9" w:themeFill="background1" w:themeFillShade="D9"/>
          </w:tcPr>
          <w:p w14:paraId="064C4A66" w14:textId="77777777" w:rsidR="00170426" w:rsidRDefault="00170426" w:rsidP="00270A48">
            <w:pPr>
              <w:pStyle w:val="GazetteTableHeading"/>
            </w:pPr>
            <w:r>
              <w:t>Date issued</w:t>
            </w:r>
          </w:p>
        </w:tc>
      </w:tr>
      <w:tr w:rsidR="009975D2" w14:paraId="06C3710A" w14:textId="77777777" w:rsidTr="009975D2">
        <w:trPr>
          <w:cantSplit/>
        </w:trPr>
        <w:tc>
          <w:tcPr>
            <w:tcW w:w="687" w:type="pct"/>
          </w:tcPr>
          <w:p w14:paraId="0E7E65D0" w14:textId="3FBBE5FB" w:rsidR="009975D2" w:rsidRPr="00ED3BA7" w:rsidRDefault="009975D2" w:rsidP="009975D2">
            <w:pPr>
              <w:pStyle w:val="GazetteTableText"/>
            </w:pPr>
            <w:proofErr w:type="spellStart"/>
            <w:r>
              <w:t>Treidlia</w:t>
            </w:r>
            <w:proofErr w:type="spellEnd"/>
            <w:r>
              <w:t xml:space="preserve"> </w:t>
            </w:r>
            <w:proofErr w:type="spellStart"/>
            <w:r>
              <w:t>Biovet</w:t>
            </w:r>
            <w:proofErr w:type="spellEnd"/>
            <w:r>
              <w:t xml:space="preserve"> Pty Ltd</w:t>
            </w:r>
          </w:p>
        </w:tc>
        <w:tc>
          <w:tcPr>
            <w:tcW w:w="425" w:type="pct"/>
          </w:tcPr>
          <w:p w14:paraId="22148C12" w14:textId="26729A03" w:rsidR="009975D2" w:rsidRDefault="009975D2" w:rsidP="009975D2">
            <w:pPr>
              <w:pStyle w:val="GazetteTableText"/>
            </w:pPr>
            <w:r>
              <w:t>1096</w:t>
            </w:r>
          </w:p>
        </w:tc>
        <w:tc>
          <w:tcPr>
            <w:tcW w:w="491" w:type="pct"/>
          </w:tcPr>
          <w:p w14:paraId="094E482A" w14:textId="158B380A" w:rsidR="009975D2" w:rsidRDefault="009975D2" w:rsidP="009975D2">
            <w:pPr>
              <w:pStyle w:val="GazetteTableText"/>
            </w:pPr>
            <w:r w:rsidRPr="00207C6E">
              <w:rPr>
                <w:lang w:val="en-AU"/>
              </w:rPr>
              <w:t>150 496 138</w:t>
            </w:r>
          </w:p>
        </w:tc>
        <w:tc>
          <w:tcPr>
            <w:tcW w:w="773" w:type="pct"/>
          </w:tcPr>
          <w:p w14:paraId="1B331A86" w14:textId="18F18E09" w:rsidR="009975D2" w:rsidRPr="00ED3BA7" w:rsidRDefault="009975D2" w:rsidP="009975D2">
            <w:pPr>
              <w:pStyle w:val="GazetteTableText"/>
            </w:pPr>
            <w:r w:rsidRPr="00207C6E">
              <w:rPr>
                <w:lang w:val="en-AU"/>
              </w:rPr>
              <w:t>Unit 76 Power Business Park, 45 Powers Road</w:t>
            </w:r>
            <w:r>
              <w:rPr>
                <w:lang w:val="en-AU"/>
              </w:rPr>
              <w:br/>
            </w:r>
            <w:r w:rsidRPr="00207C6E">
              <w:rPr>
                <w:lang w:val="en-AU"/>
              </w:rPr>
              <w:t>Seven Hills NSW</w:t>
            </w:r>
            <w:r>
              <w:rPr>
                <w:lang w:val="en-AU"/>
              </w:rPr>
              <w:t xml:space="preserve"> </w:t>
            </w:r>
            <w:r w:rsidRPr="00207C6E">
              <w:rPr>
                <w:lang w:val="en-AU"/>
              </w:rPr>
              <w:t xml:space="preserve">2147 </w:t>
            </w:r>
          </w:p>
        </w:tc>
        <w:tc>
          <w:tcPr>
            <w:tcW w:w="1039" w:type="pct"/>
          </w:tcPr>
          <w:p w14:paraId="128D410D" w14:textId="05E29DCE" w:rsidR="009975D2" w:rsidRPr="00ED3BA7" w:rsidRDefault="009975D2" w:rsidP="009975D2">
            <w:pPr>
              <w:pStyle w:val="GazetteTableText"/>
            </w:pPr>
            <w:r w:rsidRPr="00207C6E">
              <w:rPr>
                <w:lang w:val="en-AU"/>
              </w:rPr>
              <w:t>Category 1</w:t>
            </w:r>
            <w:r>
              <w:rPr>
                <w:lang w:val="en-AU"/>
              </w:rPr>
              <w:t xml:space="preserve">: </w:t>
            </w:r>
            <w:proofErr w:type="spellStart"/>
            <w:r w:rsidRPr="00207C6E">
              <w:rPr>
                <w:lang w:val="en-AU"/>
              </w:rPr>
              <w:t>Immunobiologicals</w:t>
            </w:r>
            <w:proofErr w:type="spellEnd"/>
          </w:p>
        </w:tc>
        <w:tc>
          <w:tcPr>
            <w:tcW w:w="1090" w:type="pct"/>
          </w:tcPr>
          <w:p w14:paraId="5005564E" w14:textId="61CC9398" w:rsidR="009975D2" w:rsidRPr="00ED3BA7" w:rsidRDefault="009975D2" w:rsidP="009975D2">
            <w:pPr>
              <w:pStyle w:val="GazetteTableText"/>
            </w:pPr>
            <w:r w:rsidRPr="00207C6E">
              <w:rPr>
                <w:lang w:val="en-AU"/>
              </w:rPr>
              <w:t>Quality assurance (QA) of raw materials, bacterial fermentation, fungal fermentation, wart tissue extraction, pilot scale affinity chromatography, formulation including blending, aseptic filling, packaging, labelling, sterilisation (chemical, filtration, and heat), microbiological reduction treatment (chemical, filtration, and heat), analysis and testing (chemical, microbiological, physical, protein biochemistry, serological, sterility testing, vaccine safety testing), storage, and release for supply.</w:t>
            </w:r>
          </w:p>
        </w:tc>
        <w:tc>
          <w:tcPr>
            <w:tcW w:w="496" w:type="pct"/>
          </w:tcPr>
          <w:p w14:paraId="77CCCC38" w14:textId="00470B0F" w:rsidR="009975D2" w:rsidRDefault="009975D2" w:rsidP="009975D2">
            <w:pPr>
              <w:pStyle w:val="GazetteTableText"/>
            </w:pPr>
            <w:r>
              <w:t>31 July 2025</w:t>
            </w:r>
          </w:p>
        </w:tc>
      </w:tr>
      <w:tr w:rsidR="00170426" w14:paraId="1EDE23E1" w14:textId="77777777" w:rsidTr="009975D2">
        <w:trPr>
          <w:cantSplit/>
        </w:trPr>
        <w:tc>
          <w:tcPr>
            <w:tcW w:w="687" w:type="pct"/>
          </w:tcPr>
          <w:p w14:paraId="18162F3D" w14:textId="77777777" w:rsidR="00170426" w:rsidRDefault="00170426" w:rsidP="00270A48">
            <w:pPr>
              <w:pStyle w:val="GazetteTableText"/>
            </w:pPr>
            <w:proofErr w:type="spellStart"/>
            <w:r w:rsidRPr="00ED3BA7">
              <w:t>Vetafarm</w:t>
            </w:r>
            <w:proofErr w:type="spellEnd"/>
            <w:r w:rsidRPr="00ED3BA7">
              <w:t xml:space="preserve"> Manufacturing Pty Ltd</w:t>
            </w:r>
          </w:p>
        </w:tc>
        <w:tc>
          <w:tcPr>
            <w:tcW w:w="425" w:type="pct"/>
          </w:tcPr>
          <w:p w14:paraId="261EFBCC" w14:textId="77777777" w:rsidR="00170426" w:rsidRDefault="00170426" w:rsidP="00270A48">
            <w:pPr>
              <w:pStyle w:val="GazetteTableText"/>
            </w:pPr>
            <w:r>
              <w:t>2239</w:t>
            </w:r>
          </w:p>
        </w:tc>
        <w:tc>
          <w:tcPr>
            <w:tcW w:w="491" w:type="pct"/>
          </w:tcPr>
          <w:p w14:paraId="0DAE8346" w14:textId="77777777" w:rsidR="00170426" w:rsidRDefault="00170426" w:rsidP="00270A48">
            <w:pPr>
              <w:pStyle w:val="GazetteTableText"/>
            </w:pPr>
            <w:r>
              <w:t>152 427 453</w:t>
            </w:r>
          </w:p>
        </w:tc>
        <w:tc>
          <w:tcPr>
            <w:tcW w:w="773" w:type="pct"/>
          </w:tcPr>
          <w:p w14:paraId="37B3E738" w14:textId="7B275131" w:rsidR="00170426" w:rsidRDefault="00170426" w:rsidP="00BC28E8">
            <w:pPr>
              <w:pStyle w:val="GazetteTableText"/>
            </w:pPr>
            <w:r w:rsidRPr="00ED3BA7">
              <w:t>50 Webb</w:t>
            </w:r>
            <w:r>
              <w:t xml:space="preserve"> </w:t>
            </w:r>
            <w:r w:rsidRPr="00ED3BA7">
              <w:t>Street</w:t>
            </w:r>
            <w:r w:rsidR="00BC28E8">
              <w:br/>
            </w:r>
            <w:r w:rsidRPr="00ED3BA7">
              <w:t>B</w:t>
            </w:r>
            <w:r w:rsidR="00BC28E8" w:rsidRPr="00ED3BA7">
              <w:t>omen</w:t>
            </w:r>
            <w:r w:rsidRPr="00ED3BA7">
              <w:t xml:space="preserve"> NSW 2650</w:t>
            </w:r>
          </w:p>
        </w:tc>
        <w:tc>
          <w:tcPr>
            <w:tcW w:w="1039" w:type="pct"/>
          </w:tcPr>
          <w:p w14:paraId="0BBA1A5A" w14:textId="5BBA5A77" w:rsidR="00170426" w:rsidRDefault="00170426" w:rsidP="00270A48">
            <w:pPr>
              <w:pStyle w:val="GazetteTableText"/>
            </w:pPr>
            <w:r w:rsidRPr="00ED3BA7">
              <w:t>Category 2</w:t>
            </w:r>
            <w:r>
              <w:t xml:space="preserve">: </w:t>
            </w:r>
            <w:r w:rsidR="00BC28E8">
              <w:t>T</w:t>
            </w:r>
            <w:r w:rsidRPr="00ED3BA7">
              <w:t>ablets, bolus, gels, powders, liquids</w:t>
            </w:r>
          </w:p>
          <w:p w14:paraId="7D919B59" w14:textId="77777777" w:rsidR="00170426" w:rsidRDefault="00170426" w:rsidP="00270A48">
            <w:pPr>
              <w:pStyle w:val="GazetteTableText"/>
            </w:pPr>
            <w:r w:rsidRPr="00ED3BA7">
              <w:t>Category 3</w:t>
            </w:r>
            <w:r>
              <w:t>: l</w:t>
            </w:r>
            <w:r w:rsidRPr="00ED3BA7">
              <w:t>iquids and sprays</w:t>
            </w:r>
          </w:p>
        </w:tc>
        <w:tc>
          <w:tcPr>
            <w:tcW w:w="1090" w:type="pct"/>
          </w:tcPr>
          <w:p w14:paraId="5601AF6D" w14:textId="77777777" w:rsidR="00170426" w:rsidRPr="002F1D63" w:rsidRDefault="00170426" w:rsidP="00270A48">
            <w:pPr>
              <w:pStyle w:val="GazetteTableText"/>
            </w:pPr>
            <w:r w:rsidRPr="00ED3BA7">
              <w:t>Quality assurance (QA) of raw materials, formulation including blending, filling, granulation, dry milling, tableting, packaging, secondary packaging, repackaging, labelling, secondary labelling, relabelling, analysis and testing (chemical, physical and antibiotic assay), storage, and release for supply.</w:t>
            </w:r>
          </w:p>
        </w:tc>
        <w:tc>
          <w:tcPr>
            <w:tcW w:w="496" w:type="pct"/>
          </w:tcPr>
          <w:p w14:paraId="19B3B973" w14:textId="77777777" w:rsidR="00170426" w:rsidRDefault="00170426" w:rsidP="00270A48">
            <w:pPr>
              <w:pStyle w:val="GazetteTableText"/>
            </w:pPr>
            <w:r>
              <w:t>4 November 2025</w:t>
            </w:r>
          </w:p>
        </w:tc>
      </w:tr>
      <w:tr w:rsidR="00170426" w14:paraId="1BC12AEF" w14:textId="77777777" w:rsidTr="009975D2">
        <w:trPr>
          <w:cantSplit/>
        </w:trPr>
        <w:tc>
          <w:tcPr>
            <w:tcW w:w="687" w:type="pct"/>
          </w:tcPr>
          <w:p w14:paraId="4B1343EE" w14:textId="77777777" w:rsidR="00170426" w:rsidRDefault="00170426" w:rsidP="00270A48">
            <w:pPr>
              <w:pStyle w:val="GazetteTableText"/>
            </w:pPr>
            <w:r>
              <w:t>Australian Laboratory Services Pty Ltd</w:t>
            </w:r>
          </w:p>
        </w:tc>
        <w:tc>
          <w:tcPr>
            <w:tcW w:w="425" w:type="pct"/>
          </w:tcPr>
          <w:p w14:paraId="3D21EF75" w14:textId="77777777" w:rsidR="00170426" w:rsidRDefault="00170426" w:rsidP="00270A48">
            <w:pPr>
              <w:pStyle w:val="GazetteTableText"/>
            </w:pPr>
            <w:r>
              <w:t>6181</w:t>
            </w:r>
          </w:p>
        </w:tc>
        <w:tc>
          <w:tcPr>
            <w:tcW w:w="491" w:type="pct"/>
          </w:tcPr>
          <w:p w14:paraId="59EC27DB" w14:textId="77777777" w:rsidR="00170426" w:rsidRDefault="00170426" w:rsidP="00270A48">
            <w:pPr>
              <w:pStyle w:val="GazetteTableText"/>
            </w:pPr>
            <w:r>
              <w:t>009 936 029</w:t>
            </w:r>
          </w:p>
        </w:tc>
        <w:tc>
          <w:tcPr>
            <w:tcW w:w="773" w:type="pct"/>
          </w:tcPr>
          <w:p w14:paraId="4ED1F2A6" w14:textId="5B337E28" w:rsidR="00170426" w:rsidRDefault="00170426" w:rsidP="00BC28E8">
            <w:pPr>
              <w:pStyle w:val="GazetteTableText"/>
            </w:pPr>
            <w:r>
              <w:t>22 Dalmore Drive</w:t>
            </w:r>
            <w:r w:rsidR="00BC28E8">
              <w:br/>
            </w:r>
            <w:r>
              <w:t>Scoresby VIC 3179</w:t>
            </w:r>
          </w:p>
        </w:tc>
        <w:tc>
          <w:tcPr>
            <w:tcW w:w="1039" w:type="pct"/>
          </w:tcPr>
          <w:p w14:paraId="018AD520" w14:textId="7FFE9DF6" w:rsidR="00170426" w:rsidRDefault="00170426" w:rsidP="00BC28E8">
            <w:pPr>
              <w:pStyle w:val="GazetteTableText"/>
            </w:pPr>
            <w:r>
              <w:t xml:space="preserve">Category 6: </w:t>
            </w:r>
            <w:r w:rsidR="00BC28E8">
              <w:t>A</w:t>
            </w:r>
            <w:r>
              <w:t>ll dosage forms</w:t>
            </w:r>
          </w:p>
        </w:tc>
        <w:tc>
          <w:tcPr>
            <w:tcW w:w="1090" w:type="pct"/>
          </w:tcPr>
          <w:p w14:paraId="461EEC50" w14:textId="77777777" w:rsidR="00170426" w:rsidRDefault="00170426" w:rsidP="00270A48">
            <w:pPr>
              <w:pStyle w:val="GazetteTableText"/>
            </w:pPr>
            <w:r w:rsidRPr="002F1D63">
              <w:t>Analysis and testing (physical, chemical, microbiological, and endotoxin)</w:t>
            </w:r>
            <w:r>
              <w:t>.</w:t>
            </w:r>
          </w:p>
        </w:tc>
        <w:tc>
          <w:tcPr>
            <w:tcW w:w="496" w:type="pct"/>
          </w:tcPr>
          <w:p w14:paraId="2B5CA20A" w14:textId="77777777" w:rsidR="00170426" w:rsidRDefault="00170426" w:rsidP="00270A48">
            <w:pPr>
              <w:pStyle w:val="GazetteTableText"/>
            </w:pPr>
            <w:r>
              <w:t>11 November 2025</w:t>
            </w:r>
          </w:p>
        </w:tc>
      </w:tr>
      <w:tr w:rsidR="00170426" w14:paraId="2DEF187B" w14:textId="77777777" w:rsidTr="009975D2">
        <w:trPr>
          <w:cantSplit/>
        </w:trPr>
        <w:tc>
          <w:tcPr>
            <w:tcW w:w="687" w:type="pct"/>
          </w:tcPr>
          <w:p w14:paraId="7B4762FA" w14:textId="77777777" w:rsidR="00170426" w:rsidRPr="00480FB2" w:rsidRDefault="00170426" w:rsidP="00270A48">
            <w:pPr>
              <w:pStyle w:val="GazetteTableText"/>
              <w:rPr>
                <w:lang w:val="en-AU"/>
              </w:rPr>
            </w:pPr>
            <w:r w:rsidRPr="00480FB2">
              <w:rPr>
                <w:lang w:val="en-AU"/>
              </w:rPr>
              <w:lastRenderedPageBreak/>
              <w:t>Zoetis Australia Research &amp; Manufacturing Pty Ltd</w:t>
            </w:r>
          </w:p>
        </w:tc>
        <w:tc>
          <w:tcPr>
            <w:tcW w:w="425" w:type="pct"/>
          </w:tcPr>
          <w:p w14:paraId="7CAD12AB" w14:textId="77777777" w:rsidR="00170426" w:rsidRDefault="00170426" w:rsidP="00270A48">
            <w:pPr>
              <w:pStyle w:val="GazetteTableText"/>
            </w:pPr>
            <w:r>
              <w:t>1098</w:t>
            </w:r>
          </w:p>
        </w:tc>
        <w:tc>
          <w:tcPr>
            <w:tcW w:w="491" w:type="pct"/>
          </w:tcPr>
          <w:p w14:paraId="16B22216" w14:textId="77777777" w:rsidR="00170426" w:rsidRPr="00207C6E" w:rsidRDefault="00170426" w:rsidP="00270A48">
            <w:pPr>
              <w:pStyle w:val="GazetteTableText"/>
              <w:rPr>
                <w:lang w:val="en-AU"/>
              </w:rPr>
            </w:pPr>
            <w:r w:rsidRPr="00480FB2">
              <w:rPr>
                <w:lang w:val="en-AU"/>
              </w:rPr>
              <w:t>158 433 053</w:t>
            </w:r>
          </w:p>
        </w:tc>
        <w:tc>
          <w:tcPr>
            <w:tcW w:w="773" w:type="pct"/>
          </w:tcPr>
          <w:p w14:paraId="01A56EF2" w14:textId="064496AB" w:rsidR="00170426" w:rsidRPr="00207C6E" w:rsidRDefault="00170426" w:rsidP="00BC28E8">
            <w:pPr>
              <w:pStyle w:val="GazetteTableText"/>
              <w:rPr>
                <w:lang w:val="en-AU"/>
              </w:rPr>
            </w:pPr>
            <w:r w:rsidRPr="00480FB2">
              <w:rPr>
                <w:lang w:val="en-AU"/>
              </w:rPr>
              <w:t>45 Poplar Road</w:t>
            </w:r>
            <w:r w:rsidR="00BC28E8">
              <w:rPr>
                <w:lang w:val="en-AU"/>
              </w:rPr>
              <w:br/>
            </w:r>
            <w:r w:rsidRPr="00480FB2">
              <w:rPr>
                <w:lang w:val="en-AU"/>
              </w:rPr>
              <w:t>P</w:t>
            </w:r>
            <w:r w:rsidR="00BC28E8" w:rsidRPr="00480FB2">
              <w:rPr>
                <w:lang w:val="en-AU"/>
              </w:rPr>
              <w:t>arkville</w:t>
            </w:r>
            <w:r>
              <w:rPr>
                <w:lang w:val="en-AU"/>
              </w:rPr>
              <w:t xml:space="preserve"> </w:t>
            </w:r>
            <w:r w:rsidRPr="00480FB2">
              <w:rPr>
                <w:lang w:val="en-AU"/>
              </w:rPr>
              <w:t>VIC 3052</w:t>
            </w:r>
          </w:p>
        </w:tc>
        <w:tc>
          <w:tcPr>
            <w:tcW w:w="1039" w:type="pct"/>
          </w:tcPr>
          <w:p w14:paraId="429DDACF" w14:textId="34B4D9E3" w:rsidR="00170426" w:rsidRPr="00184EC5" w:rsidRDefault="00170426" w:rsidP="00270A48">
            <w:pPr>
              <w:pStyle w:val="GazetteTableText"/>
            </w:pPr>
            <w:r w:rsidRPr="00184EC5">
              <w:t>Category 1</w:t>
            </w:r>
            <w:r>
              <w:t>:</w:t>
            </w:r>
            <w:r w:rsidRPr="00184EC5">
              <w:t xml:space="preserve"> </w:t>
            </w:r>
            <w:proofErr w:type="spellStart"/>
            <w:r w:rsidRPr="00184EC5">
              <w:t>Immunobiologicals</w:t>
            </w:r>
            <w:proofErr w:type="spellEnd"/>
            <w:r w:rsidRPr="00184EC5">
              <w:t>, sterile products,</w:t>
            </w:r>
            <w:r w:rsidRPr="00184EC5">
              <w:rPr>
                <w:lang w:val="en-AU"/>
              </w:rPr>
              <w:t xml:space="preserve"> subcutaneous implants, and dermal scratch</w:t>
            </w:r>
          </w:p>
        </w:tc>
        <w:tc>
          <w:tcPr>
            <w:tcW w:w="1090" w:type="pct"/>
          </w:tcPr>
          <w:p w14:paraId="3CE00713" w14:textId="77777777" w:rsidR="00170426" w:rsidRPr="00184EC5" w:rsidRDefault="00170426" w:rsidP="00270A48">
            <w:pPr>
              <w:pStyle w:val="GazetteTableText"/>
            </w:pPr>
            <w:r w:rsidRPr="00184EC5">
              <w:t xml:space="preserve">Quality assurance (QA) of raw materials, bacterial fermentation, virus cultivation, propagation of genetically modified mammalian cells, extraction and purification of viral protein, peptide conjugation, formulation including blending, aseptic filling, filling, packaging, labelling, sterilisation (heat, and filtration), microbiological reduction treatment (chemical, heat, and filtration), freeze drying, analysis and testing (physical, chemical, immunological, microbiological), secondary packaging, secondary labelling, repackaging, relabelling, storage, </w:t>
            </w:r>
            <w:r w:rsidRPr="00184EC5">
              <w:rPr>
                <w:lang w:val="en-AU"/>
              </w:rPr>
              <w:t>and release for supply.</w:t>
            </w:r>
          </w:p>
        </w:tc>
        <w:tc>
          <w:tcPr>
            <w:tcW w:w="496" w:type="pct"/>
          </w:tcPr>
          <w:p w14:paraId="797C3AF7" w14:textId="1C7ED46D" w:rsidR="00170426" w:rsidRDefault="00170426" w:rsidP="00270A48">
            <w:pPr>
              <w:pStyle w:val="GazetteTableText"/>
            </w:pPr>
            <w:r>
              <w:t>3 December 2025</w:t>
            </w:r>
          </w:p>
        </w:tc>
      </w:tr>
      <w:tr w:rsidR="00170426" w14:paraId="5D1AC58C" w14:textId="77777777" w:rsidTr="009975D2">
        <w:trPr>
          <w:cantSplit/>
        </w:trPr>
        <w:tc>
          <w:tcPr>
            <w:tcW w:w="687" w:type="pct"/>
          </w:tcPr>
          <w:p w14:paraId="488AFF2C" w14:textId="77777777" w:rsidR="00170426" w:rsidRPr="00480FB2" w:rsidRDefault="00170426" w:rsidP="00270A48">
            <w:pPr>
              <w:pStyle w:val="GazetteTableText"/>
              <w:rPr>
                <w:lang w:val="en-AU"/>
              </w:rPr>
            </w:pPr>
            <w:r>
              <w:rPr>
                <w:lang w:val="en-AU"/>
              </w:rPr>
              <w:t>CBE Pure Solutions Pty Ltd</w:t>
            </w:r>
          </w:p>
        </w:tc>
        <w:tc>
          <w:tcPr>
            <w:tcW w:w="425" w:type="pct"/>
          </w:tcPr>
          <w:p w14:paraId="176C28AF" w14:textId="77777777" w:rsidR="00170426" w:rsidRDefault="00170426" w:rsidP="00270A48">
            <w:pPr>
              <w:pStyle w:val="GazetteTableText"/>
            </w:pPr>
            <w:r>
              <w:t>1126</w:t>
            </w:r>
          </w:p>
        </w:tc>
        <w:tc>
          <w:tcPr>
            <w:tcW w:w="491" w:type="pct"/>
          </w:tcPr>
          <w:p w14:paraId="2B61720E" w14:textId="77777777" w:rsidR="00170426" w:rsidRPr="00276C3A" w:rsidRDefault="00170426" w:rsidP="00270A48">
            <w:pPr>
              <w:pStyle w:val="GazetteTableText"/>
              <w:rPr>
                <w:lang w:val="en-AU"/>
              </w:rPr>
            </w:pPr>
            <w:r w:rsidRPr="00276C3A">
              <w:rPr>
                <w:lang w:val="en-AU"/>
              </w:rPr>
              <w:t>651 336 640</w:t>
            </w:r>
          </w:p>
        </w:tc>
        <w:tc>
          <w:tcPr>
            <w:tcW w:w="773" w:type="pct"/>
          </w:tcPr>
          <w:p w14:paraId="33768175" w14:textId="6916D2E4" w:rsidR="00170426" w:rsidRPr="00480FB2" w:rsidRDefault="00170426" w:rsidP="00BC28E8">
            <w:pPr>
              <w:pStyle w:val="GazetteTableText"/>
              <w:rPr>
                <w:lang w:val="en-AU"/>
              </w:rPr>
            </w:pPr>
            <w:r w:rsidRPr="00276C3A">
              <w:rPr>
                <w:lang w:val="en-AU"/>
              </w:rPr>
              <w:t>5 William Street</w:t>
            </w:r>
            <w:r w:rsidR="00BC28E8">
              <w:rPr>
                <w:lang w:val="en-AU"/>
              </w:rPr>
              <w:br/>
            </w:r>
            <w:r w:rsidRPr="00276C3A">
              <w:rPr>
                <w:lang w:val="en-AU"/>
              </w:rPr>
              <w:t xml:space="preserve">Ferntree Gully VIC 3156 </w:t>
            </w:r>
          </w:p>
        </w:tc>
        <w:tc>
          <w:tcPr>
            <w:tcW w:w="1039" w:type="pct"/>
          </w:tcPr>
          <w:p w14:paraId="645124BE" w14:textId="1699EC96" w:rsidR="00170426" w:rsidRPr="00276C3A" w:rsidRDefault="00170426" w:rsidP="00270A48">
            <w:pPr>
              <w:pStyle w:val="GazetteTableText"/>
              <w:rPr>
                <w:lang w:val="en-AU"/>
              </w:rPr>
            </w:pPr>
            <w:r w:rsidRPr="00276C3A">
              <w:rPr>
                <w:lang w:val="en-AU"/>
              </w:rPr>
              <w:t>Category 1</w:t>
            </w:r>
            <w:r>
              <w:rPr>
                <w:lang w:val="en-AU"/>
              </w:rPr>
              <w:t xml:space="preserve">: </w:t>
            </w:r>
            <w:r w:rsidRPr="00276C3A">
              <w:rPr>
                <w:lang w:val="en-AU"/>
              </w:rPr>
              <w:t>Sterile products for</w:t>
            </w:r>
            <w:r>
              <w:rPr>
                <w:lang w:val="en-AU"/>
              </w:rPr>
              <w:t xml:space="preserve"> </w:t>
            </w:r>
            <w:r w:rsidRPr="00276C3A">
              <w:rPr>
                <w:lang w:val="en-AU"/>
              </w:rPr>
              <w:t>Injection (</w:t>
            </w:r>
            <w:proofErr w:type="spellStart"/>
            <w:r w:rsidR="00BC28E8">
              <w:rPr>
                <w:lang w:val="en-AU"/>
              </w:rPr>
              <w:t>s</w:t>
            </w:r>
            <w:r w:rsidRPr="00276C3A">
              <w:rPr>
                <w:lang w:val="en-AU"/>
              </w:rPr>
              <w:t>terilsation</w:t>
            </w:r>
            <w:proofErr w:type="spellEnd"/>
            <w:r w:rsidRPr="00276C3A">
              <w:rPr>
                <w:lang w:val="en-AU"/>
              </w:rPr>
              <w:t xml:space="preserve"> by </w:t>
            </w:r>
            <w:r w:rsidR="00BC28E8">
              <w:rPr>
                <w:lang w:val="en-AU"/>
              </w:rPr>
              <w:t>f</w:t>
            </w:r>
            <w:r w:rsidRPr="00276C3A">
              <w:rPr>
                <w:lang w:val="en-AU"/>
              </w:rPr>
              <w:t xml:space="preserve">iltration and </w:t>
            </w:r>
            <w:r w:rsidR="00BC28E8">
              <w:rPr>
                <w:lang w:val="en-AU"/>
              </w:rPr>
              <w:t>a</w:t>
            </w:r>
            <w:r w:rsidRPr="00276C3A">
              <w:rPr>
                <w:lang w:val="en-AU"/>
              </w:rPr>
              <w:t xml:space="preserve">septic </w:t>
            </w:r>
            <w:r w:rsidR="00BC28E8">
              <w:rPr>
                <w:lang w:val="en-AU"/>
              </w:rPr>
              <w:t>f</w:t>
            </w:r>
            <w:r w:rsidRPr="00276C3A">
              <w:rPr>
                <w:lang w:val="en-AU"/>
              </w:rPr>
              <w:t>illing)</w:t>
            </w:r>
          </w:p>
          <w:p w14:paraId="17FB728E" w14:textId="159D1030" w:rsidR="00170426" w:rsidRPr="00276C3A" w:rsidRDefault="00170426" w:rsidP="00270A48">
            <w:pPr>
              <w:pStyle w:val="GazetteTableText"/>
              <w:rPr>
                <w:i/>
                <w:iCs/>
                <w:lang w:val="en-AU"/>
              </w:rPr>
            </w:pPr>
            <w:r w:rsidRPr="00276C3A">
              <w:rPr>
                <w:lang w:val="en-AU"/>
              </w:rPr>
              <w:t>Category 2</w:t>
            </w:r>
            <w:r>
              <w:rPr>
                <w:lang w:val="en-AU"/>
              </w:rPr>
              <w:t>:</w:t>
            </w:r>
            <w:r w:rsidRPr="00276C3A">
              <w:rPr>
                <w:lang w:val="en-AU"/>
              </w:rPr>
              <w:t xml:space="preserve"> Gels, </w:t>
            </w:r>
            <w:r w:rsidR="00BC28E8">
              <w:rPr>
                <w:lang w:val="en-AU"/>
              </w:rPr>
              <w:t>s</w:t>
            </w:r>
            <w:r w:rsidRPr="00276C3A">
              <w:rPr>
                <w:lang w:val="en-AU"/>
              </w:rPr>
              <w:t xml:space="preserve">prays, </w:t>
            </w:r>
            <w:r w:rsidR="00BC28E8">
              <w:rPr>
                <w:lang w:val="en-AU"/>
              </w:rPr>
              <w:t>l</w:t>
            </w:r>
            <w:r w:rsidRPr="00276C3A">
              <w:rPr>
                <w:lang w:val="en-AU"/>
              </w:rPr>
              <w:t xml:space="preserve">iquids (oral, topical), and </w:t>
            </w:r>
            <w:r w:rsidR="00BC28E8">
              <w:rPr>
                <w:lang w:val="en-AU"/>
              </w:rPr>
              <w:t>s</w:t>
            </w:r>
            <w:r w:rsidRPr="00276C3A">
              <w:rPr>
                <w:lang w:val="en-AU"/>
              </w:rPr>
              <w:t>uspensions</w:t>
            </w:r>
          </w:p>
        </w:tc>
        <w:tc>
          <w:tcPr>
            <w:tcW w:w="1090" w:type="pct"/>
          </w:tcPr>
          <w:p w14:paraId="246669C9" w14:textId="77777777" w:rsidR="00170426" w:rsidRPr="00276C3A" w:rsidRDefault="00170426" w:rsidP="00270A48">
            <w:pPr>
              <w:pStyle w:val="GazetteTableText"/>
              <w:rPr>
                <w:lang w:val="en-AU"/>
              </w:rPr>
            </w:pPr>
            <w:r w:rsidRPr="00276C3A">
              <w:rPr>
                <w:lang w:val="en-AU"/>
              </w:rPr>
              <w:t>Quality assurance (QA) of raw materials, Formulation including blending, Sterilisation by</w:t>
            </w:r>
            <w:r>
              <w:rPr>
                <w:lang w:val="en-AU"/>
              </w:rPr>
              <w:t xml:space="preserve"> </w:t>
            </w:r>
            <w:r w:rsidRPr="00276C3A">
              <w:rPr>
                <w:lang w:val="en-AU"/>
              </w:rPr>
              <w:t>filtration, Aseptic Filling, filling, analysis and testing (physical, microbiological, endotoxin</w:t>
            </w:r>
            <w:r>
              <w:rPr>
                <w:lang w:val="en-AU"/>
              </w:rPr>
              <w:t xml:space="preserve"> </w:t>
            </w:r>
            <w:r w:rsidRPr="00276C3A">
              <w:rPr>
                <w:lang w:val="en-AU"/>
              </w:rPr>
              <w:t>testing, and sterility testing), packaging, labelling, repackaging, relabelling, storage, and release</w:t>
            </w:r>
            <w:r>
              <w:rPr>
                <w:lang w:val="en-AU"/>
              </w:rPr>
              <w:t xml:space="preserve"> </w:t>
            </w:r>
            <w:r w:rsidRPr="00276C3A">
              <w:rPr>
                <w:lang w:val="en-AU"/>
              </w:rPr>
              <w:t>for supply.</w:t>
            </w:r>
          </w:p>
        </w:tc>
        <w:tc>
          <w:tcPr>
            <w:tcW w:w="496" w:type="pct"/>
          </w:tcPr>
          <w:p w14:paraId="07F50057" w14:textId="0E560E22" w:rsidR="00170426" w:rsidRDefault="00170426" w:rsidP="00270A48">
            <w:pPr>
              <w:pStyle w:val="GazetteTableText"/>
            </w:pPr>
            <w:r>
              <w:t>5 December 2025</w:t>
            </w:r>
          </w:p>
        </w:tc>
      </w:tr>
      <w:tr w:rsidR="00170426" w14:paraId="5A990C14" w14:textId="77777777" w:rsidTr="009975D2">
        <w:trPr>
          <w:cantSplit/>
        </w:trPr>
        <w:tc>
          <w:tcPr>
            <w:tcW w:w="687" w:type="pct"/>
          </w:tcPr>
          <w:p w14:paraId="671971AF" w14:textId="77777777" w:rsidR="00170426" w:rsidRDefault="00170426" w:rsidP="00270A48">
            <w:pPr>
              <w:pStyle w:val="GazetteTableText"/>
              <w:rPr>
                <w:lang w:val="en-AU"/>
              </w:rPr>
            </w:pPr>
            <w:r>
              <w:rPr>
                <w:lang w:val="en-AU"/>
              </w:rPr>
              <w:t>Troy Laboratories Pty Ltd</w:t>
            </w:r>
          </w:p>
        </w:tc>
        <w:tc>
          <w:tcPr>
            <w:tcW w:w="425" w:type="pct"/>
          </w:tcPr>
          <w:p w14:paraId="562B4102" w14:textId="77777777" w:rsidR="00170426" w:rsidRDefault="00170426" w:rsidP="00270A48">
            <w:pPr>
              <w:pStyle w:val="GazetteTableText"/>
            </w:pPr>
            <w:r>
              <w:t>1092</w:t>
            </w:r>
          </w:p>
        </w:tc>
        <w:tc>
          <w:tcPr>
            <w:tcW w:w="491" w:type="pct"/>
          </w:tcPr>
          <w:p w14:paraId="5469BBEC" w14:textId="77777777" w:rsidR="00170426" w:rsidRPr="00276C3A" w:rsidRDefault="00170426" w:rsidP="00270A48">
            <w:pPr>
              <w:pStyle w:val="GazetteTableText"/>
              <w:rPr>
                <w:lang w:val="en-AU"/>
              </w:rPr>
            </w:pPr>
            <w:r>
              <w:rPr>
                <w:lang w:val="en-AU"/>
              </w:rPr>
              <w:t>000 283 769</w:t>
            </w:r>
          </w:p>
        </w:tc>
        <w:tc>
          <w:tcPr>
            <w:tcW w:w="773" w:type="pct"/>
          </w:tcPr>
          <w:p w14:paraId="0061F5E1" w14:textId="1E630E27" w:rsidR="00170426" w:rsidRPr="00276C3A" w:rsidRDefault="00170426" w:rsidP="00BC28E8">
            <w:pPr>
              <w:pStyle w:val="GazetteTableText"/>
              <w:rPr>
                <w:lang w:val="en-AU"/>
              </w:rPr>
            </w:pPr>
            <w:r>
              <w:rPr>
                <w:lang w:val="en-AU"/>
              </w:rPr>
              <w:t>37 Glendenning Road</w:t>
            </w:r>
            <w:r w:rsidR="00BC28E8">
              <w:rPr>
                <w:lang w:val="en-AU"/>
              </w:rPr>
              <w:br/>
            </w:r>
            <w:r>
              <w:rPr>
                <w:lang w:val="en-AU"/>
              </w:rPr>
              <w:t>G</w:t>
            </w:r>
            <w:r w:rsidR="00BC28E8">
              <w:rPr>
                <w:lang w:val="en-AU"/>
              </w:rPr>
              <w:t>lendenning</w:t>
            </w:r>
            <w:r>
              <w:rPr>
                <w:lang w:val="en-AU"/>
              </w:rPr>
              <w:t xml:space="preserve"> NSW 2761</w:t>
            </w:r>
          </w:p>
        </w:tc>
        <w:tc>
          <w:tcPr>
            <w:tcW w:w="1039" w:type="pct"/>
          </w:tcPr>
          <w:p w14:paraId="492260D3" w14:textId="77777777" w:rsidR="00170426" w:rsidRPr="00DC270E" w:rsidRDefault="00170426" w:rsidP="00270A48">
            <w:pPr>
              <w:pStyle w:val="GazetteTableText"/>
              <w:rPr>
                <w:lang w:val="en-AU"/>
              </w:rPr>
            </w:pPr>
            <w:r w:rsidRPr="00DC270E">
              <w:rPr>
                <w:lang w:val="en-AU"/>
              </w:rPr>
              <w:t>Category 1</w:t>
            </w:r>
            <w:r>
              <w:rPr>
                <w:lang w:val="en-AU"/>
              </w:rPr>
              <w:t>:</w:t>
            </w:r>
            <w:r w:rsidRPr="00DC270E">
              <w:rPr>
                <w:lang w:val="en-AU"/>
              </w:rPr>
              <w:t xml:space="preserve"> </w:t>
            </w:r>
            <w:r>
              <w:rPr>
                <w:lang w:val="en-AU"/>
              </w:rPr>
              <w:t>S</w:t>
            </w:r>
            <w:r w:rsidRPr="00DC270E">
              <w:rPr>
                <w:lang w:val="en-AU"/>
              </w:rPr>
              <w:t>terile products and terminally sterilised ointment</w:t>
            </w:r>
          </w:p>
          <w:p w14:paraId="46E95F50" w14:textId="77777777" w:rsidR="00170426" w:rsidRPr="00DC270E" w:rsidRDefault="00170426" w:rsidP="00270A48">
            <w:pPr>
              <w:pStyle w:val="GazetteTableText"/>
              <w:rPr>
                <w:lang w:val="en-AU"/>
              </w:rPr>
            </w:pPr>
            <w:r w:rsidRPr="00DC270E">
              <w:rPr>
                <w:lang w:val="en-AU"/>
              </w:rPr>
              <w:t>Category 2</w:t>
            </w:r>
            <w:r>
              <w:rPr>
                <w:lang w:val="en-AU"/>
              </w:rPr>
              <w:t>: T</w:t>
            </w:r>
            <w:r w:rsidRPr="00DC270E">
              <w:rPr>
                <w:lang w:val="en-AU"/>
              </w:rPr>
              <w:t>ablets, creams / lotions, ointments, gels, pastes, sprays, suspensions and liquids</w:t>
            </w:r>
          </w:p>
          <w:p w14:paraId="01FA4E11" w14:textId="77777777" w:rsidR="00170426" w:rsidRPr="00276C3A" w:rsidRDefault="00170426" w:rsidP="00270A48">
            <w:pPr>
              <w:pStyle w:val="GazetteTableText"/>
              <w:rPr>
                <w:lang w:val="en-AU"/>
              </w:rPr>
            </w:pPr>
            <w:r w:rsidRPr="00DC270E">
              <w:rPr>
                <w:lang w:val="en-AU"/>
              </w:rPr>
              <w:t>Category 3</w:t>
            </w:r>
            <w:r>
              <w:rPr>
                <w:lang w:val="en-AU"/>
              </w:rPr>
              <w:t>: L</w:t>
            </w:r>
            <w:r w:rsidRPr="00DC270E">
              <w:rPr>
                <w:lang w:val="en-AU"/>
              </w:rPr>
              <w:t>iquids and sprays</w:t>
            </w:r>
          </w:p>
        </w:tc>
        <w:tc>
          <w:tcPr>
            <w:tcW w:w="1090" w:type="pct"/>
          </w:tcPr>
          <w:p w14:paraId="7A919905" w14:textId="77777777" w:rsidR="00170426" w:rsidRPr="00276C3A" w:rsidRDefault="00170426" w:rsidP="00270A48">
            <w:pPr>
              <w:pStyle w:val="GazetteTableText"/>
              <w:rPr>
                <w:lang w:val="en-AU"/>
              </w:rPr>
            </w:pPr>
            <w:r w:rsidRPr="00DC270E">
              <w:rPr>
                <w:lang w:val="en-AU"/>
              </w:rPr>
              <w:t>Quality assurance (QA) of raw materials, formulation including blending, granulation, dry milling, wet milling, aseptic filling, filling, packaging, secondary packaging, labelling, secondary labelling, tableting, sterilisation (heat and filtration), microbiological reduction treatment (filtration and chemical), analysis and testing (physical, chemical, microbiological, and endotoxin), storage, and release for supply.</w:t>
            </w:r>
          </w:p>
        </w:tc>
        <w:tc>
          <w:tcPr>
            <w:tcW w:w="496" w:type="pct"/>
          </w:tcPr>
          <w:p w14:paraId="3EA85386" w14:textId="77777777" w:rsidR="00170426" w:rsidRDefault="00170426" w:rsidP="00270A48">
            <w:pPr>
              <w:pStyle w:val="GazetteTableText"/>
            </w:pPr>
            <w:r>
              <w:t>15 December 2025</w:t>
            </w:r>
          </w:p>
        </w:tc>
      </w:tr>
    </w:tbl>
    <w:p w14:paraId="512DB563" w14:textId="77777777" w:rsidR="00BC28E8" w:rsidRDefault="00BC28E8" w:rsidP="00BC28E8">
      <w:pPr>
        <w:pStyle w:val="GazetteHeading2"/>
      </w:pPr>
      <w:r>
        <w:br w:type="page"/>
      </w:r>
    </w:p>
    <w:p w14:paraId="3C713149" w14:textId="0505F8FD" w:rsidR="00170426" w:rsidRPr="00BC28E8" w:rsidRDefault="00170426" w:rsidP="00BC28E8">
      <w:pPr>
        <w:pStyle w:val="GazetteHeading2"/>
      </w:pPr>
      <w:r w:rsidRPr="00BC28E8">
        <w:lastRenderedPageBreak/>
        <w:t>Licence cancellations</w:t>
      </w:r>
    </w:p>
    <w:p w14:paraId="5D7C8513" w14:textId="77777777" w:rsidR="00170426" w:rsidRDefault="00170426" w:rsidP="00170426">
      <w:pPr>
        <w:pStyle w:val="GazetteNormalText"/>
      </w:pPr>
      <w:r>
        <w:t xml:space="preserve">The APVMA has cancelled the following licenses under subsection 127(1) of the </w:t>
      </w:r>
      <w:proofErr w:type="spellStart"/>
      <w:r>
        <w:t>Agvet</w:t>
      </w:r>
      <w:proofErr w:type="spellEnd"/>
      <w:r>
        <w:t xml:space="preserve"> Code:</w:t>
      </w:r>
    </w:p>
    <w:p w14:paraId="0D0A15A7" w14:textId="3EF73CEC" w:rsidR="00170426" w:rsidRDefault="00170426" w:rsidP="00170426">
      <w:pPr>
        <w:pStyle w:val="Caption"/>
      </w:pPr>
      <w:r>
        <w:t xml:space="preserve">Table </w:t>
      </w:r>
      <w:r>
        <w:fldChar w:fldCharType="begin"/>
      </w:r>
      <w:r>
        <w:instrText xml:space="preserve"> SEQ Table \* ARABIC </w:instrText>
      </w:r>
      <w:r>
        <w:fldChar w:fldCharType="separate"/>
      </w:r>
      <w:r w:rsidR="00472E89">
        <w:rPr>
          <w:noProof/>
        </w:rPr>
        <w:t>11</w:t>
      </w:r>
      <w:r>
        <w:rPr>
          <w:noProof/>
        </w:rPr>
        <w:fldChar w:fldCharType="end"/>
      </w:r>
      <w:r>
        <w:t xml:space="preserve">: Licenses cancelled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170426" w14:paraId="4536747A" w14:textId="77777777" w:rsidTr="00BC28E8">
        <w:trPr>
          <w:tblHeader/>
        </w:trPr>
        <w:tc>
          <w:tcPr>
            <w:tcW w:w="1034" w:type="pct"/>
            <w:shd w:val="clear" w:color="auto" w:fill="D9D9D9" w:themeFill="background1" w:themeFillShade="D9"/>
          </w:tcPr>
          <w:p w14:paraId="56ED62C9" w14:textId="77777777" w:rsidR="00170426" w:rsidRDefault="00170426" w:rsidP="00270A48">
            <w:pPr>
              <w:pStyle w:val="GazetteTableHeading"/>
            </w:pPr>
            <w:r>
              <w:t>Company name</w:t>
            </w:r>
          </w:p>
        </w:tc>
        <w:tc>
          <w:tcPr>
            <w:tcW w:w="509" w:type="pct"/>
            <w:shd w:val="clear" w:color="auto" w:fill="D9D9D9" w:themeFill="background1" w:themeFillShade="D9"/>
          </w:tcPr>
          <w:p w14:paraId="6BF39EEB" w14:textId="77777777" w:rsidR="00170426" w:rsidRDefault="00170426" w:rsidP="00270A48">
            <w:pPr>
              <w:pStyle w:val="GazetteTableHeading"/>
            </w:pPr>
            <w:r>
              <w:t>Licence number</w:t>
            </w:r>
          </w:p>
        </w:tc>
        <w:tc>
          <w:tcPr>
            <w:tcW w:w="736" w:type="pct"/>
            <w:shd w:val="clear" w:color="auto" w:fill="D9D9D9" w:themeFill="background1" w:themeFillShade="D9"/>
          </w:tcPr>
          <w:p w14:paraId="7C249EC5" w14:textId="77777777" w:rsidR="00170426" w:rsidRDefault="00170426" w:rsidP="00270A48">
            <w:pPr>
              <w:pStyle w:val="GazetteTableHeading"/>
            </w:pPr>
            <w:r>
              <w:t>Company ACN</w:t>
            </w:r>
          </w:p>
        </w:tc>
        <w:tc>
          <w:tcPr>
            <w:tcW w:w="1835" w:type="pct"/>
            <w:shd w:val="clear" w:color="auto" w:fill="D9D9D9" w:themeFill="background1" w:themeFillShade="D9"/>
          </w:tcPr>
          <w:p w14:paraId="23EBE015" w14:textId="77777777" w:rsidR="00170426" w:rsidRDefault="00170426" w:rsidP="00270A48">
            <w:pPr>
              <w:pStyle w:val="GazetteTableHeading"/>
            </w:pPr>
            <w:r>
              <w:t>Address</w:t>
            </w:r>
          </w:p>
        </w:tc>
        <w:tc>
          <w:tcPr>
            <w:tcW w:w="886" w:type="pct"/>
            <w:shd w:val="clear" w:color="auto" w:fill="D9D9D9" w:themeFill="background1" w:themeFillShade="D9"/>
          </w:tcPr>
          <w:p w14:paraId="2B004A7D" w14:textId="77777777" w:rsidR="00170426" w:rsidRDefault="00170426" w:rsidP="00270A48">
            <w:pPr>
              <w:pStyle w:val="GazetteTableHeading"/>
            </w:pPr>
            <w:r>
              <w:t>Date cancelled</w:t>
            </w:r>
          </w:p>
        </w:tc>
      </w:tr>
      <w:tr w:rsidR="00170426" w14:paraId="5CF0B780" w14:textId="77777777" w:rsidTr="00BC28E8">
        <w:tc>
          <w:tcPr>
            <w:tcW w:w="1034" w:type="pct"/>
          </w:tcPr>
          <w:p w14:paraId="551F48B5" w14:textId="77777777" w:rsidR="00170426" w:rsidRDefault="00170426" w:rsidP="00270A48">
            <w:pPr>
              <w:pStyle w:val="GazetteTableText"/>
            </w:pPr>
            <w:proofErr w:type="spellStart"/>
            <w:r w:rsidRPr="00205F64">
              <w:t>Probiotec</w:t>
            </w:r>
            <w:proofErr w:type="spellEnd"/>
            <w:r w:rsidRPr="00205F64">
              <w:t xml:space="preserve"> Multipack Pty Ltd</w:t>
            </w:r>
          </w:p>
        </w:tc>
        <w:tc>
          <w:tcPr>
            <w:tcW w:w="509" w:type="pct"/>
          </w:tcPr>
          <w:p w14:paraId="2C35202C" w14:textId="77777777" w:rsidR="00170426" w:rsidRDefault="00170426" w:rsidP="00270A48">
            <w:pPr>
              <w:pStyle w:val="GazetteTableText"/>
            </w:pPr>
            <w:r>
              <w:t>6229</w:t>
            </w:r>
          </w:p>
        </w:tc>
        <w:tc>
          <w:tcPr>
            <w:tcW w:w="736" w:type="pct"/>
          </w:tcPr>
          <w:p w14:paraId="0D1FF85A" w14:textId="77777777" w:rsidR="00170426" w:rsidRDefault="00170426" w:rsidP="00270A48">
            <w:pPr>
              <w:pStyle w:val="GazetteTableText"/>
            </w:pPr>
            <w:r>
              <w:t>100 109 019</w:t>
            </w:r>
          </w:p>
        </w:tc>
        <w:tc>
          <w:tcPr>
            <w:tcW w:w="1835" w:type="pct"/>
          </w:tcPr>
          <w:p w14:paraId="4713AFB7" w14:textId="4E80381E" w:rsidR="00170426" w:rsidRDefault="00170426" w:rsidP="00BC28E8">
            <w:pPr>
              <w:pStyle w:val="GazetteTableText"/>
            </w:pPr>
            <w:r>
              <w:t>22B Hanson Place</w:t>
            </w:r>
            <w:r w:rsidR="00BC28E8">
              <w:br/>
            </w:r>
            <w:r>
              <w:t>E</w:t>
            </w:r>
            <w:r w:rsidR="00BC28E8">
              <w:t>astern</w:t>
            </w:r>
            <w:r>
              <w:t xml:space="preserve"> C</w:t>
            </w:r>
            <w:r w:rsidR="00BC28E8">
              <w:t>reek</w:t>
            </w:r>
            <w:r>
              <w:t xml:space="preserve"> NSW 2766</w:t>
            </w:r>
          </w:p>
        </w:tc>
        <w:tc>
          <w:tcPr>
            <w:tcW w:w="886" w:type="pct"/>
          </w:tcPr>
          <w:p w14:paraId="5948E7C8" w14:textId="77777777" w:rsidR="00170426" w:rsidRDefault="00170426" w:rsidP="00270A48">
            <w:pPr>
              <w:pStyle w:val="GazetteTableText"/>
            </w:pPr>
            <w:r>
              <w:t>26 November 2025</w:t>
            </w:r>
          </w:p>
        </w:tc>
      </w:tr>
      <w:tr w:rsidR="00170426" w14:paraId="65C3DFF9" w14:textId="77777777" w:rsidTr="00BC28E8">
        <w:tc>
          <w:tcPr>
            <w:tcW w:w="1034" w:type="pct"/>
          </w:tcPr>
          <w:p w14:paraId="19BC8D28" w14:textId="77777777" w:rsidR="00170426" w:rsidRDefault="00170426" w:rsidP="00270A48">
            <w:pPr>
              <w:pStyle w:val="GazetteTableText"/>
            </w:pPr>
            <w:r w:rsidRPr="00205F64">
              <w:t>ABS (Aus) Pty Ltd</w:t>
            </w:r>
          </w:p>
        </w:tc>
        <w:tc>
          <w:tcPr>
            <w:tcW w:w="509" w:type="pct"/>
          </w:tcPr>
          <w:p w14:paraId="71800155" w14:textId="77777777" w:rsidR="00170426" w:rsidRDefault="00170426" w:rsidP="00270A48">
            <w:pPr>
              <w:pStyle w:val="GazetteTableText"/>
            </w:pPr>
            <w:r>
              <w:t>6226</w:t>
            </w:r>
          </w:p>
        </w:tc>
        <w:tc>
          <w:tcPr>
            <w:tcW w:w="736" w:type="pct"/>
          </w:tcPr>
          <w:p w14:paraId="56C016DC" w14:textId="77777777" w:rsidR="00170426" w:rsidRDefault="00170426" w:rsidP="00270A48">
            <w:pPr>
              <w:pStyle w:val="GazetteTableText"/>
            </w:pPr>
            <w:r>
              <w:t>633 680 065</w:t>
            </w:r>
          </w:p>
        </w:tc>
        <w:tc>
          <w:tcPr>
            <w:tcW w:w="1835" w:type="pct"/>
          </w:tcPr>
          <w:p w14:paraId="1EC1BF11" w14:textId="7F25B268" w:rsidR="00170426" w:rsidRDefault="00170426" w:rsidP="00BC28E8">
            <w:pPr>
              <w:pStyle w:val="GazetteTableText"/>
            </w:pPr>
            <w:r>
              <w:t>18 Distribution Place</w:t>
            </w:r>
            <w:r w:rsidR="00BC28E8">
              <w:br/>
            </w:r>
            <w:r>
              <w:t>S</w:t>
            </w:r>
            <w:r w:rsidR="00BC28E8">
              <w:t>even</w:t>
            </w:r>
            <w:r>
              <w:t xml:space="preserve"> H</w:t>
            </w:r>
            <w:r w:rsidR="00BC28E8">
              <w:t xml:space="preserve">ills </w:t>
            </w:r>
            <w:r>
              <w:t>NSW 2147</w:t>
            </w:r>
          </w:p>
        </w:tc>
        <w:tc>
          <w:tcPr>
            <w:tcW w:w="886" w:type="pct"/>
          </w:tcPr>
          <w:p w14:paraId="09CBAD4C" w14:textId="77777777" w:rsidR="00170426" w:rsidRDefault="00170426" w:rsidP="00270A48">
            <w:pPr>
              <w:pStyle w:val="GazetteTableText"/>
            </w:pPr>
            <w:r>
              <w:t>26 November 2025</w:t>
            </w:r>
          </w:p>
        </w:tc>
      </w:tr>
    </w:tbl>
    <w:p w14:paraId="26744979" w14:textId="77777777" w:rsidR="00170426" w:rsidRPr="00DA53DF" w:rsidRDefault="00170426" w:rsidP="00170426">
      <w:pPr>
        <w:pStyle w:val="GazetteHeading2"/>
      </w:pPr>
      <w:r>
        <w:t>APVMA c</w:t>
      </w:r>
      <w:r w:rsidRPr="00DA53DF">
        <w:t>ontact</w:t>
      </w:r>
    </w:p>
    <w:p w14:paraId="6F23307C" w14:textId="3B65EFB3" w:rsidR="00170426" w:rsidRDefault="00170426" w:rsidP="00170426">
      <w:pPr>
        <w:pStyle w:val="GazetteContact"/>
      </w:pPr>
      <w:r>
        <w:t>Manufacturing Quality and Licensing</w:t>
      </w:r>
      <w:r w:rsidR="00BC28E8">
        <w:br/>
      </w:r>
      <w:r>
        <w:t>Australian Pesticides and Veterinary Medicines Authority</w:t>
      </w:r>
      <w:r w:rsidR="00BC28E8">
        <w:br/>
      </w:r>
      <w:r w:rsidRPr="0035245A">
        <w:rPr>
          <w:lang w:val="en-AU"/>
        </w:rPr>
        <w:t>GPO Box 574</w:t>
      </w:r>
      <w:r w:rsidR="00BC28E8">
        <w:rPr>
          <w:lang w:val="en-AU"/>
        </w:rPr>
        <w:br/>
      </w:r>
      <w:r w:rsidRPr="0035245A">
        <w:rPr>
          <w:lang w:val="en-AU"/>
        </w:rPr>
        <w:t>Canberra ACT 2601</w:t>
      </w:r>
    </w:p>
    <w:p w14:paraId="72BB1F33" w14:textId="0466E124" w:rsidR="00170426" w:rsidRDefault="00170426" w:rsidP="00713D0D">
      <w:pPr>
        <w:pStyle w:val="GazetteContact"/>
        <w:spacing w:before="300"/>
        <w:rPr>
          <w:rStyle w:val="Hyperlink"/>
          <w:color w:val="000000"/>
          <w:u w:val="none"/>
        </w:rPr>
        <w:sectPr w:rsidR="00170426" w:rsidSect="00CB73E0">
          <w:headerReference w:type="even" r:id="rId34"/>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rsidR="00BC28E8">
        <w:rPr>
          <w:lang w:val="en-AU"/>
        </w:rPr>
        <w:br/>
      </w:r>
      <w:r>
        <w:rPr>
          <w:b/>
        </w:rPr>
        <w:t>Email</w:t>
      </w:r>
      <w:r>
        <w:t>:</w:t>
      </w:r>
      <w:r>
        <w:rPr>
          <w:b/>
        </w:rPr>
        <w:t xml:space="preserve"> </w:t>
      </w:r>
      <w:hyperlink r:id="rId35" w:history="1">
        <w:r w:rsidRPr="001E795C">
          <w:rPr>
            <w:rStyle w:val="Hyperlink"/>
          </w:rPr>
          <w:t>mls@apvma.gov.au</w:t>
        </w:r>
      </w:hyperlink>
    </w:p>
    <w:p w14:paraId="1335D0E9" w14:textId="4CE45086" w:rsidR="00B416FC" w:rsidRDefault="00B416FC" w:rsidP="00B416FC">
      <w:pPr>
        <w:pStyle w:val="GazetteHeading1"/>
      </w:pPr>
      <w:bookmarkStart w:id="33" w:name="_Toc217376733"/>
      <w:proofErr w:type="spellStart"/>
      <w:r>
        <w:lastRenderedPageBreak/>
        <w:t>Agvet</w:t>
      </w:r>
      <w:proofErr w:type="spellEnd"/>
      <w:r>
        <w:t xml:space="preserve"> chemical voluntary recall: </w:t>
      </w:r>
      <w:r w:rsidRPr="00444BF6">
        <w:t>Bloat-Drench Oral Bloat Control</w:t>
      </w:r>
      <w:bookmarkEnd w:id="33"/>
    </w:p>
    <w:p w14:paraId="129C2C06" w14:textId="77777777" w:rsidR="00B416FC" w:rsidRDefault="00B416FC" w:rsidP="00B416FC">
      <w:pPr>
        <w:pStyle w:val="GazetteNormalText"/>
      </w:pPr>
      <w:r w:rsidRPr="00C00BDF">
        <w:rPr>
          <w:b/>
          <w:bCs/>
        </w:rPr>
        <w:t>Product name</w:t>
      </w:r>
      <w:r>
        <w:t xml:space="preserve">: </w:t>
      </w:r>
      <w:r w:rsidRPr="00444BF6">
        <w:t>Bloat-Drench Oral Bloat Control</w:t>
      </w:r>
    </w:p>
    <w:p w14:paraId="0C51B08F" w14:textId="77777777" w:rsidR="00B416FC" w:rsidRDefault="00B416FC" w:rsidP="00B416FC">
      <w:pPr>
        <w:pStyle w:val="GazetteNormalText"/>
      </w:pPr>
      <w:r w:rsidRPr="00C00BDF">
        <w:rPr>
          <w:b/>
          <w:bCs/>
        </w:rPr>
        <w:t>APVMA registration number</w:t>
      </w:r>
      <w:r>
        <w:t xml:space="preserve">: </w:t>
      </w:r>
      <w:r w:rsidRPr="00444BF6">
        <w:t>38823</w:t>
      </w:r>
    </w:p>
    <w:p w14:paraId="34EF1147" w14:textId="77777777" w:rsidR="00B416FC" w:rsidRDefault="00B416FC" w:rsidP="00B416FC">
      <w:pPr>
        <w:pStyle w:val="GazetteNormalText"/>
      </w:pPr>
      <w:r w:rsidRPr="00C00BDF">
        <w:rPr>
          <w:b/>
          <w:bCs/>
        </w:rPr>
        <w:t>APVMA approved label number</w:t>
      </w:r>
      <w:r>
        <w:t xml:space="preserve">: </w:t>
      </w:r>
      <w:r w:rsidRPr="00444BF6">
        <w:t>60429</w:t>
      </w:r>
    </w:p>
    <w:p w14:paraId="52769487" w14:textId="77777777" w:rsidR="00B416FC" w:rsidRDefault="00B416FC" w:rsidP="00B416FC">
      <w:pPr>
        <w:pStyle w:val="GazetteNormalText"/>
      </w:pPr>
      <w:r w:rsidRPr="00C00BDF">
        <w:rPr>
          <w:b/>
          <w:bCs/>
        </w:rPr>
        <w:t>Batch number</w:t>
      </w:r>
      <w:r>
        <w:t xml:space="preserve">: </w:t>
      </w:r>
      <w:r w:rsidRPr="00A6318F">
        <w:t>25100140</w:t>
      </w:r>
    </w:p>
    <w:p w14:paraId="2A2CE0AD" w14:textId="5D1644F8" w:rsidR="00B416FC" w:rsidRPr="00045F9B" w:rsidRDefault="00B416FC" w:rsidP="00B416FC">
      <w:pPr>
        <w:pStyle w:val="GazetteNormalText"/>
      </w:pPr>
      <w:r w:rsidRPr="00C00BDF">
        <w:rPr>
          <w:b/>
          <w:bCs/>
        </w:rPr>
        <w:t>Sold by</w:t>
      </w:r>
      <w:r>
        <w:t>:</w:t>
      </w:r>
      <w:r w:rsidRPr="00C50D70">
        <w:t xml:space="preserve"> </w:t>
      </w:r>
      <w:r w:rsidRPr="00444BF6">
        <w:t>Victorian Chemical Co</w:t>
      </w:r>
      <w:r>
        <w:t>mpany</w:t>
      </w:r>
      <w:r w:rsidRPr="00444BF6">
        <w:t xml:space="preserve"> P</w:t>
      </w:r>
      <w:r>
        <w:t>ty</w:t>
      </w:r>
      <w:r w:rsidRPr="00444BF6">
        <w:t xml:space="preserve"> Ltd in </w:t>
      </w:r>
      <w:r w:rsidRPr="00560479">
        <w:t xml:space="preserve">VIC, NSW, SA </w:t>
      </w:r>
      <w:r w:rsidR="00BC28E8">
        <w:t>and</w:t>
      </w:r>
      <w:r w:rsidRPr="00560479">
        <w:t xml:space="preserve"> TAS between 29</w:t>
      </w:r>
      <w:r w:rsidR="00BC28E8">
        <w:t xml:space="preserve"> October </w:t>
      </w:r>
      <w:r w:rsidRPr="00560479">
        <w:t>2025 to 18</w:t>
      </w:r>
      <w:r w:rsidR="00BC28E8">
        <w:t> </w:t>
      </w:r>
      <w:r w:rsidR="00BC28E8">
        <w:t>December</w:t>
      </w:r>
      <w:r w:rsidR="00BC28E8">
        <w:t> </w:t>
      </w:r>
      <w:r w:rsidRPr="00560479">
        <w:t>2025</w:t>
      </w:r>
      <w:r w:rsidR="00BC28E8">
        <w:t>.</w:t>
      </w:r>
    </w:p>
    <w:p w14:paraId="16B41A54" w14:textId="2BD3DB75" w:rsidR="00B416FC" w:rsidRPr="000E6F69" w:rsidRDefault="00B416FC" w:rsidP="00B416FC">
      <w:pPr>
        <w:pStyle w:val="GazetteNormalText"/>
      </w:pPr>
      <w:r w:rsidRPr="00444BF6">
        <w:t xml:space="preserve">On </w:t>
      </w:r>
      <w:r>
        <w:t>18</w:t>
      </w:r>
      <w:r w:rsidR="00BC28E8">
        <w:t xml:space="preserve"> December </w:t>
      </w:r>
      <w:r w:rsidRPr="00444BF6">
        <w:t>2025, Victorian Chemical Co</w:t>
      </w:r>
      <w:r>
        <w:t>mpany</w:t>
      </w:r>
      <w:r w:rsidRPr="00444BF6">
        <w:t xml:space="preserve"> P</w:t>
      </w:r>
      <w:r>
        <w:t>ty</w:t>
      </w:r>
      <w:r w:rsidRPr="00444BF6">
        <w:t xml:space="preserve"> Ltd (A</w:t>
      </w:r>
      <w:r>
        <w:t>C</w:t>
      </w:r>
      <w:r w:rsidRPr="00444BF6">
        <w:t xml:space="preserve">N 004 188 863)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1662B4F3" w14:textId="77777777" w:rsidR="00B416FC" w:rsidRDefault="00B416FC" w:rsidP="00B416FC">
      <w:pPr>
        <w:pStyle w:val="GazetteHeading2"/>
      </w:pPr>
      <w:r>
        <w:t>Reason for voluntary recall</w:t>
      </w:r>
    </w:p>
    <w:p w14:paraId="63C49D1A" w14:textId="0E89A620" w:rsidR="00B416FC" w:rsidRDefault="00B416FC" w:rsidP="00BC28E8">
      <w:pPr>
        <w:pStyle w:val="GazetteNormalText"/>
        <w:rPr>
          <w:bCs/>
          <w:iCs/>
        </w:rPr>
      </w:pPr>
      <w:r w:rsidRPr="00444BF6">
        <w:t>Due to reports of bulging packaging observed in certain units</w:t>
      </w:r>
      <w:r w:rsidRPr="00134733">
        <w:t>.</w:t>
      </w:r>
    </w:p>
    <w:p w14:paraId="08CBCB96" w14:textId="77777777" w:rsidR="00B416FC" w:rsidRDefault="00B416FC" w:rsidP="00B416FC">
      <w:pPr>
        <w:pStyle w:val="GazetteHeading2"/>
      </w:pPr>
      <w:r>
        <w:t>Hazard</w:t>
      </w:r>
    </w:p>
    <w:p w14:paraId="0D4DE481" w14:textId="77777777" w:rsidR="00B416FC" w:rsidRPr="00BC28E8" w:rsidRDefault="00B416FC" w:rsidP="00BC28E8">
      <w:pPr>
        <w:pStyle w:val="GazetteNormalText"/>
      </w:pPr>
      <w:r w:rsidRPr="00BC28E8">
        <w:t>Bulging packaging may indicate microbial contamination or fermentation within the container, which can compromise the potency and safety of the product. Using a product with compromised integrity may result in:</w:t>
      </w:r>
    </w:p>
    <w:p w14:paraId="0043E662" w14:textId="77777777" w:rsidR="00B416FC" w:rsidRDefault="00B416FC" w:rsidP="00BC28E8">
      <w:pPr>
        <w:pStyle w:val="GazetteBulletList"/>
      </w:pPr>
      <w:r>
        <w:t>Reduced effectiveness of the treatment.</w:t>
      </w:r>
    </w:p>
    <w:p w14:paraId="47E9F5F3" w14:textId="77777777" w:rsidR="00B416FC" w:rsidRDefault="00B416FC" w:rsidP="00BC28E8">
      <w:pPr>
        <w:pStyle w:val="GazetteBulletList"/>
      </w:pPr>
      <w:r>
        <w:t>Pose a safety hazard to handlers and to the animals</w:t>
      </w:r>
      <w:r w:rsidRPr="00D94036">
        <w:t>.</w:t>
      </w:r>
    </w:p>
    <w:p w14:paraId="758D3588" w14:textId="77777777" w:rsidR="00B416FC" w:rsidRPr="00BC28E8" w:rsidRDefault="00B416FC" w:rsidP="00BC28E8">
      <w:pPr>
        <w:pStyle w:val="GazetteHeading2"/>
      </w:pPr>
      <w:r w:rsidRPr="00BC28E8">
        <w:t>What to do if in possession of this chemical product</w:t>
      </w:r>
    </w:p>
    <w:p w14:paraId="454B8ADB" w14:textId="77777777" w:rsidR="00B416FC" w:rsidRPr="00444BF6" w:rsidRDefault="00B416FC" w:rsidP="00BC28E8">
      <w:pPr>
        <w:pStyle w:val="GazetteBulletList"/>
        <w:rPr>
          <w:bCs/>
          <w:iCs/>
        </w:rPr>
      </w:pPr>
      <w:r w:rsidRPr="00444BF6">
        <w:t>DO NOT use any containers of the above-mentioned batch.</w:t>
      </w:r>
    </w:p>
    <w:p w14:paraId="7E1AD57D" w14:textId="77777777" w:rsidR="00B416FC" w:rsidRDefault="00B416FC" w:rsidP="00BC28E8">
      <w:pPr>
        <w:pStyle w:val="GazetteBulletList"/>
        <w:rPr>
          <w:bCs/>
          <w:iCs/>
        </w:rPr>
      </w:pPr>
      <w:r w:rsidRPr="00444BF6">
        <w:t>Please return the product to the place of purchase for a full refund.</w:t>
      </w:r>
    </w:p>
    <w:p w14:paraId="667D05C2" w14:textId="77777777" w:rsidR="00B416FC" w:rsidRDefault="00B416FC" w:rsidP="00B416FC">
      <w:pPr>
        <w:pStyle w:val="GazetteHeading2"/>
      </w:pPr>
      <w:r>
        <w:t>More information</w:t>
      </w:r>
    </w:p>
    <w:p w14:paraId="6552CC4D" w14:textId="7EBD9A46" w:rsidR="00B416FC" w:rsidRDefault="00B416FC" w:rsidP="00B416FC">
      <w:pPr>
        <w:pStyle w:val="GazetteNormalText"/>
      </w:pPr>
      <w:r>
        <w:t xml:space="preserve">Visit the APVMA website to </w:t>
      </w:r>
      <w:hyperlink r:id="rId36" w:history="1">
        <w:r w:rsidRPr="00BC28E8">
          <w:rPr>
            <w:rStyle w:val="Hyperlink"/>
          </w:rPr>
          <w:t>view the notice</w:t>
        </w:r>
      </w:hyperlink>
      <w:r>
        <w:t xml:space="preserve"> of voluntary recall for the chemical product described above.</w:t>
      </w:r>
    </w:p>
    <w:p w14:paraId="3474843C" w14:textId="77777777" w:rsidR="00B416FC" w:rsidRPr="0033395A" w:rsidRDefault="00B416FC" w:rsidP="00B416FC">
      <w:pPr>
        <w:pStyle w:val="GazetteNormalText"/>
      </w:pPr>
      <w:r>
        <w:t xml:space="preserve">The APVMA publishes a list of </w:t>
      </w:r>
      <w:hyperlink r:id="rId37"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8" w:history="1">
        <w:r w:rsidRPr="00D30910">
          <w:rPr>
            <w:rStyle w:val="Hyperlink"/>
          </w:rPr>
          <w:t>subscription option</w:t>
        </w:r>
      </w:hyperlink>
      <w:r>
        <w:t xml:space="preserve"> to be notified by email when a new recall notice is published.</w:t>
      </w:r>
    </w:p>
    <w:p w14:paraId="7501B89A" w14:textId="77777777" w:rsidR="00B416FC" w:rsidRDefault="00B416FC" w:rsidP="00B416FC">
      <w:pPr>
        <w:pStyle w:val="GazetteHeading2"/>
      </w:pPr>
      <w:r>
        <w:t>Contact</w:t>
      </w:r>
    </w:p>
    <w:p w14:paraId="5E13DEBC" w14:textId="77777777" w:rsidR="00B416FC" w:rsidRDefault="00B416FC" w:rsidP="00B416FC">
      <w:pPr>
        <w:pStyle w:val="GazetteNormalText"/>
      </w:pPr>
      <w:r>
        <w:t>Questions about this voluntary recall should be directed to:</w:t>
      </w:r>
    </w:p>
    <w:p w14:paraId="5A04740C" w14:textId="27862C50" w:rsidR="00B416FC" w:rsidRPr="0072386E" w:rsidRDefault="00B416FC" w:rsidP="00B416FC">
      <w:pPr>
        <w:pStyle w:val="GazetteNormalText"/>
        <w:spacing w:before="0" w:after="0"/>
      </w:pPr>
      <w:r w:rsidRPr="00905563">
        <w:t>Victorian Chemical Co</w:t>
      </w:r>
      <w:r>
        <w:t>mpany</w:t>
      </w:r>
      <w:r w:rsidRPr="00905563">
        <w:t xml:space="preserve"> P</w:t>
      </w:r>
      <w:r>
        <w:t>ty</w:t>
      </w:r>
      <w:r w:rsidRPr="00905563">
        <w:t xml:space="preserve"> Ltd</w:t>
      </w:r>
      <w:r w:rsidR="00BC28E8">
        <w:br/>
      </w:r>
      <w:r w:rsidRPr="00045F9B">
        <w:rPr>
          <w:b/>
          <w:bCs/>
        </w:rPr>
        <w:t>Phone</w:t>
      </w:r>
      <w:r w:rsidRPr="00045F9B">
        <w:t xml:space="preserve">: </w:t>
      </w:r>
      <w:r w:rsidRPr="00905563">
        <w:t>03 9301 7000</w:t>
      </w:r>
      <w:r w:rsidR="00BC28E8">
        <w:br/>
      </w:r>
      <w:r>
        <w:rPr>
          <w:b/>
          <w:bCs/>
        </w:rPr>
        <w:t>Email</w:t>
      </w:r>
      <w:r>
        <w:t xml:space="preserve">: </w:t>
      </w:r>
      <w:hyperlink r:id="rId39" w:history="1">
        <w:r w:rsidRPr="003629F3">
          <w:rPr>
            <w:rStyle w:val="Hyperlink"/>
            <w:bCs/>
          </w:rPr>
          <w:t>agsales@vicchem.com</w:t>
        </w:r>
      </w:hyperlink>
    </w:p>
    <w:sectPr w:rsidR="00B416FC" w:rsidRPr="007238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7635" w14:textId="77777777" w:rsidR="00A332C5" w:rsidRDefault="00A332C5" w:rsidP="002C53E5">
      <w:r>
        <w:separator/>
      </w:r>
    </w:p>
  </w:endnote>
  <w:endnote w:type="continuationSeparator" w:id="0">
    <w:p w14:paraId="4B1F4AAE" w14:textId="77777777" w:rsidR="00A332C5" w:rsidRDefault="00A332C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86C2" w14:textId="77777777" w:rsidR="00A332C5" w:rsidRDefault="00A332C5" w:rsidP="002C53E5">
      <w:r>
        <w:separator/>
      </w:r>
    </w:p>
  </w:footnote>
  <w:footnote w:type="continuationSeparator" w:id="0">
    <w:p w14:paraId="3D89B350" w14:textId="77777777" w:rsidR="00A332C5" w:rsidRDefault="00A332C5" w:rsidP="002C53E5">
      <w:r>
        <w:continuationSeparator/>
      </w:r>
    </w:p>
  </w:footnote>
  <w:footnote w:id="1">
    <w:p w14:paraId="4DAFC85F" w14:textId="77777777" w:rsidR="00170426" w:rsidRPr="00713D0D" w:rsidRDefault="00170426" w:rsidP="00170426">
      <w:pPr>
        <w:pStyle w:val="FootnoteText"/>
        <w:rPr>
          <w:rFonts w:ascii="Arial" w:hAnsi="Arial" w:cs="Arial"/>
        </w:rPr>
      </w:pPr>
      <w:r w:rsidRPr="00713D0D">
        <w:rPr>
          <w:rStyle w:val="FootnoteReference"/>
          <w:rFonts w:ascii="Arial" w:hAnsi="Arial" w:cs="Arial"/>
          <w:sz w:val="18"/>
          <w:szCs w:val="18"/>
        </w:rPr>
        <w:footnoteRef/>
      </w:r>
      <w:r w:rsidRPr="00713D0D">
        <w:rPr>
          <w:rFonts w:ascii="Arial" w:hAnsi="Arial" w:cs="Arial"/>
          <w:sz w:val="18"/>
          <w:szCs w:val="18"/>
        </w:rPr>
        <w:t xml:space="preserve"> Veterinary International Cooperation on Harmonisation (VICH)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984016"/>
      <w:docPartObj>
        <w:docPartGallery w:val="Page Numbers (Top of Page)"/>
        <w:docPartUnique/>
      </w:docPartObj>
    </w:sdtPr>
    <w:sdtEndPr>
      <w:rPr>
        <w:noProof/>
      </w:rPr>
    </w:sdtEndPr>
    <w:sdtContent>
      <w:p w14:paraId="34756671" w14:textId="3A95090B" w:rsidR="009975D2" w:rsidRDefault="009975D2" w:rsidP="009975D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72E89">
            <w:rPr>
              <w:noProof/>
            </w:rPr>
            <w:t>No. APVMA 26, Tuesday 23 December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53306"/>
      <w:docPartObj>
        <w:docPartGallery w:val="Page Numbers (Top of Page)"/>
        <w:docPartUnique/>
      </w:docPartObj>
    </w:sdtPr>
    <w:sdtEndPr>
      <w:rPr>
        <w:rFonts w:cs="Times New Roman"/>
        <w:sz w:val="18"/>
        <w:szCs w:val="24"/>
      </w:rPr>
    </w:sdtEndPr>
    <w:sdtContent>
      <w:p w14:paraId="41AA2D53" w14:textId="77C650C0" w:rsidR="009975D2" w:rsidRPr="00335FCB" w:rsidRDefault="009975D2" w:rsidP="009975D2">
        <w:pPr>
          <w:pStyle w:val="GazetteHeaderOdd"/>
          <w:tabs>
            <w:tab w:val="clear" w:pos="4513"/>
            <w:tab w:val="clear" w:pos="9026"/>
            <w:tab w:val="center" w:pos="2127"/>
            <w:tab w:val="right" w:pos="439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2E89">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0B2274B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72E8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5F2EFA12" w14:textId="55CABA3F" w:rsidR="009975D2" w:rsidRPr="00335FCB" w:rsidRDefault="009975D2" w:rsidP="009975D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2E89">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125B6411" w14:textId="4BFE66C9" w:rsidR="009975D2" w:rsidRDefault="009975D2" w:rsidP="009975D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72E89">
            <w:rPr>
              <w:noProof/>
            </w:rPr>
            <w:t>No. APVMA 26, Tuesday 23 December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937428"/>
      <w:docPartObj>
        <w:docPartGallery w:val="Page Numbers (Top of Page)"/>
        <w:docPartUnique/>
      </w:docPartObj>
    </w:sdtPr>
    <w:sdtEndPr>
      <w:rPr>
        <w:rFonts w:cs="Times New Roman"/>
        <w:sz w:val="18"/>
        <w:szCs w:val="24"/>
      </w:rPr>
    </w:sdtEndPr>
    <w:sdtContent>
      <w:p w14:paraId="1D5E10CF" w14:textId="330AD5C3" w:rsidR="009975D2" w:rsidRPr="00335FCB" w:rsidRDefault="009975D2" w:rsidP="009975D2">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2E89">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403965"/>
      <w:docPartObj>
        <w:docPartGallery w:val="Page Numbers (Top of Page)"/>
        <w:docPartUnique/>
      </w:docPartObj>
    </w:sdtPr>
    <w:sdtEndPr>
      <w:rPr>
        <w:noProof/>
      </w:rPr>
    </w:sdtEndPr>
    <w:sdtContent>
      <w:p w14:paraId="3475F9E2" w14:textId="6A4B0E01" w:rsidR="009975D2" w:rsidRDefault="009975D2" w:rsidP="009975D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72E89">
            <w:rPr>
              <w:noProof/>
            </w:rPr>
            <w:t>No. APVMA 26, Tuesday 23 December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911408"/>
      <w:docPartObj>
        <w:docPartGallery w:val="Page Numbers (Top of Page)"/>
        <w:docPartUnique/>
      </w:docPartObj>
    </w:sdtPr>
    <w:sdtEndPr>
      <w:rPr>
        <w:rFonts w:cs="Times New Roman"/>
        <w:sz w:val="18"/>
        <w:szCs w:val="24"/>
      </w:rPr>
    </w:sdtEndPr>
    <w:sdtContent>
      <w:p w14:paraId="5E4EE1D2" w14:textId="3BC12EF6" w:rsidR="009975D2" w:rsidRPr="00335FCB" w:rsidRDefault="009975D2" w:rsidP="009975D2">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472E89">
          <w:rPr>
            <w:rStyle w:val="PageNumber"/>
            <w:bCs/>
            <w:noProof/>
          </w:rPr>
          <w:t>New veterinary chemical products containing a new veterinary active constituent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0F78E9"/>
    <w:multiLevelType w:val="hybridMultilevel"/>
    <w:tmpl w:val="F5FA3ACA"/>
    <w:lvl w:ilvl="0" w:tplc="0C090003">
      <w:start w:val="1"/>
      <w:numFmt w:val="bullet"/>
      <w:lvlText w:val="o"/>
      <w:lvlJc w:val="left"/>
      <w:pPr>
        <w:ind w:left="1636" w:hanging="360"/>
      </w:pPr>
      <w:rPr>
        <w:rFonts w:ascii="Courier New" w:hAnsi="Courier New" w:cs="Courier New"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 w15:restartNumberingAfterBreak="0">
    <w:nsid w:val="1421797B"/>
    <w:multiLevelType w:val="hybridMultilevel"/>
    <w:tmpl w:val="CB4CB864"/>
    <w:lvl w:ilvl="0" w:tplc="0C090003">
      <w:start w:val="1"/>
      <w:numFmt w:val="bullet"/>
      <w:lvlText w:val="o"/>
      <w:lvlJc w:val="left"/>
      <w:pPr>
        <w:ind w:left="1996" w:hanging="360"/>
      </w:pPr>
      <w:rPr>
        <w:rFonts w:ascii="Courier New" w:hAnsi="Courier New" w:cs="Courier New"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9" w15:restartNumberingAfterBreak="0">
    <w:nsid w:val="14967BE0"/>
    <w:multiLevelType w:val="hybridMultilevel"/>
    <w:tmpl w:val="4BCEA96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7DE56BF"/>
    <w:multiLevelType w:val="hybridMultilevel"/>
    <w:tmpl w:val="6E6EE2E6"/>
    <w:lvl w:ilvl="0" w:tplc="0C090001">
      <w:start w:val="1"/>
      <w:numFmt w:val="bullet"/>
      <w:lvlText w:val=""/>
      <w:lvlJc w:val="left"/>
      <w:pPr>
        <w:ind w:left="1942" w:hanging="360"/>
      </w:pPr>
      <w:rPr>
        <w:rFonts w:ascii="Symbol" w:hAnsi="Symbol" w:hint="default"/>
      </w:rPr>
    </w:lvl>
    <w:lvl w:ilvl="1" w:tplc="0C090003" w:tentative="1">
      <w:start w:val="1"/>
      <w:numFmt w:val="bullet"/>
      <w:lvlText w:val="o"/>
      <w:lvlJc w:val="left"/>
      <w:pPr>
        <w:ind w:left="2662" w:hanging="360"/>
      </w:pPr>
      <w:rPr>
        <w:rFonts w:ascii="Courier New" w:hAnsi="Courier New" w:cs="Courier New" w:hint="default"/>
      </w:rPr>
    </w:lvl>
    <w:lvl w:ilvl="2" w:tplc="0C090005" w:tentative="1">
      <w:start w:val="1"/>
      <w:numFmt w:val="bullet"/>
      <w:lvlText w:val=""/>
      <w:lvlJc w:val="left"/>
      <w:pPr>
        <w:ind w:left="3382" w:hanging="360"/>
      </w:pPr>
      <w:rPr>
        <w:rFonts w:ascii="Wingdings" w:hAnsi="Wingdings" w:hint="default"/>
      </w:rPr>
    </w:lvl>
    <w:lvl w:ilvl="3" w:tplc="0C090001" w:tentative="1">
      <w:start w:val="1"/>
      <w:numFmt w:val="bullet"/>
      <w:lvlText w:val=""/>
      <w:lvlJc w:val="left"/>
      <w:pPr>
        <w:ind w:left="4102" w:hanging="360"/>
      </w:pPr>
      <w:rPr>
        <w:rFonts w:ascii="Symbol" w:hAnsi="Symbol" w:hint="default"/>
      </w:rPr>
    </w:lvl>
    <w:lvl w:ilvl="4" w:tplc="0C090003" w:tentative="1">
      <w:start w:val="1"/>
      <w:numFmt w:val="bullet"/>
      <w:lvlText w:val="o"/>
      <w:lvlJc w:val="left"/>
      <w:pPr>
        <w:ind w:left="4822" w:hanging="360"/>
      </w:pPr>
      <w:rPr>
        <w:rFonts w:ascii="Courier New" w:hAnsi="Courier New" w:cs="Courier New" w:hint="default"/>
      </w:rPr>
    </w:lvl>
    <w:lvl w:ilvl="5" w:tplc="0C090005" w:tentative="1">
      <w:start w:val="1"/>
      <w:numFmt w:val="bullet"/>
      <w:lvlText w:val=""/>
      <w:lvlJc w:val="left"/>
      <w:pPr>
        <w:ind w:left="5542" w:hanging="360"/>
      </w:pPr>
      <w:rPr>
        <w:rFonts w:ascii="Wingdings" w:hAnsi="Wingdings" w:hint="default"/>
      </w:rPr>
    </w:lvl>
    <w:lvl w:ilvl="6" w:tplc="0C090001" w:tentative="1">
      <w:start w:val="1"/>
      <w:numFmt w:val="bullet"/>
      <w:lvlText w:val=""/>
      <w:lvlJc w:val="left"/>
      <w:pPr>
        <w:ind w:left="6262" w:hanging="360"/>
      </w:pPr>
      <w:rPr>
        <w:rFonts w:ascii="Symbol" w:hAnsi="Symbol" w:hint="default"/>
      </w:rPr>
    </w:lvl>
    <w:lvl w:ilvl="7" w:tplc="0C090003" w:tentative="1">
      <w:start w:val="1"/>
      <w:numFmt w:val="bullet"/>
      <w:lvlText w:val="o"/>
      <w:lvlJc w:val="left"/>
      <w:pPr>
        <w:ind w:left="6982" w:hanging="360"/>
      </w:pPr>
      <w:rPr>
        <w:rFonts w:ascii="Courier New" w:hAnsi="Courier New" w:cs="Courier New" w:hint="default"/>
      </w:rPr>
    </w:lvl>
    <w:lvl w:ilvl="8" w:tplc="0C090005" w:tentative="1">
      <w:start w:val="1"/>
      <w:numFmt w:val="bullet"/>
      <w:lvlText w:val=""/>
      <w:lvlJc w:val="left"/>
      <w:pPr>
        <w:ind w:left="7702" w:hanging="360"/>
      </w:pPr>
      <w:rPr>
        <w:rFonts w:ascii="Wingdings" w:hAnsi="Wingdings" w:hint="default"/>
      </w:rPr>
    </w:lvl>
  </w:abstractNum>
  <w:abstractNum w:abstractNumId="12" w15:restartNumberingAfterBreak="0">
    <w:nsid w:val="19DD7C16"/>
    <w:multiLevelType w:val="hybridMultilevel"/>
    <w:tmpl w:val="93ACD460"/>
    <w:lvl w:ilvl="0" w:tplc="0C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1B3F7E73"/>
    <w:multiLevelType w:val="hybridMultilevel"/>
    <w:tmpl w:val="91E2E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264E74"/>
    <w:multiLevelType w:val="hybridMultilevel"/>
    <w:tmpl w:val="03CCF2F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F5360A"/>
    <w:multiLevelType w:val="hybridMultilevel"/>
    <w:tmpl w:val="CE2E58FE"/>
    <w:lvl w:ilvl="0" w:tplc="0C090001">
      <w:start w:val="1"/>
      <w:numFmt w:val="bullet"/>
      <w:lvlText w:val=""/>
      <w:lvlJc w:val="left"/>
      <w:pPr>
        <w:ind w:left="1418" w:hanging="360"/>
      </w:pPr>
      <w:rPr>
        <w:rFonts w:ascii="Symbol" w:hAnsi="Symbo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17" w15:restartNumberingAfterBreak="0">
    <w:nsid w:val="31356C15"/>
    <w:multiLevelType w:val="hybridMultilevel"/>
    <w:tmpl w:val="F34EA5F0"/>
    <w:lvl w:ilvl="0" w:tplc="96E65D62">
      <w:start w:val="1"/>
      <w:numFmt w:val="bullet"/>
      <w:pStyle w:val="GazetteBulletList"/>
      <w:lvlText w:val=""/>
      <w:lvlJc w:val="left"/>
      <w:pPr>
        <w:ind w:left="1740" w:hanging="360"/>
      </w:pPr>
      <w:rPr>
        <w:rFonts w:ascii="Symbol" w:hAnsi="Symbol" w:hint="default"/>
      </w:rPr>
    </w:lvl>
    <w:lvl w:ilvl="1" w:tplc="0C090003">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8" w15:restartNumberingAfterBreak="0">
    <w:nsid w:val="3205315D"/>
    <w:multiLevelType w:val="hybridMultilevel"/>
    <w:tmpl w:val="0B621D40"/>
    <w:lvl w:ilvl="0" w:tplc="0C090003">
      <w:start w:val="1"/>
      <w:numFmt w:val="bulle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9" w15:restartNumberingAfterBreak="0">
    <w:nsid w:val="34310396"/>
    <w:multiLevelType w:val="hybridMultilevel"/>
    <w:tmpl w:val="86247932"/>
    <w:lvl w:ilvl="0" w:tplc="0C090001">
      <w:start w:val="1"/>
      <w:numFmt w:val="bullet"/>
      <w:lvlText w:val=""/>
      <w:lvlJc w:val="left"/>
      <w:pPr>
        <w:ind w:left="1539" w:hanging="360"/>
      </w:pPr>
      <w:rPr>
        <w:rFonts w:ascii="Symbol" w:hAnsi="Symbol" w:hint="default"/>
      </w:rPr>
    </w:lvl>
    <w:lvl w:ilvl="1" w:tplc="0C090003" w:tentative="1">
      <w:start w:val="1"/>
      <w:numFmt w:val="bullet"/>
      <w:lvlText w:val="o"/>
      <w:lvlJc w:val="left"/>
      <w:pPr>
        <w:ind w:left="2259" w:hanging="360"/>
      </w:pPr>
      <w:rPr>
        <w:rFonts w:ascii="Courier New" w:hAnsi="Courier New" w:cs="Courier New" w:hint="default"/>
      </w:rPr>
    </w:lvl>
    <w:lvl w:ilvl="2" w:tplc="0C090005" w:tentative="1">
      <w:start w:val="1"/>
      <w:numFmt w:val="bullet"/>
      <w:lvlText w:val=""/>
      <w:lvlJc w:val="left"/>
      <w:pPr>
        <w:ind w:left="2979" w:hanging="360"/>
      </w:pPr>
      <w:rPr>
        <w:rFonts w:ascii="Wingdings" w:hAnsi="Wingdings" w:hint="default"/>
      </w:rPr>
    </w:lvl>
    <w:lvl w:ilvl="3" w:tplc="0C090001" w:tentative="1">
      <w:start w:val="1"/>
      <w:numFmt w:val="bullet"/>
      <w:lvlText w:val=""/>
      <w:lvlJc w:val="left"/>
      <w:pPr>
        <w:ind w:left="3699" w:hanging="360"/>
      </w:pPr>
      <w:rPr>
        <w:rFonts w:ascii="Symbol" w:hAnsi="Symbol" w:hint="default"/>
      </w:rPr>
    </w:lvl>
    <w:lvl w:ilvl="4" w:tplc="0C090003" w:tentative="1">
      <w:start w:val="1"/>
      <w:numFmt w:val="bullet"/>
      <w:lvlText w:val="o"/>
      <w:lvlJc w:val="left"/>
      <w:pPr>
        <w:ind w:left="4419" w:hanging="360"/>
      </w:pPr>
      <w:rPr>
        <w:rFonts w:ascii="Courier New" w:hAnsi="Courier New" w:cs="Courier New" w:hint="default"/>
      </w:rPr>
    </w:lvl>
    <w:lvl w:ilvl="5" w:tplc="0C090005" w:tentative="1">
      <w:start w:val="1"/>
      <w:numFmt w:val="bullet"/>
      <w:lvlText w:val=""/>
      <w:lvlJc w:val="left"/>
      <w:pPr>
        <w:ind w:left="5139" w:hanging="360"/>
      </w:pPr>
      <w:rPr>
        <w:rFonts w:ascii="Wingdings" w:hAnsi="Wingdings" w:hint="default"/>
      </w:rPr>
    </w:lvl>
    <w:lvl w:ilvl="6" w:tplc="0C090001" w:tentative="1">
      <w:start w:val="1"/>
      <w:numFmt w:val="bullet"/>
      <w:lvlText w:val=""/>
      <w:lvlJc w:val="left"/>
      <w:pPr>
        <w:ind w:left="5859" w:hanging="360"/>
      </w:pPr>
      <w:rPr>
        <w:rFonts w:ascii="Symbol" w:hAnsi="Symbol" w:hint="default"/>
      </w:rPr>
    </w:lvl>
    <w:lvl w:ilvl="7" w:tplc="0C090003" w:tentative="1">
      <w:start w:val="1"/>
      <w:numFmt w:val="bullet"/>
      <w:lvlText w:val="o"/>
      <w:lvlJc w:val="left"/>
      <w:pPr>
        <w:ind w:left="6579" w:hanging="360"/>
      </w:pPr>
      <w:rPr>
        <w:rFonts w:ascii="Courier New" w:hAnsi="Courier New" w:cs="Courier New" w:hint="default"/>
      </w:rPr>
    </w:lvl>
    <w:lvl w:ilvl="8" w:tplc="0C090005" w:tentative="1">
      <w:start w:val="1"/>
      <w:numFmt w:val="bullet"/>
      <w:lvlText w:val=""/>
      <w:lvlJc w:val="left"/>
      <w:pPr>
        <w:ind w:left="7299" w:hanging="360"/>
      </w:pPr>
      <w:rPr>
        <w:rFonts w:ascii="Wingdings" w:hAnsi="Wingdings" w:hint="default"/>
      </w:rPr>
    </w:lvl>
  </w:abstractNum>
  <w:abstractNum w:abstractNumId="2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3E05AA"/>
    <w:multiLevelType w:val="hybridMultilevel"/>
    <w:tmpl w:val="F35C9DA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2" w15:restartNumberingAfterBreak="0">
    <w:nsid w:val="41D078E6"/>
    <w:multiLevelType w:val="hybridMultilevel"/>
    <w:tmpl w:val="BC1045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7955E9"/>
    <w:multiLevelType w:val="hybridMultilevel"/>
    <w:tmpl w:val="C41AAA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5" w15:restartNumberingAfterBreak="0">
    <w:nsid w:val="52CF1C12"/>
    <w:multiLevelType w:val="hybridMultilevel"/>
    <w:tmpl w:val="1B14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CA0A6C"/>
    <w:multiLevelType w:val="hybridMultilevel"/>
    <w:tmpl w:val="61CAE7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596B2F08"/>
    <w:multiLevelType w:val="hybridMultilevel"/>
    <w:tmpl w:val="80081B98"/>
    <w:lvl w:ilvl="0" w:tplc="0C090001">
      <w:start w:val="1"/>
      <w:numFmt w:val="bullet"/>
      <w:lvlText w:val=""/>
      <w:lvlJc w:val="left"/>
      <w:pPr>
        <w:ind w:left="1854" w:hanging="720"/>
      </w:pPr>
      <w:rPr>
        <w:rFonts w:ascii="Symbol" w:hAnsi="Symbo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5C957B2D"/>
    <w:multiLevelType w:val="hybridMultilevel"/>
    <w:tmpl w:val="7D8E233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397730"/>
    <w:multiLevelType w:val="hybridMultilevel"/>
    <w:tmpl w:val="6B7E3D2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84614B"/>
    <w:multiLevelType w:val="hybridMultilevel"/>
    <w:tmpl w:val="81AC4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3D46931"/>
    <w:multiLevelType w:val="hybridMultilevel"/>
    <w:tmpl w:val="09B4A05A"/>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5" w15:restartNumberingAfterBreak="0">
    <w:nsid w:val="7D8945BC"/>
    <w:multiLevelType w:val="hybridMultilevel"/>
    <w:tmpl w:val="767601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2012877174">
    <w:abstractNumId w:val="6"/>
  </w:num>
  <w:num w:numId="2" w16cid:durableId="2094549794">
    <w:abstractNumId w:val="17"/>
  </w:num>
  <w:num w:numId="3" w16cid:durableId="2026127260">
    <w:abstractNumId w:val="29"/>
  </w:num>
  <w:num w:numId="4" w16cid:durableId="1938126673">
    <w:abstractNumId w:val="5"/>
  </w:num>
  <w:num w:numId="5" w16cid:durableId="613485662">
    <w:abstractNumId w:val="31"/>
  </w:num>
  <w:num w:numId="6" w16cid:durableId="214702721">
    <w:abstractNumId w:val="24"/>
  </w:num>
  <w:num w:numId="7" w16cid:durableId="56169581">
    <w:abstractNumId w:val="15"/>
  </w:num>
  <w:num w:numId="8" w16cid:durableId="2030642151">
    <w:abstractNumId w:val="2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0"/>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33"/>
  </w:num>
  <w:num w:numId="18" w16cid:durableId="1468662458">
    <w:abstractNumId w:val="26"/>
  </w:num>
  <w:num w:numId="19" w16cid:durableId="1045175894">
    <w:abstractNumId w:val="35"/>
  </w:num>
  <w:num w:numId="20" w16cid:durableId="1759714012">
    <w:abstractNumId w:val="14"/>
  </w:num>
  <w:num w:numId="21" w16cid:durableId="129129707">
    <w:abstractNumId w:val="30"/>
  </w:num>
  <w:num w:numId="22" w16cid:durableId="1833371311">
    <w:abstractNumId w:val="9"/>
  </w:num>
  <w:num w:numId="23" w16cid:durableId="1580360102">
    <w:abstractNumId w:val="28"/>
  </w:num>
  <w:num w:numId="24" w16cid:durableId="1778061202">
    <w:abstractNumId w:val="34"/>
  </w:num>
  <w:num w:numId="25" w16cid:durableId="825365165">
    <w:abstractNumId w:val="19"/>
  </w:num>
  <w:num w:numId="26" w16cid:durableId="1861237060">
    <w:abstractNumId w:val="11"/>
  </w:num>
  <w:num w:numId="27" w16cid:durableId="1186554904">
    <w:abstractNumId w:val="22"/>
  </w:num>
  <w:num w:numId="28" w16cid:durableId="2118668679">
    <w:abstractNumId w:val="32"/>
  </w:num>
  <w:num w:numId="29" w16cid:durableId="1462722016">
    <w:abstractNumId w:val="16"/>
  </w:num>
  <w:num w:numId="30" w16cid:durableId="633104705">
    <w:abstractNumId w:val="23"/>
  </w:num>
  <w:num w:numId="31" w16cid:durableId="1086875723">
    <w:abstractNumId w:val="8"/>
  </w:num>
  <w:num w:numId="32" w16cid:durableId="1662662488">
    <w:abstractNumId w:val="7"/>
  </w:num>
  <w:num w:numId="33" w16cid:durableId="38018511">
    <w:abstractNumId w:val="27"/>
  </w:num>
  <w:num w:numId="34" w16cid:durableId="1444374843">
    <w:abstractNumId w:val="21"/>
  </w:num>
  <w:num w:numId="35" w16cid:durableId="704216313">
    <w:abstractNumId w:val="12"/>
  </w:num>
  <w:num w:numId="36" w16cid:durableId="1130830123">
    <w:abstractNumId w:val="18"/>
  </w:num>
  <w:num w:numId="37" w16cid:durableId="395977588">
    <w:abstractNumId w:val="25"/>
  </w:num>
  <w:num w:numId="38" w16cid:durableId="1064330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75167"/>
    <w:rsid w:val="000A1EF3"/>
    <w:rsid w:val="00151DEA"/>
    <w:rsid w:val="00153604"/>
    <w:rsid w:val="00164325"/>
    <w:rsid w:val="00170426"/>
    <w:rsid w:val="001A4A93"/>
    <w:rsid w:val="0027119F"/>
    <w:rsid w:val="00271343"/>
    <w:rsid w:val="002760FD"/>
    <w:rsid w:val="002A01D5"/>
    <w:rsid w:val="002C53E5"/>
    <w:rsid w:val="00304C66"/>
    <w:rsid w:val="0032095E"/>
    <w:rsid w:val="00336B4E"/>
    <w:rsid w:val="003636FE"/>
    <w:rsid w:val="00393455"/>
    <w:rsid w:val="003C1999"/>
    <w:rsid w:val="003D246C"/>
    <w:rsid w:val="00423E6E"/>
    <w:rsid w:val="00427975"/>
    <w:rsid w:val="00435F2E"/>
    <w:rsid w:val="00442F77"/>
    <w:rsid w:val="00472B6A"/>
    <w:rsid w:val="00472E89"/>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13D0D"/>
    <w:rsid w:val="0072056F"/>
    <w:rsid w:val="007229E3"/>
    <w:rsid w:val="00731EFD"/>
    <w:rsid w:val="007757F8"/>
    <w:rsid w:val="00790F1C"/>
    <w:rsid w:val="007D7059"/>
    <w:rsid w:val="007E5F33"/>
    <w:rsid w:val="00806AAB"/>
    <w:rsid w:val="00807954"/>
    <w:rsid w:val="008503EB"/>
    <w:rsid w:val="008929E3"/>
    <w:rsid w:val="008F5C49"/>
    <w:rsid w:val="00903679"/>
    <w:rsid w:val="0094143F"/>
    <w:rsid w:val="009975D2"/>
    <w:rsid w:val="009E098B"/>
    <w:rsid w:val="00A20F2B"/>
    <w:rsid w:val="00A332C5"/>
    <w:rsid w:val="00A52037"/>
    <w:rsid w:val="00A66AB1"/>
    <w:rsid w:val="00A91484"/>
    <w:rsid w:val="00AD618B"/>
    <w:rsid w:val="00AE1D5C"/>
    <w:rsid w:val="00AE56F2"/>
    <w:rsid w:val="00B04A06"/>
    <w:rsid w:val="00B23850"/>
    <w:rsid w:val="00B416FC"/>
    <w:rsid w:val="00B41898"/>
    <w:rsid w:val="00B44029"/>
    <w:rsid w:val="00BA2F5C"/>
    <w:rsid w:val="00BC28E8"/>
    <w:rsid w:val="00BE17EF"/>
    <w:rsid w:val="00BF2CAA"/>
    <w:rsid w:val="00C322D4"/>
    <w:rsid w:val="00C640EB"/>
    <w:rsid w:val="00C95AA6"/>
    <w:rsid w:val="00CA3C84"/>
    <w:rsid w:val="00CA44BD"/>
    <w:rsid w:val="00CA67F1"/>
    <w:rsid w:val="00CB73E0"/>
    <w:rsid w:val="00CD6F3E"/>
    <w:rsid w:val="00D34675"/>
    <w:rsid w:val="00D73255"/>
    <w:rsid w:val="00D83123"/>
    <w:rsid w:val="00DA0F9A"/>
    <w:rsid w:val="00DC3817"/>
    <w:rsid w:val="00DE6C25"/>
    <w:rsid w:val="00E15C82"/>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1A4A93"/>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1A4A93"/>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1A4A93"/>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9975D2"/>
    <w:pPr>
      <w:spacing w:before="480" w:after="360" w:line="600" w:lineRule="exact"/>
    </w:pPr>
    <w:rPr>
      <w:sz w:val="72"/>
    </w:rPr>
  </w:style>
  <w:style w:type="paragraph" w:customStyle="1" w:styleId="GazetteCoverH2">
    <w:name w:val="Gazette Cover H2"/>
    <w:basedOn w:val="GazetteHeading2"/>
    <w:qFormat/>
    <w:rsid w:val="009975D2"/>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472B6A"/>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72B6A"/>
    <w:pPr>
      <w:spacing w:line="200" w:lineRule="exact"/>
    </w:pPr>
  </w:style>
  <w:style w:type="paragraph" w:customStyle="1" w:styleId="RegistrationFieldName">
    <w:name w:val="Registration Field Name"/>
    <w:basedOn w:val="Normal"/>
    <w:rsid w:val="00472B6A"/>
    <w:pPr>
      <w:keepNext/>
      <w:tabs>
        <w:tab w:val="left" w:pos="2700"/>
      </w:tabs>
      <w:spacing w:before="40"/>
    </w:pPr>
    <w:rPr>
      <w:spacing w:val="12"/>
      <w:sz w:val="16"/>
    </w:rPr>
  </w:style>
  <w:style w:type="paragraph" w:customStyle="1" w:styleId="S8Gazetttetableheading">
    <w:name w:val="S8 Gazettte table heading"/>
    <w:basedOn w:val="Normal"/>
    <w:qFormat/>
    <w:rsid w:val="00472B6A"/>
    <w:pPr>
      <w:spacing w:before="60" w:after="60"/>
      <w:jc w:val="both"/>
    </w:pPr>
    <w:rPr>
      <w:rFonts w:ascii="Franklin Gothic Medium" w:eastAsiaTheme="minorHAnsi" w:hAnsi="Franklin Gothic Medium" w:cstheme="minorHAnsi"/>
      <w:szCs w:val="22"/>
    </w:rPr>
  </w:style>
  <w:style w:type="paragraph" w:styleId="FootnoteText">
    <w:name w:val="footnote text"/>
    <w:basedOn w:val="Normal"/>
    <w:link w:val="FootnoteTextChar"/>
    <w:uiPriority w:val="99"/>
    <w:unhideWhenUsed/>
    <w:rsid w:val="00170426"/>
    <w:pPr>
      <w:tabs>
        <w:tab w:val="left" w:pos="425"/>
      </w:tabs>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170426"/>
    <w:rPr>
      <w:rFonts w:eastAsiaTheme="minorEastAsia"/>
      <w:sz w:val="20"/>
      <w:szCs w:val="20"/>
    </w:rPr>
  </w:style>
  <w:style w:type="character" w:styleId="FootnoteReference">
    <w:name w:val="footnote reference"/>
    <w:basedOn w:val="DefaultParagraphFont"/>
    <w:rsid w:val="00170426"/>
    <w:rPr>
      <w:vertAlign w:val="superscript"/>
    </w:rPr>
  </w:style>
  <w:style w:type="character" w:styleId="CommentReference">
    <w:name w:val="annotation reference"/>
    <w:basedOn w:val="DefaultParagraphFont"/>
    <w:uiPriority w:val="99"/>
    <w:semiHidden/>
    <w:unhideWhenUsed/>
    <w:rsid w:val="00B416FC"/>
    <w:rPr>
      <w:sz w:val="16"/>
      <w:szCs w:val="16"/>
    </w:rPr>
  </w:style>
  <w:style w:type="paragraph" w:styleId="CommentText">
    <w:name w:val="annotation text"/>
    <w:basedOn w:val="Normal"/>
    <w:link w:val="CommentTextChar"/>
    <w:uiPriority w:val="99"/>
    <w:unhideWhenUsed/>
    <w:rsid w:val="00B416F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416FC"/>
    <w:rPr>
      <w:sz w:val="20"/>
      <w:szCs w:val="20"/>
    </w:rPr>
  </w:style>
  <w:style w:type="character" w:styleId="UnresolvedMention">
    <w:name w:val="Unresolved Mention"/>
    <w:basedOn w:val="DefaultParagraphFont"/>
    <w:uiPriority w:val="99"/>
    <w:semiHidden/>
    <w:unhideWhenUsed/>
    <w:rsid w:val="00BC28E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C28E8"/>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BC28E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hyperlink" Target="mailto:agsales@vicchem.com" TargetMode="External" Id="rId39" /><Relationship Type="http://schemas.openxmlformats.org/officeDocument/2006/relationships/footer" Target="footer2.xml" Id="rId21" /><Relationship Type="http://schemas.openxmlformats.org/officeDocument/2006/relationships/header" Target="header11.xml" Id="rId34"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72856"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59876" TargetMode="External" Id="rId32" /><Relationship Type="http://schemas.openxmlformats.org/officeDocument/2006/relationships/hyperlink" Target="https://apvma.gov.au/node/27171" TargetMode="Externa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image" Target="media/image3.png" Id="rId28" /><Relationship Type="http://schemas.openxmlformats.org/officeDocument/2006/relationships/hyperlink" Target="https://www.apvma.gov.au/regulation/recalls/agvet-chemical-recalls/251218-bloat-drench-oral-bloat-control"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casemanagement@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apvma.gov.au/node/72856" TargetMode="External" Id="rId30" /><Relationship Type="http://schemas.openxmlformats.org/officeDocument/2006/relationships/hyperlink" Target="mailto:mls@apvma.gov.au"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ode/12326" TargetMode="External" Id="rId33" /><Relationship Type="http://schemas.openxmlformats.org/officeDocument/2006/relationships/hyperlink" Target="https://apvma.us2.list-manage.com/subscribe?u=f09f7f9ed2a2867a19b99e2e4&amp;id=a025640240" TargetMode="External" Id="rId38" /><Relationship Type="http://schemas.openxmlformats.org/officeDocument/2006/relationships/customXml" Target="/customXML/item3.xml" Id="R8a9b06fcf04e4c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A3693081</value>
    </field>
    <field name="Objective-Title">
      <value order="0">Gazette No 26, Tuesday 23 December 2025</value>
    </field>
    <field name="Objective-Description">
      <value order="0"/>
    </field>
    <field name="Objective-CreationStamp">
      <value order="0">2025-12-18T06:44:28Z</value>
    </field>
    <field name="Objective-IsApproved">
      <value order="0">false</value>
    </field>
    <field name="Objective-IsPublished">
      <value order="0">false</value>
    </field>
    <field name="Objective-DatePublished">
      <value order="0"/>
    </field>
    <field name="Objective-ModificationStamp">
      <value order="0">2025-12-22T23:12:02Z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- 2021-2025:2025:26 Gazette - 23 December 2025:03 - Compiled</value>
    </field>
    <field name="Objective-Parent">
      <value order="0">03 - Compiled</value>
    </field>
    <field name="Objective-State">
      <value order="0">Being Drafted</value>
    </field>
    <field name="Objective-VersionId">
      <value order="0">vA5567233</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33</Pages>
  <Words>10189</Words>
  <Characters>58082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Gazette No 26, Tuesday 23 December 2025</vt:lpstr>
    </vt:vector>
  </TitlesOfParts>
  <Company>APVMA</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26, Tuesday 23 December 2025</dc:title>
  <dc:subject/>
  <dc:creator>APVMA</dc:creator>
  <cp:keywords/>
  <dc:description/>
  <cp:lastModifiedBy>GRIFFIN, Jordanna</cp:lastModifiedBy>
  <cp:revision>14</cp:revision>
  <cp:lastPrinted>2025-12-22T23:06:00Z</cp:lastPrinted>
  <dcterms:created xsi:type="dcterms:W3CDTF">2025-12-18T04:53:00Z</dcterms:created>
  <dcterms:modified xsi:type="dcterms:W3CDTF">2025-12-22T23:11:00Z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A3693081</vt:lpwstr>
  </property>
  <property fmtid="{D5CDD505-2E9C-101B-9397-08002B2CF9AE}" pid="4" name="Objective-Title">
    <vt:lpwstr>Gazette No 26, Tuesday 23 December 2025</vt:lpwstr>
  </property>
  <property fmtid="{D5CDD505-2E9C-101B-9397-08002B2CF9AE}" pid="5" name="Objective-Description">
    <vt:lpwstr/>
  </property>
  <property fmtid="{D5CDD505-2E9C-101B-9397-08002B2CF9AE}" pid="6" name="Objective-CreationStamp">
    <vt:filetime>2025-12-18T06:44:28Z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2025-12-22T23:12:02Z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- 2021-2025:2025:26 Gazette - 23 December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vA5567233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